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91212" w14:textId="77777777" w:rsidR="00E12B1B" w:rsidRPr="004C12C9" w:rsidRDefault="00432246" w:rsidP="00972CF9">
      <w:bookmarkStart w:id="0" w:name="_Hlk196308118"/>
      <w:r w:rsidRPr="004C12C9">
        <w:rPr>
          <w:noProof/>
        </w:rPr>
        <w:drawing>
          <wp:inline distT="0" distB="0" distL="0" distR="0" wp14:anchorId="7016339B" wp14:editId="5DF94FD2">
            <wp:extent cx="3743325" cy="777161"/>
            <wp:effectExtent l="0" t="0" r="0" b="4445"/>
            <wp:docPr id="1" name="Graphic 1" descr="Minnesota Environmental Quality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innesota Environmental Quality Board logo"/>
                    <pic:cNvPicPr/>
                  </pic:nvPicPr>
                  <pic:blipFill>
                    <a:blip r:embed="rId11">
                      <a:extLst>
                        <a:ext uri="{28A0092B-C50C-407E-A947-70E740481C1C}">
                          <a14:useLocalDpi xmlns:a14="http://schemas.microsoft.com/office/drawing/2010/main" val="0"/>
                        </a:ext>
                      </a:extLst>
                    </a:blip>
                    <a:srcRect l="103" r="103"/>
                    <a:stretch>
                      <a:fillRect/>
                    </a:stretch>
                  </pic:blipFill>
                  <pic:spPr bwMode="auto">
                    <a:xfrm>
                      <a:off x="0" y="0"/>
                      <a:ext cx="3778121" cy="784385"/>
                    </a:xfrm>
                    <a:prstGeom prst="rect">
                      <a:avLst/>
                    </a:prstGeom>
                    <a:ln>
                      <a:noFill/>
                    </a:ln>
                    <a:extLst>
                      <a:ext uri="{53640926-AAD7-44D8-BBD7-CCE9431645EC}">
                        <a14:shadowObscured xmlns:a14="http://schemas.microsoft.com/office/drawing/2010/main"/>
                      </a:ext>
                    </a:extLst>
                  </pic:spPr>
                </pic:pic>
              </a:graphicData>
            </a:graphic>
          </wp:inline>
        </w:drawing>
      </w:r>
      <w:bookmarkStart w:id="1" w:name="_Ref196383462"/>
      <w:bookmarkEnd w:id="1"/>
    </w:p>
    <w:p w14:paraId="0BA72D4F" w14:textId="4DB38196" w:rsidR="00E12B1B" w:rsidRPr="004C12C9" w:rsidRDefault="00D81D52" w:rsidP="00972CF9">
      <w:pPr>
        <w:pStyle w:val="Heading1"/>
      </w:pPr>
      <w:bookmarkStart w:id="2" w:name="_Toc531768312"/>
      <w:r w:rsidRPr="004C12C9">
        <w:t xml:space="preserve">Minnesota </w:t>
      </w:r>
      <w:r w:rsidR="00720E38" w:rsidRPr="004C12C9">
        <w:t>Climate Calculator</w:t>
      </w:r>
      <w:bookmarkEnd w:id="2"/>
    </w:p>
    <w:p w14:paraId="2781F157" w14:textId="22760BAA" w:rsidR="00E12B1B" w:rsidRPr="004C12C9" w:rsidRDefault="00403742" w:rsidP="00972CF9">
      <w:pPr>
        <w:pStyle w:val="ReportSubtitle"/>
      </w:pPr>
      <w:bookmarkStart w:id="3" w:name="_Toc477437899"/>
      <w:r w:rsidRPr="004C12C9">
        <w:t>Final</w:t>
      </w:r>
      <w:r w:rsidR="001E6C4D" w:rsidRPr="004C12C9">
        <w:t xml:space="preserve"> </w:t>
      </w:r>
      <w:r w:rsidR="6A362A4C" w:rsidRPr="004C12C9">
        <w:t>Report</w:t>
      </w:r>
    </w:p>
    <w:p w14:paraId="3F144E94" w14:textId="794662BA" w:rsidR="00C94F13" w:rsidRPr="004C12C9" w:rsidRDefault="005B6179" w:rsidP="00972CF9">
      <w:pPr>
        <w:pStyle w:val="ReportDate"/>
        <w:sectPr w:rsidR="00C94F13" w:rsidRPr="004C12C9" w:rsidSect="008A2C1A">
          <w:footerReference w:type="default" r:id="rId12"/>
          <w:pgSz w:w="12240" w:h="15840" w:code="1"/>
          <w:pgMar w:top="1728" w:right="1080" w:bottom="1440" w:left="1080" w:header="0" w:footer="504" w:gutter="0"/>
          <w:cols w:space="720"/>
          <w:vAlign w:val="center"/>
          <w:titlePg/>
          <w:docGrid w:linePitch="326"/>
        </w:sectPr>
      </w:pPr>
      <w:bookmarkStart w:id="4" w:name="_Toc71901635"/>
      <w:bookmarkEnd w:id="3"/>
      <w:r w:rsidRPr="004C12C9">
        <w:t xml:space="preserve"> </w:t>
      </w:r>
      <w:r w:rsidR="00797457">
        <w:t>March</w:t>
      </w:r>
      <w:r w:rsidR="00B50F85" w:rsidRPr="004C12C9">
        <w:t xml:space="preserve"> </w:t>
      </w:r>
      <w:r w:rsidR="00AD691D" w:rsidRPr="004C12C9">
        <w:t>202</w:t>
      </w:r>
      <w:r w:rsidR="00AD691D">
        <w:t>6</w:t>
      </w:r>
      <w:r w:rsidR="003B5F7F">
        <w:t>,</w:t>
      </w:r>
      <w:r w:rsidR="006E7E85">
        <w:t xml:space="preserve"> Version 1.</w:t>
      </w:r>
      <w:r w:rsidR="00B50F85">
        <w:t>2</w:t>
      </w:r>
    </w:p>
    <w:p w14:paraId="0917518B" w14:textId="73BB931E" w:rsidR="00C94F13" w:rsidRPr="004C12C9" w:rsidRDefault="002F7398" w:rsidP="002F7398">
      <w:pPr>
        <w:pStyle w:val="Heading1A"/>
      </w:pPr>
      <w:bookmarkStart w:id="5" w:name="_Toc192235726"/>
      <w:bookmarkStart w:id="6" w:name="_Toc192247176"/>
      <w:bookmarkStart w:id="7" w:name="_Toc192248580"/>
      <w:bookmarkStart w:id="8" w:name="_Toc194319935"/>
      <w:bookmarkStart w:id="9" w:name="_Toc194676841"/>
      <w:bookmarkStart w:id="10" w:name="_Toc196320469"/>
      <w:bookmarkStart w:id="11" w:name="_Toc196908865"/>
      <w:bookmarkStart w:id="12" w:name="_Toc199247220"/>
      <w:bookmarkStart w:id="13" w:name="_Toc219887758"/>
      <w:r w:rsidRPr="004C12C9">
        <w:lastRenderedPageBreak/>
        <w:t>Acknowledgments</w:t>
      </w:r>
      <w:bookmarkEnd w:id="5"/>
      <w:bookmarkEnd w:id="6"/>
      <w:bookmarkEnd w:id="7"/>
      <w:bookmarkEnd w:id="8"/>
      <w:bookmarkEnd w:id="9"/>
      <w:bookmarkEnd w:id="10"/>
      <w:bookmarkEnd w:id="11"/>
      <w:bookmarkEnd w:id="12"/>
      <w:bookmarkEnd w:id="13"/>
    </w:p>
    <w:p w14:paraId="22DEA5EF" w14:textId="7A7F3839" w:rsidR="00F14B57" w:rsidRPr="004C12C9" w:rsidRDefault="00E413DB" w:rsidP="00983716">
      <w:pPr>
        <w:spacing w:line="240" w:lineRule="auto"/>
        <w:rPr>
          <w:rFonts w:asciiTheme="minorHAnsi" w:hAnsiTheme="minorHAnsi" w:cstheme="minorHAnsi"/>
          <w:color w:val="000000"/>
          <w:szCs w:val="21"/>
        </w:rPr>
      </w:pPr>
      <w:r w:rsidRPr="004C12C9">
        <w:rPr>
          <w:rStyle w:val="Emphasis"/>
          <w:rFonts w:asciiTheme="minorHAnsi" w:hAnsiTheme="minorHAnsi" w:cstheme="minorHAnsi"/>
          <w:i w:val="0"/>
          <w:iCs/>
        </w:rPr>
        <w:t>The Minnesota Climate Calculator was prepared by ICF for the Environmental Quality Board</w:t>
      </w:r>
      <w:r w:rsidR="009A5F89" w:rsidRPr="004C12C9">
        <w:rPr>
          <w:rStyle w:val="Emphasis"/>
          <w:rFonts w:asciiTheme="minorHAnsi" w:hAnsiTheme="minorHAnsi" w:cstheme="minorHAnsi"/>
          <w:i w:val="0"/>
          <w:iCs/>
        </w:rPr>
        <w:t xml:space="preserve"> (EQB)</w:t>
      </w:r>
      <w:r w:rsidR="0034045D" w:rsidRPr="004C12C9">
        <w:rPr>
          <w:rStyle w:val="Emphasis"/>
          <w:rFonts w:asciiTheme="minorHAnsi" w:hAnsiTheme="minorHAnsi" w:cstheme="minorHAnsi"/>
          <w:i w:val="0"/>
          <w:iCs/>
        </w:rPr>
        <w:t xml:space="preserve"> </w:t>
      </w:r>
      <w:r w:rsidR="008C1679" w:rsidRPr="004C12C9">
        <w:rPr>
          <w:rStyle w:val="Emphasis"/>
          <w:rFonts w:asciiTheme="minorHAnsi" w:hAnsiTheme="minorHAnsi" w:cstheme="minorHAnsi"/>
          <w:i w:val="0"/>
          <w:iCs/>
        </w:rPr>
        <w:t xml:space="preserve">under the </w:t>
      </w:r>
      <w:r w:rsidR="00243615" w:rsidRPr="004C12C9">
        <w:rPr>
          <w:rStyle w:val="Emphasis"/>
          <w:rFonts w:asciiTheme="minorHAnsi" w:hAnsiTheme="minorHAnsi" w:cstheme="minorHAnsi"/>
          <w:i w:val="0"/>
          <w:iCs/>
        </w:rPr>
        <w:t>oversight</w:t>
      </w:r>
      <w:r w:rsidR="0034045D" w:rsidRPr="004C12C9">
        <w:rPr>
          <w:rStyle w:val="Emphasis"/>
          <w:rFonts w:asciiTheme="minorHAnsi" w:hAnsiTheme="minorHAnsi" w:cstheme="minorHAnsi"/>
          <w:i w:val="0"/>
          <w:iCs/>
        </w:rPr>
        <w:t xml:space="preserve"> and guidance </w:t>
      </w:r>
      <w:r w:rsidR="008C1679" w:rsidRPr="004C12C9">
        <w:rPr>
          <w:rStyle w:val="Emphasis"/>
          <w:rFonts w:asciiTheme="minorHAnsi" w:hAnsiTheme="minorHAnsi" w:cstheme="minorHAnsi"/>
          <w:i w:val="0"/>
          <w:iCs/>
        </w:rPr>
        <w:t>of</w:t>
      </w:r>
      <w:r w:rsidR="0034045D" w:rsidRPr="004C12C9">
        <w:rPr>
          <w:rStyle w:val="Emphasis"/>
          <w:rFonts w:asciiTheme="minorHAnsi" w:hAnsiTheme="minorHAnsi" w:cstheme="minorHAnsi"/>
          <w:i w:val="0"/>
          <w:iCs/>
        </w:rPr>
        <w:t xml:space="preserve"> EQB and </w:t>
      </w:r>
      <w:r w:rsidR="00557E51" w:rsidRPr="004C12C9">
        <w:rPr>
          <w:rStyle w:val="Emphasis"/>
          <w:rFonts w:asciiTheme="minorHAnsi" w:hAnsiTheme="minorHAnsi" w:cstheme="minorHAnsi"/>
          <w:i w:val="0"/>
          <w:iCs/>
        </w:rPr>
        <w:t>the</w:t>
      </w:r>
      <w:r w:rsidR="0034045D" w:rsidRPr="004C12C9">
        <w:rPr>
          <w:rStyle w:val="Emphasis"/>
          <w:rFonts w:asciiTheme="minorHAnsi" w:hAnsiTheme="minorHAnsi" w:cstheme="minorHAnsi"/>
          <w:i w:val="0"/>
          <w:iCs/>
        </w:rPr>
        <w:t xml:space="preserve"> Technical Advisory Team</w:t>
      </w:r>
      <w:r w:rsidRPr="004C12C9">
        <w:rPr>
          <w:rStyle w:val="Emphasis"/>
          <w:rFonts w:asciiTheme="minorHAnsi" w:hAnsiTheme="minorHAnsi" w:cstheme="minorHAnsi"/>
          <w:i w:val="0"/>
          <w:iCs/>
        </w:rPr>
        <w:t>.</w:t>
      </w:r>
      <w:r w:rsidRPr="004C12C9">
        <w:rPr>
          <w:rStyle w:val="Emphasis"/>
          <w:rFonts w:asciiTheme="minorHAnsi" w:hAnsiTheme="minorHAnsi" w:cstheme="minorHAnsi"/>
        </w:rPr>
        <w:t xml:space="preserve"> </w:t>
      </w:r>
      <w:r w:rsidR="0097387D" w:rsidRPr="004C12C9">
        <w:rPr>
          <w:rFonts w:asciiTheme="minorHAnsi" w:hAnsiTheme="minorHAnsi" w:cstheme="minorHAnsi"/>
          <w:color w:val="000000"/>
          <w:szCs w:val="21"/>
        </w:rPr>
        <w:t>We</w:t>
      </w:r>
      <w:r w:rsidR="00F14B57" w:rsidRPr="004C12C9">
        <w:rPr>
          <w:rFonts w:asciiTheme="minorHAnsi" w:hAnsiTheme="minorHAnsi" w:cstheme="minorHAnsi"/>
          <w:color w:val="000000"/>
          <w:szCs w:val="21"/>
        </w:rPr>
        <w:t xml:space="preserve"> would like to extend </w:t>
      </w:r>
      <w:r w:rsidR="0097387D" w:rsidRPr="004C12C9">
        <w:rPr>
          <w:rFonts w:asciiTheme="minorHAnsi" w:hAnsiTheme="minorHAnsi" w:cstheme="minorHAnsi"/>
          <w:color w:val="000000"/>
          <w:szCs w:val="21"/>
        </w:rPr>
        <w:t>our</w:t>
      </w:r>
      <w:r w:rsidR="00F14B57" w:rsidRPr="004C12C9">
        <w:rPr>
          <w:rFonts w:asciiTheme="minorHAnsi" w:hAnsiTheme="minorHAnsi" w:cstheme="minorHAnsi"/>
          <w:color w:val="000000"/>
          <w:szCs w:val="21"/>
        </w:rPr>
        <w:t xml:space="preserve"> heartfelt gratitude to </w:t>
      </w:r>
      <w:r w:rsidR="008C1679" w:rsidRPr="004C12C9">
        <w:rPr>
          <w:rFonts w:asciiTheme="minorHAnsi" w:hAnsiTheme="minorHAnsi" w:cstheme="minorHAnsi"/>
          <w:color w:val="000000"/>
          <w:szCs w:val="21"/>
        </w:rPr>
        <w:t xml:space="preserve">members of </w:t>
      </w:r>
      <w:r w:rsidR="00F14B57" w:rsidRPr="004C12C9">
        <w:rPr>
          <w:rFonts w:asciiTheme="minorHAnsi" w:hAnsiTheme="minorHAnsi" w:cstheme="minorHAnsi"/>
          <w:color w:val="000000"/>
          <w:szCs w:val="21"/>
        </w:rPr>
        <w:t xml:space="preserve">the </w:t>
      </w:r>
      <w:r w:rsidR="00894652" w:rsidRPr="004C12C9">
        <w:rPr>
          <w:rFonts w:asciiTheme="minorHAnsi" w:hAnsiTheme="minorHAnsi" w:cstheme="minorHAnsi"/>
          <w:color w:val="000000"/>
          <w:szCs w:val="21"/>
        </w:rPr>
        <w:t>T</w:t>
      </w:r>
      <w:r w:rsidR="00F14B57" w:rsidRPr="004C12C9">
        <w:rPr>
          <w:rFonts w:asciiTheme="minorHAnsi" w:hAnsiTheme="minorHAnsi" w:cstheme="minorHAnsi"/>
          <w:color w:val="000000"/>
          <w:szCs w:val="21"/>
        </w:rPr>
        <w:t xml:space="preserve">echnical </w:t>
      </w:r>
      <w:r w:rsidR="00894652" w:rsidRPr="004C12C9">
        <w:rPr>
          <w:rFonts w:asciiTheme="minorHAnsi" w:hAnsiTheme="minorHAnsi" w:cstheme="minorHAnsi"/>
          <w:color w:val="000000"/>
          <w:szCs w:val="21"/>
        </w:rPr>
        <w:t>A</w:t>
      </w:r>
      <w:r w:rsidR="00F14B57" w:rsidRPr="004C12C9">
        <w:rPr>
          <w:rFonts w:asciiTheme="minorHAnsi" w:hAnsiTheme="minorHAnsi" w:cstheme="minorHAnsi"/>
          <w:color w:val="000000"/>
          <w:szCs w:val="21"/>
        </w:rPr>
        <w:t xml:space="preserve">dvisory </w:t>
      </w:r>
      <w:r w:rsidR="00894652" w:rsidRPr="004C12C9">
        <w:rPr>
          <w:rFonts w:asciiTheme="minorHAnsi" w:hAnsiTheme="minorHAnsi" w:cstheme="minorHAnsi"/>
          <w:color w:val="000000"/>
          <w:szCs w:val="21"/>
        </w:rPr>
        <w:t>T</w:t>
      </w:r>
      <w:r w:rsidR="00F14B57" w:rsidRPr="004C12C9">
        <w:rPr>
          <w:rFonts w:asciiTheme="minorHAnsi" w:hAnsiTheme="minorHAnsi" w:cstheme="minorHAnsi"/>
          <w:color w:val="000000"/>
          <w:szCs w:val="21"/>
        </w:rPr>
        <w:t xml:space="preserve">eam </w:t>
      </w:r>
      <w:r w:rsidR="00F811CC" w:rsidRPr="004C12C9">
        <w:rPr>
          <w:rFonts w:asciiTheme="minorHAnsi" w:hAnsiTheme="minorHAnsi" w:cstheme="minorHAnsi"/>
          <w:color w:val="000000"/>
          <w:szCs w:val="21"/>
        </w:rPr>
        <w:t xml:space="preserve">and other contributors </w:t>
      </w:r>
      <w:r w:rsidR="00F14B57" w:rsidRPr="004C12C9">
        <w:rPr>
          <w:rFonts w:asciiTheme="minorHAnsi" w:hAnsiTheme="minorHAnsi" w:cstheme="minorHAnsi"/>
          <w:color w:val="000000"/>
          <w:szCs w:val="21"/>
        </w:rPr>
        <w:t xml:space="preserve">for their invaluable time and </w:t>
      </w:r>
      <w:r w:rsidR="004061AB" w:rsidRPr="004C12C9">
        <w:rPr>
          <w:rFonts w:asciiTheme="minorHAnsi" w:hAnsiTheme="minorHAnsi" w:cstheme="minorHAnsi"/>
          <w:color w:val="000000"/>
          <w:szCs w:val="21"/>
        </w:rPr>
        <w:t xml:space="preserve">thoughtful </w:t>
      </w:r>
      <w:r w:rsidR="004C6300" w:rsidRPr="004C12C9">
        <w:rPr>
          <w:rFonts w:asciiTheme="minorHAnsi" w:hAnsiTheme="minorHAnsi" w:cstheme="minorHAnsi"/>
          <w:color w:val="000000"/>
          <w:szCs w:val="21"/>
        </w:rPr>
        <w:t>input</w:t>
      </w:r>
      <w:r w:rsidR="00F14B57" w:rsidRPr="004C12C9">
        <w:rPr>
          <w:rFonts w:asciiTheme="minorHAnsi" w:hAnsiTheme="minorHAnsi" w:cstheme="minorHAnsi"/>
          <w:color w:val="000000"/>
          <w:szCs w:val="21"/>
        </w:rPr>
        <w:t xml:space="preserve"> throughout this project. </w:t>
      </w:r>
      <w:r w:rsidR="004C6300" w:rsidRPr="004C12C9">
        <w:rPr>
          <w:rFonts w:asciiTheme="minorHAnsi" w:hAnsiTheme="minorHAnsi" w:cstheme="minorHAnsi"/>
          <w:color w:val="000000"/>
          <w:szCs w:val="21"/>
        </w:rPr>
        <w:t>Their</w:t>
      </w:r>
      <w:r w:rsidR="00F14B57" w:rsidRPr="004C12C9">
        <w:rPr>
          <w:rFonts w:asciiTheme="minorHAnsi" w:hAnsiTheme="minorHAnsi" w:cstheme="minorHAnsi"/>
          <w:color w:val="000000"/>
          <w:szCs w:val="21"/>
        </w:rPr>
        <w:t xml:space="preserve"> expertise, dedication, and </w:t>
      </w:r>
      <w:r w:rsidR="007E4479" w:rsidRPr="004C12C9">
        <w:rPr>
          <w:rFonts w:asciiTheme="minorHAnsi" w:hAnsiTheme="minorHAnsi" w:cstheme="minorHAnsi"/>
          <w:color w:val="000000"/>
          <w:szCs w:val="21"/>
        </w:rPr>
        <w:t>insights</w:t>
      </w:r>
      <w:r w:rsidR="00F14B57" w:rsidRPr="004C12C9">
        <w:rPr>
          <w:rFonts w:asciiTheme="minorHAnsi" w:hAnsiTheme="minorHAnsi" w:cstheme="minorHAnsi"/>
          <w:color w:val="000000"/>
          <w:szCs w:val="21"/>
        </w:rPr>
        <w:t xml:space="preserve"> have been instrumental in navigating the complexities </w:t>
      </w:r>
      <w:r w:rsidR="00166C37" w:rsidRPr="004C12C9">
        <w:rPr>
          <w:rFonts w:asciiTheme="minorHAnsi" w:hAnsiTheme="minorHAnsi" w:cstheme="minorHAnsi"/>
          <w:color w:val="000000"/>
          <w:szCs w:val="21"/>
        </w:rPr>
        <w:t>of</w:t>
      </w:r>
      <w:r w:rsidR="00F14B57" w:rsidRPr="004C12C9">
        <w:rPr>
          <w:rFonts w:asciiTheme="minorHAnsi" w:hAnsiTheme="minorHAnsi" w:cstheme="minorHAnsi"/>
          <w:color w:val="000000"/>
          <w:szCs w:val="21"/>
        </w:rPr>
        <w:t xml:space="preserve"> </w:t>
      </w:r>
      <w:r w:rsidR="004C3AB5" w:rsidRPr="004C12C9">
        <w:rPr>
          <w:rFonts w:asciiTheme="minorHAnsi" w:hAnsiTheme="minorHAnsi" w:cstheme="minorHAnsi"/>
          <w:color w:val="000000"/>
          <w:szCs w:val="21"/>
        </w:rPr>
        <w:t>developing this resource</w:t>
      </w:r>
      <w:r w:rsidR="00F14B57" w:rsidRPr="004C12C9">
        <w:rPr>
          <w:rFonts w:asciiTheme="minorHAnsi" w:hAnsiTheme="minorHAnsi" w:cstheme="minorHAnsi"/>
          <w:color w:val="000000"/>
          <w:szCs w:val="21"/>
        </w:rPr>
        <w:t xml:space="preserve">. </w:t>
      </w:r>
      <w:r w:rsidR="0023433F" w:rsidRPr="004C12C9">
        <w:rPr>
          <w:rFonts w:asciiTheme="minorHAnsi" w:hAnsiTheme="minorHAnsi" w:cstheme="minorHAnsi"/>
          <w:color w:val="000000"/>
          <w:szCs w:val="21"/>
        </w:rPr>
        <w:t xml:space="preserve">Their </w:t>
      </w:r>
      <w:r w:rsidR="00095656" w:rsidRPr="004C12C9">
        <w:rPr>
          <w:rFonts w:asciiTheme="minorHAnsi" w:hAnsiTheme="minorHAnsi" w:cstheme="minorHAnsi"/>
          <w:color w:val="000000"/>
          <w:szCs w:val="21"/>
        </w:rPr>
        <w:t>feedback</w:t>
      </w:r>
      <w:r w:rsidR="00F14B57" w:rsidRPr="004C12C9">
        <w:rPr>
          <w:rFonts w:asciiTheme="minorHAnsi" w:hAnsiTheme="minorHAnsi" w:cstheme="minorHAnsi"/>
          <w:color w:val="000000"/>
          <w:szCs w:val="21"/>
        </w:rPr>
        <w:t xml:space="preserve"> and guidance have </w:t>
      </w:r>
      <w:r w:rsidR="00A47DFB" w:rsidRPr="004C12C9">
        <w:rPr>
          <w:rFonts w:asciiTheme="minorHAnsi" w:hAnsiTheme="minorHAnsi" w:cstheme="minorHAnsi"/>
          <w:color w:val="000000"/>
          <w:szCs w:val="21"/>
        </w:rPr>
        <w:t>sign</w:t>
      </w:r>
      <w:r w:rsidR="003431B6" w:rsidRPr="004C12C9">
        <w:rPr>
          <w:rFonts w:asciiTheme="minorHAnsi" w:hAnsiTheme="minorHAnsi" w:cstheme="minorHAnsi"/>
          <w:color w:val="000000"/>
          <w:szCs w:val="21"/>
        </w:rPr>
        <w:t>ificantly</w:t>
      </w:r>
      <w:r w:rsidR="00F14B57" w:rsidRPr="004C12C9">
        <w:rPr>
          <w:rFonts w:asciiTheme="minorHAnsi" w:hAnsiTheme="minorHAnsi" w:cstheme="minorHAnsi"/>
          <w:color w:val="000000"/>
          <w:szCs w:val="21"/>
        </w:rPr>
        <w:t xml:space="preserve"> enhanced the quality of our work</w:t>
      </w:r>
      <w:r w:rsidR="005572BC" w:rsidRPr="004C12C9">
        <w:rPr>
          <w:rFonts w:asciiTheme="minorHAnsi" w:hAnsiTheme="minorHAnsi" w:cstheme="minorHAnsi"/>
          <w:color w:val="000000"/>
          <w:szCs w:val="21"/>
        </w:rPr>
        <w:t>.</w:t>
      </w:r>
    </w:p>
    <w:p w14:paraId="60D25822" w14:textId="351EB57C" w:rsidR="00983716" w:rsidRPr="004C12C9" w:rsidRDefault="00983716" w:rsidP="00E413DB">
      <w:pPr>
        <w:rPr>
          <w:rFonts w:asciiTheme="minorHAnsi" w:hAnsiTheme="minorHAnsi" w:cstheme="minorHAnsi"/>
          <w:b/>
          <w:bCs/>
          <w:i/>
        </w:rPr>
      </w:pPr>
      <w:r w:rsidRPr="004C12C9">
        <w:rPr>
          <w:rFonts w:asciiTheme="minorHAnsi" w:hAnsiTheme="minorHAnsi" w:cstheme="minorHAnsi"/>
          <w:b/>
          <w:bCs/>
          <w:color w:val="000000"/>
          <w:szCs w:val="21"/>
        </w:rPr>
        <w:t>Management Team</w:t>
      </w:r>
    </w:p>
    <w:p w14:paraId="5F9EF65B" w14:textId="26030DF9" w:rsidR="00120B64" w:rsidRPr="004C12C9" w:rsidRDefault="00D02817" w:rsidP="00166C37">
      <w:pPr>
        <w:pStyle w:val="NoSpacing"/>
      </w:pPr>
      <w:r w:rsidRPr="004C12C9">
        <w:t>Steph</w:t>
      </w:r>
      <w:r w:rsidR="00672A60" w:rsidRPr="004C12C9">
        <w:t>anie</w:t>
      </w:r>
      <w:r w:rsidRPr="004C12C9">
        <w:t xml:space="preserve"> Aho, </w:t>
      </w:r>
      <w:r w:rsidR="000E4651" w:rsidRPr="004C12C9">
        <w:rPr>
          <w:lang w:bidi="en-US"/>
        </w:rPr>
        <w:t>Greenhouse Gas Data Analyst</w:t>
      </w:r>
      <w:r w:rsidR="000E4651" w:rsidRPr="004C12C9">
        <w:rPr>
          <w:iCs/>
          <w:lang w:bidi="en-US"/>
        </w:rPr>
        <w:t xml:space="preserve">, </w:t>
      </w:r>
      <w:r w:rsidRPr="004C12C9">
        <w:rPr>
          <w:rStyle w:val="Emphasis"/>
          <w:rFonts w:cstheme="minorHAnsi"/>
          <w:i w:val="0"/>
          <w:iCs/>
        </w:rPr>
        <w:t>E</w:t>
      </w:r>
      <w:r w:rsidR="00BF0188" w:rsidRPr="004C12C9">
        <w:rPr>
          <w:rStyle w:val="Emphasis"/>
          <w:rFonts w:cstheme="minorHAnsi"/>
          <w:i w:val="0"/>
          <w:iCs/>
        </w:rPr>
        <w:t>QB</w:t>
      </w:r>
    </w:p>
    <w:p w14:paraId="4E547592" w14:textId="3652DCE9" w:rsidR="00D02817" w:rsidRPr="004C12C9" w:rsidRDefault="00D02817" w:rsidP="00166C37">
      <w:pPr>
        <w:pStyle w:val="NoSpacing"/>
      </w:pPr>
      <w:r w:rsidRPr="004C12C9">
        <w:t xml:space="preserve">Kayla </w:t>
      </w:r>
      <w:r w:rsidR="00FF5379" w:rsidRPr="004C12C9">
        <w:t>Walsh</w:t>
      </w:r>
      <w:r w:rsidRPr="004C12C9">
        <w:t xml:space="preserve">, </w:t>
      </w:r>
      <w:r w:rsidR="004532FD" w:rsidRPr="004C12C9">
        <w:t xml:space="preserve">Environmental Review Administrator, </w:t>
      </w:r>
      <w:r w:rsidRPr="004C12C9">
        <w:rPr>
          <w:rStyle w:val="Emphasis"/>
          <w:rFonts w:cstheme="minorHAnsi"/>
          <w:i w:val="0"/>
          <w:iCs/>
        </w:rPr>
        <w:t>E</w:t>
      </w:r>
      <w:r w:rsidR="00BF0188" w:rsidRPr="004C12C9">
        <w:rPr>
          <w:rStyle w:val="Emphasis"/>
          <w:rFonts w:cstheme="minorHAnsi"/>
          <w:i w:val="0"/>
          <w:iCs/>
        </w:rPr>
        <w:t>QB</w:t>
      </w:r>
    </w:p>
    <w:p w14:paraId="090A4767" w14:textId="067A3FD9" w:rsidR="00983716" w:rsidRPr="004C12C9" w:rsidRDefault="00D02817" w:rsidP="00166C37">
      <w:pPr>
        <w:pStyle w:val="NoSpacing"/>
        <w:rPr>
          <w:rStyle w:val="Emphasis"/>
          <w:rFonts w:cstheme="minorHAnsi"/>
          <w:i w:val="0"/>
          <w:iCs/>
        </w:rPr>
      </w:pPr>
      <w:r w:rsidRPr="004C12C9">
        <w:t>Colleen</w:t>
      </w:r>
      <w:r w:rsidR="00F516ED" w:rsidRPr="004C12C9">
        <w:t xml:space="preserve"> Hetzel</w:t>
      </w:r>
      <w:r w:rsidRPr="004C12C9">
        <w:t xml:space="preserve">, </w:t>
      </w:r>
      <w:r w:rsidR="0077363A" w:rsidRPr="004C12C9">
        <w:t xml:space="preserve">Director Environmental Review Program, </w:t>
      </w:r>
      <w:r w:rsidRPr="004C12C9">
        <w:rPr>
          <w:rStyle w:val="Emphasis"/>
          <w:rFonts w:cstheme="minorHAnsi"/>
          <w:i w:val="0"/>
          <w:iCs/>
        </w:rPr>
        <w:t>E</w:t>
      </w:r>
      <w:r w:rsidR="00BF0188" w:rsidRPr="004C12C9">
        <w:rPr>
          <w:rStyle w:val="Emphasis"/>
          <w:rFonts w:cstheme="minorHAnsi"/>
          <w:i w:val="0"/>
          <w:iCs/>
        </w:rPr>
        <w:t>QB</w:t>
      </w:r>
    </w:p>
    <w:p w14:paraId="34F01806" w14:textId="23A96EB6" w:rsidR="00983716" w:rsidRPr="004C12C9" w:rsidRDefault="00983716" w:rsidP="00983716">
      <w:pPr>
        <w:rPr>
          <w:rFonts w:asciiTheme="minorHAnsi" w:hAnsiTheme="minorHAnsi" w:cstheme="minorHAnsi"/>
          <w:b/>
          <w:bCs/>
          <w:i/>
        </w:rPr>
      </w:pPr>
      <w:r w:rsidRPr="004C12C9">
        <w:rPr>
          <w:rFonts w:asciiTheme="minorHAnsi" w:hAnsiTheme="minorHAnsi" w:cstheme="minorHAnsi"/>
          <w:b/>
          <w:bCs/>
          <w:color w:val="000000"/>
          <w:szCs w:val="21"/>
        </w:rPr>
        <w:t>Technical Advisory Team</w:t>
      </w:r>
    </w:p>
    <w:p w14:paraId="7ACA5E1F" w14:textId="7E6C74C5" w:rsidR="00667C1D" w:rsidRPr="004C12C9" w:rsidRDefault="00120B64" w:rsidP="00166C37">
      <w:pPr>
        <w:pStyle w:val="NoSpacing"/>
      </w:pPr>
      <w:r w:rsidRPr="004C12C9">
        <w:t>Kajsa Beatty, Climate Coordinator, Minnesota Department of Agriculture</w:t>
      </w:r>
    </w:p>
    <w:p w14:paraId="0DF7A744" w14:textId="77777777" w:rsidR="00051604" w:rsidRPr="004C12C9" w:rsidRDefault="00051604" w:rsidP="00166C37">
      <w:pPr>
        <w:pStyle w:val="NoSpacing"/>
      </w:pPr>
      <w:r w:rsidRPr="004C12C9">
        <w:t>Kenneth Blumenfeld, Senior Climatologist, Minnesota Department of Natural Resources</w:t>
      </w:r>
    </w:p>
    <w:p w14:paraId="2BAFCF99" w14:textId="77777777" w:rsidR="00051604" w:rsidRPr="004C12C9" w:rsidRDefault="00051604" w:rsidP="00166C37">
      <w:pPr>
        <w:pStyle w:val="NoSpacing"/>
      </w:pPr>
      <w:r w:rsidRPr="004C12C9">
        <w:t>Anne Claflin, Research Scientist, Minnesota Pollution Control Agency</w:t>
      </w:r>
    </w:p>
    <w:p w14:paraId="4C6D58BF" w14:textId="77777777" w:rsidR="00051604" w:rsidRPr="004C12C9" w:rsidRDefault="00051604" w:rsidP="00166C37">
      <w:pPr>
        <w:spacing w:before="0" w:after="0"/>
      </w:pPr>
      <w:r w:rsidRPr="004C12C9">
        <w:t>Amanda Farris, Associate Director, University of Minnesota Climate Adaptation Partnership</w:t>
      </w:r>
    </w:p>
    <w:p w14:paraId="27699A73" w14:textId="272B24AF" w:rsidR="00051604" w:rsidRPr="004C12C9" w:rsidRDefault="00051604" w:rsidP="00166C37">
      <w:pPr>
        <w:pStyle w:val="NoSpacing"/>
      </w:pPr>
      <w:r w:rsidRPr="004C12C9">
        <w:t xml:space="preserve">Danielle Isaacson, Project Manager, </w:t>
      </w:r>
      <w:r w:rsidR="005C7B5F" w:rsidRPr="004C12C9">
        <w:t>Minnesota Department of Agriculture</w:t>
      </w:r>
    </w:p>
    <w:p w14:paraId="16CE0015" w14:textId="092EED8C" w:rsidR="00051604" w:rsidRPr="004C12C9" w:rsidRDefault="00051604" w:rsidP="00166C37">
      <w:pPr>
        <w:pStyle w:val="NoSpacing"/>
        <w:rPr>
          <w:rStyle w:val="Emphasis"/>
          <w:rFonts w:cstheme="minorHAnsi"/>
          <w:i w:val="0"/>
          <w:iCs/>
        </w:rPr>
      </w:pPr>
      <w:r w:rsidRPr="004C12C9">
        <w:t xml:space="preserve">Dan Katzenberger, Public Commission Member, </w:t>
      </w:r>
      <w:r w:rsidRPr="004C12C9">
        <w:rPr>
          <w:rStyle w:val="Emphasis"/>
          <w:rFonts w:cstheme="minorHAnsi"/>
          <w:i w:val="0"/>
          <w:iCs/>
        </w:rPr>
        <w:t>E</w:t>
      </w:r>
      <w:r w:rsidR="00BF0188" w:rsidRPr="004C12C9">
        <w:rPr>
          <w:rStyle w:val="Emphasis"/>
          <w:rFonts w:cstheme="minorHAnsi"/>
          <w:i w:val="0"/>
          <w:iCs/>
        </w:rPr>
        <w:t>QB</w:t>
      </w:r>
    </w:p>
    <w:p w14:paraId="5D7E7200" w14:textId="77777777" w:rsidR="00051604" w:rsidRPr="004C12C9" w:rsidRDefault="00051604" w:rsidP="00166C37">
      <w:pPr>
        <w:pStyle w:val="NoSpacing"/>
      </w:pPr>
      <w:r w:rsidRPr="004C12C9">
        <w:t>Jennifer Krueger, Climate Specialist, Minnesota Pollution Control Agency</w:t>
      </w:r>
    </w:p>
    <w:p w14:paraId="6673FA41" w14:textId="5CC50E7F" w:rsidR="00F516ED" w:rsidRPr="004C12C9" w:rsidRDefault="00F516ED" w:rsidP="00166C37">
      <w:pPr>
        <w:pStyle w:val="NoSpacing"/>
      </w:pPr>
      <w:r w:rsidRPr="004C12C9">
        <w:t>Megan Lennon, Energy and Environment Supervisor, Minnesota Department of Agriculture</w:t>
      </w:r>
    </w:p>
    <w:p w14:paraId="132EDB86" w14:textId="7665C7D8" w:rsidR="00F516ED" w:rsidRPr="004C12C9" w:rsidRDefault="00F516ED" w:rsidP="00166C37">
      <w:pPr>
        <w:pStyle w:val="NoSpacing"/>
      </w:pPr>
      <w:r w:rsidRPr="004C12C9">
        <w:t>Jessica Livingston, Environmental Review Project Manager, Minnesota Department of Commerce</w:t>
      </w:r>
    </w:p>
    <w:p w14:paraId="16532318" w14:textId="77777777" w:rsidR="00051604" w:rsidRPr="004C12C9" w:rsidRDefault="00051604" w:rsidP="00166C37">
      <w:pPr>
        <w:pStyle w:val="NoSpacing"/>
      </w:pPr>
      <w:r w:rsidRPr="004C12C9">
        <w:t>Nicholas Martin, Director Strategic Outreach &amp; Advocacy, Xcel Energy</w:t>
      </w:r>
    </w:p>
    <w:p w14:paraId="58CEF16F" w14:textId="77777777" w:rsidR="00051604" w:rsidRPr="004C12C9" w:rsidRDefault="00051604" w:rsidP="00166C37">
      <w:pPr>
        <w:pStyle w:val="NoSpacing"/>
      </w:pPr>
      <w:r w:rsidRPr="004C12C9">
        <w:t>Henry McCann, Forest Climate Policy Consultant, Minnesota Department of Natural Resources</w:t>
      </w:r>
    </w:p>
    <w:p w14:paraId="0E761BB3" w14:textId="77777777" w:rsidR="00051604" w:rsidRPr="004C12C9" w:rsidRDefault="00051604" w:rsidP="00166C37">
      <w:pPr>
        <w:pStyle w:val="NoSpacing"/>
      </w:pPr>
      <w:r w:rsidRPr="004C12C9">
        <w:t>Laura Millberg, Climate Change Resilience Coordinator, Minnesota Pollution Control Agency</w:t>
      </w:r>
    </w:p>
    <w:p w14:paraId="66DC4EDC" w14:textId="3EBBEFDC" w:rsidR="00F516ED" w:rsidRPr="004C12C9" w:rsidRDefault="00F516ED" w:rsidP="00166C37">
      <w:pPr>
        <w:pStyle w:val="NoSpacing"/>
      </w:pPr>
      <w:r w:rsidRPr="004C12C9">
        <w:t>Carl Stenoien, Climate Change Research Scientist, Minnesota Pollution Control Agency</w:t>
      </w:r>
    </w:p>
    <w:p w14:paraId="1CC9478C" w14:textId="15CE8F9F" w:rsidR="00D02817" w:rsidRPr="004C12C9" w:rsidRDefault="009D20E1" w:rsidP="00166C37">
      <w:pPr>
        <w:pStyle w:val="NoSpacing"/>
      </w:pPr>
      <w:r w:rsidRPr="004C12C9">
        <w:t>Hannah Siegel, Sustainability Coordinator</w:t>
      </w:r>
      <w:r w:rsidR="00DF1163" w:rsidRPr="004C12C9">
        <w:t>, Minnesota Department of Health</w:t>
      </w:r>
    </w:p>
    <w:p w14:paraId="5A3014E3" w14:textId="77777777" w:rsidR="00051604" w:rsidRPr="004C12C9" w:rsidRDefault="00051604" w:rsidP="00166C37">
      <w:pPr>
        <w:pStyle w:val="NoSpacing"/>
      </w:pPr>
      <w:r w:rsidRPr="004C12C9">
        <w:t>Sharon Stephens, Climate Change Adaptation Coordinator, Minnesota Pollution Control Agency</w:t>
      </w:r>
    </w:p>
    <w:p w14:paraId="080C9501" w14:textId="77777777" w:rsidR="00051604" w:rsidRPr="004C12C9" w:rsidRDefault="00051604" w:rsidP="00166C37">
      <w:pPr>
        <w:pStyle w:val="NoSpacing"/>
      </w:pPr>
      <w:r w:rsidRPr="004C12C9">
        <w:t>Peter Wasko, Transportation Program Supervisor, Minnesota Department of Transportation</w:t>
      </w:r>
    </w:p>
    <w:p w14:paraId="49ECD1A5" w14:textId="77777777" w:rsidR="00250F5E" w:rsidRPr="004C12C9" w:rsidRDefault="00250F5E" w:rsidP="00972CF9">
      <w:pPr>
        <w:rPr>
          <w:rStyle w:val="Emphasis"/>
        </w:rPr>
      </w:pPr>
    </w:p>
    <w:p w14:paraId="50C9A4D5" w14:textId="77777777" w:rsidR="00250F5E" w:rsidRPr="004C12C9" w:rsidRDefault="00250F5E" w:rsidP="00972CF9">
      <w:pPr>
        <w:rPr>
          <w:rStyle w:val="Emphasis"/>
        </w:rPr>
        <w:sectPr w:rsidR="00250F5E" w:rsidRPr="004C12C9" w:rsidSect="008A2C1A">
          <w:pgSz w:w="12240" w:h="15840" w:code="1"/>
          <w:pgMar w:top="1728" w:right="1080" w:bottom="1440" w:left="1080" w:header="0" w:footer="504" w:gutter="0"/>
          <w:cols w:space="720"/>
          <w:vAlign w:val="center"/>
          <w:titlePg/>
          <w:docGrid w:linePitch="326"/>
        </w:sectPr>
      </w:pPr>
    </w:p>
    <w:bookmarkEnd w:id="4" w:displacedByCustomXml="next"/>
    <w:bookmarkStart w:id="14" w:name="_Toc219887759" w:displacedByCustomXml="next"/>
    <w:bookmarkStart w:id="15" w:name="_Toc192248581" w:displacedByCustomXml="next"/>
    <w:bookmarkStart w:id="16" w:name="_Toc192247177" w:displacedByCustomXml="next"/>
    <w:bookmarkStart w:id="17" w:name="_Toc192235727" w:displacedByCustomXml="next"/>
    <w:bookmarkStart w:id="18" w:name="_Toc71901637" w:displacedByCustomXml="next"/>
    <w:bookmarkStart w:id="19" w:name="_Toc68273093" w:displacedByCustomXml="next"/>
    <w:bookmarkStart w:id="20" w:name="_Toc194319936" w:displacedByCustomXml="next"/>
    <w:bookmarkStart w:id="21" w:name="_Toc194676842" w:displacedByCustomXml="next"/>
    <w:bookmarkStart w:id="22" w:name="_Toc196320470" w:displacedByCustomXml="next"/>
    <w:bookmarkStart w:id="23" w:name="_Toc196908866" w:displacedByCustomXml="next"/>
    <w:bookmarkStart w:id="24" w:name="_Toc199247221" w:displacedByCustomXml="next"/>
    <w:bookmarkStart w:id="25" w:name="_Toc68273182" w:displacedByCustomXml="next"/>
    <w:sdt>
      <w:sdtPr>
        <w:rPr>
          <w:rFonts w:ascii="Calibri" w:eastAsia="Times New Roman" w:hAnsi="Calibri" w:cs="Times New Roman"/>
          <w:b w:val="0"/>
          <w:i/>
          <w:color w:val="auto"/>
          <w:sz w:val="22"/>
          <w:szCs w:val="22"/>
        </w:rPr>
        <w:id w:val="1515642645"/>
        <w:docPartObj>
          <w:docPartGallery w:val="Table of Contents"/>
          <w:docPartUnique/>
        </w:docPartObj>
      </w:sdtPr>
      <w:sdtEndPr>
        <w:rPr>
          <w:i w:val="0"/>
        </w:rPr>
      </w:sdtEndPr>
      <w:sdtContent>
        <w:p w14:paraId="4C711EF4" w14:textId="77777777" w:rsidR="0034212E" w:rsidRDefault="00232CFB" w:rsidP="00B76F24">
          <w:pPr>
            <w:pStyle w:val="Heading2"/>
            <w:numPr>
              <w:ilvl w:val="0"/>
              <w:numId w:val="0"/>
            </w:numPr>
            <w:spacing w:before="40" w:after="40"/>
            <w:rPr>
              <w:noProof/>
            </w:rPr>
          </w:pPr>
          <w:r w:rsidRPr="004C12C9">
            <w:t>C</w:t>
          </w:r>
          <w:r w:rsidRPr="004C12C9">
            <w:rPr>
              <w:rStyle w:val="Heading1AChar"/>
              <w:b/>
              <w:bCs/>
            </w:rPr>
            <w:t>ontents</w:t>
          </w:r>
          <w:bookmarkEnd w:id="24"/>
          <w:bookmarkEnd w:id="23"/>
          <w:bookmarkEnd w:id="22"/>
          <w:bookmarkEnd w:id="21"/>
          <w:bookmarkEnd w:id="20"/>
          <w:bookmarkEnd w:id="19"/>
          <w:bookmarkEnd w:id="18"/>
          <w:bookmarkEnd w:id="17"/>
          <w:bookmarkEnd w:id="16"/>
          <w:bookmarkEnd w:id="15"/>
          <w:bookmarkEnd w:id="14"/>
          <w:r w:rsidR="00DA4811" w:rsidRPr="004C12C9">
            <w:fldChar w:fldCharType="begin"/>
          </w:r>
          <w:r w:rsidR="00DA4811" w:rsidRPr="004C12C9">
            <w:instrText xml:space="preserve"> TOC \o "2-3" \h \z \u </w:instrText>
          </w:r>
          <w:r w:rsidR="00DA4811" w:rsidRPr="004C12C9">
            <w:fldChar w:fldCharType="separate"/>
          </w:r>
        </w:p>
        <w:p w14:paraId="139087C5" w14:textId="208BE5AA" w:rsidR="0034212E" w:rsidRDefault="0034212E">
          <w:pPr>
            <w:pStyle w:val="TOC2"/>
            <w:tabs>
              <w:tab w:val="left" w:pos="66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60" w:history="1">
            <w:r w:rsidRPr="0010094C">
              <w:rPr>
                <w:rStyle w:val="Hyperlink"/>
                <w:noProof/>
              </w:rPr>
              <w:t>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Overview</w:t>
            </w:r>
            <w:r>
              <w:rPr>
                <w:noProof/>
                <w:webHidden/>
              </w:rPr>
              <w:tab/>
            </w:r>
            <w:r>
              <w:rPr>
                <w:noProof/>
                <w:webHidden/>
              </w:rPr>
              <w:fldChar w:fldCharType="begin"/>
            </w:r>
            <w:r>
              <w:rPr>
                <w:noProof/>
                <w:webHidden/>
              </w:rPr>
              <w:instrText xml:space="preserve"> PAGEREF _Toc219887760 \h </w:instrText>
            </w:r>
            <w:r>
              <w:rPr>
                <w:noProof/>
                <w:webHidden/>
              </w:rPr>
            </w:r>
            <w:r>
              <w:rPr>
                <w:noProof/>
                <w:webHidden/>
              </w:rPr>
              <w:fldChar w:fldCharType="separate"/>
            </w:r>
            <w:r>
              <w:rPr>
                <w:noProof/>
                <w:webHidden/>
              </w:rPr>
              <w:t>1</w:t>
            </w:r>
            <w:r>
              <w:rPr>
                <w:noProof/>
                <w:webHidden/>
              </w:rPr>
              <w:fldChar w:fldCharType="end"/>
            </w:r>
          </w:hyperlink>
        </w:p>
        <w:p w14:paraId="2AB53D86" w14:textId="536D4DC4"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1" w:history="1">
            <w:r w:rsidRPr="0010094C">
              <w:rPr>
                <w:rStyle w:val="Hyperlink"/>
                <w:noProof/>
              </w:rPr>
              <w:t>1.1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Purpose</w:t>
            </w:r>
            <w:r>
              <w:rPr>
                <w:noProof/>
                <w:webHidden/>
              </w:rPr>
              <w:tab/>
            </w:r>
            <w:r>
              <w:rPr>
                <w:noProof/>
                <w:webHidden/>
              </w:rPr>
              <w:fldChar w:fldCharType="begin"/>
            </w:r>
            <w:r>
              <w:rPr>
                <w:noProof/>
                <w:webHidden/>
              </w:rPr>
              <w:instrText xml:space="preserve"> PAGEREF _Toc219887761 \h </w:instrText>
            </w:r>
            <w:r>
              <w:rPr>
                <w:noProof/>
                <w:webHidden/>
              </w:rPr>
            </w:r>
            <w:r>
              <w:rPr>
                <w:noProof/>
                <w:webHidden/>
              </w:rPr>
              <w:fldChar w:fldCharType="separate"/>
            </w:r>
            <w:r>
              <w:rPr>
                <w:noProof/>
                <w:webHidden/>
              </w:rPr>
              <w:t>1</w:t>
            </w:r>
            <w:r>
              <w:rPr>
                <w:noProof/>
                <w:webHidden/>
              </w:rPr>
              <w:fldChar w:fldCharType="end"/>
            </w:r>
          </w:hyperlink>
        </w:p>
        <w:p w14:paraId="060616EC" w14:textId="6285CD2D"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2" w:history="1">
            <w:r w:rsidRPr="0010094C">
              <w:rPr>
                <w:rStyle w:val="Hyperlink"/>
                <w:noProof/>
              </w:rPr>
              <w:t>1.2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Approach</w:t>
            </w:r>
            <w:r>
              <w:rPr>
                <w:noProof/>
                <w:webHidden/>
              </w:rPr>
              <w:tab/>
            </w:r>
            <w:r>
              <w:rPr>
                <w:noProof/>
                <w:webHidden/>
              </w:rPr>
              <w:fldChar w:fldCharType="begin"/>
            </w:r>
            <w:r>
              <w:rPr>
                <w:noProof/>
                <w:webHidden/>
              </w:rPr>
              <w:instrText xml:space="preserve"> PAGEREF _Toc219887762 \h </w:instrText>
            </w:r>
            <w:r>
              <w:rPr>
                <w:noProof/>
                <w:webHidden/>
              </w:rPr>
            </w:r>
            <w:r>
              <w:rPr>
                <w:noProof/>
                <w:webHidden/>
              </w:rPr>
              <w:fldChar w:fldCharType="separate"/>
            </w:r>
            <w:r>
              <w:rPr>
                <w:noProof/>
                <w:webHidden/>
              </w:rPr>
              <w:t>2</w:t>
            </w:r>
            <w:r>
              <w:rPr>
                <w:noProof/>
                <w:webHidden/>
              </w:rPr>
              <w:fldChar w:fldCharType="end"/>
            </w:r>
          </w:hyperlink>
        </w:p>
        <w:p w14:paraId="32AA1C06" w14:textId="7350EBC4"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3" w:history="1">
            <w:r w:rsidRPr="0010094C">
              <w:rPr>
                <w:rStyle w:val="Hyperlink"/>
                <w:noProof/>
              </w:rPr>
              <w:t>1.3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Scope</w:t>
            </w:r>
            <w:r>
              <w:rPr>
                <w:noProof/>
                <w:webHidden/>
              </w:rPr>
              <w:tab/>
            </w:r>
            <w:r>
              <w:rPr>
                <w:noProof/>
                <w:webHidden/>
              </w:rPr>
              <w:fldChar w:fldCharType="begin"/>
            </w:r>
            <w:r>
              <w:rPr>
                <w:noProof/>
                <w:webHidden/>
              </w:rPr>
              <w:instrText xml:space="preserve"> PAGEREF _Toc219887763 \h </w:instrText>
            </w:r>
            <w:r>
              <w:rPr>
                <w:noProof/>
                <w:webHidden/>
              </w:rPr>
            </w:r>
            <w:r>
              <w:rPr>
                <w:noProof/>
                <w:webHidden/>
              </w:rPr>
              <w:fldChar w:fldCharType="separate"/>
            </w:r>
            <w:r>
              <w:rPr>
                <w:noProof/>
                <w:webHidden/>
              </w:rPr>
              <w:t>3</w:t>
            </w:r>
            <w:r>
              <w:rPr>
                <w:noProof/>
                <w:webHidden/>
              </w:rPr>
              <w:fldChar w:fldCharType="end"/>
            </w:r>
          </w:hyperlink>
        </w:p>
        <w:p w14:paraId="4301E62D" w14:textId="5F801AAA"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4" w:history="1">
            <w:r w:rsidRPr="0010094C">
              <w:rPr>
                <w:rStyle w:val="Hyperlink"/>
                <w:noProof/>
              </w:rPr>
              <w:t>1.4</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Version History</w:t>
            </w:r>
            <w:r>
              <w:rPr>
                <w:noProof/>
                <w:webHidden/>
              </w:rPr>
              <w:tab/>
            </w:r>
            <w:r>
              <w:rPr>
                <w:noProof/>
                <w:webHidden/>
              </w:rPr>
              <w:fldChar w:fldCharType="begin"/>
            </w:r>
            <w:r>
              <w:rPr>
                <w:noProof/>
                <w:webHidden/>
              </w:rPr>
              <w:instrText xml:space="preserve"> PAGEREF _Toc219887764 \h </w:instrText>
            </w:r>
            <w:r>
              <w:rPr>
                <w:noProof/>
                <w:webHidden/>
              </w:rPr>
            </w:r>
            <w:r>
              <w:rPr>
                <w:noProof/>
                <w:webHidden/>
              </w:rPr>
              <w:fldChar w:fldCharType="separate"/>
            </w:r>
            <w:r>
              <w:rPr>
                <w:noProof/>
                <w:webHidden/>
              </w:rPr>
              <w:t>5</w:t>
            </w:r>
            <w:r>
              <w:rPr>
                <w:noProof/>
                <w:webHidden/>
              </w:rPr>
              <w:fldChar w:fldCharType="end"/>
            </w:r>
          </w:hyperlink>
        </w:p>
        <w:p w14:paraId="3AE81794" w14:textId="1E5079F0" w:rsidR="0034212E" w:rsidRDefault="0034212E">
          <w:pPr>
            <w:pStyle w:val="TOC2"/>
            <w:tabs>
              <w:tab w:val="left" w:pos="66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65" w:history="1">
            <w:r w:rsidRPr="0010094C">
              <w:rPr>
                <w:rStyle w:val="Hyperlink"/>
                <w:noProof/>
              </w:rPr>
              <w:t>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Construction Emissions</w:t>
            </w:r>
            <w:r>
              <w:rPr>
                <w:noProof/>
                <w:webHidden/>
              </w:rPr>
              <w:tab/>
            </w:r>
            <w:r>
              <w:rPr>
                <w:noProof/>
                <w:webHidden/>
              </w:rPr>
              <w:fldChar w:fldCharType="begin"/>
            </w:r>
            <w:r>
              <w:rPr>
                <w:noProof/>
                <w:webHidden/>
              </w:rPr>
              <w:instrText xml:space="preserve"> PAGEREF _Toc219887765 \h </w:instrText>
            </w:r>
            <w:r>
              <w:rPr>
                <w:noProof/>
                <w:webHidden/>
              </w:rPr>
            </w:r>
            <w:r>
              <w:rPr>
                <w:noProof/>
                <w:webHidden/>
              </w:rPr>
              <w:fldChar w:fldCharType="separate"/>
            </w:r>
            <w:r>
              <w:rPr>
                <w:noProof/>
                <w:webHidden/>
              </w:rPr>
              <w:t>6</w:t>
            </w:r>
            <w:r>
              <w:rPr>
                <w:noProof/>
                <w:webHidden/>
              </w:rPr>
              <w:fldChar w:fldCharType="end"/>
            </w:r>
          </w:hyperlink>
        </w:p>
        <w:p w14:paraId="74DD4A53" w14:textId="3687E0E8"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6" w:history="1">
            <w:r w:rsidRPr="0010094C">
              <w:rPr>
                <w:rStyle w:val="Hyperlink"/>
                <w:noProof/>
              </w:rPr>
              <w:t>2.1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Material Inputs</w:t>
            </w:r>
            <w:r>
              <w:rPr>
                <w:noProof/>
                <w:webHidden/>
              </w:rPr>
              <w:tab/>
            </w:r>
            <w:r>
              <w:rPr>
                <w:noProof/>
                <w:webHidden/>
              </w:rPr>
              <w:fldChar w:fldCharType="begin"/>
            </w:r>
            <w:r>
              <w:rPr>
                <w:noProof/>
                <w:webHidden/>
              </w:rPr>
              <w:instrText xml:space="preserve"> PAGEREF _Toc219887766 \h </w:instrText>
            </w:r>
            <w:r>
              <w:rPr>
                <w:noProof/>
                <w:webHidden/>
              </w:rPr>
            </w:r>
            <w:r>
              <w:rPr>
                <w:noProof/>
                <w:webHidden/>
              </w:rPr>
              <w:fldChar w:fldCharType="separate"/>
            </w:r>
            <w:r>
              <w:rPr>
                <w:noProof/>
                <w:webHidden/>
              </w:rPr>
              <w:t>6</w:t>
            </w:r>
            <w:r>
              <w:rPr>
                <w:noProof/>
                <w:webHidden/>
              </w:rPr>
              <w:fldChar w:fldCharType="end"/>
            </w:r>
          </w:hyperlink>
        </w:p>
        <w:p w14:paraId="68794FE1" w14:textId="4EE3714B"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7" w:history="1">
            <w:r w:rsidRPr="0010094C">
              <w:rPr>
                <w:rStyle w:val="Hyperlink"/>
                <w:noProof/>
              </w:rPr>
              <w:t>2.2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Transportation of Material Inputs</w:t>
            </w:r>
            <w:r>
              <w:rPr>
                <w:noProof/>
                <w:webHidden/>
              </w:rPr>
              <w:tab/>
            </w:r>
            <w:r>
              <w:rPr>
                <w:noProof/>
                <w:webHidden/>
              </w:rPr>
              <w:fldChar w:fldCharType="begin"/>
            </w:r>
            <w:r>
              <w:rPr>
                <w:noProof/>
                <w:webHidden/>
              </w:rPr>
              <w:instrText xml:space="preserve"> PAGEREF _Toc219887767 \h </w:instrText>
            </w:r>
            <w:r>
              <w:rPr>
                <w:noProof/>
                <w:webHidden/>
              </w:rPr>
            </w:r>
            <w:r>
              <w:rPr>
                <w:noProof/>
                <w:webHidden/>
              </w:rPr>
              <w:fldChar w:fldCharType="separate"/>
            </w:r>
            <w:r>
              <w:rPr>
                <w:noProof/>
                <w:webHidden/>
              </w:rPr>
              <w:t>14</w:t>
            </w:r>
            <w:r>
              <w:rPr>
                <w:noProof/>
                <w:webHidden/>
              </w:rPr>
              <w:fldChar w:fldCharType="end"/>
            </w:r>
          </w:hyperlink>
        </w:p>
        <w:p w14:paraId="10FA6327" w14:textId="32129C75"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8" w:history="1">
            <w:r w:rsidRPr="0010094C">
              <w:rPr>
                <w:rStyle w:val="Hyperlink"/>
                <w:noProof/>
              </w:rPr>
              <w:t>2.3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Employee Commuting</w:t>
            </w:r>
            <w:r>
              <w:rPr>
                <w:noProof/>
                <w:webHidden/>
              </w:rPr>
              <w:tab/>
            </w:r>
            <w:r>
              <w:rPr>
                <w:noProof/>
                <w:webHidden/>
              </w:rPr>
              <w:fldChar w:fldCharType="begin"/>
            </w:r>
            <w:r>
              <w:rPr>
                <w:noProof/>
                <w:webHidden/>
              </w:rPr>
              <w:instrText xml:space="preserve"> PAGEREF _Toc219887768 \h </w:instrText>
            </w:r>
            <w:r>
              <w:rPr>
                <w:noProof/>
                <w:webHidden/>
              </w:rPr>
            </w:r>
            <w:r>
              <w:rPr>
                <w:noProof/>
                <w:webHidden/>
              </w:rPr>
              <w:fldChar w:fldCharType="separate"/>
            </w:r>
            <w:r>
              <w:rPr>
                <w:noProof/>
                <w:webHidden/>
              </w:rPr>
              <w:t>19</w:t>
            </w:r>
            <w:r>
              <w:rPr>
                <w:noProof/>
                <w:webHidden/>
              </w:rPr>
              <w:fldChar w:fldCharType="end"/>
            </w:r>
          </w:hyperlink>
        </w:p>
        <w:p w14:paraId="70BA7EAB" w14:textId="65DA8148"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69" w:history="1">
            <w:r w:rsidRPr="0010094C">
              <w:rPr>
                <w:rStyle w:val="Hyperlink"/>
                <w:noProof/>
              </w:rPr>
              <w:t>2.4</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Construction Equipment</w:t>
            </w:r>
            <w:r>
              <w:rPr>
                <w:noProof/>
                <w:webHidden/>
              </w:rPr>
              <w:tab/>
            </w:r>
            <w:r>
              <w:rPr>
                <w:noProof/>
                <w:webHidden/>
              </w:rPr>
              <w:fldChar w:fldCharType="begin"/>
            </w:r>
            <w:r>
              <w:rPr>
                <w:noProof/>
                <w:webHidden/>
              </w:rPr>
              <w:instrText xml:space="preserve"> PAGEREF _Toc219887769 \h </w:instrText>
            </w:r>
            <w:r>
              <w:rPr>
                <w:noProof/>
                <w:webHidden/>
              </w:rPr>
            </w:r>
            <w:r>
              <w:rPr>
                <w:noProof/>
                <w:webHidden/>
              </w:rPr>
              <w:fldChar w:fldCharType="separate"/>
            </w:r>
            <w:r>
              <w:rPr>
                <w:noProof/>
                <w:webHidden/>
              </w:rPr>
              <w:t>24</w:t>
            </w:r>
            <w:r>
              <w:rPr>
                <w:noProof/>
                <w:webHidden/>
              </w:rPr>
              <w:fldChar w:fldCharType="end"/>
            </w:r>
          </w:hyperlink>
        </w:p>
        <w:p w14:paraId="3D9A6C78" w14:textId="011A6208"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0" w:history="1">
            <w:r w:rsidRPr="0010094C">
              <w:rPr>
                <w:rStyle w:val="Hyperlink"/>
                <w:noProof/>
              </w:rPr>
              <w:t>2.5</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Land Use Change</w:t>
            </w:r>
            <w:r>
              <w:rPr>
                <w:noProof/>
                <w:webHidden/>
              </w:rPr>
              <w:tab/>
            </w:r>
            <w:r>
              <w:rPr>
                <w:noProof/>
                <w:webHidden/>
              </w:rPr>
              <w:fldChar w:fldCharType="begin"/>
            </w:r>
            <w:r>
              <w:rPr>
                <w:noProof/>
                <w:webHidden/>
              </w:rPr>
              <w:instrText xml:space="preserve"> PAGEREF _Toc219887770 \h </w:instrText>
            </w:r>
            <w:r>
              <w:rPr>
                <w:noProof/>
                <w:webHidden/>
              </w:rPr>
            </w:r>
            <w:r>
              <w:rPr>
                <w:noProof/>
                <w:webHidden/>
              </w:rPr>
              <w:fldChar w:fldCharType="separate"/>
            </w:r>
            <w:r>
              <w:rPr>
                <w:noProof/>
                <w:webHidden/>
              </w:rPr>
              <w:t>32</w:t>
            </w:r>
            <w:r>
              <w:rPr>
                <w:noProof/>
                <w:webHidden/>
              </w:rPr>
              <w:fldChar w:fldCharType="end"/>
            </w:r>
          </w:hyperlink>
        </w:p>
        <w:p w14:paraId="6840054B" w14:textId="7676B499"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1" w:history="1">
            <w:r w:rsidRPr="0010094C">
              <w:rPr>
                <w:rStyle w:val="Hyperlink"/>
                <w:noProof/>
              </w:rPr>
              <w:t>2.6</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Construction Waste</w:t>
            </w:r>
            <w:r>
              <w:rPr>
                <w:noProof/>
                <w:webHidden/>
              </w:rPr>
              <w:tab/>
            </w:r>
            <w:r>
              <w:rPr>
                <w:noProof/>
                <w:webHidden/>
              </w:rPr>
              <w:fldChar w:fldCharType="begin"/>
            </w:r>
            <w:r>
              <w:rPr>
                <w:noProof/>
                <w:webHidden/>
              </w:rPr>
              <w:instrText xml:space="preserve"> PAGEREF _Toc219887771 \h </w:instrText>
            </w:r>
            <w:r>
              <w:rPr>
                <w:noProof/>
                <w:webHidden/>
              </w:rPr>
            </w:r>
            <w:r>
              <w:rPr>
                <w:noProof/>
                <w:webHidden/>
              </w:rPr>
              <w:fldChar w:fldCharType="separate"/>
            </w:r>
            <w:r>
              <w:rPr>
                <w:noProof/>
                <w:webHidden/>
              </w:rPr>
              <w:t>41</w:t>
            </w:r>
            <w:r>
              <w:rPr>
                <w:noProof/>
                <w:webHidden/>
              </w:rPr>
              <w:fldChar w:fldCharType="end"/>
            </w:r>
          </w:hyperlink>
        </w:p>
        <w:p w14:paraId="7B17F5F2" w14:textId="3D1EAD8B" w:rsidR="0034212E" w:rsidRDefault="0034212E">
          <w:pPr>
            <w:pStyle w:val="TOC2"/>
            <w:tabs>
              <w:tab w:val="left" w:pos="66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72" w:history="1">
            <w:r w:rsidRPr="0010094C">
              <w:rPr>
                <w:rStyle w:val="Hyperlink"/>
                <w:noProof/>
              </w:rPr>
              <w:t>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Operational Emissions</w:t>
            </w:r>
            <w:r>
              <w:rPr>
                <w:noProof/>
                <w:webHidden/>
              </w:rPr>
              <w:tab/>
            </w:r>
            <w:r>
              <w:rPr>
                <w:noProof/>
                <w:webHidden/>
              </w:rPr>
              <w:fldChar w:fldCharType="begin"/>
            </w:r>
            <w:r>
              <w:rPr>
                <w:noProof/>
                <w:webHidden/>
              </w:rPr>
              <w:instrText xml:space="preserve"> PAGEREF _Toc219887772 \h </w:instrText>
            </w:r>
            <w:r>
              <w:rPr>
                <w:noProof/>
                <w:webHidden/>
              </w:rPr>
            </w:r>
            <w:r>
              <w:rPr>
                <w:noProof/>
                <w:webHidden/>
              </w:rPr>
              <w:fldChar w:fldCharType="separate"/>
            </w:r>
            <w:r>
              <w:rPr>
                <w:noProof/>
                <w:webHidden/>
              </w:rPr>
              <w:t>45</w:t>
            </w:r>
            <w:r>
              <w:rPr>
                <w:noProof/>
                <w:webHidden/>
              </w:rPr>
              <w:fldChar w:fldCharType="end"/>
            </w:r>
          </w:hyperlink>
        </w:p>
        <w:p w14:paraId="61432DBD" w14:textId="2D8E0DAE"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3" w:history="1">
            <w:r w:rsidRPr="0010094C">
              <w:rPr>
                <w:rStyle w:val="Hyperlink"/>
                <w:noProof/>
              </w:rPr>
              <w:t>3.1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Building Energy Consumption</w:t>
            </w:r>
            <w:r>
              <w:rPr>
                <w:noProof/>
                <w:webHidden/>
              </w:rPr>
              <w:tab/>
            </w:r>
            <w:r>
              <w:rPr>
                <w:noProof/>
                <w:webHidden/>
              </w:rPr>
              <w:fldChar w:fldCharType="begin"/>
            </w:r>
            <w:r>
              <w:rPr>
                <w:noProof/>
                <w:webHidden/>
              </w:rPr>
              <w:instrText xml:space="preserve"> PAGEREF _Toc219887773 \h </w:instrText>
            </w:r>
            <w:r>
              <w:rPr>
                <w:noProof/>
                <w:webHidden/>
              </w:rPr>
            </w:r>
            <w:r>
              <w:rPr>
                <w:noProof/>
                <w:webHidden/>
              </w:rPr>
              <w:fldChar w:fldCharType="separate"/>
            </w:r>
            <w:r>
              <w:rPr>
                <w:noProof/>
                <w:webHidden/>
              </w:rPr>
              <w:t>45</w:t>
            </w:r>
            <w:r>
              <w:rPr>
                <w:noProof/>
                <w:webHidden/>
              </w:rPr>
              <w:fldChar w:fldCharType="end"/>
            </w:r>
          </w:hyperlink>
        </w:p>
        <w:p w14:paraId="693E89FE" w14:textId="15993CDF"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4" w:history="1">
            <w:r w:rsidRPr="0010094C">
              <w:rPr>
                <w:rStyle w:val="Hyperlink"/>
                <w:noProof/>
              </w:rPr>
              <w:t>3.2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Coal Production</w:t>
            </w:r>
            <w:r>
              <w:rPr>
                <w:noProof/>
                <w:webHidden/>
              </w:rPr>
              <w:tab/>
            </w:r>
            <w:r>
              <w:rPr>
                <w:noProof/>
                <w:webHidden/>
              </w:rPr>
              <w:fldChar w:fldCharType="begin"/>
            </w:r>
            <w:r>
              <w:rPr>
                <w:noProof/>
                <w:webHidden/>
              </w:rPr>
              <w:instrText xml:space="preserve"> PAGEREF _Toc219887774 \h </w:instrText>
            </w:r>
            <w:r>
              <w:rPr>
                <w:noProof/>
                <w:webHidden/>
              </w:rPr>
            </w:r>
            <w:r>
              <w:rPr>
                <w:noProof/>
                <w:webHidden/>
              </w:rPr>
              <w:fldChar w:fldCharType="separate"/>
            </w:r>
            <w:r>
              <w:rPr>
                <w:noProof/>
                <w:webHidden/>
              </w:rPr>
              <w:t>51</w:t>
            </w:r>
            <w:r>
              <w:rPr>
                <w:noProof/>
                <w:webHidden/>
              </w:rPr>
              <w:fldChar w:fldCharType="end"/>
            </w:r>
          </w:hyperlink>
        </w:p>
        <w:p w14:paraId="1F40C96A" w14:textId="31E7416E"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5" w:history="1">
            <w:r w:rsidRPr="0010094C">
              <w:rPr>
                <w:rStyle w:val="Hyperlink"/>
                <w:noProof/>
              </w:rPr>
              <w:t>3.3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Natural Gas and Oil Products</w:t>
            </w:r>
            <w:r>
              <w:rPr>
                <w:noProof/>
                <w:webHidden/>
              </w:rPr>
              <w:tab/>
            </w:r>
            <w:r>
              <w:rPr>
                <w:noProof/>
                <w:webHidden/>
              </w:rPr>
              <w:fldChar w:fldCharType="begin"/>
            </w:r>
            <w:r>
              <w:rPr>
                <w:noProof/>
                <w:webHidden/>
              </w:rPr>
              <w:instrText xml:space="preserve"> PAGEREF _Toc219887775 \h </w:instrText>
            </w:r>
            <w:r>
              <w:rPr>
                <w:noProof/>
                <w:webHidden/>
              </w:rPr>
            </w:r>
            <w:r>
              <w:rPr>
                <w:noProof/>
                <w:webHidden/>
              </w:rPr>
              <w:fldChar w:fldCharType="separate"/>
            </w:r>
            <w:r>
              <w:rPr>
                <w:noProof/>
                <w:webHidden/>
              </w:rPr>
              <w:t>52</w:t>
            </w:r>
            <w:r>
              <w:rPr>
                <w:noProof/>
                <w:webHidden/>
              </w:rPr>
              <w:fldChar w:fldCharType="end"/>
            </w:r>
          </w:hyperlink>
        </w:p>
        <w:p w14:paraId="137BAFD1" w14:textId="38650F9E"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6" w:history="1">
            <w:r w:rsidRPr="0010094C">
              <w:rPr>
                <w:rStyle w:val="Hyperlink"/>
                <w:noProof/>
              </w:rPr>
              <w:t>3.4</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Industrial Processes</w:t>
            </w:r>
            <w:r>
              <w:rPr>
                <w:noProof/>
                <w:webHidden/>
              </w:rPr>
              <w:tab/>
            </w:r>
            <w:r>
              <w:rPr>
                <w:noProof/>
                <w:webHidden/>
              </w:rPr>
              <w:fldChar w:fldCharType="begin"/>
            </w:r>
            <w:r>
              <w:rPr>
                <w:noProof/>
                <w:webHidden/>
              </w:rPr>
              <w:instrText xml:space="preserve"> PAGEREF _Toc219887776 \h </w:instrText>
            </w:r>
            <w:r>
              <w:rPr>
                <w:noProof/>
                <w:webHidden/>
              </w:rPr>
            </w:r>
            <w:r>
              <w:rPr>
                <w:noProof/>
                <w:webHidden/>
              </w:rPr>
              <w:fldChar w:fldCharType="separate"/>
            </w:r>
            <w:r>
              <w:rPr>
                <w:noProof/>
                <w:webHidden/>
              </w:rPr>
              <w:t>58</w:t>
            </w:r>
            <w:r>
              <w:rPr>
                <w:noProof/>
                <w:webHidden/>
              </w:rPr>
              <w:fldChar w:fldCharType="end"/>
            </w:r>
          </w:hyperlink>
        </w:p>
        <w:p w14:paraId="0B14A345" w14:textId="792118B3"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7" w:history="1">
            <w:r w:rsidRPr="0010094C">
              <w:rPr>
                <w:rStyle w:val="Hyperlink"/>
                <w:noProof/>
              </w:rPr>
              <w:t>3.5</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HFC Leakage</w:t>
            </w:r>
            <w:r>
              <w:rPr>
                <w:noProof/>
                <w:webHidden/>
              </w:rPr>
              <w:tab/>
            </w:r>
            <w:r>
              <w:rPr>
                <w:noProof/>
                <w:webHidden/>
              </w:rPr>
              <w:fldChar w:fldCharType="begin"/>
            </w:r>
            <w:r>
              <w:rPr>
                <w:noProof/>
                <w:webHidden/>
              </w:rPr>
              <w:instrText xml:space="preserve"> PAGEREF _Toc219887777 \h </w:instrText>
            </w:r>
            <w:r>
              <w:rPr>
                <w:noProof/>
                <w:webHidden/>
              </w:rPr>
            </w:r>
            <w:r>
              <w:rPr>
                <w:noProof/>
                <w:webHidden/>
              </w:rPr>
              <w:fldChar w:fldCharType="separate"/>
            </w:r>
            <w:r>
              <w:rPr>
                <w:noProof/>
                <w:webHidden/>
              </w:rPr>
              <w:t>61</w:t>
            </w:r>
            <w:r>
              <w:rPr>
                <w:noProof/>
                <w:webHidden/>
              </w:rPr>
              <w:fldChar w:fldCharType="end"/>
            </w:r>
          </w:hyperlink>
        </w:p>
        <w:p w14:paraId="31C84657" w14:textId="503D6EAA"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8" w:history="1">
            <w:r w:rsidRPr="0010094C">
              <w:rPr>
                <w:rStyle w:val="Hyperlink"/>
                <w:noProof/>
              </w:rPr>
              <w:t>3.6</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Land Use Change</w:t>
            </w:r>
            <w:r>
              <w:rPr>
                <w:noProof/>
                <w:webHidden/>
              </w:rPr>
              <w:tab/>
            </w:r>
            <w:r>
              <w:rPr>
                <w:noProof/>
                <w:webHidden/>
              </w:rPr>
              <w:fldChar w:fldCharType="begin"/>
            </w:r>
            <w:r>
              <w:rPr>
                <w:noProof/>
                <w:webHidden/>
              </w:rPr>
              <w:instrText xml:space="preserve"> PAGEREF _Toc219887778 \h </w:instrText>
            </w:r>
            <w:r>
              <w:rPr>
                <w:noProof/>
                <w:webHidden/>
              </w:rPr>
            </w:r>
            <w:r>
              <w:rPr>
                <w:noProof/>
                <w:webHidden/>
              </w:rPr>
              <w:fldChar w:fldCharType="separate"/>
            </w:r>
            <w:r>
              <w:rPr>
                <w:noProof/>
                <w:webHidden/>
              </w:rPr>
              <w:t>65</w:t>
            </w:r>
            <w:r>
              <w:rPr>
                <w:noProof/>
                <w:webHidden/>
              </w:rPr>
              <w:fldChar w:fldCharType="end"/>
            </w:r>
          </w:hyperlink>
        </w:p>
        <w:p w14:paraId="6B3F3AE4" w14:textId="164BD351"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79" w:history="1">
            <w:r w:rsidRPr="0010094C">
              <w:rPr>
                <w:rStyle w:val="Hyperlink"/>
                <w:noProof/>
              </w:rPr>
              <w:t>3.7</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On-Road Vehicles</w:t>
            </w:r>
            <w:r>
              <w:rPr>
                <w:noProof/>
                <w:webHidden/>
              </w:rPr>
              <w:tab/>
            </w:r>
            <w:r>
              <w:rPr>
                <w:noProof/>
                <w:webHidden/>
              </w:rPr>
              <w:fldChar w:fldCharType="begin"/>
            </w:r>
            <w:r>
              <w:rPr>
                <w:noProof/>
                <w:webHidden/>
              </w:rPr>
              <w:instrText xml:space="preserve"> PAGEREF _Toc219887779 \h </w:instrText>
            </w:r>
            <w:r>
              <w:rPr>
                <w:noProof/>
                <w:webHidden/>
              </w:rPr>
            </w:r>
            <w:r>
              <w:rPr>
                <w:noProof/>
                <w:webHidden/>
              </w:rPr>
              <w:fldChar w:fldCharType="separate"/>
            </w:r>
            <w:r>
              <w:rPr>
                <w:noProof/>
                <w:webHidden/>
              </w:rPr>
              <w:t>67</w:t>
            </w:r>
            <w:r>
              <w:rPr>
                <w:noProof/>
                <w:webHidden/>
              </w:rPr>
              <w:fldChar w:fldCharType="end"/>
            </w:r>
          </w:hyperlink>
        </w:p>
        <w:p w14:paraId="73C31B03" w14:textId="0BCD3E28"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0" w:history="1">
            <w:r w:rsidRPr="0010094C">
              <w:rPr>
                <w:rStyle w:val="Hyperlink"/>
                <w:noProof/>
              </w:rPr>
              <w:t>3.8</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Treatment of Waste On-Site</w:t>
            </w:r>
            <w:r>
              <w:rPr>
                <w:noProof/>
                <w:webHidden/>
              </w:rPr>
              <w:tab/>
            </w:r>
            <w:r>
              <w:rPr>
                <w:noProof/>
                <w:webHidden/>
              </w:rPr>
              <w:fldChar w:fldCharType="begin"/>
            </w:r>
            <w:r>
              <w:rPr>
                <w:noProof/>
                <w:webHidden/>
              </w:rPr>
              <w:instrText xml:space="preserve"> PAGEREF _Toc219887780 \h </w:instrText>
            </w:r>
            <w:r>
              <w:rPr>
                <w:noProof/>
                <w:webHidden/>
              </w:rPr>
            </w:r>
            <w:r>
              <w:rPr>
                <w:noProof/>
                <w:webHidden/>
              </w:rPr>
              <w:fldChar w:fldCharType="separate"/>
            </w:r>
            <w:r>
              <w:rPr>
                <w:noProof/>
                <w:webHidden/>
              </w:rPr>
              <w:t>68</w:t>
            </w:r>
            <w:r>
              <w:rPr>
                <w:noProof/>
                <w:webHidden/>
              </w:rPr>
              <w:fldChar w:fldCharType="end"/>
            </w:r>
          </w:hyperlink>
        </w:p>
        <w:p w14:paraId="1EF0285F" w14:textId="41F09044"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1" w:history="1">
            <w:r w:rsidRPr="0010094C">
              <w:rPr>
                <w:rStyle w:val="Hyperlink"/>
                <w:noProof/>
              </w:rPr>
              <w:t>3.9</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Treatment of Wastewater On-Site</w:t>
            </w:r>
            <w:r>
              <w:rPr>
                <w:noProof/>
                <w:webHidden/>
              </w:rPr>
              <w:tab/>
            </w:r>
            <w:r>
              <w:rPr>
                <w:noProof/>
                <w:webHidden/>
              </w:rPr>
              <w:fldChar w:fldCharType="begin"/>
            </w:r>
            <w:r>
              <w:rPr>
                <w:noProof/>
                <w:webHidden/>
              </w:rPr>
              <w:instrText xml:space="preserve"> PAGEREF _Toc219887781 \h </w:instrText>
            </w:r>
            <w:r>
              <w:rPr>
                <w:noProof/>
                <w:webHidden/>
              </w:rPr>
            </w:r>
            <w:r>
              <w:rPr>
                <w:noProof/>
                <w:webHidden/>
              </w:rPr>
              <w:fldChar w:fldCharType="separate"/>
            </w:r>
            <w:r>
              <w:rPr>
                <w:noProof/>
                <w:webHidden/>
              </w:rPr>
              <w:t>70</w:t>
            </w:r>
            <w:r>
              <w:rPr>
                <w:noProof/>
                <w:webHidden/>
              </w:rPr>
              <w:fldChar w:fldCharType="end"/>
            </w:r>
          </w:hyperlink>
        </w:p>
        <w:p w14:paraId="7E4975BC" w14:textId="2B253B16"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2" w:history="1">
            <w:r w:rsidRPr="0010094C">
              <w:rPr>
                <w:rStyle w:val="Hyperlink"/>
                <w:noProof/>
              </w:rPr>
              <w:t>3.10</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Treatment of Waste Off-Site</w:t>
            </w:r>
            <w:r>
              <w:rPr>
                <w:noProof/>
                <w:webHidden/>
              </w:rPr>
              <w:tab/>
            </w:r>
            <w:r>
              <w:rPr>
                <w:noProof/>
                <w:webHidden/>
              </w:rPr>
              <w:fldChar w:fldCharType="begin"/>
            </w:r>
            <w:r>
              <w:rPr>
                <w:noProof/>
                <w:webHidden/>
              </w:rPr>
              <w:instrText xml:space="preserve"> PAGEREF _Toc219887782 \h </w:instrText>
            </w:r>
            <w:r>
              <w:rPr>
                <w:noProof/>
                <w:webHidden/>
              </w:rPr>
            </w:r>
            <w:r>
              <w:rPr>
                <w:noProof/>
                <w:webHidden/>
              </w:rPr>
              <w:fldChar w:fldCharType="separate"/>
            </w:r>
            <w:r>
              <w:rPr>
                <w:noProof/>
                <w:webHidden/>
              </w:rPr>
              <w:t>74</w:t>
            </w:r>
            <w:r>
              <w:rPr>
                <w:noProof/>
                <w:webHidden/>
              </w:rPr>
              <w:fldChar w:fldCharType="end"/>
            </w:r>
          </w:hyperlink>
        </w:p>
        <w:p w14:paraId="6336BA76" w14:textId="37470192"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3" w:history="1">
            <w:r w:rsidRPr="0010094C">
              <w:rPr>
                <w:rStyle w:val="Hyperlink"/>
                <w:noProof/>
              </w:rPr>
              <w:t>3.11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Enteric Fermentation</w:t>
            </w:r>
            <w:r>
              <w:rPr>
                <w:noProof/>
                <w:webHidden/>
              </w:rPr>
              <w:tab/>
            </w:r>
            <w:r>
              <w:rPr>
                <w:noProof/>
                <w:webHidden/>
              </w:rPr>
              <w:fldChar w:fldCharType="begin"/>
            </w:r>
            <w:r>
              <w:rPr>
                <w:noProof/>
                <w:webHidden/>
              </w:rPr>
              <w:instrText xml:space="preserve"> PAGEREF _Toc219887783 \h </w:instrText>
            </w:r>
            <w:r>
              <w:rPr>
                <w:noProof/>
                <w:webHidden/>
              </w:rPr>
            </w:r>
            <w:r>
              <w:rPr>
                <w:noProof/>
                <w:webHidden/>
              </w:rPr>
              <w:fldChar w:fldCharType="separate"/>
            </w:r>
            <w:r>
              <w:rPr>
                <w:noProof/>
                <w:webHidden/>
              </w:rPr>
              <w:t>80</w:t>
            </w:r>
            <w:r>
              <w:rPr>
                <w:noProof/>
                <w:webHidden/>
              </w:rPr>
              <w:fldChar w:fldCharType="end"/>
            </w:r>
          </w:hyperlink>
        </w:p>
        <w:p w14:paraId="459C22CC" w14:textId="2C8C4AF3"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4" w:history="1">
            <w:r w:rsidRPr="0010094C">
              <w:rPr>
                <w:rStyle w:val="Hyperlink"/>
                <w:noProof/>
              </w:rPr>
              <w:t>3.12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Manure Management</w:t>
            </w:r>
            <w:r>
              <w:rPr>
                <w:noProof/>
                <w:webHidden/>
              </w:rPr>
              <w:tab/>
            </w:r>
            <w:r>
              <w:rPr>
                <w:noProof/>
                <w:webHidden/>
              </w:rPr>
              <w:fldChar w:fldCharType="begin"/>
            </w:r>
            <w:r>
              <w:rPr>
                <w:noProof/>
                <w:webHidden/>
              </w:rPr>
              <w:instrText xml:space="preserve"> PAGEREF _Toc219887784 \h </w:instrText>
            </w:r>
            <w:r>
              <w:rPr>
                <w:noProof/>
                <w:webHidden/>
              </w:rPr>
            </w:r>
            <w:r>
              <w:rPr>
                <w:noProof/>
                <w:webHidden/>
              </w:rPr>
              <w:fldChar w:fldCharType="separate"/>
            </w:r>
            <w:r>
              <w:rPr>
                <w:noProof/>
                <w:webHidden/>
              </w:rPr>
              <w:t>82</w:t>
            </w:r>
            <w:r>
              <w:rPr>
                <w:noProof/>
                <w:webHidden/>
              </w:rPr>
              <w:fldChar w:fldCharType="end"/>
            </w:r>
          </w:hyperlink>
        </w:p>
        <w:p w14:paraId="11EFD576" w14:textId="0ED71E93" w:rsidR="0034212E" w:rsidRDefault="0034212E">
          <w:pPr>
            <w:pStyle w:val="TOC2"/>
            <w:tabs>
              <w:tab w:val="left" w:pos="66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85" w:history="1">
            <w:r w:rsidRPr="0010094C">
              <w:rPr>
                <w:rStyle w:val="Hyperlink"/>
                <w:noProof/>
              </w:rPr>
              <w:t>4</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Mitigation and Adaptation</w:t>
            </w:r>
            <w:r>
              <w:rPr>
                <w:noProof/>
                <w:webHidden/>
              </w:rPr>
              <w:tab/>
            </w:r>
            <w:r>
              <w:rPr>
                <w:noProof/>
                <w:webHidden/>
              </w:rPr>
              <w:fldChar w:fldCharType="begin"/>
            </w:r>
            <w:r>
              <w:rPr>
                <w:noProof/>
                <w:webHidden/>
              </w:rPr>
              <w:instrText xml:space="preserve"> PAGEREF _Toc219887785 \h </w:instrText>
            </w:r>
            <w:r>
              <w:rPr>
                <w:noProof/>
                <w:webHidden/>
              </w:rPr>
            </w:r>
            <w:r>
              <w:rPr>
                <w:noProof/>
                <w:webHidden/>
              </w:rPr>
              <w:fldChar w:fldCharType="separate"/>
            </w:r>
            <w:r>
              <w:rPr>
                <w:noProof/>
                <w:webHidden/>
              </w:rPr>
              <w:t>94</w:t>
            </w:r>
            <w:r>
              <w:rPr>
                <w:noProof/>
                <w:webHidden/>
              </w:rPr>
              <w:fldChar w:fldCharType="end"/>
            </w:r>
          </w:hyperlink>
        </w:p>
        <w:p w14:paraId="38DCD22E" w14:textId="78636A2F"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6" w:history="1">
            <w:r w:rsidRPr="0010094C">
              <w:rPr>
                <w:rStyle w:val="Hyperlink"/>
                <w:noProof/>
              </w:rPr>
              <w:t>4.1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Mitigation Measures</w:t>
            </w:r>
            <w:r>
              <w:rPr>
                <w:noProof/>
                <w:webHidden/>
              </w:rPr>
              <w:tab/>
            </w:r>
            <w:r>
              <w:rPr>
                <w:noProof/>
                <w:webHidden/>
              </w:rPr>
              <w:fldChar w:fldCharType="begin"/>
            </w:r>
            <w:r>
              <w:rPr>
                <w:noProof/>
                <w:webHidden/>
              </w:rPr>
              <w:instrText xml:space="preserve"> PAGEREF _Toc219887786 \h </w:instrText>
            </w:r>
            <w:r>
              <w:rPr>
                <w:noProof/>
                <w:webHidden/>
              </w:rPr>
            </w:r>
            <w:r>
              <w:rPr>
                <w:noProof/>
                <w:webHidden/>
              </w:rPr>
              <w:fldChar w:fldCharType="separate"/>
            </w:r>
            <w:r>
              <w:rPr>
                <w:noProof/>
                <w:webHidden/>
              </w:rPr>
              <w:t>94</w:t>
            </w:r>
            <w:r>
              <w:rPr>
                <w:noProof/>
                <w:webHidden/>
              </w:rPr>
              <w:fldChar w:fldCharType="end"/>
            </w:r>
          </w:hyperlink>
        </w:p>
        <w:p w14:paraId="0A77FF0A" w14:textId="6A3546DA"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7" w:history="1">
            <w:r w:rsidRPr="0010094C">
              <w:rPr>
                <w:rStyle w:val="Hyperlink"/>
                <w:noProof/>
              </w:rPr>
              <w:t>4.2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Quantified Reductions</w:t>
            </w:r>
            <w:r>
              <w:rPr>
                <w:noProof/>
                <w:webHidden/>
              </w:rPr>
              <w:tab/>
            </w:r>
            <w:r>
              <w:rPr>
                <w:noProof/>
                <w:webHidden/>
              </w:rPr>
              <w:fldChar w:fldCharType="begin"/>
            </w:r>
            <w:r>
              <w:rPr>
                <w:noProof/>
                <w:webHidden/>
              </w:rPr>
              <w:instrText xml:space="preserve"> PAGEREF _Toc219887787 \h </w:instrText>
            </w:r>
            <w:r>
              <w:rPr>
                <w:noProof/>
                <w:webHidden/>
              </w:rPr>
            </w:r>
            <w:r>
              <w:rPr>
                <w:noProof/>
                <w:webHidden/>
              </w:rPr>
              <w:fldChar w:fldCharType="separate"/>
            </w:r>
            <w:r>
              <w:rPr>
                <w:noProof/>
                <w:webHidden/>
              </w:rPr>
              <w:t>96</w:t>
            </w:r>
            <w:r>
              <w:rPr>
                <w:noProof/>
                <w:webHidden/>
              </w:rPr>
              <w:fldChar w:fldCharType="end"/>
            </w:r>
          </w:hyperlink>
        </w:p>
        <w:p w14:paraId="387FCB52" w14:textId="30F0F9C2"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88" w:history="1">
            <w:r w:rsidRPr="0010094C">
              <w:rPr>
                <w:rStyle w:val="Hyperlink"/>
                <w:noProof/>
              </w:rPr>
              <w:t>4.3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Adaptation Strategies</w:t>
            </w:r>
            <w:r>
              <w:rPr>
                <w:noProof/>
                <w:webHidden/>
              </w:rPr>
              <w:tab/>
            </w:r>
            <w:r>
              <w:rPr>
                <w:noProof/>
                <w:webHidden/>
              </w:rPr>
              <w:fldChar w:fldCharType="begin"/>
            </w:r>
            <w:r>
              <w:rPr>
                <w:noProof/>
                <w:webHidden/>
              </w:rPr>
              <w:instrText xml:space="preserve"> PAGEREF _Toc219887788 \h </w:instrText>
            </w:r>
            <w:r>
              <w:rPr>
                <w:noProof/>
                <w:webHidden/>
              </w:rPr>
            </w:r>
            <w:r>
              <w:rPr>
                <w:noProof/>
                <w:webHidden/>
              </w:rPr>
              <w:fldChar w:fldCharType="separate"/>
            </w:r>
            <w:r>
              <w:rPr>
                <w:noProof/>
                <w:webHidden/>
              </w:rPr>
              <w:t>98</w:t>
            </w:r>
            <w:r>
              <w:rPr>
                <w:noProof/>
                <w:webHidden/>
              </w:rPr>
              <w:fldChar w:fldCharType="end"/>
            </w:r>
          </w:hyperlink>
        </w:p>
        <w:p w14:paraId="19A7D478" w14:textId="4DD198B1" w:rsidR="0034212E" w:rsidRDefault="0034212E">
          <w:pPr>
            <w:pStyle w:val="TOC2"/>
            <w:tabs>
              <w:tab w:val="left" w:pos="66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89" w:history="1">
            <w:r w:rsidRPr="0010094C">
              <w:rPr>
                <w:rStyle w:val="Hyperlink"/>
                <w:noProof/>
              </w:rPr>
              <w:t>5</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Limitations and Future Improvements</w:t>
            </w:r>
            <w:r>
              <w:rPr>
                <w:noProof/>
                <w:webHidden/>
              </w:rPr>
              <w:tab/>
            </w:r>
            <w:r>
              <w:rPr>
                <w:noProof/>
                <w:webHidden/>
              </w:rPr>
              <w:fldChar w:fldCharType="begin"/>
            </w:r>
            <w:r>
              <w:rPr>
                <w:noProof/>
                <w:webHidden/>
              </w:rPr>
              <w:instrText xml:space="preserve"> PAGEREF _Toc219887789 \h </w:instrText>
            </w:r>
            <w:r>
              <w:rPr>
                <w:noProof/>
                <w:webHidden/>
              </w:rPr>
            </w:r>
            <w:r>
              <w:rPr>
                <w:noProof/>
                <w:webHidden/>
              </w:rPr>
              <w:fldChar w:fldCharType="separate"/>
            </w:r>
            <w:r>
              <w:rPr>
                <w:noProof/>
                <w:webHidden/>
              </w:rPr>
              <w:t>102</w:t>
            </w:r>
            <w:r>
              <w:rPr>
                <w:noProof/>
                <w:webHidden/>
              </w:rPr>
              <w:fldChar w:fldCharType="end"/>
            </w:r>
          </w:hyperlink>
        </w:p>
        <w:p w14:paraId="568EC49A" w14:textId="12176FD8"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0" w:history="1">
            <w:r w:rsidRPr="0010094C">
              <w:rPr>
                <w:rStyle w:val="Hyperlink"/>
                <w:noProof/>
              </w:rPr>
              <w:t>5.1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Limitations</w:t>
            </w:r>
            <w:r>
              <w:rPr>
                <w:noProof/>
                <w:webHidden/>
              </w:rPr>
              <w:tab/>
            </w:r>
            <w:r>
              <w:rPr>
                <w:noProof/>
                <w:webHidden/>
              </w:rPr>
              <w:fldChar w:fldCharType="begin"/>
            </w:r>
            <w:r>
              <w:rPr>
                <w:noProof/>
                <w:webHidden/>
              </w:rPr>
              <w:instrText xml:space="preserve"> PAGEREF _Toc219887790 \h </w:instrText>
            </w:r>
            <w:r>
              <w:rPr>
                <w:noProof/>
                <w:webHidden/>
              </w:rPr>
            </w:r>
            <w:r>
              <w:rPr>
                <w:noProof/>
                <w:webHidden/>
              </w:rPr>
              <w:fldChar w:fldCharType="separate"/>
            </w:r>
            <w:r>
              <w:rPr>
                <w:noProof/>
                <w:webHidden/>
              </w:rPr>
              <w:t>102</w:t>
            </w:r>
            <w:r>
              <w:rPr>
                <w:noProof/>
                <w:webHidden/>
              </w:rPr>
              <w:fldChar w:fldCharType="end"/>
            </w:r>
          </w:hyperlink>
        </w:p>
        <w:p w14:paraId="3E192CF3" w14:textId="7F4114A2"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1" w:history="1">
            <w:r w:rsidRPr="0010094C">
              <w:rPr>
                <w:rStyle w:val="Hyperlink"/>
                <w:noProof/>
              </w:rPr>
              <w:t>5.2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Future Improvements</w:t>
            </w:r>
            <w:r>
              <w:rPr>
                <w:noProof/>
                <w:webHidden/>
              </w:rPr>
              <w:tab/>
            </w:r>
            <w:r>
              <w:rPr>
                <w:noProof/>
                <w:webHidden/>
              </w:rPr>
              <w:fldChar w:fldCharType="begin"/>
            </w:r>
            <w:r>
              <w:rPr>
                <w:noProof/>
                <w:webHidden/>
              </w:rPr>
              <w:instrText xml:space="preserve"> PAGEREF _Toc219887791 \h </w:instrText>
            </w:r>
            <w:r>
              <w:rPr>
                <w:noProof/>
                <w:webHidden/>
              </w:rPr>
            </w:r>
            <w:r>
              <w:rPr>
                <w:noProof/>
                <w:webHidden/>
              </w:rPr>
              <w:fldChar w:fldCharType="separate"/>
            </w:r>
            <w:r>
              <w:rPr>
                <w:noProof/>
                <w:webHidden/>
              </w:rPr>
              <w:t>103</w:t>
            </w:r>
            <w:r>
              <w:rPr>
                <w:noProof/>
                <w:webHidden/>
              </w:rPr>
              <w:fldChar w:fldCharType="end"/>
            </w:r>
          </w:hyperlink>
        </w:p>
        <w:p w14:paraId="66DE3A6B" w14:textId="5F9F0540" w:rsidR="0034212E" w:rsidRDefault="0034212E">
          <w:pPr>
            <w:pStyle w:val="TOC2"/>
            <w:tabs>
              <w:tab w:val="left" w:pos="154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92" w:history="1">
            <w:r w:rsidRPr="0010094C">
              <w:rPr>
                <w:rStyle w:val="Hyperlink"/>
                <w:noProof/>
              </w:rPr>
              <w:t>Appendix A.</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Data Sources</w:t>
            </w:r>
            <w:r>
              <w:rPr>
                <w:noProof/>
                <w:webHidden/>
              </w:rPr>
              <w:tab/>
            </w:r>
            <w:r>
              <w:rPr>
                <w:noProof/>
                <w:webHidden/>
              </w:rPr>
              <w:fldChar w:fldCharType="begin"/>
            </w:r>
            <w:r>
              <w:rPr>
                <w:noProof/>
                <w:webHidden/>
              </w:rPr>
              <w:instrText xml:space="preserve"> PAGEREF _Toc219887792 \h </w:instrText>
            </w:r>
            <w:r>
              <w:rPr>
                <w:noProof/>
                <w:webHidden/>
              </w:rPr>
            </w:r>
            <w:r>
              <w:rPr>
                <w:noProof/>
                <w:webHidden/>
              </w:rPr>
              <w:fldChar w:fldCharType="separate"/>
            </w:r>
            <w:r>
              <w:rPr>
                <w:noProof/>
                <w:webHidden/>
              </w:rPr>
              <w:t>105</w:t>
            </w:r>
            <w:r>
              <w:rPr>
                <w:noProof/>
                <w:webHidden/>
              </w:rPr>
              <w:fldChar w:fldCharType="end"/>
            </w:r>
          </w:hyperlink>
        </w:p>
        <w:p w14:paraId="76741A65" w14:textId="7C38C1A5" w:rsidR="0034212E" w:rsidRDefault="0034212E">
          <w:pPr>
            <w:pStyle w:val="TOC2"/>
            <w:tabs>
              <w:tab w:val="left" w:pos="154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93" w:history="1">
            <w:r w:rsidRPr="0010094C">
              <w:rPr>
                <w:rStyle w:val="Hyperlink"/>
                <w:noProof/>
              </w:rPr>
              <w:t>Appendix B.</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Acronyms</w:t>
            </w:r>
            <w:r>
              <w:rPr>
                <w:noProof/>
                <w:webHidden/>
              </w:rPr>
              <w:tab/>
            </w:r>
            <w:r>
              <w:rPr>
                <w:noProof/>
                <w:webHidden/>
              </w:rPr>
              <w:fldChar w:fldCharType="begin"/>
            </w:r>
            <w:r>
              <w:rPr>
                <w:noProof/>
                <w:webHidden/>
              </w:rPr>
              <w:instrText xml:space="preserve"> PAGEREF _Toc219887793 \h </w:instrText>
            </w:r>
            <w:r>
              <w:rPr>
                <w:noProof/>
                <w:webHidden/>
              </w:rPr>
            </w:r>
            <w:r>
              <w:rPr>
                <w:noProof/>
                <w:webHidden/>
              </w:rPr>
              <w:fldChar w:fldCharType="separate"/>
            </w:r>
            <w:r>
              <w:rPr>
                <w:noProof/>
                <w:webHidden/>
              </w:rPr>
              <w:t>110</w:t>
            </w:r>
            <w:r>
              <w:rPr>
                <w:noProof/>
                <w:webHidden/>
              </w:rPr>
              <w:fldChar w:fldCharType="end"/>
            </w:r>
          </w:hyperlink>
        </w:p>
        <w:p w14:paraId="5F259ABD" w14:textId="7F6F782F" w:rsidR="0034212E" w:rsidRDefault="0034212E">
          <w:pPr>
            <w:pStyle w:val="TOC2"/>
            <w:tabs>
              <w:tab w:val="left" w:pos="154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94" w:history="1">
            <w:r w:rsidRPr="0010094C">
              <w:rPr>
                <w:rStyle w:val="Hyperlink"/>
                <w:noProof/>
              </w:rPr>
              <w:t>Appendix C.</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Electricity Grid Emission Factors</w:t>
            </w:r>
            <w:r>
              <w:rPr>
                <w:noProof/>
                <w:webHidden/>
              </w:rPr>
              <w:tab/>
            </w:r>
            <w:r>
              <w:rPr>
                <w:noProof/>
                <w:webHidden/>
              </w:rPr>
              <w:fldChar w:fldCharType="begin"/>
            </w:r>
            <w:r>
              <w:rPr>
                <w:noProof/>
                <w:webHidden/>
              </w:rPr>
              <w:instrText xml:space="preserve"> PAGEREF _Toc219887794 \h </w:instrText>
            </w:r>
            <w:r>
              <w:rPr>
                <w:noProof/>
                <w:webHidden/>
              </w:rPr>
            </w:r>
            <w:r>
              <w:rPr>
                <w:noProof/>
                <w:webHidden/>
              </w:rPr>
              <w:fldChar w:fldCharType="separate"/>
            </w:r>
            <w:r>
              <w:rPr>
                <w:noProof/>
                <w:webHidden/>
              </w:rPr>
              <w:t>112</w:t>
            </w:r>
            <w:r>
              <w:rPr>
                <w:noProof/>
                <w:webHidden/>
              </w:rPr>
              <w:fldChar w:fldCharType="end"/>
            </w:r>
          </w:hyperlink>
        </w:p>
        <w:p w14:paraId="40AE1CDA" w14:textId="4E18C15D" w:rsidR="0034212E" w:rsidRDefault="0034212E" w:rsidP="00A52553">
          <w:pPr>
            <w:pStyle w:val="TOC2"/>
            <w:tabs>
              <w:tab w:val="left" w:pos="153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795" w:history="1">
            <w:r w:rsidRPr="0010094C">
              <w:rPr>
                <w:rStyle w:val="Hyperlink"/>
                <w:noProof/>
              </w:rPr>
              <w:t>Appendix D.</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User’s Manual</w:t>
            </w:r>
            <w:r>
              <w:rPr>
                <w:noProof/>
                <w:webHidden/>
              </w:rPr>
              <w:tab/>
            </w:r>
            <w:r>
              <w:rPr>
                <w:noProof/>
                <w:webHidden/>
              </w:rPr>
              <w:fldChar w:fldCharType="begin"/>
            </w:r>
            <w:r>
              <w:rPr>
                <w:noProof/>
                <w:webHidden/>
              </w:rPr>
              <w:instrText xml:space="preserve"> PAGEREF _Toc219887795 \h </w:instrText>
            </w:r>
            <w:r>
              <w:rPr>
                <w:noProof/>
                <w:webHidden/>
              </w:rPr>
            </w:r>
            <w:r>
              <w:rPr>
                <w:noProof/>
                <w:webHidden/>
              </w:rPr>
              <w:fldChar w:fldCharType="separate"/>
            </w:r>
            <w:r>
              <w:rPr>
                <w:noProof/>
                <w:webHidden/>
              </w:rPr>
              <w:t>117</w:t>
            </w:r>
            <w:r>
              <w:rPr>
                <w:noProof/>
                <w:webHidden/>
              </w:rPr>
              <w:fldChar w:fldCharType="end"/>
            </w:r>
          </w:hyperlink>
        </w:p>
        <w:p w14:paraId="7295A904" w14:textId="04ADD949"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6" w:history="1">
            <w:r w:rsidRPr="0010094C">
              <w:rPr>
                <w:rStyle w:val="Hyperlink"/>
                <w:noProof/>
              </w:rPr>
              <w:t>1.</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Getting Started</w:t>
            </w:r>
            <w:r>
              <w:rPr>
                <w:noProof/>
                <w:webHidden/>
              </w:rPr>
              <w:tab/>
            </w:r>
            <w:r>
              <w:rPr>
                <w:noProof/>
                <w:webHidden/>
              </w:rPr>
              <w:fldChar w:fldCharType="begin"/>
            </w:r>
            <w:r>
              <w:rPr>
                <w:noProof/>
                <w:webHidden/>
              </w:rPr>
              <w:instrText xml:space="preserve"> PAGEREF _Toc219887796 \h </w:instrText>
            </w:r>
            <w:r>
              <w:rPr>
                <w:noProof/>
                <w:webHidden/>
              </w:rPr>
            </w:r>
            <w:r>
              <w:rPr>
                <w:noProof/>
                <w:webHidden/>
              </w:rPr>
              <w:fldChar w:fldCharType="separate"/>
            </w:r>
            <w:r>
              <w:rPr>
                <w:noProof/>
                <w:webHidden/>
              </w:rPr>
              <w:t>117</w:t>
            </w:r>
            <w:r>
              <w:rPr>
                <w:noProof/>
                <w:webHidden/>
              </w:rPr>
              <w:fldChar w:fldCharType="end"/>
            </w:r>
          </w:hyperlink>
        </w:p>
        <w:p w14:paraId="7281E5C7" w14:textId="5F25FD89"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7" w:history="1">
            <w:r w:rsidRPr="0010094C">
              <w:rPr>
                <w:rStyle w:val="Hyperlink"/>
                <w:noProof/>
              </w:rPr>
              <w:t>2.</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Calculator Structure</w:t>
            </w:r>
            <w:r>
              <w:rPr>
                <w:noProof/>
                <w:webHidden/>
              </w:rPr>
              <w:tab/>
            </w:r>
            <w:r>
              <w:rPr>
                <w:noProof/>
                <w:webHidden/>
              </w:rPr>
              <w:fldChar w:fldCharType="begin"/>
            </w:r>
            <w:r>
              <w:rPr>
                <w:noProof/>
                <w:webHidden/>
              </w:rPr>
              <w:instrText xml:space="preserve"> PAGEREF _Toc219887797 \h </w:instrText>
            </w:r>
            <w:r>
              <w:rPr>
                <w:noProof/>
                <w:webHidden/>
              </w:rPr>
            </w:r>
            <w:r>
              <w:rPr>
                <w:noProof/>
                <w:webHidden/>
              </w:rPr>
              <w:fldChar w:fldCharType="separate"/>
            </w:r>
            <w:r>
              <w:rPr>
                <w:noProof/>
                <w:webHidden/>
              </w:rPr>
              <w:t>119</w:t>
            </w:r>
            <w:r>
              <w:rPr>
                <w:noProof/>
                <w:webHidden/>
              </w:rPr>
              <w:fldChar w:fldCharType="end"/>
            </w:r>
          </w:hyperlink>
        </w:p>
        <w:p w14:paraId="7C58EFB6" w14:textId="6FCE02C1"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8" w:history="1">
            <w:r w:rsidRPr="0010094C">
              <w:rPr>
                <w:rStyle w:val="Hyperlink"/>
                <w:noProof/>
              </w:rPr>
              <w:t>3.</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Using the Climate Calculator</w:t>
            </w:r>
            <w:r>
              <w:rPr>
                <w:noProof/>
                <w:webHidden/>
              </w:rPr>
              <w:tab/>
            </w:r>
            <w:r>
              <w:rPr>
                <w:noProof/>
                <w:webHidden/>
              </w:rPr>
              <w:fldChar w:fldCharType="begin"/>
            </w:r>
            <w:r>
              <w:rPr>
                <w:noProof/>
                <w:webHidden/>
              </w:rPr>
              <w:instrText xml:space="preserve"> PAGEREF _Toc219887798 \h </w:instrText>
            </w:r>
            <w:r>
              <w:rPr>
                <w:noProof/>
                <w:webHidden/>
              </w:rPr>
            </w:r>
            <w:r>
              <w:rPr>
                <w:noProof/>
                <w:webHidden/>
              </w:rPr>
              <w:fldChar w:fldCharType="separate"/>
            </w:r>
            <w:r>
              <w:rPr>
                <w:noProof/>
                <w:webHidden/>
              </w:rPr>
              <w:t>120</w:t>
            </w:r>
            <w:r>
              <w:rPr>
                <w:noProof/>
                <w:webHidden/>
              </w:rPr>
              <w:fldChar w:fldCharType="end"/>
            </w:r>
          </w:hyperlink>
        </w:p>
        <w:p w14:paraId="7AF11306" w14:textId="0D032C4D"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799" w:history="1">
            <w:r w:rsidRPr="0010094C">
              <w:rPr>
                <w:rStyle w:val="Hyperlink"/>
                <w:noProof/>
              </w:rPr>
              <w:t>4.</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Calculator Inputs</w:t>
            </w:r>
            <w:r>
              <w:rPr>
                <w:noProof/>
                <w:webHidden/>
              </w:rPr>
              <w:tab/>
            </w:r>
            <w:r>
              <w:rPr>
                <w:noProof/>
                <w:webHidden/>
              </w:rPr>
              <w:fldChar w:fldCharType="begin"/>
            </w:r>
            <w:r>
              <w:rPr>
                <w:noProof/>
                <w:webHidden/>
              </w:rPr>
              <w:instrText xml:space="preserve"> PAGEREF _Toc219887799 \h </w:instrText>
            </w:r>
            <w:r>
              <w:rPr>
                <w:noProof/>
                <w:webHidden/>
              </w:rPr>
            </w:r>
            <w:r>
              <w:rPr>
                <w:noProof/>
                <w:webHidden/>
              </w:rPr>
              <w:fldChar w:fldCharType="separate"/>
            </w:r>
            <w:r>
              <w:rPr>
                <w:noProof/>
                <w:webHidden/>
              </w:rPr>
              <w:t>124</w:t>
            </w:r>
            <w:r>
              <w:rPr>
                <w:noProof/>
                <w:webHidden/>
              </w:rPr>
              <w:fldChar w:fldCharType="end"/>
            </w:r>
          </w:hyperlink>
        </w:p>
        <w:p w14:paraId="0D73BB67" w14:textId="70D98C97"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800" w:history="1">
            <w:r w:rsidRPr="0010094C">
              <w:rPr>
                <w:rStyle w:val="Hyperlink"/>
                <w:noProof/>
              </w:rPr>
              <w:t>5.</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Emission Outputs</w:t>
            </w:r>
            <w:r>
              <w:rPr>
                <w:noProof/>
                <w:webHidden/>
              </w:rPr>
              <w:tab/>
            </w:r>
            <w:r>
              <w:rPr>
                <w:noProof/>
                <w:webHidden/>
              </w:rPr>
              <w:fldChar w:fldCharType="begin"/>
            </w:r>
            <w:r>
              <w:rPr>
                <w:noProof/>
                <w:webHidden/>
              </w:rPr>
              <w:instrText xml:space="preserve"> PAGEREF _Toc219887800 \h </w:instrText>
            </w:r>
            <w:r>
              <w:rPr>
                <w:noProof/>
                <w:webHidden/>
              </w:rPr>
            </w:r>
            <w:r>
              <w:rPr>
                <w:noProof/>
                <w:webHidden/>
              </w:rPr>
              <w:fldChar w:fldCharType="separate"/>
            </w:r>
            <w:r>
              <w:rPr>
                <w:noProof/>
                <w:webHidden/>
              </w:rPr>
              <w:t>135</w:t>
            </w:r>
            <w:r>
              <w:rPr>
                <w:noProof/>
                <w:webHidden/>
              </w:rPr>
              <w:fldChar w:fldCharType="end"/>
            </w:r>
          </w:hyperlink>
        </w:p>
        <w:p w14:paraId="2BE91963" w14:textId="6B1D2543" w:rsidR="0034212E" w:rsidRDefault="0034212E">
          <w:pPr>
            <w:pStyle w:val="TOC3"/>
            <w:rPr>
              <w:rFonts w:asciiTheme="minorHAnsi" w:eastAsiaTheme="minorEastAsia" w:hAnsiTheme="minorHAnsi" w:cstheme="minorBidi"/>
              <w:noProof/>
              <w:kern w:val="2"/>
              <w:sz w:val="24"/>
              <w:szCs w:val="24"/>
              <w:lang w:bidi="ar-SA"/>
              <w14:ligatures w14:val="standardContextual"/>
            </w:rPr>
          </w:pPr>
          <w:hyperlink w:anchor="_Toc219887801" w:history="1">
            <w:r w:rsidRPr="0010094C">
              <w:rPr>
                <w:rStyle w:val="Hyperlink"/>
                <w:noProof/>
              </w:rPr>
              <w:t>6.</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Mitigation and Adaptation</w:t>
            </w:r>
            <w:r>
              <w:rPr>
                <w:noProof/>
                <w:webHidden/>
              </w:rPr>
              <w:tab/>
            </w:r>
            <w:r>
              <w:rPr>
                <w:noProof/>
                <w:webHidden/>
              </w:rPr>
              <w:fldChar w:fldCharType="begin"/>
            </w:r>
            <w:r>
              <w:rPr>
                <w:noProof/>
                <w:webHidden/>
              </w:rPr>
              <w:instrText xml:space="preserve"> PAGEREF _Toc219887801 \h </w:instrText>
            </w:r>
            <w:r>
              <w:rPr>
                <w:noProof/>
                <w:webHidden/>
              </w:rPr>
            </w:r>
            <w:r>
              <w:rPr>
                <w:noProof/>
                <w:webHidden/>
              </w:rPr>
              <w:fldChar w:fldCharType="separate"/>
            </w:r>
            <w:r>
              <w:rPr>
                <w:noProof/>
                <w:webHidden/>
              </w:rPr>
              <w:t>139</w:t>
            </w:r>
            <w:r>
              <w:rPr>
                <w:noProof/>
                <w:webHidden/>
              </w:rPr>
              <w:fldChar w:fldCharType="end"/>
            </w:r>
          </w:hyperlink>
        </w:p>
        <w:p w14:paraId="287FC2EF" w14:textId="14359798" w:rsidR="0034212E" w:rsidRDefault="0034212E">
          <w:pPr>
            <w:pStyle w:val="TOC2"/>
            <w:tabs>
              <w:tab w:val="left" w:pos="1540"/>
              <w:tab w:val="right" w:leader="dot" w:pos="10070"/>
            </w:tabs>
            <w:rPr>
              <w:rFonts w:asciiTheme="minorHAnsi" w:eastAsiaTheme="minorEastAsia" w:hAnsiTheme="minorHAnsi" w:cstheme="minorBidi"/>
              <w:noProof/>
              <w:kern w:val="2"/>
              <w:sz w:val="24"/>
              <w:szCs w:val="24"/>
              <w:lang w:bidi="ar-SA"/>
              <w14:ligatures w14:val="standardContextual"/>
            </w:rPr>
          </w:pPr>
          <w:hyperlink w:anchor="_Toc219887802" w:history="1">
            <w:r w:rsidRPr="0010094C">
              <w:rPr>
                <w:rStyle w:val="Hyperlink"/>
                <w:noProof/>
              </w:rPr>
              <w:t>Appendix E.</w:t>
            </w:r>
            <w:r>
              <w:rPr>
                <w:rFonts w:asciiTheme="minorHAnsi" w:eastAsiaTheme="minorEastAsia" w:hAnsiTheme="minorHAnsi" w:cstheme="minorBidi"/>
                <w:noProof/>
                <w:kern w:val="2"/>
                <w:sz w:val="24"/>
                <w:szCs w:val="24"/>
                <w:lang w:bidi="ar-SA"/>
                <w14:ligatures w14:val="standardContextual"/>
              </w:rPr>
              <w:tab/>
            </w:r>
            <w:r w:rsidRPr="0010094C">
              <w:rPr>
                <w:rStyle w:val="Hyperlink"/>
                <w:noProof/>
              </w:rPr>
              <w:t>Calculator Maintenance Guide</w:t>
            </w:r>
            <w:r>
              <w:rPr>
                <w:noProof/>
                <w:webHidden/>
              </w:rPr>
              <w:tab/>
            </w:r>
            <w:r>
              <w:rPr>
                <w:noProof/>
                <w:webHidden/>
              </w:rPr>
              <w:fldChar w:fldCharType="begin"/>
            </w:r>
            <w:r>
              <w:rPr>
                <w:noProof/>
                <w:webHidden/>
              </w:rPr>
              <w:instrText xml:space="preserve"> PAGEREF _Toc219887802 \h </w:instrText>
            </w:r>
            <w:r>
              <w:rPr>
                <w:noProof/>
                <w:webHidden/>
              </w:rPr>
            </w:r>
            <w:r>
              <w:rPr>
                <w:noProof/>
                <w:webHidden/>
              </w:rPr>
              <w:fldChar w:fldCharType="separate"/>
            </w:r>
            <w:r>
              <w:rPr>
                <w:noProof/>
                <w:webHidden/>
              </w:rPr>
              <w:t>142</w:t>
            </w:r>
            <w:r>
              <w:rPr>
                <w:noProof/>
                <w:webHidden/>
              </w:rPr>
              <w:fldChar w:fldCharType="end"/>
            </w:r>
          </w:hyperlink>
        </w:p>
        <w:p w14:paraId="1A762AD7" w14:textId="084A6156" w:rsidR="00434490" w:rsidRPr="004C12C9" w:rsidRDefault="00DA4811" w:rsidP="00972CF9">
          <w:pPr>
            <w:pStyle w:val="TOC3"/>
            <w:rPr>
              <w:rFonts w:asciiTheme="minorHAnsi" w:eastAsiaTheme="minorEastAsia" w:hAnsiTheme="minorHAnsi" w:cstheme="minorBidi"/>
              <w:lang w:bidi="ar-SA"/>
            </w:rPr>
            <w:sectPr w:rsidR="00434490" w:rsidRPr="004C12C9" w:rsidSect="008A2C1A">
              <w:footerReference w:type="default" r:id="rId13"/>
              <w:footerReference w:type="first" r:id="rId14"/>
              <w:pgSz w:w="12240" w:h="15840" w:code="1"/>
              <w:pgMar w:top="1728" w:right="1080" w:bottom="1440" w:left="1080" w:header="0" w:footer="504" w:gutter="0"/>
              <w:cols w:space="720"/>
              <w:titlePg/>
              <w:docGrid w:linePitch="326"/>
            </w:sectPr>
          </w:pPr>
          <w:r w:rsidRPr="004C12C9">
            <w:rPr>
              <w:color w:val="00294B" w:themeColor="accent1" w:themeShade="BF"/>
              <w:sz w:val="28"/>
              <w:szCs w:val="28"/>
            </w:rPr>
            <w:fldChar w:fldCharType="end"/>
          </w:r>
        </w:p>
      </w:sdtContent>
    </w:sdt>
    <w:bookmarkEnd w:id="25" w:displacedByCustomXml="prev"/>
    <w:bookmarkStart w:id="26" w:name="_Toc459133885" w:displacedByCustomXml="prev"/>
    <w:bookmarkStart w:id="27" w:name="_Toc461107855" w:displacedByCustomXml="prev"/>
    <w:p w14:paraId="2C5F4520" w14:textId="5721E9CA" w:rsidR="00FC5F6E" w:rsidRPr="004C12C9" w:rsidRDefault="00FC5F6E" w:rsidP="005D3020">
      <w:pPr>
        <w:pStyle w:val="Heading2"/>
      </w:pPr>
      <w:bookmarkStart w:id="28" w:name="_Toc219887760"/>
      <w:bookmarkEnd w:id="27"/>
      <w:bookmarkEnd w:id="26"/>
      <w:r w:rsidRPr="004C12C9">
        <w:lastRenderedPageBreak/>
        <w:t>Overview</w:t>
      </w:r>
      <w:bookmarkEnd w:id="28"/>
    </w:p>
    <w:p w14:paraId="211A9504" w14:textId="5153B755" w:rsidR="008051FC" w:rsidRPr="004C12C9" w:rsidRDefault="008051FC" w:rsidP="005F32A3">
      <w:pPr>
        <w:pStyle w:val="Heading3"/>
      </w:pPr>
      <w:bookmarkStart w:id="29" w:name="_Toc219887761"/>
      <w:r w:rsidRPr="004C12C9">
        <w:t>Purpose</w:t>
      </w:r>
      <w:bookmarkEnd w:id="29"/>
    </w:p>
    <w:p w14:paraId="5007FCE5" w14:textId="6818E755" w:rsidR="00C20265" w:rsidRPr="004C12C9" w:rsidRDefault="0018496A" w:rsidP="00FE784D">
      <w:r w:rsidRPr="004C12C9">
        <w:t xml:space="preserve">The </w:t>
      </w:r>
      <w:r w:rsidR="0027649A" w:rsidRPr="004C12C9">
        <w:t>Minnesota</w:t>
      </w:r>
      <w:r w:rsidR="00720484" w:rsidRPr="004C12C9">
        <w:t xml:space="preserve"> </w:t>
      </w:r>
      <w:r w:rsidRPr="004C12C9">
        <w:t xml:space="preserve">Climate Calculator </w:t>
      </w:r>
      <w:r w:rsidR="006E226C" w:rsidRPr="004C12C9">
        <w:t>was developed</w:t>
      </w:r>
      <w:r w:rsidR="00A44D71" w:rsidRPr="004C12C9">
        <w:t xml:space="preserve"> </w:t>
      </w:r>
      <w:r w:rsidR="007029C4" w:rsidRPr="004C12C9">
        <w:t>t</w:t>
      </w:r>
      <w:r w:rsidRPr="004C12C9">
        <w:t>o</w:t>
      </w:r>
      <w:r w:rsidR="006E226C" w:rsidRPr="004C12C9">
        <w:t xml:space="preserve"> </w:t>
      </w:r>
      <w:r w:rsidR="000C58B8" w:rsidRPr="004C12C9">
        <w:t xml:space="preserve">help project developers and responsible governmental units </w:t>
      </w:r>
      <w:r w:rsidR="00286584" w:rsidRPr="004C12C9">
        <w:t>(RGUs)</w:t>
      </w:r>
      <w:r w:rsidR="000C58B8" w:rsidRPr="004C12C9">
        <w:t xml:space="preserve"> assess the full greenhouse gas (GHG) emissions impact potential of a project </w:t>
      </w:r>
      <w:r w:rsidR="000D7610" w:rsidRPr="004C12C9">
        <w:t>in Minnesota</w:t>
      </w:r>
      <w:r w:rsidR="00EC6CF3" w:rsidRPr="004C12C9">
        <w:t xml:space="preserve">. The </w:t>
      </w:r>
      <w:r w:rsidR="00053E84" w:rsidRPr="004C12C9">
        <w:t xml:space="preserve">calculator </w:t>
      </w:r>
      <w:r w:rsidR="00EC6CF3" w:rsidRPr="004C12C9">
        <w:t>also</w:t>
      </w:r>
      <w:r w:rsidR="008869C6" w:rsidRPr="004C12C9">
        <w:t xml:space="preserve"> </w:t>
      </w:r>
      <w:r w:rsidR="003C396F" w:rsidRPr="004C12C9">
        <w:t>support</w:t>
      </w:r>
      <w:r w:rsidR="008869C6" w:rsidRPr="004C12C9">
        <w:t>s</w:t>
      </w:r>
      <w:r w:rsidR="003C396F" w:rsidRPr="004C12C9">
        <w:t xml:space="preserve"> identification</w:t>
      </w:r>
      <w:r w:rsidR="000C58B8" w:rsidRPr="004C12C9">
        <w:t xml:space="preserve"> and </w:t>
      </w:r>
      <w:r w:rsidR="003C396F" w:rsidRPr="004C12C9">
        <w:t>implementation of</w:t>
      </w:r>
      <w:r w:rsidR="000C58B8" w:rsidRPr="004C12C9">
        <w:t xml:space="preserve"> mitigation and adaptation strategies</w:t>
      </w:r>
      <w:r w:rsidR="00F4750E" w:rsidRPr="004C12C9">
        <w:t>.</w:t>
      </w:r>
      <w:r w:rsidR="000C58B8" w:rsidRPr="004C12C9">
        <w:t xml:space="preserve"> </w:t>
      </w:r>
      <w:r w:rsidR="00C751EA" w:rsidRPr="004C12C9">
        <w:t>Outputs</w:t>
      </w:r>
      <w:r w:rsidR="006D35E3" w:rsidRPr="004C12C9">
        <w:t xml:space="preserve"> from th</w:t>
      </w:r>
      <w:r w:rsidR="00FE6934" w:rsidRPr="004C12C9">
        <w:t>e</w:t>
      </w:r>
      <w:r w:rsidR="006D35E3" w:rsidRPr="004C12C9">
        <w:t xml:space="preserve"> </w:t>
      </w:r>
      <w:r w:rsidR="00053E84" w:rsidRPr="004C12C9">
        <w:t xml:space="preserve">calculator </w:t>
      </w:r>
      <w:r w:rsidR="006D35E3" w:rsidRPr="004C12C9">
        <w:t xml:space="preserve">may be used to complete the </w:t>
      </w:r>
      <w:r w:rsidR="00FE784D" w:rsidRPr="004C12C9">
        <w:t>Environmental Assessment Worksheet (EAW</w:t>
      </w:r>
      <w:r w:rsidR="006D35E3" w:rsidRPr="004C12C9">
        <w:t>), as required by potential projects that meet or exceed the thresholds described in</w:t>
      </w:r>
      <w:r w:rsidR="00FE784D" w:rsidRPr="004C12C9">
        <w:t xml:space="preserve"> </w:t>
      </w:r>
      <w:hyperlink r:id="rId15" w:history="1">
        <w:r w:rsidR="00FE784D" w:rsidRPr="004C12C9">
          <w:rPr>
            <w:rStyle w:val="Hyperlink"/>
          </w:rPr>
          <w:t>Minnesota Administrative Rule 4410.4300</w:t>
        </w:r>
      </w:hyperlink>
      <w:r w:rsidR="00FE784D" w:rsidRPr="004C12C9">
        <w:t xml:space="preserve">. </w:t>
      </w:r>
      <w:r w:rsidR="004C267F" w:rsidRPr="004C12C9">
        <w:t xml:space="preserve">Specifically, the </w:t>
      </w:r>
      <w:r w:rsidR="00053E84" w:rsidRPr="004C12C9">
        <w:t xml:space="preserve">calculator </w:t>
      </w:r>
      <w:r w:rsidR="0015233E" w:rsidRPr="004C12C9">
        <w:t>may be used to</w:t>
      </w:r>
      <w:r w:rsidR="00FE784D" w:rsidRPr="004C12C9">
        <w:t xml:space="preserve"> answer the EAW </w:t>
      </w:r>
      <w:r w:rsidR="003A6C7C" w:rsidRPr="004C12C9">
        <w:t>items</w:t>
      </w:r>
      <w:r w:rsidR="00FE784D" w:rsidRPr="004C12C9">
        <w:t xml:space="preserve"> </w:t>
      </w:r>
      <w:r w:rsidR="00CE0E0E" w:rsidRPr="004C12C9">
        <w:t>shown</w:t>
      </w:r>
      <w:r w:rsidR="0025137D" w:rsidRPr="004C12C9">
        <w:t xml:space="preserve"> in </w:t>
      </w:r>
      <w:r w:rsidR="0025137D" w:rsidRPr="004C12C9">
        <w:fldChar w:fldCharType="begin" w:fldLock="1"/>
      </w:r>
      <w:r w:rsidR="0025137D" w:rsidRPr="004C12C9">
        <w:instrText xml:space="preserve"> REF _Ref195530012 \h </w:instrText>
      </w:r>
      <w:r w:rsidR="0025137D" w:rsidRPr="004C12C9">
        <w:fldChar w:fldCharType="separate"/>
      </w:r>
      <w:r w:rsidR="00127094" w:rsidRPr="004C12C9">
        <w:t>Exhibit 1</w:t>
      </w:r>
      <w:r w:rsidR="00F91065" w:rsidRPr="004C12C9">
        <w:noBreakHyphen/>
        <w:t>1</w:t>
      </w:r>
      <w:r w:rsidR="0025137D" w:rsidRPr="004C12C9">
        <w:fldChar w:fldCharType="end"/>
      </w:r>
      <w:r w:rsidR="0025137D" w:rsidRPr="004C12C9">
        <w:t>.</w:t>
      </w:r>
    </w:p>
    <w:p w14:paraId="522F99AB" w14:textId="477401A9" w:rsidR="00267ED4" w:rsidRPr="004C12C9" w:rsidRDefault="004F2618" w:rsidP="004F2618">
      <w:pPr>
        <w:pStyle w:val="Caption"/>
      </w:pPr>
      <w:bookmarkStart w:id="30" w:name="_Ref195530012"/>
      <w:r w:rsidRPr="004C12C9">
        <w:t xml:space="preserve">Exhibit </w:t>
      </w:r>
      <w:bookmarkEnd w:id="30"/>
      <w:r w:rsidR="00F91065" w:rsidRPr="004C12C9">
        <w:fldChar w:fldCharType="begin" w:fldLock="1"/>
      </w:r>
      <w:r w:rsidR="00F91065" w:rsidRPr="004C12C9">
        <w:instrText xml:space="preserve"> STYLEREF 2 \s </w:instrText>
      </w:r>
      <w:r w:rsidR="00F91065" w:rsidRPr="004C12C9">
        <w:fldChar w:fldCharType="separate"/>
      </w:r>
      <w:r w:rsidR="00F91065" w:rsidRPr="004C12C9">
        <w:t>1</w:t>
      </w:r>
      <w:r w:rsidR="00F91065" w:rsidRPr="004C12C9">
        <w:fldChar w:fldCharType="end"/>
      </w:r>
      <w:r w:rsidR="00F91065" w:rsidRPr="004C12C9">
        <w:noBreakHyphen/>
      </w:r>
      <w:r w:rsidR="00F91065">
        <w:fldChar w:fldCharType="begin"/>
      </w:r>
      <w:r w:rsidR="00F91065">
        <w:instrText xml:space="preserve"> SEQ Exhibit \* ARABIC \s 2 </w:instrText>
      </w:r>
      <w:r w:rsidR="00F91065">
        <w:fldChar w:fldCharType="separate"/>
      </w:r>
      <w:r w:rsidR="00F91065" w:rsidRPr="004C12C9">
        <w:t>1</w:t>
      </w:r>
      <w:r w:rsidR="00F91065">
        <w:fldChar w:fldCharType="end"/>
      </w:r>
      <w:r w:rsidRPr="004C12C9">
        <w:t xml:space="preserve">. </w:t>
      </w:r>
      <w:r w:rsidR="003A1505" w:rsidRPr="004C12C9">
        <w:t xml:space="preserve">Relevant </w:t>
      </w:r>
      <w:r w:rsidR="007F308B" w:rsidRPr="004C12C9">
        <w:t xml:space="preserve">EAW </w:t>
      </w:r>
      <w:r w:rsidR="00FC2980" w:rsidRPr="004C12C9">
        <w:t xml:space="preserve">Form </w:t>
      </w:r>
      <w:r w:rsidR="003A6C7C" w:rsidRPr="004C12C9">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070"/>
      </w:tblGrid>
      <w:tr w:rsidR="00C434D1" w:rsidRPr="004C12C9" w14:paraId="57583804" w14:textId="77777777">
        <w:tc>
          <w:tcPr>
            <w:tcW w:w="10070" w:type="dxa"/>
            <w:shd w:val="clear" w:color="auto" w:fill="F2F2F2" w:themeFill="background1" w:themeFillShade="F2"/>
          </w:tcPr>
          <w:p w14:paraId="162276ED" w14:textId="11BA2F70" w:rsidR="00C434D1" w:rsidRPr="004C12C9" w:rsidRDefault="00FC2980" w:rsidP="00B823DE">
            <w:pPr>
              <w:spacing w:before="160" w:after="160"/>
            </w:pPr>
            <w:r w:rsidRPr="004C12C9">
              <w:rPr>
                <w:b/>
                <w:bCs/>
              </w:rPr>
              <w:t xml:space="preserve">Item </w:t>
            </w:r>
            <w:r w:rsidR="00C434D1" w:rsidRPr="004C12C9">
              <w:rPr>
                <w:b/>
                <w:bCs/>
              </w:rPr>
              <w:t>7: Climate Adaptation and Resilience.</w:t>
            </w:r>
          </w:p>
          <w:p w14:paraId="4339210A" w14:textId="329F8E4C" w:rsidR="00C434D1" w:rsidRPr="004C12C9" w:rsidRDefault="00C434D1" w:rsidP="003B5F7F">
            <w:pPr>
              <w:numPr>
                <w:ilvl w:val="0"/>
                <w:numId w:val="13"/>
              </w:numPr>
              <w:spacing w:before="160" w:after="160"/>
            </w:pPr>
            <w:r w:rsidRPr="004C12C9">
              <w:t>Describe the climate trends in the general location of the project and how climate change is anticipated to affect that location during the life of the project.</w:t>
            </w:r>
          </w:p>
          <w:p w14:paraId="30701812" w14:textId="6CEF16CC" w:rsidR="00C434D1" w:rsidRPr="004C12C9" w:rsidRDefault="00C434D1" w:rsidP="003B5F7F">
            <w:pPr>
              <w:numPr>
                <w:ilvl w:val="0"/>
                <w:numId w:val="13"/>
              </w:numPr>
              <w:spacing w:before="160" w:after="160"/>
            </w:pPr>
            <w:r w:rsidRPr="004C12C9">
              <w:t xml:space="preserve">For each Resource Category in the table below: Describe how the project’s proposed activities and how the project’s design will interact with those climate trends. Describe proposed adaptations to address the project effects identified. </w:t>
            </w:r>
          </w:p>
        </w:tc>
      </w:tr>
    </w:tbl>
    <w:p w14:paraId="2AF8E5F8" w14:textId="4E1CB4B6" w:rsidR="00C434D1" w:rsidRPr="004C12C9" w:rsidRDefault="00C434D1" w:rsidP="00CA7C89">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070"/>
      </w:tblGrid>
      <w:tr w:rsidR="00C434D1" w:rsidRPr="004C12C9" w14:paraId="2D3AEE7F" w14:textId="77777777">
        <w:tc>
          <w:tcPr>
            <w:tcW w:w="10070" w:type="dxa"/>
            <w:shd w:val="clear" w:color="auto" w:fill="F2F2F2" w:themeFill="background1" w:themeFillShade="F2"/>
          </w:tcPr>
          <w:p w14:paraId="36FC6B0E" w14:textId="072DCDFA" w:rsidR="00C434D1" w:rsidRPr="004C12C9" w:rsidRDefault="00FC2980" w:rsidP="00B823DE">
            <w:pPr>
              <w:spacing w:before="160" w:after="160"/>
            </w:pPr>
            <w:r w:rsidRPr="004C12C9">
              <w:rPr>
                <w:b/>
                <w:bCs/>
              </w:rPr>
              <w:t xml:space="preserve">Item </w:t>
            </w:r>
            <w:r w:rsidR="00C434D1" w:rsidRPr="004C12C9">
              <w:rPr>
                <w:b/>
                <w:bCs/>
              </w:rPr>
              <w:t>18. Greenhouse Gas (GHG) Emissions/Carbon Footprint.</w:t>
            </w:r>
            <w:r w:rsidR="00C54243" w:rsidRPr="004C12C9">
              <w:t>*</w:t>
            </w:r>
          </w:p>
          <w:p w14:paraId="0CA3CC4F" w14:textId="2E22B973" w:rsidR="00C434D1" w:rsidRPr="004C12C9" w:rsidRDefault="00C434D1" w:rsidP="003B5F7F">
            <w:pPr>
              <w:numPr>
                <w:ilvl w:val="0"/>
                <w:numId w:val="19"/>
              </w:numPr>
              <w:spacing w:before="160" w:after="160"/>
            </w:pPr>
            <w:r w:rsidRPr="004C12C9">
              <w:t>GHG Quantification: For all proposed projects, provide quantification and discussion of project GHG emissions. Include additional rows in the tables as necessary to provide project-specific emission sources. Describe the methods used to quantify emissions. If calculation methods are not readily available to quantify GHG emissions for a source, describe the process used to come to that conclusion and any GHG emission sources not included in the total calculation.</w:t>
            </w:r>
          </w:p>
          <w:p w14:paraId="02E1AC79" w14:textId="05314154" w:rsidR="00C434D1" w:rsidRPr="004C12C9" w:rsidRDefault="00C434D1" w:rsidP="003B5F7F">
            <w:pPr>
              <w:numPr>
                <w:ilvl w:val="0"/>
                <w:numId w:val="19"/>
              </w:numPr>
              <w:spacing w:before="160" w:after="160"/>
            </w:pPr>
            <w:r w:rsidRPr="004C12C9">
              <w:t>GHG Assessment</w:t>
            </w:r>
          </w:p>
          <w:p w14:paraId="26A25328" w14:textId="4DA3F11B" w:rsidR="00C434D1" w:rsidRPr="004C12C9" w:rsidRDefault="00C434D1" w:rsidP="003B5F7F">
            <w:pPr>
              <w:numPr>
                <w:ilvl w:val="1"/>
                <w:numId w:val="19"/>
              </w:numPr>
              <w:spacing w:before="160" w:after="160"/>
            </w:pPr>
            <w:r w:rsidRPr="004C12C9">
              <w:t>Describe any mitigation considered to reduce the project’s GHG emissions.</w:t>
            </w:r>
          </w:p>
          <w:p w14:paraId="3C5CFE06" w14:textId="25657E7D" w:rsidR="00C434D1" w:rsidRPr="004C12C9" w:rsidRDefault="00C434D1" w:rsidP="003B5F7F">
            <w:pPr>
              <w:numPr>
                <w:ilvl w:val="1"/>
                <w:numId w:val="19"/>
              </w:numPr>
              <w:spacing w:before="160" w:after="160"/>
            </w:pPr>
            <w:r w:rsidRPr="004C12C9">
              <w:t>Describe and quantify reductions from selected mitigation, if proposed to reduce the project’s GHG emissions. Explain why the selected mitigation was preferred.</w:t>
            </w:r>
          </w:p>
          <w:p w14:paraId="58E390E8" w14:textId="7FBDCFB2" w:rsidR="00C434D1" w:rsidRPr="004C12C9" w:rsidRDefault="00C434D1" w:rsidP="003B5F7F">
            <w:pPr>
              <w:numPr>
                <w:ilvl w:val="1"/>
                <w:numId w:val="19"/>
              </w:numPr>
              <w:spacing w:before="160" w:after="160"/>
            </w:pPr>
            <w:r w:rsidRPr="004C12C9">
              <w:t>Quantify the proposed projects predicted net lifetime GHG emissions (total tons/#of years) and how those predicted emissions may affect achievement of the Minnesota Next Generation Energy Act goals and/or other more stringent state or local GHG reduction goals.</w:t>
            </w:r>
          </w:p>
        </w:tc>
      </w:tr>
    </w:tbl>
    <w:p w14:paraId="7296881E" w14:textId="6FE92343" w:rsidR="00C434D1" w:rsidRPr="004C12C9" w:rsidRDefault="00C02DF7" w:rsidP="00C02DF7">
      <w:pPr>
        <w:pStyle w:val="TableFooter"/>
      </w:pPr>
      <w:r w:rsidRPr="004C12C9">
        <w:t xml:space="preserve">* </w:t>
      </w:r>
      <w:r w:rsidR="00FB08FD" w:rsidRPr="004C12C9">
        <w:t>Item</w:t>
      </w:r>
      <w:r w:rsidR="0026792E" w:rsidRPr="004C12C9">
        <w:t>s 7 and</w:t>
      </w:r>
      <w:r w:rsidRPr="004C12C9">
        <w:t xml:space="preserve"> 18 </w:t>
      </w:r>
      <w:r w:rsidR="003472CB" w:rsidRPr="004C12C9">
        <w:t>were</w:t>
      </w:r>
      <w:r w:rsidRPr="004C12C9">
        <w:t xml:space="preserve"> added to the EAW in December 2022.</w:t>
      </w:r>
    </w:p>
    <w:p w14:paraId="1B14F750" w14:textId="5DFAAD16" w:rsidR="001C5539" w:rsidRPr="004C12C9" w:rsidRDefault="00E372A7" w:rsidP="001C5539">
      <w:pPr>
        <w:rPr>
          <w:color w:val="003865" w:themeColor="text1"/>
        </w:rPr>
      </w:pPr>
      <w:r w:rsidRPr="004C12C9">
        <w:rPr>
          <w:rFonts w:cs="Calibri"/>
          <w:b/>
          <w:bCs/>
          <w:i/>
          <w:iCs/>
          <w:color w:val="003865" w:themeColor="text1"/>
        </w:rPr>
        <w:t xml:space="preserve">→ </w:t>
      </w:r>
      <w:r w:rsidR="001C5539" w:rsidRPr="004C12C9">
        <w:rPr>
          <w:b/>
          <w:i/>
          <w:color w:val="003865" w:themeColor="text1"/>
        </w:rPr>
        <w:t xml:space="preserve">Note that use of the Climate Calculator is not required to complete the EAW. Project developers and RGUs may use other approaches </w:t>
      </w:r>
      <w:r w:rsidR="00B663D0" w:rsidRPr="004C12C9">
        <w:rPr>
          <w:b/>
          <w:i/>
          <w:color w:val="003865" w:themeColor="text1"/>
        </w:rPr>
        <w:t xml:space="preserve">and resources </w:t>
      </w:r>
      <w:r w:rsidR="001C5539" w:rsidRPr="004C12C9">
        <w:rPr>
          <w:b/>
          <w:i/>
          <w:color w:val="003865" w:themeColor="text1"/>
        </w:rPr>
        <w:t>to complete the EAW.</w:t>
      </w:r>
    </w:p>
    <w:p w14:paraId="14FBB5D7" w14:textId="1C467115" w:rsidR="007D1DA0" w:rsidRPr="004C12C9" w:rsidRDefault="00667678" w:rsidP="007D1DA0">
      <w:r w:rsidRPr="004C12C9">
        <w:lastRenderedPageBreak/>
        <w:t>T</w:t>
      </w:r>
      <w:r w:rsidR="00FE198A" w:rsidRPr="004C12C9">
        <w:t xml:space="preserve">he </w:t>
      </w:r>
      <w:r w:rsidR="00053E84" w:rsidRPr="004C12C9">
        <w:t xml:space="preserve">calculator </w:t>
      </w:r>
      <w:r w:rsidR="00DE3530" w:rsidRPr="004C12C9">
        <w:t xml:space="preserve">is intended </w:t>
      </w:r>
      <w:r w:rsidR="0018496A" w:rsidRPr="004C12C9">
        <w:t xml:space="preserve">to make the process of answering EAW </w:t>
      </w:r>
      <w:r w:rsidR="00FB08FD" w:rsidRPr="004C12C9">
        <w:t>item</w:t>
      </w:r>
      <w:r w:rsidR="0018496A" w:rsidRPr="004C12C9">
        <w:t xml:space="preserve">s </w:t>
      </w:r>
      <w:r w:rsidR="00F74757" w:rsidRPr="004C12C9">
        <w:t xml:space="preserve">7 and 18 </w:t>
      </w:r>
      <w:r w:rsidR="0018496A" w:rsidRPr="004C12C9">
        <w:t xml:space="preserve">more efficient, effective, and consistent. </w:t>
      </w:r>
      <w:r w:rsidR="005426CD" w:rsidRPr="004C12C9">
        <w:t xml:space="preserve">The </w:t>
      </w:r>
      <w:r w:rsidR="00053E84" w:rsidRPr="004C12C9">
        <w:t xml:space="preserve">calculator </w:t>
      </w:r>
      <w:r w:rsidR="005426CD" w:rsidRPr="004C12C9">
        <w:t>aims to</w:t>
      </w:r>
      <w:r w:rsidR="008C0138" w:rsidRPr="004C12C9">
        <w:t xml:space="preserve"> </w:t>
      </w:r>
      <w:r w:rsidR="001834AB" w:rsidRPr="004C12C9">
        <w:t xml:space="preserve">minimize </w:t>
      </w:r>
      <w:r w:rsidR="008C0138" w:rsidRPr="004C12C9">
        <w:t>both the time and cost of filling out the form</w:t>
      </w:r>
      <w:r w:rsidR="00B266DB" w:rsidRPr="004C12C9">
        <w:t xml:space="preserve"> by providing a single resource </w:t>
      </w:r>
      <w:r w:rsidR="006C0282" w:rsidRPr="004C12C9">
        <w:t xml:space="preserve">and simplified input requirements. </w:t>
      </w:r>
      <w:r w:rsidR="00B27E00" w:rsidRPr="004C12C9">
        <w:t xml:space="preserve">The </w:t>
      </w:r>
      <w:r w:rsidR="00053E84" w:rsidRPr="004C12C9">
        <w:t xml:space="preserve">calculator </w:t>
      </w:r>
      <w:r w:rsidR="00B27E00" w:rsidRPr="004C12C9">
        <w:t xml:space="preserve">also </w:t>
      </w:r>
      <w:r w:rsidR="00536FF5" w:rsidRPr="004C12C9">
        <w:t>aims to increase the</w:t>
      </w:r>
      <w:r w:rsidR="004204DB" w:rsidRPr="004C12C9">
        <w:t xml:space="preserve"> completeness</w:t>
      </w:r>
      <w:r w:rsidR="008810CD" w:rsidRPr="004C12C9">
        <w:t>, accuracy,</w:t>
      </w:r>
      <w:r w:rsidR="004204DB" w:rsidRPr="004C12C9">
        <w:t xml:space="preserve"> </w:t>
      </w:r>
      <w:r w:rsidR="00FA088D" w:rsidRPr="004C12C9">
        <w:t xml:space="preserve">and defensibility </w:t>
      </w:r>
      <w:r w:rsidR="004204DB" w:rsidRPr="004C12C9">
        <w:t xml:space="preserve">of </w:t>
      </w:r>
      <w:r w:rsidR="0031488E" w:rsidRPr="004C12C9">
        <w:t xml:space="preserve">the calculations </w:t>
      </w:r>
      <w:r w:rsidR="00B27E00" w:rsidRPr="004C12C9">
        <w:t xml:space="preserve">through </w:t>
      </w:r>
      <w:r w:rsidR="008810CD" w:rsidRPr="004C12C9">
        <w:t xml:space="preserve">the </w:t>
      </w:r>
      <w:r w:rsidR="00B27E00" w:rsidRPr="004C12C9">
        <w:t xml:space="preserve">standardization of GHG accounting </w:t>
      </w:r>
      <w:r w:rsidR="008810CD" w:rsidRPr="004C12C9">
        <w:t xml:space="preserve">methods </w:t>
      </w:r>
      <w:r w:rsidR="00B27E00" w:rsidRPr="004C12C9">
        <w:t xml:space="preserve">across project types and emission sources. </w:t>
      </w:r>
      <w:r w:rsidR="005B75A5" w:rsidRPr="004C12C9">
        <w:t xml:space="preserve">Finally, </w:t>
      </w:r>
      <w:r w:rsidR="00AE63A8" w:rsidRPr="004C12C9">
        <w:t xml:space="preserve">the </w:t>
      </w:r>
      <w:r w:rsidR="00053E84" w:rsidRPr="004C12C9">
        <w:t xml:space="preserve">calculator </w:t>
      </w:r>
      <w:r w:rsidR="00AE63A8" w:rsidRPr="004C12C9">
        <w:t>can</w:t>
      </w:r>
      <w:r w:rsidR="006E73FE" w:rsidRPr="004C12C9">
        <w:t xml:space="preserve"> support</w:t>
      </w:r>
      <w:r w:rsidR="007D1DA0" w:rsidRPr="004C12C9">
        <w:t xml:space="preserve"> comparison </w:t>
      </w:r>
      <w:r w:rsidR="00A83FA9" w:rsidRPr="004C12C9">
        <w:t>with</w:t>
      </w:r>
      <w:r w:rsidR="007D1DA0" w:rsidRPr="004C12C9">
        <w:t xml:space="preserve"> other similar projects to gain insight </w:t>
      </w:r>
      <w:r w:rsidR="000941BF" w:rsidRPr="004C12C9">
        <w:t>into</w:t>
      </w:r>
      <w:r w:rsidR="007D1DA0" w:rsidRPr="004C12C9">
        <w:t xml:space="preserve"> mitigation and adaptation approaches.</w:t>
      </w:r>
    </w:p>
    <w:p w14:paraId="7DA83D6B" w14:textId="2613E771" w:rsidR="00B606DC" w:rsidRPr="004C12C9" w:rsidRDefault="00B606DC" w:rsidP="005F32A3">
      <w:pPr>
        <w:pStyle w:val="Heading3"/>
      </w:pPr>
      <w:bookmarkStart w:id="31" w:name="_Toc219887762"/>
      <w:r w:rsidRPr="004C12C9">
        <w:t>Approach</w:t>
      </w:r>
      <w:bookmarkEnd w:id="31"/>
    </w:p>
    <w:p w14:paraId="7EF40801" w14:textId="5B5CF289" w:rsidR="00C271DE" w:rsidRPr="004C12C9" w:rsidRDefault="00774ACD" w:rsidP="00774ACD">
      <w:r w:rsidRPr="004C12C9">
        <w:t xml:space="preserve">The </w:t>
      </w:r>
      <w:r w:rsidR="00053E84" w:rsidRPr="004C12C9">
        <w:t xml:space="preserve">calculator </w:t>
      </w:r>
      <w:r w:rsidR="009F0BF7" w:rsidRPr="004C12C9">
        <w:t>was constructed</w:t>
      </w:r>
      <w:r w:rsidRPr="004C12C9">
        <w:t xml:space="preserve"> using a lifecycle analysis (LCA) approach, which quantifies environmental impacts associated with all stages of a product or project lifespan.</w:t>
      </w:r>
      <w:r w:rsidR="003C3CA0">
        <w:rPr>
          <w:rFonts w:ascii="ZWAdobeF" w:hAnsi="ZWAdobeF" w:cs="ZWAdobeF"/>
          <w:sz w:val="2"/>
          <w:szCs w:val="2"/>
        </w:rPr>
        <w:t>0F</w:t>
      </w:r>
      <w:r w:rsidR="00F440F2" w:rsidRPr="004C12C9">
        <w:rPr>
          <w:rStyle w:val="FootnoteReference"/>
        </w:rPr>
        <w:footnoteReference w:id="2"/>
      </w:r>
      <w:r w:rsidRPr="004C12C9">
        <w:t xml:space="preserve"> </w:t>
      </w:r>
      <w:r w:rsidR="00623AA0" w:rsidRPr="004C12C9">
        <w:t>For</w:t>
      </w:r>
      <w:r w:rsidR="00C8129F" w:rsidRPr="004C12C9">
        <w:t xml:space="preserve"> the </w:t>
      </w:r>
      <w:r w:rsidR="00623AA0" w:rsidRPr="004C12C9">
        <w:t>purposes</w:t>
      </w:r>
      <w:r w:rsidR="00C8129F" w:rsidRPr="004C12C9">
        <w:t xml:space="preserve"> of this</w:t>
      </w:r>
      <w:r w:rsidRPr="004C12C9">
        <w:t xml:space="preserve"> </w:t>
      </w:r>
      <w:r w:rsidR="00053E84" w:rsidRPr="004C12C9">
        <w:t>calculator</w:t>
      </w:r>
      <w:r w:rsidR="00C8129F" w:rsidRPr="004C12C9">
        <w:t xml:space="preserve">, the GHG emissions impact of project construction and </w:t>
      </w:r>
      <w:r w:rsidR="00F91A7E" w:rsidRPr="004C12C9">
        <w:t xml:space="preserve">project </w:t>
      </w:r>
      <w:r w:rsidR="00C8129F" w:rsidRPr="004C12C9">
        <w:t xml:space="preserve">operation </w:t>
      </w:r>
      <w:r w:rsidR="00F91A7E" w:rsidRPr="004C12C9">
        <w:t>are ev</w:t>
      </w:r>
      <w:r w:rsidR="004D2CDA" w:rsidRPr="004C12C9">
        <w:t>aluated</w:t>
      </w:r>
      <w:r w:rsidR="00C8129F" w:rsidRPr="004C12C9">
        <w:t>.</w:t>
      </w:r>
      <w:r w:rsidR="003C3CA0">
        <w:rPr>
          <w:rFonts w:ascii="ZWAdobeF" w:hAnsi="ZWAdobeF" w:cs="ZWAdobeF"/>
          <w:sz w:val="2"/>
          <w:szCs w:val="2"/>
        </w:rPr>
        <w:t>1F</w:t>
      </w:r>
      <w:r w:rsidR="000230C7" w:rsidRPr="004C12C9">
        <w:rPr>
          <w:rStyle w:val="FootnoteReference"/>
        </w:rPr>
        <w:footnoteReference w:id="3"/>
      </w:r>
      <w:r w:rsidR="001B18A2" w:rsidRPr="004C12C9">
        <w:t xml:space="preserve"> The </w:t>
      </w:r>
      <w:r w:rsidR="00053E84" w:rsidRPr="004C12C9">
        <w:t xml:space="preserve">calculator </w:t>
      </w:r>
      <w:r w:rsidR="001B18A2" w:rsidRPr="004C12C9">
        <w:t xml:space="preserve">also evaluates the potential for direct and indirect impacts, </w:t>
      </w:r>
      <w:r w:rsidR="000B6FED" w:rsidRPr="004C12C9">
        <w:t xml:space="preserve">where </w:t>
      </w:r>
      <w:r w:rsidR="000B6FED" w:rsidRPr="004C12C9">
        <w:rPr>
          <w:b/>
        </w:rPr>
        <w:t>d</w:t>
      </w:r>
      <w:r w:rsidR="00D15F38" w:rsidRPr="004C12C9">
        <w:rPr>
          <w:b/>
          <w:bCs/>
          <w:szCs w:val="18"/>
        </w:rPr>
        <w:t xml:space="preserve">irect emissions </w:t>
      </w:r>
      <w:r w:rsidR="00D15F38" w:rsidRPr="004C12C9">
        <w:rPr>
          <w:szCs w:val="18"/>
        </w:rPr>
        <w:t>are e</w:t>
      </w:r>
      <w:r w:rsidR="00D15F38" w:rsidRPr="004C12C9">
        <w:rPr>
          <w:rFonts w:cs="Arial"/>
          <w:szCs w:val="18"/>
        </w:rPr>
        <w:t>missions that are caused by project activities that occur on-site</w:t>
      </w:r>
      <w:r w:rsidR="000B6FED" w:rsidRPr="004C12C9">
        <w:rPr>
          <w:rFonts w:cs="Arial"/>
          <w:szCs w:val="18"/>
        </w:rPr>
        <w:t xml:space="preserve">, and </w:t>
      </w:r>
      <w:r w:rsidR="000B6FED" w:rsidRPr="004C12C9">
        <w:rPr>
          <w:rFonts w:cs="Arial"/>
          <w:b/>
          <w:szCs w:val="18"/>
        </w:rPr>
        <w:t>i</w:t>
      </w:r>
      <w:r w:rsidR="00D15F38" w:rsidRPr="004C12C9">
        <w:rPr>
          <w:b/>
          <w:bCs/>
          <w:szCs w:val="18"/>
        </w:rPr>
        <w:t xml:space="preserve">ndirect emissions </w:t>
      </w:r>
      <w:r w:rsidR="00D15F38" w:rsidRPr="004C12C9">
        <w:rPr>
          <w:szCs w:val="18"/>
        </w:rPr>
        <w:t>are e</w:t>
      </w:r>
      <w:r w:rsidR="00D15F38" w:rsidRPr="004C12C9">
        <w:rPr>
          <w:rFonts w:cs="Arial"/>
          <w:szCs w:val="18"/>
        </w:rPr>
        <w:t>missions that occur upstream and downstream of the project</w:t>
      </w:r>
      <w:r w:rsidR="00BC5271" w:rsidRPr="004C12C9">
        <w:rPr>
          <w:rFonts w:cs="Arial"/>
          <w:szCs w:val="18"/>
        </w:rPr>
        <w:t xml:space="preserve"> (e.g., </w:t>
      </w:r>
      <w:r w:rsidR="00481433" w:rsidRPr="004C12C9">
        <w:t>emissions associated with fuel production and other material inputs</w:t>
      </w:r>
      <w:r w:rsidR="00BC5271" w:rsidRPr="004C12C9">
        <w:t>).</w:t>
      </w:r>
    </w:p>
    <w:p w14:paraId="2DD95A4C" w14:textId="5595E468" w:rsidR="005B7DB9" w:rsidRPr="004C12C9" w:rsidRDefault="001316D6" w:rsidP="00774ACD">
      <w:r w:rsidRPr="004C12C9">
        <w:t xml:space="preserve">Our approach to </w:t>
      </w:r>
      <w:r w:rsidR="00C804C9" w:rsidRPr="004C12C9">
        <w:t>develop</w:t>
      </w:r>
      <w:r w:rsidR="00693604" w:rsidRPr="004C12C9">
        <w:t xml:space="preserve">ing the </w:t>
      </w:r>
      <w:r w:rsidR="00011354" w:rsidRPr="004C12C9">
        <w:t xml:space="preserve">calculator </w:t>
      </w:r>
      <w:r w:rsidR="00DF3B9C" w:rsidRPr="004C12C9">
        <w:t xml:space="preserve">involved </w:t>
      </w:r>
      <w:r w:rsidR="00376C1A" w:rsidRPr="004C12C9">
        <w:t xml:space="preserve">an initial scoping </w:t>
      </w:r>
      <w:r w:rsidR="00F66A50" w:rsidRPr="004C12C9">
        <w:t>exercise</w:t>
      </w:r>
      <w:r w:rsidR="0045297E" w:rsidRPr="004C12C9">
        <w:t xml:space="preserve"> to identify </w:t>
      </w:r>
      <w:r w:rsidR="00940BFC" w:rsidRPr="004C12C9">
        <w:t>potential sources of emission</w:t>
      </w:r>
      <w:r w:rsidR="003438EC" w:rsidRPr="004C12C9">
        <w:t>s</w:t>
      </w:r>
      <w:r w:rsidR="003F2377" w:rsidRPr="004C12C9">
        <w:t xml:space="preserve"> that </w:t>
      </w:r>
      <w:r w:rsidR="0008280D" w:rsidRPr="004C12C9">
        <w:t xml:space="preserve">may </w:t>
      </w:r>
      <w:r w:rsidR="00D969A4" w:rsidRPr="004C12C9">
        <w:t>occur</w:t>
      </w:r>
      <w:r w:rsidR="003F2377" w:rsidRPr="004C12C9">
        <w:t xml:space="preserve"> </w:t>
      </w:r>
      <w:r w:rsidR="00AD5975" w:rsidRPr="004C12C9">
        <w:t>as a result of</w:t>
      </w:r>
      <w:r w:rsidR="003F2377" w:rsidRPr="004C12C9">
        <w:t xml:space="preserve"> </w:t>
      </w:r>
      <w:r w:rsidR="0007304D" w:rsidRPr="004C12C9">
        <w:t>a</w:t>
      </w:r>
      <w:r w:rsidR="003F2377" w:rsidRPr="004C12C9">
        <w:t xml:space="preserve"> </w:t>
      </w:r>
      <w:r w:rsidR="009D50C6" w:rsidRPr="004C12C9">
        <w:t>project</w:t>
      </w:r>
      <w:r w:rsidR="002B64C5" w:rsidRPr="004C12C9">
        <w:t xml:space="preserve"> </w:t>
      </w:r>
      <w:r w:rsidR="00716A7D" w:rsidRPr="004C12C9">
        <w:t>across all</w:t>
      </w:r>
      <w:r w:rsidR="002B64C5" w:rsidRPr="004C12C9">
        <w:t xml:space="preserve"> mandatory categor</w:t>
      </w:r>
      <w:r w:rsidR="00716A7D" w:rsidRPr="004C12C9">
        <w:t>ies</w:t>
      </w:r>
      <w:r w:rsidR="002B64C5" w:rsidRPr="004C12C9">
        <w:t xml:space="preserve">. </w:t>
      </w:r>
      <w:r w:rsidR="00552E8E" w:rsidRPr="004C12C9">
        <w:t xml:space="preserve">This effort involved reviewing </w:t>
      </w:r>
      <w:r w:rsidR="0087504F" w:rsidRPr="004C12C9">
        <w:t>various</w:t>
      </w:r>
      <w:r w:rsidR="009A160E" w:rsidRPr="004C12C9">
        <w:t xml:space="preserve"> GHG accounting standards</w:t>
      </w:r>
      <w:r w:rsidR="00D7582E" w:rsidRPr="004C12C9">
        <w:t xml:space="preserve"> and the 39 project categories defined</w:t>
      </w:r>
      <w:r w:rsidR="000E7574" w:rsidRPr="004C12C9">
        <w:t xml:space="preserve"> in the </w:t>
      </w:r>
      <w:hyperlink r:id="rId16" w:history="1">
        <w:r w:rsidR="003E4DB7" w:rsidRPr="004C12C9">
          <w:rPr>
            <w:rStyle w:val="Hyperlink"/>
          </w:rPr>
          <w:t>Minnesota Administrative Rule 4410.4300</w:t>
        </w:r>
      </w:hyperlink>
      <w:r w:rsidR="004B022B" w:rsidRPr="004C12C9">
        <w:t xml:space="preserve">. </w:t>
      </w:r>
      <w:r w:rsidR="00E0621C" w:rsidRPr="004C12C9">
        <w:t xml:space="preserve">Commonalities across </w:t>
      </w:r>
      <w:r w:rsidR="00950983" w:rsidRPr="004C12C9">
        <w:t xml:space="preserve">project categories were also </w:t>
      </w:r>
      <w:r w:rsidR="00311431" w:rsidRPr="004C12C9">
        <w:t>considered</w:t>
      </w:r>
      <w:r w:rsidR="00950983" w:rsidRPr="004C12C9">
        <w:t xml:space="preserve">. </w:t>
      </w:r>
      <w:r w:rsidR="00311431" w:rsidRPr="004C12C9">
        <w:t>Publicly available</w:t>
      </w:r>
      <w:r w:rsidR="008D550B" w:rsidRPr="004C12C9">
        <w:t xml:space="preserve"> </w:t>
      </w:r>
      <w:r w:rsidR="00CC6AB5" w:rsidRPr="004C12C9">
        <w:t>resources</w:t>
      </w:r>
      <w:r w:rsidR="00F14197" w:rsidRPr="004C12C9">
        <w:t xml:space="preserve"> and existing tools</w:t>
      </w:r>
      <w:r w:rsidR="008D550B" w:rsidRPr="004C12C9">
        <w:t xml:space="preserve"> were then reviewed</w:t>
      </w:r>
      <w:r w:rsidR="00341449" w:rsidRPr="004C12C9">
        <w:t xml:space="preserve"> to assess data availability</w:t>
      </w:r>
      <w:r w:rsidR="007F5A9B" w:rsidRPr="004C12C9">
        <w:t xml:space="preserve">. A wide range of </w:t>
      </w:r>
      <w:r w:rsidR="00382AE8" w:rsidRPr="004C12C9">
        <w:t xml:space="preserve">data sources </w:t>
      </w:r>
      <w:r w:rsidR="007F5A9B" w:rsidRPr="004C12C9">
        <w:t>were examined to determine the age, accessibility, and applicability of the data</w:t>
      </w:r>
      <w:r w:rsidR="00246530" w:rsidRPr="004C12C9">
        <w:t xml:space="preserve">, with an </w:t>
      </w:r>
      <w:r w:rsidR="00532DB0" w:rsidRPr="004C12C9">
        <w:t>emphasis on using open-source resources</w:t>
      </w:r>
      <w:r w:rsidR="00184AF3" w:rsidRPr="004C12C9">
        <w:t xml:space="preserve"> to support transparency </w:t>
      </w:r>
      <w:r w:rsidR="00524C6E" w:rsidRPr="004C12C9">
        <w:t>and future updates</w:t>
      </w:r>
      <w:r w:rsidR="007F5A9B" w:rsidRPr="004C12C9">
        <w:t>.</w:t>
      </w:r>
      <w:r w:rsidR="00E41870" w:rsidRPr="004C12C9">
        <w:t xml:space="preserve"> Informed by this </w:t>
      </w:r>
      <w:r w:rsidR="00E466C9" w:rsidRPr="004C12C9">
        <w:t>assessment</w:t>
      </w:r>
      <w:r w:rsidR="00E41870" w:rsidRPr="004C12C9">
        <w:t xml:space="preserve">, </w:t>
      </w:r>
      <w:r w:rsidR="00E466C9" w:rsidRPr="004C12C9">
        <w:t>evaluation criteria were then developed against which to assess the feasibility and value of quantifying each potential emissions source</w:t>
      </w:r>
      <w:r w:rsidR="00222CBE" w:rsidRPr="004C12C9">
        <w:t>.</w:t>
      </w:r>
      <w:r w:rsidR="00F56C86" w:rsidRPr="004C12C9">
        <w:t xml:space="preserve"> Criteria considered</w:t>
      </w:r>
      <w:r w:rsidR="00C0619A" w:rsidRPr="004C12C9">
        <w:t xml:space="preserve"> include</w:t>
      </w:r>
      <w:r w:rsidR="00366BB5" w:rsidRPr="004C12C9">
        <w:t>d</w:t>
      </w:r>
      <w:r w:rsidR="00F87A38" w:rsidRPr="004C12C9">
        <w:t xml:space="preserve"> </w:t>
      </w:r>
      <w:r w:rsidR="00404EE9" w:rsidRPr="004C12C9">
        <w:t xml:space="preserve">the </w:t>
      </w:r>
      <w:r w:rsidR="0038384B" w:rsidRPr="004C12C9">
        <w:t>anticipated</w:t>
      </w:r>
      <w:r w:rsidR="00404EE9" w:rsidRPr="004C12C9">
        <w:t xml:space="preserve"> prevalence and magnitude </w:t>
      </w:r>
      <w:r w:rsidR="00D275BD" w:rsidRPr="004C12C9">
        <w:t>of emissions</w:t>
      </w:r>
      <w:r w:rsidR="008863C6" w:rsidRPr="004C12C9">
        <w:t>,</w:t>
      </w:r>
      <w:r w:rsidR="00F87A38" w:rsidRPr="004C12C9">
        <w:t xml:space="preserve"> the </w:t>
      </w:r>
      <w:r w:rsidR="00991700" w:rsidRPr="004C12C9">
        <w:t>complexity</w:t>
      </w:r>
      <w:r w:rsidR="00F87A38" w:rsidRPr="004C12C9">
        <w:t xml:space="preserve"> </w:t>
      </w:r>
      <w:r w:rsidR="005A03B4" w:rsidRPr="004C12C9">
        <w:t>and feasibility</w:t>
      </w:r>
      <w:r w:rsidR="00F87A38" w:rsidRPr="004C12C9">
        <w:t xml:space="preserve"> </w:t>
      </w:r>
      <w:r w:rsidR="00D16007" w:rsidRPr="004C12C9">
        <w:t>of</w:t>
      </w:r>
      <w:r w:rsidR="00F87A38" w:rsidRPr="004C12C9">
        <w:t xml:space="preserve"> </w:t>
      </w:r>
      <w:r w:rsidR="0021475D" w:rsidRPr="004C12C9">
        <w:t>quantification methods, and</w:t>
      </w:r>
      <w:r w:rsidR="00F87A38" w:rsidRPr="004C12C9">
        <w:t xml:space="preserve"> data availability.</w:t>
      </w:r>
      <w:r w:rsidR="000860EB" w:rsidRPr="004C12C9">
        <w:t xml:space="preserve"> </w:t>
      </w:r>
      <w:r w:rsidR="005B7DB9" w:rsidRPr="004C12C9">
        <w:t xml:space="preserve">Using the evaluation matrix, priority emission sources were identified for inclusion in the </w:t>
      </w:r>
      <w:r w:rsidR="00011354" w:rsidRPr="004C12C9">
        <w:t>calculator</w:t>
      </w:r>
      <w:r w:rsidR="005B7DB9" w:rsidRPr="004C12C9">
        <w:t xml:space="preserve">. </w:t>
      </w:r>
      <w:r w:rsidR="005C395F" w:rsidRPr="004C12C9">
        <w:t>Detailed quantification m</w:t>
      </w:r>
      <w:r w:rsidR="009B3311" w:rsidRPr="004C12C9">
        <w:t xml:space="preserve">ethodologies </w:t>
      </w:r>
      <w:r w:rsidR="005C395F" w:rsidRPr="004C12C9">
        <w:t xml:space="preserve">were </w:t>
      </w:r>
      <w:r w:rsidR="00E95E27" w:rsidRPr="004C12C9">
        <w:t>developed</w:t>
      </w:r>
      <w:r w:rsidR="00C239CB" w:rsidRPr="004C12C9">
        <w:t>, data were collected, and</w:t>
      </w:r>
      <w:r w:rsidR="00E95E27" w:rsidRPr="004C12C9">
        <w:t xml:space="preserve"> </w:t>
      </w:r>
      <w:r w:rsidR="00105951" w:rsidRPr="004C12C9">
        <w:t>the methodologies were refined.</w:t>
      </w:r>
      <w:r w:rsidR="00AB1CCA">
        <w:t xml:space="preserve"> </w:t>
      </w:r>
      <w:r w:rsidR="001A6747">
        <w:t>Where available, t</w:t>
      </w:r>
      <w:r w:rsidR="007721EF">
        <w:t>he calculator relies on d</w:t>
      </w:r>
      <w:r w:rsidR="00AB1CCA">
        <w:t xml:space="preserve">ata </w:t>
      </w:r>
      <w:r w:rsidR="00785D2D">
        <w:t>specific to Minnesota</w:t>
      </w:r>
      <w:r w:rsidR="0015137D">
        <w:t xml:space="preserve">. </w:t>
      </w:r>
      <w:r w:rsidR="00944B58">
        <w:t>In cases whe</w:t>
      </w:r>
      <w:r w:rsidR="004042A3">
        <w:t xml:space="preserve">re Minnesota-specific data were not available, </w:t>
      </w:r>
      <w:r w:rsidR="00DC5BB0">
        <w:t xml:space="preserve">regional or national data </w:t>
      </w:r>
      <w:r w:rsidR="003F16D3">
        <w:t>i</w:t>
      </w:r>
      <w:r w:rsidR="00B20B79">
        <w:t xml:space="preserve">s used. </w:t>
      </w:r>
      <w:r w:rsidR="00AD2E8F">
        <w:t xml:space="preserve">To fill remaining gaps, </w:t>
      </w:r>
      <w:r w:rsidR="003F16D3">
        <w:t xml:space="preserve">the </w:t>
      </w:r>
      <w:r w:rsidR="00C4050C">
        <w:t xml:space="preserve">calculator </w:t>
      </w:r>
      <w:r w:rsidR="003F16D3">
        <w:t xml:space="preserve">relies on </w:t>
      </w:r>
      <w:r w:rsidR="005F7DD4">
        <w:t xml:space="preserve">data from other states </w:t>
      </w:r>
      <w:r w:rsidR="00C4050C">
        <w:t>or international sources</w:t>
      </w:r>
      <w:r w:rsidR="003F16D3">
        <w:t xml:space="preserve">. </w:t>
      </w:r>
    </w:p>
    <w:p w14:paraId="4E3ACFD7" w14:textId="4A83AD53" w:rsidR="0048477B" w:rsidRDefault="0048477B" w:rsidP="00774ACD">
      <w:r w:rsidRPr="004C12C9">
        <w:t xml:space="preserve">A Technical Advisory Team was convened </w:t>
      </w:r>
      <w:r w:rsidR="00032B2D" w:rsidRPr="004C12C9">
        <w:t xml:space="preserve">and </w:t>
      </w:r>
      <w:r w:rsidR="007868B5" w:rsidRPr="004C12C9">
        <w:t xml:space="preserve">met </w:t>
      </w:r>
      <w:r w:rsidR="00A01366" w:rsidRPr="004C12C9">
        <w:t xml:space="preserve">monthly throughout the </w:t>
      </w:r>
      <w:r w:rsidR="004D6C3E">
        <w:t xml:space="preserve">initial </w:t>
      </w:r>
      <w:r w:rsidR="00011354" w:rsidRPr="004C12C9">
        <w:t xml:space="preserve">calculator </w:t>
      </w:r>
      <w:r w:rsidR="00A01366" w:rsidRPr="004C12C9">
        <w:t>development process</w:t>
      </w:r>
      <w:r w:rsidR="00593642" w:rsidRPr="004C12C9">
        <w:t xml:space="preserve"> to provide</w:t>
      </w:r>
      <w:r w:rsidR="008201EA" w:rsidRPr="004C12C9">
        <w:t xml:space="preserve"> continuous review and feedback on interim </w:t>
      </w:r>
      <w:r w:rsidR="005E02D1" w:rsidRPr="004C12C9">
        <w:t>project</w:t>
      </w:r>
      <w:r w:rsidR="0099598E" w:rsidRPr="004C12C9">
        <w:t xml:space="preserve"> de</w:t>
      </w:r>
      <w:r w:rsidR="0020726D" w:rsidRPr="004C12C9">
        <w:t>liverables</w:t>
      </w:r>
      <w:r w:rsidR="007274C5" w:rsidRPr="004C12C9">
        <w:t xml:space="preserve">. </w:t>
      </w:r>
      <w:r w:rsidR="00BB5EB5" w:rsidRPr="004C12C9">
        <w:t xml:space="preserve">Sixteen individuals </w:t>
      </w:r>
      <w:r w:rsidR="007E1A47" w:rsidRPr="004C12C9">
        <w:t xml:space="preserve">from </w:t>
      </w:r>
      <w:r w:rsidR="00335513" w:rsidRPr="004C12C9">
        <w:t xml:space="preserve">state agencies and partnering organizations </w:t>
      </w:r>
      <w:r w:rsidR="00071943" w:rsidRPr="004C12C9">
        <w:t>participated in the</w:t>
      </w:r>
      <w:r w:rsidR="009E6079" w:rsidRPr="004C12C9">
        <w:t xml:space="preserve"> Technical Advisory Team</w:t>
      </w:r>
      <w:r w:rsidR="00852B7A" w:rsidRPr="004C12C9">
        <w:t>. Team members contributed</w:t>
      </w:r>
      <w:r w:rsidR="004A6020" w:rsidRPr="004C12C9">
        <w:t xml:space="preserve"> their expertise</w:t>
      </w:r>
      <w:r w:rsidR="00E76457" w:rsidRPr="004C12C9">
        <w:t xml:space="preserve"> </w:t>
      </w:r>
      <w:r w:rsidR="00A76B2F" w:rsidRPr="004C12C9">
        <w:t>on project scoping</w:t>
      </w:r>
      <w:r w:rsidR="005C1847" w:rsidRPr="004C12C9">
        <w:t xml:space="preserve"> and</w:t>
      </w:r>
      <w:r w:rsidR="00C9102D" w:rsidRPr="004C12C9">
        <w:t xml:space="preserve"> methodology development</w:t>
      </w:r>
      <w:r w:rsidR="0083095A" w:rsidRPr="004C12C9">
        <w:t>.</w:t>
      </w:r>
      <w:r w:rsidR="00C9102D" w:rsidRPr="004C12C9">
        <w:t xml:space="preserve"> </w:t>
      </w:r>
      <w:r w:rsidR="00047922" w:rsidRPr="004C12C9">
        <w:t>In particular, m</w:t>
      </w:r>
      <w:r w:rsidR="00D24C82" w:rsidRPr="004C12C9">
        <w:t>embers</w:t>
      </w:r>
      <w:r w:rsidR="00047922" w:rsidRPr="004C12C9">
        <w:t xml:space="preserve"> </w:t>
      </w:r>
      <w:r w:rsidR="00A9082C" w:rsidRPr="004C12C9">
        <w:t xml:space="preserve">helped </w:t>
      </w:r>
      <w:r w:rsidR="000A4A8E" w:rsidRPr="004C12C9">
        <w:t>identify</w:t>
      </w:r>
      <w:r w:rsidR="00C111AD" w:rsidRPr="004C12C9">
        <w:t xml:space="preserve"> data sources </w:t>
      </w:r>
      <w:r w:rsidR="008705FA" w:rsidRPr="004C12C9">
        <w:t xml:space="preserve">most relevant to Minnesota </w:t>
      </w:r>
      <w:r w:rsidR="00C111AD" w:rsidRPr="004C12C9">
        <w:t>and</w:t>
      </w:r>
      <w:r w:rsidR="0083095A" w:rsidRPr="004C12C9">
        <w:t xml:space="preserve"> </w:t>
      </w:r>
      <w:r w:rsidR="00D81C6F" w:rsidRPr="004C12C9">
        <w:t xml:space="preserve">advised on general approaches, nuances, </w:t>
      </w:r>
      <w:r w:rsidR="00C67885" w:rsidRPr="004C12C9">
        <w:t>and</w:t>
      </w:r>
      <w:r w:rsidR="00D81C6F" w:rsidRPr="004C12C9">
        <w:t xml:space="preserve"> data gaps</w:t>
      </w:r>
      <w:r w:rsidR="00F163BC" w:rsidRPr="004C12C9">
        <w:t>.</w:t>
      </w:r>
      <w:r w:rsidR="00EB6964" w:rsidRPr="004C12C9">
        <w:t xml:space="preserve"> Members also </w:t>
      </w:r>
      <w:r w:rsidR="001169C1" w:rsidRPr="004C12C9">
        <w:t xml:space="preserve">participated in user acceptance testing </w:t>
      </w:r>
      <w:r w:rsidR="00735750" w:rsidRPr="004C12C9">
        <w:t>and review</w:t>
      </w:r>
      <w:r w:rsidR="002C60A4" w:rsidRPr="004C12C9">
        <w:t>ing</w:t>
      </w:r>
      <w:r w:rsidR="001169C1" w:rsidRPr="004C12C9">
        <w:t xml:space="preserve"> the </w:t>
      </w:r>
      <w:r w:rsidR="00F10335" w:rsidRPr="004C12C9">
        <w:t xml:space="preserve">draft </w:t>
      </w:r>
      <w:r w:rsidR="00011354" w:rsidRPr="004C12C9">
        <w:t>calculator</w:t>
      </w:r>
      <w:r w:rsidR="00643F37" w:rsidRPr="004C12C9">
        <w:t>.</w:t>
      </w:r>
    </w:p>
    <w:p w14:paraId="4358EEB0" w14:textId="48FF1A7E" w:rsidR="005F32A3" w:rsidRPr="004C12C9" w:rsidRDefault="005F32A3" w:rsidP="005F32A3">
      <w:pPr>
        <w:pStyle w:val="Heading3"/>
      </w:pPr>
      <w:bookmarkStart w:id="32" w:name="_Ref196380514"/>
      <w:bookmarkStart w:id="33" w:name="_Toc219887763"/>
      <w:r w:rsidRPr="004C12C9">
        <w:lastRenderedPageBreak/>
        <w:t>Scope</w:t>
      </w:r>
      <w:bookmarkEnd w:id="32"/>
      <w:bookmarkEnd w:id="33"/>
    </w:p>
    <w:p w14:paraId="0658B1EB" w14:textId="017C4B4F" w:rsidR="00A20B0B" w:rsidRPr="004C12C9" w:rsidRDefault="00A20B0B" w:rsidP="00A20B0B">
      <w:r w:rsidRPr="004C12C9">
        <w:t>The emissions quantified in th</w:t>
      </w:r>
      <w:r w:rsidR="00AC6A0C" w:rsidRPr="004C12C9">
        <w:t>e</w:t>
      </w:r>
      <w:r w:rsidRPr="004C12C9">
        <w:t xml:space="preserve"> </w:t>
      </w:r>
      <w:r w:rsidR="00011354" w:rsidRPr="004C12C9">
        <w:t xml:space="preserve">calculator </w:t>
      </w:r>
      <w:r w:rsidR="00811688" w:rsidRPr="004C12C9">
        <w:t xml:space="preserve">aim to </w:t>
      </w:r>
      <w:r w:rsidRPr="004C12C9">
        <w:t xml:space="preserve">account for the full GHG impact of a project throughout the construction and operational phases of the project. The </w:t>
      </w:r>
      <w:r w:rsidR="00011354" w:rsidRPr="004C12C9">
        <w:t xml:space="preserve">calculator </w:t>
      </w:r>
      <w:r w:rsidRPr="004C12C9">
        <w:t xml:space="preserve">quantifies emissions from project activities that occur on-site as well as emissions that occur upstream and downstream of the project. The </w:t>
      </w:r>
      <w:r w:rsidR="00011354" w:rsidRPr="004C12C9">
        <w:t xml:space="preserve">calculator </w:t>
      </w:r>
      <w:r w:rsidRPr="004C12C9">
        <w:t>defines and quantifies emissions from 18 sources</w:t>
      </w:r>
      <w:r w:rsidR="00592B35" w:rsidRPr="004C12C9">
        <w:t xml:space="preserve">, as </w:t>
      </w:r>
      <w:r w:rsidR="00066976" w:rsidRPr="004C12C9">
        <w:t xml:space="preserve">shown in </w:t>
      </w:r>
      <w:r w:rsidR="00AF3898">
        <w:fldChar w:fldCharType="begin"/>
      </w:r>
      <w:r w:rsidR="00AF3898">
        <w:instrText xml:space="preserve"> REF _Ref219880056 \h </w:instrText>
      </w:r>
      <w:r w:rsidR="00AF3898">
        <w:fldChar w:fldCharType="separate"/>
      </w:r>
      <w:r w:rsidR="00AF3898" w:rsidRPr="004C12C9">
        <w:t>Exhibit 1</w:t>
      </w:r>
      <w:r w:rsidR="00AF3898" w:rsidRPr="004C12C9">
        <w:noBreakHyphen/>
      </w:r>
      <w:r w:rsidR="00AF3898">
        <w:rPr>
          <w:noProof/>
        </w:rPr>
        <w:t>2</w:t>
      </w:r>
      <w:r w:rsidR="00AF3898">
        <w:fldChar w:fldCharType="end"/>
      </w:r>
      <w:r w:rsidR="00AF3898">
        <w:t xml:space="preserve"> </w:t>
      </w:r>
      <w:r w:rsidR="00066976" w:rsidRPr="004C12C9">
        <w:t xml:space="preserve">and </w:t>
      </w:r>
      <w:r w:rsidR="00592B35" w:rsidRPr="004C12C9">
        <w:t xml:space="preserve">summarized in </w:t>
      </w:r>
      <w:r w:rsidR="00BC3E32" w:rsidRPr="004C12C9">
        <w:fldChar w:fldCharType="begin" w:fldLock="1"/>
      </w:r>
      <w:r w:rsidR="00BC3E32" w:rsidRPr="004C12C9">
        <w:instrText xml:space="preserve"> REF _Ref195688016 \h </w:instrText>
      </w:r>
      <w:r w:rsidR="00BC3E32" w:rsidRPr="004C12C9">
        <w:fldChar w:fldCharType="separate"/>
      </w:r>
      <w:r w:rsidR="00127094" w:rsidRPr="004C12C9">
        <w:t>Table 1</w:t>
      </w:r>
      <w:r w:rsidR="00127094" w:rsidRPr="004C12C9">
        <w:noBreakHyphen/>
        <w:t>1</w:t>
      </w:r>
      <w:r w:rsidR="00BC3E32" w:rsidRPr="004C12C9">
        <w:fldChar w:fldCharType="end"/>
      </w:r>
      <w:r w:rsidR="00592B35" w:rsidRPr="004C12C9">
        <w:t>.</w:t>
      </w:r>
      <w:r w:rsidR="0016064F" w:rsidRPr="004C12C9">
        <w:t xml:space="preserve"> </w:t>
      </w:r>
    </w:p>
    <w:p w14:paraId="36838B0A" w14:textId="18A9217B" w:rsidR="00066976" w:rsidRPr="004C12C9" w:rsidRDefault="00AF3898" w:rsidP="00066976">
      <w:pPr>
        <w:pStyle w:val="Caption"/>
      </w:pPr>
      <w:bookmarkStart w:id="34" w:name="_Ref219880056"/>
      <w:r w:rsidRPr="004C12C9">
        <w:t xml:space="preserve">Exhibit </w:t>
      </w:r>
      <w:r w:rsidRPr="004C12C9">
        <w:fldChar w:fldCharType="begin" w:fldLock="1"/>
      </w:r>
      <w:r w:rsidRPr="004C12C9">
        <w:instrText xml:space="preserve"> STYLEREF 2 \s </w:instrText>
      </w:r>
      <w:r w:rsidRPr="004C12C9">
        <w:fldChar w:fldCharType="separate"/>
      </w:r>
      <w:r w:rsidRPr="004C12C9">
        <w:t>1</w:t>
      </w:r>
      <w:r w:rsidRPr="004C12C9">
        <w:fldChar w:fldCharType="end"/>
      </w:r>
      <w:r w:rsidRPr="004C12C9">
        <w:noBreakHyphen/>
      </w:r>
      <w:r>
        <w:fldChar w:fldCharType="begin"/>
      </w:r>
      <w:r>
        <w:instrText xml:space="preserve"> SEQ Exhibit \* ARABIC \s 2 </w:instrText>
      </w:r>
      <w:r>
        <w:fldChar w:fldCharType="separate"/>
      </w:r>
      <w:r>
        <w:rPr>
          <w:noProof/>
        </w:rPr>
        <w:t>2</w:t>
      </w:r>
      <w:r>
        <w:fldChar w:fldCharType="end"/>
      </w:r>
      <w:bookmarkEnd w:id="34"/>
      <w:r w:rsidRPr="004C12C9">
        <w:t xml:space="preserve">. </w:t>
      </w:r>
      <w:r w:rsidR="00B43E5A" w:rsidRPr="004C12C9">
        <w:t>Scope of the Minnesota Climate Calculator</w:t>
      </w:r>
    </w:p>
    <w:p w14:paraId="72DD7FFA" w14:textId="5DEAA1C5" w:rsidR="00066976" w:rsidRPr="004C12C9" w:rsidRDefault="00677DFD" w:rsidP="00A20B0B">
      <w:r w:rsidRPr="004C12C9">
        <w:rPr>
          <w:noProof/>
        </w:rPr>
        <w:drawing>
          <wp:inline distT="0" distB="0" distL="0" distR="0" wp14:anchorId="0D4CFD01" wp14:editId="6E9444D2">
            <wp:extent cx="6400800" cy="2764790"/>
            <wp:effectExtent l="0" t="0" r="0" b="0"/>
            <wp:docPr id="7" name="Picture 6" descr="A diagram of a process&#10;&#10;AI-generated content may be incorrect.">
              <a:extLst xmlns:a="http://schemas.openxmlformats.org/drawingml/2006/main">
                <a:ext uri="{FF2B5EF4-FFF2-40B4-BE49-F238E27FC236}">
                  <a16:creationId xmlns:a16="http://schemas.microsoft.com/office/drawing/2014/main" id="{7C228984-9C2A-51C5-4ACC-725C5BF1A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process&#10;&#10;AI-generated content may be incorrect.">
                      <a:extLst>
                        <a:ext uri="{FF2B5EF4-FFF2-40B4-BE49-F238E27FC236}">
                          <a16:creationId xmlns:a16="http://schemas.microsoft.com/office/drawing/2014/main" id="{7C228984-9C2A-51C5-4ACC-725C5BF1A6EB}"/>
                        </a:ext>
                      </a:extLst>
                    </pic:cNvPr>
                    <pic:cNvPicPr>
                      <a:picLocks noChangeAspect="1"/>
                    </pic:cNvPicPr>
                  </pic:nvPicPr>
                  <pic:blipFill>
                    <a:blip r:embed="rId17"/>
                    <a:stretch>
                      <a:fillRect/>
                    </a:stretch>
                  </pic:blipFill>
                  <pic:spPr>
                    <a:xfrm>
                      <a:off x="0" y="0"/>
                      <a:ext cx="6400800" cy="2764790"/>
                    </a:xfrm>
                    <a:prstGeom prst="rect">
                      <a:avLst/>
                    </a:prstGeom>
                  </pic:spPr>
                </pic:pic>
              </a:graphicData>
            </a:graphic>
          </wp:inline>
        </w:drawing>
      </w:r>
    </w:p>
    <w:p w14:paraId="4FE79CEF" w14:textId="0EFF5662" w:rsidR="00592B35" w:rsidRPr="004C12C9" w:rsidRDefault="00592B35" w:rsidP="00592B35">
      <w:pPr>
        <w:pStyle w:val="Caption"/>
      </w:pPr>
      <w:bookmarkStart w:id="35" w:name="_Ref195688016"/>
      <w:r w:rsidRPr="004C12C9">
        <w:t xml:space="preserve">Table </w:t>
      </w:r>
      <w:r w:rsidR="00F72B41">
        <w:fldChar w:fldCharType="begin"/>
      </w:r>
      <w:r w:rsidR="00F72B41">
        <w:instrText xml:space="preserve"> STYLEREF 2 \s </w:instrText>
      </w:r>
      <w:r w:rsidR="00F72B41">
        <w:fldChar w:fldCharType="separate"/>
      </w:r>
      <w:r w:rsidR="00F72B41">
        <w:rPr>
          <w:noProof/>
        </w:rPr>
        <w:t>1</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w:t>
      </w:r>
      <w:r w:rsidR="00F72B41">
        <w:fldChar w:fldCharType="end"/>
      </w:r>
      <w:bookmarkEnd w:id="35"/>
      <w:r w:rsidR="00BC3E32" w:rsidRPr="004C12C9">
        <w:t>.</w:t>
      </w:r>
      <w:r w:rsidRPr="004C12C9">
        <w:t xml:space="preserve"> </w:t>
      </w:r>
      <w:r w:rsidR="00DC2BD3" w:rsidRPr="004C12C9">
        <w:t xml:space="preserve">Emission Sources Included in the </w:t>
      </w:r>
      <w:r w:rsidR="007A55B5" w:rsidRPr="004C12C9">
        <w:t xml:space="preserve">Climate </w:t>
      </w:r>
      <w:r w:rsidR="00011354" w:rsidRPr="004C12C9">
        <w:t>Calculator</w:t>
      </w:r>
    </w:p>
    <w:tbl>
      <w:tblPr>
        <w:tblW w:w="5000" w:type="pct"/>
        <w:tblInd w:w="-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7"/>
        <w:gridCol w:w="7913"/>
      </w:tblGrid>
      <w:tr w:rsidR="00C01094" w:rsidRPr="004C12C9" w14:paraId="5B9C8CFF" w14:textId="77777777" w:rsidTr="00BF7ACD">
        <w:trPr>
          <w:trHeight w:val="305"/>
          <w:tblHeader/>
        </w:trPr>
        <w:tc>
          <w:tcPr>
            <w:tcW w:w="1071" w:type="pct"/>
            <w:shd w:val="clear" w:color="auto" w:fill="A8A8A0" w:themeFill="background2" w:themeFillShade="BF"/>
          </w:tcPr>
          <w:p w14:paraId="7A2D6857" w14:textId="74BD4CAE" w:rsidR="00DC2BD3" w:rsidRPr="004C12C9" w:rsidRDefault="00DC2BD3" w:rsidP="00DC2BD3">
            <w:pPr>
              <w:pStyle w:val="ICFTableHeading"/>
              <w:rPr>
                <w:szCs w:val="22"/>
              </w:rPr>
            </w:pPr>
            <w:r w:rsidRPr="004C12C9">
              <w:rPr>
                <w:szCs w:val="22"/>
              </w:rPr>
              <w:t>Emissions Source</w:t>
            </w:r>
          </w:p>
        </w:tc>
        <w:tc>
          <w:tcPr>
            <w:tcW w:w="3929" w:type="pct"/>
            <w:shd w:val="clear" w:color="auto" w:fill="A8A8A0" w:themeFill="background2" w:themeFillShade="BF"/>
          </w:tcPr>
          <w:p w14:paraId="3B08CC90" w14:textId="53A327C5" w:rsidR="00DC2BD3" w:rsidRPr="004C12C9" w:rsidRDefault="00DC2BD3" w:rsidP="00DC2BD3">
            <w:pPr>
              <w:pStyle w:val="ICFTableHeading"/>
              <w:rPr>
                <w:szCs w:val="22"/>
              </w:rPr>
            </w:pPr>
            <w:r w:rsidRPr="004C12C9">
              <w:rPr>
                <w:szCs w:val="22"/>
              </w:rPr>
              <w:t>Description</w:t>
            </w:r>
          </w:p>
        </w:tc>
      </w:tr>
      <w:tr w:rsidR="00540AD1" w:rsidRPr="004C12C9" w14:paraId="4D945A70" w14:textId="77777777" w:rsidTr="00BD22B7">
        <w:trPr>
          <w:trHeight w:val="305"/>
        </w:trPr>
        <w:tc>
          <w:tcPr>
            <w:tcW w:w="5000" w:type="pct"/>
            <w:gridSpan w:val="2"/>
            <w:shd w:val="clear" w:color="auto" w:fill="F2F2F2" w:themeFill="background1" w:themeFillShade="F2"/>
            <w:vAlign w:val="center"/>
          </w:tcPr>
          <w:p w14:paraId="14BA63D3" w14:textId="15F0F277" w:rsidR="00BD22B7" w:rsidRPr="004C12C9" w:rsidRDefault="00BD22B7" w:rsidP="00BD22B7">
            <w:pPr>
              <w:pStyle w:val="ICFTableHeading"/>
              <w:jc w:val="left"/>
              <w:rPr>
                <w:szCs w:val="22"/>
              </w:rPr>
            </w:pPr>
            <w:r w:rsidRPr="004C12C9">
              <w:rPr>
                <w:szCs w:val="22"/>
              </w:rPr>
              <w:t>Construction</w:t>
            </w:r>
          </w:p>
        </w:tc>
      </w:tr>
      <w:tr w:rsidR="00972D79" w:rsidRPr="004C12C9" w14:paraId="1BA34E12" w14:textId="77777777" w:rsidTr="000843A7">
        <w:trPr>
          <w:trHeight w:val="720"/>
        </w:trPr>
        <w:tc>
          <w:tcPr>
            <w:tcW w:w="1071" w:type="pct"/>
            <w:vAlign w:val="center"/>
          </w:tcPr>
          <w:p w14:paraId="1FDA06ED" w14:textId="4873F3E2" w:rsidR="00A436D8" w:rsidRPr="004C12C9" w:rsidRDefault="00A436D8" w:rsidP="000843A7">
            <w:pPr>
              <w:pStyle w:val="ICFTabletext"/>
              <w:rPr>
                <w:szCs w:val="22"/>
              </w:rPr>
            </w:pPr>
            <w:r w:rsidRPr="004C12C9">
              <w:rPr>
                <w:szCs w:val="22"/>
              </w:rPr>
              <w:t>Material inputs</w:t>
            </w:r>
          </w:p>
        </w:tc>
        <w:tc>
          <w:tcPr>
            <w:tcW w:w="3929" w:type="pct"/>
          </w:tcPr>
          <w:p w14:paraId="0A488858" w14:textId="43D7DE92" w:rsidR="00A436D8" w:rsidRPr="004C12C9" w:rsidRDefault="00A436D8" w:rsidP="00BD22B7">
            <w:pPr>
              <w:pStyle w:val="ICFTabletext"/>
              <w:rPr>
                <w:szCs w:val="22"/>
              </w:rPr>
            </w:pPr>
            <w:r w:rsidRPr="004C12C9">
              <w:rPr>
                <w:szCs w:val="22"/>
              </w:rPr>
              <w:t>Emissions associated with the production of materials used during the construction phase of the project, including the extraction of raw materials, the transportation of raw materials to the manufacturing site, and the manufacturing of materials.</w:t>
            </w:r>
          </w:p>
        </w:tc>
      </w:tr>
      <w:tr w:rsidR="00972D79" w:rsidRPr="004C12C9" w14:paraId="6DB3BBEC" w14:textId="77777777" w:rsidTr="000843A7">
        <w:trPr>
          <w:trHeight w:val="720"/>
        </w:trPr>
        <w:tc>
          <w:tcPr>
            <w:tcW w:w="1071" w:type="pct"/>
            <w:vAlign w:val="center"/>
          </w:tcPr>
          <w:p w14:paraId="62F6C18F" w14:textId="5A5CF2F8" w:rsidR="00A436D8" w:rsidRPr="004C12C9" w:rsidRDefault="00A436D8" w:rsidP="000843A7">
            <w:pPr>
              <w:pStyle w:val="ICFTabletext"/>
              <w:rPr>
                <w:szCs w:val="22"/>
              </w:rPr>
            </w:pPr>
            <w:r w:rsidRPr="004C12C9">
              <w:rPr>
                <w:szCs w:val="22"/>
              </w:rPr>
              <w:t>Transportation of material inputs</w:t>
            </w:r>
          </w:p>
        </w:tc>
        <w:tc>
          <w:tcPr>
            <w:tcW w:w="3929" w:type="pct"/>
          </w:tcPr>
          <w:p w14:paraId="2F6C6D8E" w14:textId="43542978" w:rsidR="00A436D8" w:rsidRPr="004C12C9" w:rsidRDefault="00A436D8" w:rsidP="00BD22B7">
            <w:pPr>
              <w:pStyle w:val="ICFTabletext"/>
              <w:rPr>
                <w:szCs w:val="22"/>
              </w:rPr>
            </w:pPr>
            <w:r w:rsidRPr="004C12C9">
              <w:rPr>
                <w:szCs w:val="22"/>
              </w:rPr>
              <w:t>Emissions that result from transportation of construction materials from the manufacturing facility location to the project site (for use or installation) during the construction phase of the project.</w:t>
            </w:r>
          </w:p>
        </w:tc>
      </w:tr>
      <w:tr w:rsidR="00972D79" w:rsidRPr="004C12C9" w14:paraId="202D13BF" w14:textId="77777777" w:rsidTr="000843A7">
        <w:trPr>
          <w:trHeight w:val="720"/>
        </w:trPr>
        <w:tc>
          <w:tcPr>
            <w:tcW w:w="1071" w:type="pct"/>
            <w:vAlign w:val="center"/>
          </w:tcPr>
          <w:p w14:paraId="15D30149" w14:textId="07B88AF0" w:rsidR="00A436D8" w:rsidRPr="004C12C9" w:rsidRDefault="00A436D8" w:rsidP="000843A7">
            <w:pPr>
              <w:pStyle w:val="ICFTabletext"/>
              <w:rPr>
                <w:szCs w:val="22"/>
              </w:rPr>
            </w:pPr>
            <w:r w:rsidRPr="004C12C9">
              <w:rPr>
                <w:szCs w:val="22"/>
              </w:rPr>
              <w:t>Employee commuting</w:t>
            </w:r>
          </w:p>
        </w:tc>
        <w:tc>
          <w:tcPr>
            <w:tcW w:w="3929" w:type="pct"/>
          </w:tcPr>
          <w:p w14:paraId="5AE50CE8" w14:textId="474431B0" w:rsidR="00A436D8" w:rsidRPr="004C12C9" w:rsidRDefault="00A436D8" w:rsidP="00BD22B7">
            <w:pPr>
              <w:pStyle w:val="ICFTabletext"/>
              <w:rPr>
                <w:szCs w:val="22"/>
              </w:rPr>
            </w:pPr>
            <w:r w:rsidRPr="004C12C9">
              <w:rPr>
                <w:szCs w:val="22"/>
              </w:rPr>
              <w:t>Emissions that result from employees commuting to the project site during the construction phase of the project.</w:t>
            </w:r>
          </w:p>
        </w:tc>
      </w:tr>
      <w:tr w:rsidR="00972D79" w:rsidRPr="004C12C9" w14:paraId="4E0D1737" w14:textId="77777777" w:rsidTr="000843A7">
        <w:trPr>
          <w:trHeight w:val="720"/>
        </w:trPr>
        <w:tc>
          <w:tcPr>
            <w:tcW w:w="1071" w:type="pct"/>
            <w:vAlign w:val="center"/>
          </w:tcPr>
          <w:p w14:paraId="5D25C61F" w14:textId="4DB6C77E" w:rsidR="00A436D8" w:rsidRPr="004C12C9" w:rsidRDefault="00A436D8" w:rsidP="000843A7">
            <w:pPr>
              <w:pStyle w:val="ICFTabletext"/>
              <w:rPr>
                <w:szCs w:val="22"/>
              </w:rPr>
            </w:pPr>
            <w:r w:rsidRPr="004C12C9">
              <w:rPr>
                <w:szCs w:val="22"/>
              </w:rPr>
              <w:t>Construction equipment</w:t>
            </w:r>
          </w:p>
        </w:tc>
        <w:tc>
          <w:tcPr>
            <w:tcW w:w="3929" w:type="pct"/>
          </w:tcPr>
          <w:p w14:paraId="0D2E8E13" w14:textId="15F46AC8" w:rsidR="00A436D8" w:rsidRPr="004C12C9" w:rsidRDefault="00A436D8" w:rsidP="00BD22B7">
            <w:pPr>
              <w:pStyle w:val="ICFTabletext"/>
              <w:rPr>
                <w:szCs w:val="22"/>
              </w:rPr>
            </w:pPr>
            <w:r w:rsidRPr="004C12C9">
              <w:rPr>
                <w:szCs w:val="22"/>
              </w:rPr>
              <w:t>Emissions from electricity and fuel used in off-road construction equipment (e.g., dozers, excavators, loaders, generators, etc.) during the construction phase.</w:t>
            </w:r>
          </w:p>
        </w:tc>
      </w:tr>
      <w:tr w:rsidR="00972D79" w:rsidRPr="004C12C9" w14:paraId="43026BE4" w14:textId="77777777" w:rsidTr="000843A7">
        <w:trPr>
          <w:trHeight w:val="720"/>
        </w:trPr>
        <w:tc>
          <w:tcPr>
            <w:tcW w:w="1071" w:type="pct"/>
            <w:vAlign w:val="center"/>
          </w:tcPr>
          <w:p w14:paraId="7AE79F92" w14:textId="7810105A" w:rsidR="00A436D8" w:rsidRPr="004C12C9" w:rsidRDefault="00A436D8" w:rsidP="000843A7">
            <w:pPr>
              <w:pStyle w:val="ICFTabletext"/>
              <w:rPr>
                <w:szCs w:val="22"/>
              </w:rPr>
            </w:pPr>
            <w:r w:rsidRPr="004C12C9">
              <w:rPr>
                <w:szCs w:val="22"/>
              </w:rPr>
              <w:t xml:space="preserve">Land use change </w:t>
            </w:r>
          </w:p>
        </w:tc>
        <w:tc>
          <w:tcPr>
            <w:tcW w:w="3929" w:type="pct"/>
          </w:tcPr>
          <w:p w14:paraId="22E19449" w14:textId="127AE5FB" w:rsidR="00A436D8" w:rsidRPr="004C12C9" w:rsidRDefault="00A436D8" w:rsidP="00BD22B7">
            <w:pPr>
              <w:pStyle w:val="ICFTabletext"/>
              <w:rPr>
                <w:szCs w:val="22"/>
              </w:rPr>
            </w:pPr>
            <w:r w:rsidRPr="004C12C9">
              <w:rPr>
                <w:szCs w:val="22"/>
              </w:rPr>
              <w:t>The net carbon change from the transition of one land use type to another due to project construction.</w:t>
            </w:r>
          </w:p>
        </w:tc>
      </w:tr>
      <w:tr w:rsidR="00972D79" w:rsidRPr="004C12C9" w14:paraId="1760EED3" w14:textId="77777777" w:rsidTr="000843A7">
        <w:trPr>
          <w:trHeight w:val="720"/>
        </w:trPr>
        <w:tc>
          <w:tcPr>
            <w:tcW w:w="1071" w:type="pct"/>
            <w:vAlign w:val="center"/>
          </w:tcPr>
          <w:p w14:paraId="1E381AE8" w14:textId="1B5035E6" w:rsidR="00A436D8" w:rsidRPr="004C12C9" w:rsidRDefault="00A436D8" w:rsidP="000843A7">
            <w:pPr>
              <w:pStyle w:val="ICFTabletext"/>
              <w:rPr>
                <w:szCs w:val="22"/>
              </w:rPr>
            </w:pPr>
            <w:r w:rsidRPr="004C12C9">
              <w:rPr>
                <w:szCs w:val="22"/>
              </w:rPr>
              <w:lastRenderedPageBreak/>
              <w:t>Construction waste</w:t>
            </w:r>
          </w:p>
        </w:tc>
        <w:tc>
          <w:tcPr>
            <w:tcW w:w="3929" w:type="pct"/>
          </w:tcPr>
          <w:p w14:paraId="696D0B8C" w14:textId="43688BE7" w:rsidR="00A436D8" w:rsidRPr="004C12C9" w:rsidRDefault="00A436D8" w:rsidP="00BD22B7">
            <w:pPr>
              <w:pStyle w:val="ICFTabletext"/>
              <w:rPr>
                <w:szCs w:val="22"/>
              </w:rPr>
            </w:pPr>
            <w:r w:rsidRPr="004C12C9">
              <w:rPr>
                <w:szCs w:val="22"/>
              </w:rPr>
              <w:t>Emissions from the transportation and treatment of waste generated during construction that is treated (e.g., landfilled) at a facility off-site.</w:t>
            </w:r>
          </w:p>
        </w:tc>
      </w:tr>
      <w:tr w:rsidR="00540AD1" w:rsidRPr="004C12C9" w14:paraId="4969588D" w14:textId="77777777" w:rsidTr="00BD22B7">
        <w:trPr>
          <w:trHeight w:val="305"/>
        </w:trPr>
        <w:tc>
          <w:tcPr>
            <w:tcW w:w="5000" w:type="pct"/>
            <w:gridSpan w:val="2"/>
            <w:shd w:val="clear" w:color="auto" w:fill="F2F2F2" w:themeFill="background1" w:themeFillShade="F2"/>
            <w:vAlign w:val="center"/>
          </w:tcPr>
          <w:p w14:paraId="60B98D29" w14:textId="497FDD52" w:rsidR="00BD22B7" w:rsidRPr="004C12C9" w:rsidRDefault="00BD22B7">
            <w:pPr>
              <w:pStyle w:val="ICFTableHeading"/>
              <w:jc w:val="left"/>
              <w:rPr>
                <w:szCs w:val="22"/>
              </w:rPr>
            </w:pPr>
            <w:r w:rsidRPr="004C12C9">
              <w:rPr>
                <w:szCs w:val="22"/>
              </w:rPr>
              <w:t>Operation</w:t>
            </w:r>
          </w:p>
        </w:tc>
      </w:tr>
      <w:tr w:rsidR="00972D79" w:rsidRPr="004C12C9" w14:paraId="3822875D" w14:textId="77777777" w:rsidTr="000843A7">
        <w:trPr>
          <w:trHeight w:val="720"/>
        </w:trPr>
        <w:tc>
          <w:tcPr>
            <w:tcW w:w="1071" w:type="pct"/>
            <w:vAlign w:val="center"/>
          </w:tcPr>
          <w:p w14:paraId="18F907BC" w14:textId="3E5C5CA7" w:rsidR="00A436D8" w:rsidRPr="004C12C9" w:rsidRDefault="00BD22B7" w:rsidP="000843A7">
            <w:pPr>
              <w:pStyle w:val="ICFTabletext"/>
              <w:rPr>
                <w:szCs w:val="22"/>
              </w:rPr>
            </w:pPr>
            <w:r w:rsidRPr="004C12C9">
              <w:rPr>
                <w:szCs w:val="22"/>
              </w:rPr>
              <w:t>Building energy consumption</w:t>
            </w:r>
          </w:p>
        </w:tc>
        <w:tc>
          <w:tcPr>
            <w:tcW w:w="3929" w:type="pct"/>
          </w:tcPr>
          <w:p w14:paraId="24AA6647" w14:textId="04407C86" w:rsidR="00A436D8" w:rsidRPr="004C12C9" w:rsidRDefault="00BD22B7" w:rsidP="00A436D8">
            <w:pPr>
              <w:pStyle w:val="ICFTabletext"/>
              <w:rPr>
                <w:szCs w:val="22"/>
              </w:rPr>
            </w:pPr>
            <w:r w:rsidRPr="004C12C9">
              <w:rPr>
                <w:szCs w:val="22"/>
              </w:rPr>
              <w:t>Emissions from a project’s building energy consumption during the operational phase of the project. This includes on-site combustion of fuels (e.g., natural gas) as well as emissions from the generation of electricity consumed on-site.</w:t>
            </w:r>
          </w:p>
        </w:tc>
      </w:tr>
      <w:tr w:rsidR="00972D79" w:rsidRPr="004C12C9" w14:paraId="2CED2BA0" w14:textId="77777777" w:rsidTr="000843A7">
        <w:trPr>
          <w:trHeight w:val="720"/>
        </w:trPr>
        <w:tc>
          <w:tcPr>
            <w:tcW w:w="1071" w:type="pct"/>
            <w:vAlign w:val="center"/>
          </w:tcPr>
          <w:p w14:paraId="50262F1D" w14:textId="35266952" w:rsidR="00A436D8" w:rsidRPr="004C12C9" w:rsidRDefault="00BD22B7" w:rsidP="000843A7">
            <w:pPr>
              <w:pStyle w:val="ICFTabletext"/>
              <w:rPr>
                <w:szCs w:val="22"/>
              </w:rPr>
            </w:pPr>
            <w:r w:rsidRPr="004C12C9">
              <w:rPr>
                <w:szCs w:val="22"/>
              </w:rPr>
              <w:t>Coal production</w:t>
            </w:r>
          </w:p>
        </w:tc>
        <w:tc>
          <w:tcPr>
            <w:tcW w:w="3929" w:type="pct"/>
          </w:tcPr>
          <w:p w14:paraId="63EA41DA" w14:textId="451FDAB4" w:rsidR="00A436D8" w:rsidRPr="004C12C9" w:rsidRDefault="00BD22B7" w:rsidP="00A436D8">
            <w:pPr>
              <w:pStyle w:val="ICFTabletext"/>
              <w:rPr>
                <w:szCs w:val="22"/>
              </w:rPr>
            </w:pPr>
            <w:r w:rsidRPr="004C12C9">
              <w:rPr>
                <w:szCs w:val="22"/>
              </w:rPr>
              <w:t>Emissions from the increased delivery of coal including upstream fugitive and direct emissions from the processing, storage, and transportation of coal as well as direct combustion emissions.</w:t>
            </w:r>
          </w:p>
        </w:tc>
      </w:tr>
      <w:tr w:rsidR="00972D79" w:rsidRPr="004C12C9" w14:paraId="0B36689A" w14:textId="77777777" w:rsidTr="000843A7">
        <w:trPr>
          <w:trHeight w:val="720"/>
        </w:trPr>
        <w:tc>
          <w:tcPr>
            <w:tcW w:w="1071" w:type="pct"/>
            <w:vAlign w:val="center"/>
          </w:tcPr>
          <w:p w14:paraId="0DB504D7" w14:textId="204471BC" w:rsidR="0098015D" w:rsidRPr="004C12C9" w:rsidRDefault="0098015D" w:rsidP="000843A7">
            <w:pPr>
              <w:pStyle w:val="ICFTabletext"/>
              <w:rPr>
                <w:szCs w:val="22"/>
              </w:rPr>
            </w:pPr>
            <w:r w:rsidRPr="004C12C9">
              <w:rPr>
                <w:szCs w:val="22"/>
              </w:rPr>
              <w:t>Natural gas and oil products</w:t>
            </w:r>
          </w:p>
        </w:tc>
        <w:tc>
          <w:tcPr>
            <w:tcW w:w="3929" w:type="pct"/>
          </w:tcPr>
          <w:p w14:paraId="7487723C" w14:textId="005CD957" w:rsidR="0098015D" w:rsidRPr="004C12C9" w:rsidRDefault="0098015D" w:rsidP="0098015D">
            <w:pPr>
              <w:pStyle w:val="ICFTabletext"/>
              <w:rPr>
                <w:szCs w:val="22"/>
              </w:rPr>
            </w:pPr>
            <w:r w:rsidRPr="004C12C9">
              <w:rPr>
                <w:szCs w:val="22"/>
              </w:rPr>
              <w:t>Emissions from the increased delivery of natural gas and oil products, including upstream fugitive and direct emissions from production, transmission, and distribution as well as direct combustion emissions.</w:t>
            </w:r>
          </w:p>
        </w:tc>
      </w:tr>
      <w:tr w:rsidR="00972D79" w:rsidRPr="004C12C9" w14:paraId="0D883786" w14:textId="77777777" w:rsidTr="000843A7">
        <w:trPr>
          <w:trHeight w:val="720"/>
        </w:trPr>
        <w:tc>
          <w:tcPr>
            <w:tcW w:w="1071" w:type="pct"/>
            <w:vAlign w:val="center"/>
          </w:tcPr>
          <w:p w14:paraId="61D9C2D9" w14:textId="207842E1" w:rsidR="0098015D" w:rsidRPr="004C12C9" w:rsidRDefault="0098015D" w:rsidP="000843A7">
            <w:pPr>
              <w:pStyle w:val="ICFTabletext"/>
              <w:rPr>
                <w:szCs w:val="22"/>
              </w:rPr>
            </w:pPr>
            <w:r w:rsidRPr="004C12C9">
              <w:rPr>
                <w:szCs w:val="22"/>
              </w:rPr>
              <w:t>Industrial process</w:t>
            </w:r>
            <w:r w:rsidR="00D35F16" w:rsidRPr="004C12C9">
              <w:rPr>
                <w:szCs w:val="22"/>
              </w:rPr>
              <w:t>es</w:t>
            </w:r>
          </w:p>
        </w:tc>
        <w:tc>
          <w:tcPr>
            <w:tcW w:w="3929" w:type="pct"/>
          </w:tcPr>
          <w:p w14:paraId="7A14DDA7" w14:textId="1BB42146" w:rsidR="0098015D" w:rsidRPr="004C12C9" w:rsidRDefault="0098015D" w:rsidP="0098015D">
            <w:pPr>
              <w:pStyle w:val="ICFTabletext"/>
              <w:rPr>
                <w:szCs w:val="22"/>
              </w:rPr>
            </w:pPr>
            <w:r w:rsidRPr="004C12C9">
              <w:rPr>
                <w:szCs w:val="22"/>
              </w:rPr>
              <w:t>Emissions from the production of metals, minerals, chemicals, and other industrial activities.</w:t>
            </w:r>
            <w:r w:rsidR="00F50F91" w:rsidRPr="004C12C9">
              <w:rPr>
                <w:szCs w:val="22"/>
              </w:rPr>
              <w:t xml:space="preserve"> This includes</w:t>
            </w:r>
            <w:r w:rsidR="0091649D" w:rsidRPr="004C12C9">
              <w:rPr>
                <w:szCs w:val="22"/>
              </w:rPr>
              <w:t xml:space="preserve"> emissions associated with the extraction of raw materials, their transportation to the industrial site, and the </w:t>
            </w:r>
            <w:r w:rsidR="0091649D" w:rsidRPr="004C12C9" w:rsidDel="00D31B0A">
              <w:rPr>
                <w:szCs w:val="22"/>
              </w:rPr>
              <w:t xml:space="preserve">manufacturing </w:t>
            </w:r>
            <w:r w:rsidR="0091649D" w:rsidRPr="004C12C9">
              <w:rPr>
                <w:szCs w:val="22"/>
              </w:rPr>
              <w:t>process (including</w:t>
            </w:r>
            <w:r w:rsidR="00F50F91" w:rsidRPr="004C12C9">
              <w:rPr>
                <w:szCs w:val="22"/>
              </w:rPr>
              <w:t xml:space="preserve"> </w:t>
            </w:r>
            <w:r w:rsidR="0091649D" w:rsidRPr="004C12C9">
              <w:rPr>
                <w:szCs w:val="22"/>
              </w:rPr>
              <w:t>process emissions)</w:t>
            </w:r>
            <w:r w:rsidR="00087C44" w:rsidRPr="004C12C9">
              <w:rPr>
                <w:szCs w:val="22"/>
              </w:rPr>
              <w:t>.</w:t>
            </w:r>
          </w:p>
        </w:tc>
      </w:tr>
      <w:tr w:rsidR="00972D79" w:rsidRPr="004C12C9" w14:paraId="4DF3D31B" w14:textId="77777777" w:rsidTr="000843A7">
        <w:trPr>
          <w:trHeight w:val="720"/>
        </w:trPr>
        <w:tc>
          <w:tcPr>
            <w:tcW w:w="1071" w:type="pct"/>
            <w:vAlign w:val="center"/>
          </w:tcPr>
          <w:p w14:paraId="333D58BF" w14:textId="5DB1175B" w:rsidR="0098015D" w:rsidRPr="004C12C9" w:rsidRDefault="0098015D" w:rsidP="000843A7">
            <w:pPr>
              <w:pStyle w:val="ICFTabletext"/>
              <w:rPr>
                <w:szCs w:val="22"/>
              </w:rPr>
            </w:pPr>
            <w:r w:rsidRPr="004C12C9">
              <w:rPr>
                <w:szCs w:val="22"/>
              </w:rPr>
              <w:t>Land use change</w:t>
            </w:r>
          </w:p>
        </w:tc>
        <w:tc>
          <w:tcPr>
            <w:tcW w:w="3929" w:type="pct"/>
          </w:tcPr>
          <w:p w14:paraId="53826F47" w14:textId="4AD68624" w:rsidR="0098015D" w:rsidRPr="004C12C9" w:rsidRDefault="0098015D" w:rsidP="0098015D">
            <w:pPr>
              <w:pStyle w:val="ICFTabletext"/>
              <w:rPr>
                <w:szCs w:val="22"/>
              </w:rPr>
            </w:pPr>
            <w:r w:rsidRPr="004C12C9">
              <w:rPr>
                <w:szCs w:val="22"/>
              </w:rPr>
              <w:t>The net carbon change from the transition of one land use type to another due to project operation.</w:t>
            </w:r>
          </w:p>
        </w:tc>
      </w:tr>
      <w:tr w:rsidR="00972D79" w:rsidRPr="004C12C9" w14:paraId="78F99807" w14:textId="77777777" w:rsidTr="000843A7">
        <w:trPr>
          <w:trHeight w:val="720"/>
        </w:trPr>
        <w:tc>
          <w:tcPr>
            <w:tcW w:w="1071" w:type="pct"/>
            <w:vAlign w:val="center"/>
          </w:tcPr>
          <w:p w14:paraId="4C140AFB" w14:textId="182E3024" w:rsidR="0098015D" w:rsidRPr="004C12C9" w:rsidRDefault="0098015D" w:rsidP="000843A7">
            <w:pPr>
              <w:pStyle w:val="ICFTabletext"/>
              <w:rPr>
                <w:szCs w:val="22"/>
              </w:rPr>
            </w:pPr>
            <w:r w:rsidRPr="004C12C9">
              <w:rPr>
                <w:szCs w:val="22"/>
              </w:rPr>
              <w:t>HFC leakage</w:t>
            </w:r>
          </w:p>
        </w:tc>
        <w:tc>
          <w:tcPr>
            <w:tcW w:w="3929" w:type="pct"/>
          </w:tcPr>
          <w:p w14:paraId="37F62516" w14:textId="51DD246C" w:rsidR="0098015D" w:rsidRPr="004C12C9" w:rsidRDefault="0098015D" w:rsidP="0098015D">
            <w:pPr>
              <w:pStyle w:val="ICFTabletext"/>
              <w:rPr>
                <w:szCs w:val="22"/>
              </w:rPr>
            </w:pPr>
            <w:r w:rsidRPr="004C12C9">
              <w:rPr>
                <w:szCs w:val="22"/>
              </w:rPr>
              <w:t>Emissions from hydrofluorocarbons (HFCs) that are used in air conditioning and refrigeration equipment during project operation. Leakage occurs from this equipment during installation, operation (including servicing), and disposal.</w:t>
            </w:r>
          </w:p>
        </w:tc>
      </w:tr>
      <w:tr w:rsidR="00972D79" w:rsidRPr="004C12C9" w14:paraId="007C1C90" w14:textId="77777777" w:rsidTr="000843A7">
        <w:trPr>
          <w:trHeight w:val="720"/>
        </w:trPr>
        <w:tc>
          <w:tcPr>
            <w:tcW w:w="1071" w:type="pct"/>
            <w:vAlign w:val="center"/>
          </w:tcPr>
          <w:p w14:paraId="76B549A2" w14:textId="1846BB16" w:rsidR="0098015D" w:rsidRPr="004C12C9" w:rsidRDefault="00754AC4" w:rsidP="000843A7">
            <w:pPr>
              <w:pStyle w:val="ICFTabletext"/>
              <w:rPr>
                <w:szCs w:val="22"/>
              </w:rPr>
            </w:pPr>
            <w:r w:rsidRPr="004C12C9">
              <w:rPr>
                <w:szCs w:val="22"/>
              </w:rPr>
              <w:t>On-road vehicles</w:t>
            </w:r>
          </w:p>
        </w:tc>
        <w:tc>
          <w:tcPr>
            <w:tcW w:w="3929" w:type="pct"/>
          </w:tcPr>
          <w:p w14:paraId="23D6BF78" w14:textId="52E46ED0" w:rsidR="0098015D" w:rsidRPr="004C12C9" w:rsidRDefault="00754AC4" w:rsidP="0098015D">
            <w:pPr>
              <w:pStyle w:val="ICFTabletext"/>
              <w:rPr>
                <w:szCs w:val="22"/>
              </w:rPr>
            </w:pPr>
            <w:r w:rsidRPr="004C12C9">
              <w:rPr>
                <w:szCs w:val="22"/>
              </w:rPr>
              <w:t>Emissions from on-road vehicles that are used during operation. This includes emissions generated on-site from vehicles that are driven on project roadways and downstream from vehicles driven to and from the project site by visitors or residents.</w:t>
            </w:r>
          </w:p>
        </w:tc>
      </w:tr>
      <w:tr w:rsidR="00972D79" w:rsidRPr="004C12C9" w14:paraId="5A95B2E4" w14:textId="77777777" w:rsidTr="000843A7">
        <w:trPr>
          <w:trHeight w:val="720"/>
        </w:trPr>
        <w:tc>
          <w:tcPr>
            <w:tcW w:w="1071" w:type="pct"/>
            <w:vAlign w:val="center"/>
          </w:tcPr>
          <w:p w14:paraId="514B3574" w14:textId="7967015D" w:rsidR="0098015D" w:rsidRPr="004C12C9" w:rsidRDefault="00754AC4" w:rsidP="000843A7">
            <w:pPr>
              <w:pStyle w:val="ICFTabletext"/>
              <w:rPr>
                <w:szCs w:val="22"/>
              </w:rPr>
            </w:pPr>
            <w:r w:rsidRPr="004C12C9">
              <w:rPr>
                <w:szCs w:val="22"/>
              </w:rPr>
              <w:t>Treatment of waste on-site</w:t>
            </w:r>
          </w:p>
        </w:tc>
        <w:tc>
          <w:tcPr>
            <w:tcW w:w="3929" w:type="pct"/>
          </w:tcPr>
          <w:p w14:paraId="4D4E9422" w14:textId="6ECD9E35" w:rsidR="0098015D" w:rsidRPr="004C12C9" w:rsidRDefault="00754AC4" w:rsidP="0098015D">
            <w:pPr>
              <w:pStyle w:val="ICFTabletext"/>
              <w:rPr>
                <w:szCs w:val="22"/>
              </w:rPr>
            </w:pPr>
            <w:r w:rsidRPr="004C12C9">
              <w:rPr>
                <w:szCs w:val="22"/>
              </w:rPr>
              <w:t>Emissions from the on-site treatment of waste during project operations. This emissions source is applicable to landfills, waste incineration facilities, composting facilities, and anaerobic digesters.</w:t>
            </w:r>
          </w:p>
        </w:tc>
      </w:tr>
      <w:tr w:rsidR="00972D79" w:rsidRPr="004C12C9" w14:paraId="51DE2952" w14:textId="77777777" w:rsidTr="000843A7">
        <w:trPr>
          <w:trHeight w:val="720"/>
        </w:trPr>
        <w:tc>
          <w:tcPr>
            <w:tcW w:w="1071" w:type="pct"/>
            <w:vAlign w:val="center"/>
          </w:tcPr>
          <w:p w14:paraId="4AD6C840" w14:textId="2D2B1DDD" w:rsidR="0098015D" w:rsidRPr="004C12C9" w:rsidRDefault="00754AC4" w:rsidP="000843A7">
            <w:pPr>
              <w:pStyle w:val="ICFTabletext"/>
              <w:rPr>
                <w:szCs w:val="22"/>
              </w:rPr>
            </w:pPr>
            <w:r w:rsidRPr="004C12C9">
              <w:rPr>
                <w:szCs w:val="22"/>
              </w:rPr>
              <w:t>Treatment of wastewater on-site</w:t>
            </w:r>
          </w:p>
        </w:tc>
        <w:tc>
          <w:tcPr>
            <w:tcW w:w="3929" w:type="pct"/>
          </w:tcPr>
          <w:p w14:paraId="2CCD0FA6" w14:textId="06568BEA" w:rsidR="0098015D" w:rsidRPr="004C12C9" w:rsidRDefault="00754AC4" w:rsidP="0075560A">
            <w:pPr>
              <w:pStyle w:val="ICFTabletext"/>
              <w:rPr>
                <w:szCs w:val="22"/>
              </w:rPr>
            </w:pPr>
            <w:r w:rsidRPr="004C12C9">
              <w:rPr>
                <w:szCs w:val="22"/>
              </w:rPr>
              <w:t>Emissions from municipal and industrial wastewater treatment plants</w:t>
            </w:r>
            <w:r w:rsidR="0095120F">
              <w:rPr>
                <w:szCs w:val="22"/>
              </w:rPr>
              <w:t>,</w:t>
            </w:r>
            <w:r w:rsidRPr="004C12C9">
              <w:rPr>
                <w:szCs w:val="22"/>
              </w:rPr>
              <w:t xml:space="preserve"> including direct methane</w:t>
            </w:r>
            <w:r w:rsidR="00E7522D">
              <w:rPr>
                <w:szCs w:val="22"/>
              </w:rPr>
              <w:t xml:space="preserve"> and</w:t>
            </w:r>
            <w:r w:rsidR="00C23832">
              <w:rPr>
                <w:szCs w:val="22"/>
              </w:rPr>
              <w:t xml:space="preserve"> nitrous oxide emissions</w:t>
            </w:r>
            <w:r w:rsidRPr="004C12C9">
              <w:rPr>
                <w:szCs w:val="22"/>
              </w:rPr>
              <w:t xml:space="preserve"> from</w:t>
            </w:r>
            <w:r w:rsidR="0083477F" w:rsidRPr="004C12C9">
              <w:rPr>
                <w:szCs w:val="22"/>
              </w:rPr>
              <w:t xml:space="preserve"> the wastewater treatment process and indirect nitrous oxide emissions from wastewater effluent.</w:t>
            </w:r>
          </w:p>
        </w:tc>
      </w:tr>
      <w:tr w:rsidR="00972D79" w:rsidRPr="004C12C9" w14:paraId="453782EB" w14:textId="77777777" w:rsidTr="000843A7">
        <w:trPr>
          <w:trHeight w:val="720"/>
        </w:trPr>
        <w:tc>
          <w:tcPr>
            <w:tcW w:w="1071" w:type="pct"/>
            <w:vAlign w:val="center"/>
          </w:tcPr>
          <w:p w14:paraId="2D7DA57F" w14:textId="38CE68B0" w:rsidR="00A10177" w:rsidRPr="004C12C9" w:rsidRDefault="00CC0D65" w:rsidP="000843A7">
            <w:pPr>
              <w:pStyle w:val="ICFTabletext"/>
              <w:rPr>
                <w:szCs w:val="22"/>
              </w:rPr>
            </w:pPr>
            <w:r w:rsidRPr="004C12C9">
              <w:rPr>
                <w:szCs w:val="22"/>
              </w:rPr>
              <w:t>Treatment of waste off-site</w:t>
            </w:r>
          </w:p>
        </w:tc>
        <w:tc>
          <w:tcPr>
            <w:tcW w:w="3929" w:type="pct"/>
          </w:tcPr>
          <w:p w14:paraId="4842C976" w14:textId="2882E706" w:rsidR="00A10177" w:rsidRPr="004C12C9" w:rsidRDefault="00CC0D65" w:rsidP="0098015D">
            <w:pPr>
              <w:pStyle w:val="ICFTabletext"/>
              <w:rPr>
                <w:szCs w:val="22"/>
              </w:rPr>
            </w:pPr>
            <w:r w:rsidRPr="004C12C9">
              <w:rPr>
                <w:szCs w:val="22"/>
              </w:rPr>
              <w:t>Emissions from the transportation and treatment of waste generated during project operation that is treated (e.g.,</w:t>
            </w:r>
            <w:r w:rsidR="0045137F" w:rsidRPr="004C12C9">
              <w:rPr>
                <w:szCs w:val="22"/>
              </w:rPr>
              <w:t xml:space="preserve"> landfilled, combusted) at a facility off-site.</w:t>
            </w:r>
          </w:p>
        </w:tc>
      </w:tr>
      <w:tr w:rsidR="00972D79" w:rsidRPr="004C12C9" w14:paraId="1946AFC3" w14:textId="77777777" w:rsidTr="000843A7">
        <w:trPr>
          <w:trHeight w:val="720"/>
        </w:trPr>
        <w:tc>
          <w:tcPr>
            <w:tcW w:w="1071" w:type="pct"/>
            <w:vAlign w:val="center"/>
          </w:tcPr>
          <w:p w14:paraId="680D70F8" w14:textId="46A01D1E" w:rsidR="00274918" w:rsidRPr="004C12C9" w:rsidRDefault="00274918" w:rsidP="000843A7">
            <w:pPr>
              <w:pStyle w:val="ICFTabletext"/>
              <w:rPr>
                <w:szCs w:val="22"/>
              </w:rPr>
            </w:pPr>
            <w:r w:rsidRPr="004C12C9">
              <w:rPr>
                <w:szCs w:val="22"/>
              </w:rPr>
              <w:t>Enteric fermentation</w:t>
            </w:r>
          </w:p>
        </w:tc>
        <w:tc>
          <w:tcPr>
            <w:tcW w:w="3929" w:type="pct"/>
          </w:tcPr>
          <w:p w14:paraId="66B3C2D7" w14:textId="724FCE61" w:rsidR="00274918" w:rsidRPr="004C12C9" w:rsidRDefault="00274918" w:rsidP="00274918">
            <w:pPr>
              <w:pStyle w:val="ICFTabletext"/>
              <w:rPr>
                <w:szCs w:val="22"/>
              </w:rPr>
            </w:pPr>
            <w:r w:rsidRPr="004C12C9">
              <w:rPr>
                <w:szCs w:val="22"/>
              </w:rPr>
              <w:t>Emissions from enteric fermentation, or the digestive process of ruminant livestock, during project operation.</w:t>
            </w:r>
          </w:p>
        </w:tc>
      </w:tr>
      <w:tr w:rsidR="00972D79" w:rsidRPr="004C12C9" w14:paraId="1AA682C6" w14:textId="77777777" w:rsidTr="000843A7">
        <w:trPr>
          <w:trHeight w:val="720"/>
        </w:trPr>
        <w:tc>
          <w:tcPr>
            <w:tcW w:w="1071" w:type="pct"/>
            <w:vAlign w:val="center"/>
          </w:tcPr>
          <w:p w14:paraId="63911566" w14:textId="56CC0CEE" w:rsidR="00274918" w:rsidRPr="004C12C9" w:rsidRDefault="00274918" w:rsidP="000843A7">
            <w:pPr>
              <w:pStyle w:val="ICFTabletext"/>
              <w:rPr>
                <w:szCs w:val="22"/>
              </w:rPr>
            </w:pPr>
            <w:r w:rsidRPr="004C12C9">
              <w:rPr>
                <w:szCs w:val="22"/>
              </w:rPr>
              <w:t>Manure management</w:t>
            </w:r>
          </w:p>
        </w:tc>
        <w:tc>
          <w:tcPr>
            <w:tcW w:w="3929" w:type="pct"/>
          </w:tcPr>
          <w:p w14:paraId="4FEEE3D0" w14:textId="4732AA86" w:rsidR="00274918" w:rsidRPr="004C12C9" w:rsidRDefault="00274918" w:rsidP="00274918">
            <w:pPr>
              <w:pStyle w:val="ICFTabletext"/>
              <w:rPr>
                <w:szCs w:val="22"/>
              </w:rPr>
            </w:pPr>
            <w:r w:rsidRPr="004C12C9">
              <w:rPr>
                <w:szCs w:val="22"/>
              </w:rPr>
              <w:t xml:space="preserve">Emissions from the process of managing livestock manure in solid or liquid systems during project operation, including </w:t>
            </w:r>
            <w:r w:rsidR="00610465" w:rsidRPr="004C12C9">
              <w:rPr>
                <w:szCs w:val="22"/>
              </w:rPr>
              <w:t xml:space="preserve">direct and indirect </w:t>
            </w:r>
            <w:r w:rsidR="001C4B31" w:rsidRPr="004C12C9">
              <w:rPr>
                <w:szCs w:val="22"/>
              </w:rPr>
              <w:t>emissions from managed manure and pasture</w:t>
            </w:r>
            <w:r w:rsidR="007A0512" w:rsidRPr="004C12C9">
              <w:rPr>
                <w:szCs w:val="22"/>
              </w:rPr>
              <w:t xml:space="preserve"> </w:t>
            </w:r>
            <w:r w:rsidR="00B31628" w:rsidRPr="004C12C9">
              <w:rPr>
                <w:szCs w:val="22"/>
              </w:rPr>
              <w:t>and the land application of manure</w:t>
            </w:r>
            <w:r w:rsidR="00610465" w:rsidRPr="004C12C9">
              <w:rPr>
                <w:szCs w:val="22"/>
              </w:rPr>
              <w:t>.</w:t>
            </w:r>
          </w:p>
        </w:tc>
      </w:tr>
    </w:tbl>
    <w:p w14:paraId="0D4EC1AE" w14:textId="2CC4956C" w:rsidR="00865CB2" w:rsidRPr="004C12C9" w:rsidRDefault="00F77E93" w:rsidP="00F77E93">
      <w:pPr>
        <w:pStyle w:val="Heading4"/>
      </w:pPr>
      <w:bookmarkStart w:id="36" w:name="_Ref196380762"/>
      <w:bookmarkStart w:id="37" w:name="_Ref196833601"/>
      <w:r w:rsidRPr="004C12C9">
        <w:lastRenderedPageBreak/>
        <w:t xml:space="preserve">Emission Sources </w:t>
      </w:r>
      <w:r w:rsidR="00B43E5A" w:rsidRPr="004C12C9">
        <w:t>Not Included in</w:t>
      </w:r>
      <w:r w:rsidRPr="004C12C9">
        <w:t xml:space="preserve"> the </w:t>
      </w:r>
      <w:r w:rsidR="00AE5895" w:rsidRPr="004C12C9">
        <w:t xml:space="preserve">Climate </w:t>
      </w:r>
      <w:r w:rsidR="00011354" w:rsidRPr="004C12C9">
        <w:t>Calculator</w:t>
      </w:r>
    </w:p>
    <w:p w14:paraId="66331291" w14:textId="77777777" w:rsidR="00B65EF4" w:rsidRPr="004C12C9" w:rsidRDefault="00221058" w:rsidP="00110951">
      <w:r w:rsidRPr="004C12C9">
        <w:t xml:space="preserve">The applicability and degree of impact of each emissions source is heavily dependent on the specific project. Users of the </w:t>
      </w:r>
      <w:r w:rsidR="00011354" w:rsidRPr="004C12C9">
        <w:t xml:space="preserve">calculator </w:t>
      </w:r>
      <w:r w:rsidR="00974892" w:rsidRPr="004C12C9">
        <w:t xml:space="preserve">are encouraged to </w:t>
      </w:r>
      <w:r w:rsidRPr="004C12C9">
        <w:t xml:space="preserve">also assess and consider disclosing </w:t>
      </w:r>
      <w:r w:rsidR="0088712F" w:rsidRPr="004C12C9">
        <w:t>emissions from</w:t>
      </w:r>
      <w:r w:rsidRPr="004C12C9">
        <w:t xml:space="preserve"> sources not covered by the </w:t>
      </w:r>
      <w:r w:rsidR="00011354" w:rsidRPr="004C12C9">
        <w:t xml:space="preserve">calculator </w:t>
      </w:r>
      <w:r w:rsidRPr="004C12C9">
        <w:t xml:space="preserve">in their assessment of GHG emissions impact, to the extent possible. </w:t>
      </w:r>
      <w:r w:rsidR="00B22E13" w:rsidRPr="004C12C9">
        <w:t xml:space="preserve">Emission sources that are not </w:t>
      </w:r>
      <w:r w:rsidR="00111811" w:rsidRPr="004C12C9">
        <w:t xml:space="preserve">quantified in the </w:t>
      </w:r>
      <w:r w:rsidR="00011354" w:rsidRPr="004C12C9">
        <w:t xml:space="preserve">calculator </w:t>
      </w:r>
      <w:r w:rsidR="00111811" w:rsidRPr="004C12C9">
        <w:t>include</w:t>
      </w:r>
      <w:r w:rsidR="00B65EF4" w:rsidRPr="004C12C9">
        <w:t>:</w:t>
      </w:r>
    </w:p>
    <w:p w14:paraId="050410F9" w14:textId="77777777" w:rsidR="00B65EF4" w:rsidRPr="004C12C9" w:rsidRDefault="00186F20" w:rsidP="003B5F7F">
      <w:pPr>
        <w:pStyle w:val="ListParagraph"/>
        <w:numPr>
          <w:ilvl w:val="0"/>
          <w:numId w:val="46"/>
        </w:numPr>
      </w:pPr>
      <w:r w:rsidRPr="004C12C9">
        <w:t>operational</w:t>
      </w:r>
      <w:r w:rsidR="00B22E13" w:rsidRPr="004C12C9">
        <w:t xml:space="preserve"> material inputs and transportation of material inputs; </w:t>
      </w:r>
    </w:p>
    <w:p w14:paraId="47C2F586" w14:textId="77777777" w:rsidR="00B65EF4" w:rsidRPr="004C12C9" w:rsidRDefault="00235DD6" w:rsidP="003B5F7F">
      <w:pPr>
        <w:pStyle w:val="ListParagraph"/>
        <w:numPr>
          <w:ilvl w:val="0"/>
          <w:numId w:val="46"/>
        </w:numPr>
      </w:pPr>
      <w:r w:rsidRPr="004C12C9">
        <w:t>sulfur hexafluoride (</w:t>
      </w:r>
      <w:r w:rsidR="00B22E13" w:rsidRPr="004C12C9">
        <w:t>SF</w:t>
      </w:r>
      <w:r w:rsidR="00B22E13" w:rsidRPr="004C12C9">
        <w:rPr>
          <w:vertAlign w:val="subscript"/>
        </w:rPr>
        <w:t>6</w:t>
      </w:r>
      <w:r w:rsidRPr="004C12C9">
        <w:t>)</w:t>
      </w:r>
      <w:r w:rsidR="00B22E13" w:rsidRPr="004C12C9">
        <w:t xml:space="preserve"> emissions from </w:t>
      </w:r>
      <w:r w:rsidR="004259E7" w:rsidRPr="004C12C9">
        <w:t>electrical</w:t>
      </w:r>
      <w:r w:rsidR="00B22E13" w:rsidRPr="004C12C9">
        <w:t xml:space="preserve"> transmission and distribution equipment; </w:t>
      </w:r>
    </w:p>
    <w:p w14:paraId="6B3EF469" w14:textId="77777777" w:rsidR="00B65EF4" w:rsidRPr="004C12C9" w:rsidRDefault="00B22E13" w:rsidP="003B5F7F">
      <w:pPr>
        <w:pStyle w:val="ListParagraph"/>
        <w:numPr>
          <w:ilvl w:val="0"/>
          <w:numId w:val="46"/>
        </w:numPr>
      </w:pPr>
      <w:r w:rsidRPr="004C12C9">
        <w:t xml:space="preserve">employee commuting during project operation; </w:t>
      </w:r>
    </w:p>
    <w:p w14:paraId="6E3E5F1D" w14:textId="77777777" w:rsidR="00B65EF4" w:rsidRPr="004C12C9" w:rsidRDefault="00604353" w:rsidP="003B5F7F">
      <w:pPr>
        <w:pStyle w:val="ListParagraph"/>
        <w:numPr>
          <w:ilvl w:val="0"/>
          <w:numId w:val="46"/>
        </w:numPr>
      </w:pPr>
      <w:r w:rsidRPr="004C12C9">
        <w:t xml:space="preserve">operational </w:t>
      </w:r>
      <w:r w:rsidR="00B22E13" w:rsidRPr="004C12C9">
        <w:t xml:space="preserve">maintenance activities; </w:t>
      </w:r>
    </w:p>
    <w:p w14:paraId="7FAA5317" w14:textId="77777777" w:rsidR="00B65EF4" w:rsidRPr="004C12C9" w:rsidRDefault="00B22E13" w:rsidP="003B5F7F">
      <w:pPr>
        <w:pStyle w:val="ListParagraph"/>
        <w:numPr>
          <w:ilvl w:val="0"/>
          <w:numId w:val="46"/>
        </w:numPr>
      </w:pPr>
      <w:r w:rsidRPr="004C12C9">
        <w:t>changes in off-road vehicle, aircraft, or watercraft usage</w:t>
      </w:r>
      <w:r w:rsidR="001E0744" w:rsidRPr="004C12C9">
        <w:t xml:space="preserve"> during project operation</w:t>
      </w:r>
      <w:r w:rsidRPr="004C12C9">
        <w:t xml:space="preserve">; and </w:t>
      </w:r>
    </w:p>
    <w:p w14:paraId="06547A38" w14:textId="7A4C3040" w:rsidR="00B65EF4" w:rsidRPr="004C12C9" w:rsidRDefault="00B22E13" w:rsidP="003B5F7F">
      <w:pPr>
        <w:pStyle w:val="ListParagraph"/>
        <w:numPr>
          <w:ilvl w:val="0"/>
          <w:numId w:val="46"/>
        </w:numPr>
      </w:pPr>
      <w:r w:rsidRPr="004C12C9">
        <w:t>consumption of products generated.</w:t>
      </w:r>
      <w:r w:rsidR="008F4187" w:rsidRPr="004C12C9">
        <w:t xml:space="preserve"> </w:t>
      </w:r>
    </w:p>
    <w:p w14:paraId="19007EA6" w14:textId="6C54A540" w:rsidR="009B67AF" w:rsidRDefault="007316FF" w:rsidP="00B65EF4">
      <w:r w:rsidRPr="004C12C9">
        <w:t>These</w:t>
      </w:r>
      <w:r w:rsidR="00221058" w:rsidRPr="004C12C9">
        <w:t xml:space="preserve"> emission sources were deprioritized due to </w:t>
      </w:r>
      <w:r w:rsidR="00751891" w:rsidRPr="004C12C9">
        <w:t>resource</w:t>
      </w:r>
      <w:r w:rsidR="00221058" w:rsidRPr="004C12C9">
        <w:t xml:space="preserve"> constraints and other factors such as difficulty in defining activities, expected magnitude of emissions, applicability across project types, and feasibility of accurate quantification</w:t>
      </w:r>
      <w:r w:rsidR="00890280" w:rsidRPr="004C12C9">
        <w:t>.</w:t>
      </w:r>
    </w:p>
    <w:p w14:paraId="1DCE86A0" w14:textId="3DE52D42" w:rsidR="004B69EF" w:rsidRDefault="004B69EF" w:rsidP="00F616DE">
      <w:pPr>
        <w:pStyle w:val="Heading3"/>
      </w:pPr>
      <w:bookmarkStart w:id="38" w:name="_Toc219887764"/>
      <w:r>
        <w:t>Version History</w:t>
      </w:r>
      <w:bookmarkEnd w:id="38"/>
    </w:p>
    <w:p w14:paraId="3B978EFD" w14:textId="0A76543F" w:rsidR="005F2773" w:rsidRDefault="002233F6" w:rsidP="004B69EF">
      <w:r>
        <w:t>Since the initial release of the calculator in July 2025</w:t>
      </w:r>
      <w:r w:rsidR="002F444E">
        <w:t xml:space="preserve">, </w:t>
      </w:r>
      <w:r w:rsidR="0025209A">
        <w:t xml:space="preserve">updates have been </w:t>
      </w:r>
      <w:r w:rsidR="002A3B8F">
        <w:t>implemented to refine</w:t>
      </w:r>
      <w:r w:rsidR="0079295F">
        <w:t xml:space="preserve"> assumptions and </w:t>
      </w:r>
      <w:r w:rsidR="004502F0">
        <w:t xml:space="preserve">expand </w:t>
      </w:r>
      <w:r w:rsidR="0079295F">
        <w:t xml:space="preserve">the capabilities of the calculator. </w:t>
      </w:r>
      <w:r w:rsidR="004B69EF">
        <w:t xml:space="preserve"> </w:t>
      </w:r>
      <w:r w:rsidR="0079295F">
        <w:t>A summary</w:t>
      </w:r>
      <w:r w:rsidR="005F2773">
        <w:t xml:space="preserve"> of changes </w:t>
      </w:r>
      <w:r w:rsidR="003145BA">
        <w:t>is</w:t>
      </w:r>
      <w:r w:rsidR="005F2773">
        <w:t xml:space="preserve"> detailed in</w:t>
      </w:r>
      <w:r w:rsidR="00826BB1">
        <w:t xml:space="preserve"> </w:t>
      </w:r>
      <w:r w:rsidR="00826BB1">
        <w:fldChar w:fldCharType="begin"/>
      </w:r>
      <w:r w:rsidR="00826BB1">
        <w:instrText xml:space="preserve"> REF _Ref219812592 \h </w:instrText>
      </w:r>
      <w:r w:rsidR="00826BB1">
        <w:fldChar w:fldCharType="separate"/>
      </w:r>
      <w:r w:rsidR="00826BB1" w:rsidRPr="004C12C9">
        <w:t xml:space="preserve">Table </w:t>
      </w:r>
      <w:r w:rsidR="00826BB1">
        <w:rPr>
          <w:noProof/>
        </w:rPr>
        <w:t>1</w:t>
      </w:r>
      <w:r w:rsidR="00826BB1">
        <w:noBreakHyphen/>
      </w:r>
      <w:r w:rsidR="00826BB1">
        <w:rPr>
          <w:noProof/>
        </w:rPr>
        <w:t>2</w:t>
      </w:r>
      <w:r w:rsidR="00826BB1">
        <w:fldChar w:fldCharType="end"/>
      </w:r>
      <w:r w:rsidR="005F2773">
        <w:t>.</w:t>
      </w:r>
    </w:p>
    <w:p w14:paraId="5FA197C7" w14:textId="788ABD57" w:rsidR="003145BA" w:rsidRPr="004C12C9" w:rsidRDefault="003145BA" w:rsidP="003145BA">
      <w:pPr>
        <w:pStyle w:val="Caption"/>
      </w:pPr>
      <w:bookmarkStart w:id="39" w:name="_Ref219812592"/>
      <w:r w:rsidRPr="004C12C9">
        <w:t xml:space="preserve">Table </w:t>
      </w:r>
      <w:r>
        <w:fldChar w:fldCharType="begin"/>
      </w:r>
      <w:r>
        <w:instrText xml:space="preserve"> STYLEREF 2 \s </w:instrText>
      </w:r>
      <w:r>
        <w:fldChar w:fldCharType="separate"/>
      </w:r>
      <w:r>
        <w:rPr>
          <w:noProof/>
        </w:rPr>
        <w:t>1</w:t>
      </w:r>
      <w:r>
        <w:fldChar w:fldCharType="end"/>
      </w:r>
      <w:r>
        <w:noBreakHyphen/>
      </w:r>
      <w:r>
        <w:fldChar w:fldCharType="begin"/>
      </w:r>
      <w:r>
        <w:instrText xml:space="preserve"> SEQ Table \* ARABIC \s 2 </w:instrText>
      </w:r>
      <w:r>
        <w:fldChar w:fldCharType="separate"/>
      </w:r>
      <w:r>
        <w:rPr>
          <w:noProof/>
        </w:rPr>
        <w:t>2</w:t>
      </w:r>
      <w:r>
        <w:fldChar w:fldCharType="end"/>
      </w:r>
      <w:bookmarkEnd w:id="39"/>
      <w:r w:rsidRPr="004C12C9">
        <w:t xml:space="preserve">. </w:t>
      </w:r>
      <w:r>
        <w:t>Version History</w:t>
      </w:r>
    </w:p>
    <w:tbl>
      <w:tblPr>
        <w:tblW w:w="5000" w:type="pct"/>
        <w:tblInd w:w="-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0"/>
        <w:gridCol w:w="965"/>
        <w:gridCol w:w="7555"/>
      </w:tblGrid>
      <w:tr w:rsidR="00AB1E72" w:rsidRPr="004C12C9" w14:paraId="1E7DC408" w14:textId="77777777" w:rsidTr="00F616DE">
        <w:trPr>
          <w:trHeight w:val="305"/>
          <w:tblHeader/>
        </w:trPr>
        <w:tc>
          <w:tcPr>
            <w:tcW w:w="770" w:type="pct"/>
            <w:shd w:val="clear" w:color="auto" w:fill="A8A8A0" w:themeFill="background2" w:themeFillShade="BF"/>
          </w:tcPr>
          <w:p w14:paraId="55489119" w14:textId="72D1B0C1" w:rsidR="00AB1E72" w:rsidRPr="004C12C9" w:rsidRDefault="00AB1E72" w:rsidP="00D47D6F">
            <w:pPr>
              <w:pStyle w:val="ICFTableHeading"/>
              <w:rPr>
                <w:szCs w:val="22"/>
              </w:rPr>
            </w:pPr>
            <w:r>
              <w:rPr>
                <w:szCs w:val="22"/>
              </w:rPr>
              <w:t>Date</w:t>
            </w:r>
          </w:p>
        </w:tc>
        <w:tc>
          <w:tcPr>
            <w:tcW w:w="479" w:type="pct"/>
            <w:shd w:val="clear" w:color="auto" w:fill="A6A6A6" w:themeFill="background1" w:themeFillShade="A6"/>
          </w:tcPr>
          <w:p w14:paraId="1F1D24CE" w14:textId="31040B78" w:rsidR="00AB1E72" w:rsidRPr="004C12C9" w:rsidRDefault="00AB1E72" w:rsidP="00D47D6F">
            <w:pPr>
              <w:pStyle w:val="ICFTableHeading"/>
              <w:rPr>
                <w:szCs w:val="22"/>
              </w:rPr>
            </w:pPr>
            <w:r>
              <w:rPr>
                <w:szCs w:val="22"/>
              </w:rPr>
              <w:t>Version</w:t>
            </w:r>
          </w:p>
        </w:tc>
        <w:tc>
          <w:tcPr>
            <w:tcW w:w="3751" w:type="pct"/>
            <w:shd w:val="clear" w:color="auto" w:fill="A8A8A0" w:themeFill="background2" w:themeFillShade="BF"/>
          </w:tcPr>
          <w:p w14:paraId="5BF343D2" w14:textId="411A0ACD" w:rsidR="00AB1E72" w:rsidRPr="004C12C9" w:rsidRDefault="00AB1E72" w:rsidP="00D47D6F">
            <w:pPr>
              <w:pStyle w:val="ICFTableHeading"/>
              <w:rPr>
                <w:szCs w:val="22"/>
              </w:rPr>
            </w:pPr>
            <w:r w:rsidRPr="004C12C9">
              <w:rPr>
                <w:szCs w:val="22"/>
              </w:rPr>
              <w:t>Description</w:t>
            </w:r>
          </w:p>
        </w:tc>
      </w:tr>
      <w:tr w:rsidR="00AB1E72" w:rsidRPr="004C12C9" w14:paraId="3CBB97F8" w14:textId="77777777" w:rsidTr="00F616DE">
        <w:trPr>
          <w:trHeight w:val="89"/>
        </w:trPr>
        <w:tc>
          <w:tcPr>
            <w:tcW w:w="770" w:type="pct"/>
            <w:vAlign w:val="center"/>
          </w:tcPr>
          <w:p w14:paraId="2CFACA0A" w14:textId="3CB12710" w:rsidR="00AB1E72" w:rsidRPr="004C12C9" w:rsidRDefault="00CF6684" w:rsidP="00D47D6F">
            <w:pPr>
              <w:pStyle w:val="ICFTabletext"/>
              <w:rPr>
                <w:szCs w:val="22"/>
              </w:rPr>
            </w:pPr>
            <w:r>
              <w:rPr>
                <w:szCs w:val="22"/>
              </w:rPr>
              <w:t>May</w:t>
            </w:r>
            <w:r w:rsidR="009B19E3">
              <w:rPr>
                <w:szCs w:val="22"/>
              </w:rPr>
              <w:t xml:space="preserve"> 2025</w:t>
            </w:r>
          </w:p>
        </w:tc>
        <w:tc>
          <w:tcPr>
            <w:tcW w:w="479" w:type="pct"/>
            <w:vAlign w:val="center"/>
          </w:tcPr>
          <w:p w14:paraId="1D2A0EA1" w14:textId="5F6B498E" w:rsidR="00AB1E72" w:rsidRPr="004C12C9" w:rsidRDefault="00AB1E72" w:rsidP="009B19E3">
            <w:pPr>
              <w:pStyle w:val="ICFTabletext"/>
              <w:rPr>
                <w:szCs w:val="22"/>
              </w:rPr>
            </w:pPr>
            <w:r>
              <w:rPr>
                <w:szCs w:val="22"/>
              </w:rPr>
              <w:t>1.1</w:t>
            </w:r>
          </w:p>
        </w:tc>
        <w:tc>
          <w:tcPr>
            <w:tcW w:w="3751" w:type="pct"/>
            <w:vAlign w:val="center"/>
          </w:tcPr>
          <w:p w14:paraId="2C25AF1C" w14:textId="2512BA27" w:rsidR="00AB1E72" w:rsidRPr="004C12C9" w:rsidRDefault="00AB1E72" w:rsidP="009B19E3">
            <w:pPr>
              <w:pStyle w:val="ICFTabletext"/>
              <w:rPr>
                <w:szCs w:val="22"/>
              </w:rPr>
            </w:pPr>
            <w:r>
              <w:rPr>
                <w:szCs w:val="22"/>
              </w:rPr>
              <w:t xml:space="preserve">Initial </w:t>
            </w:r>
            <w:r w:rsidR="00CF6684">
              <w:rPr>
                <w:szCs w:val="22"/>
              </w:rPr>
              <w:t>version.</w:t>
            </w:r>
          </w:p>
        </w:tc>
      </w:tr>
      <w:tr w:rsidR="00AB1E72" w:rsidRPr="004C12C9" w14:paraId="17853B9A" w14:textId="77777777" w:rsidTr="00F616DE">
        <w:trPr>
          <w:trHeight w:val="720"/>
        </w:trPr>
        <w:tc>
          <w:tcPr>
            <w:tcW w:w="770" w:type="pct"/>
            <w:vAlign w:val="center"/>
          </w:tcPr>
          <w:p w14:paraId="03C1D3EC" w14:textId="69F2D26C" w:rsidR="00AB1E72" w:rsidRPr="004C12C9" w:rsidRDefault="009B19E3" w:rsidP="00D47D6F">
            <w:pPr>
              <w:pStyle w:val="ICFTabletext"/>
              <w:rPr>
                <w:szCs w:val="22"/>
              </w:rPr>
            </w:pPr>
            <w:r>
              <w:rPr>
                <w:szCs w:val="22"/>
              </w:rPr>
              <w:t>March 2026</w:t>
            </w:r>
          </w:p>
        </w:tc>
        <w:tc>
          <w:tcPr>
            <w:tcW w:w="479" w:type="pct"/>
            <w:vAlign w:val="center"/>
          </w:tcPr>
          <w:p w14:paraId="50441A54" w14:textId="17E55A33" w:rsidR="00AB1E72" w:rsidRPr="004C12C9" w:rsidRDefault="00AB1E72" w:rsidP="009B19E3">
            <w:pPr>
              <w:pStyle w:val="ICFTabletext"/>
              <w:rPr>
                <w:szCs w:val="22"/>
              </w:rPr>
            </w:pPr>
            <w:r>
              <w:rPr>
                <w:szCs w:val="22"/>
              </w:rPr>
              <w:t>1.2</w:t>
            </w:r>
          </w:p>
        </w:tc>
        <w:tc>
          <w:tcPr>
            <w:tcW w:w="3751" w:type="pct"/>
            <w:vAlign w:val="center"/>
          </w:tcPr>
          <w:p w14:paraId="6235CAE5" w14:textId="72D6B0F8" w:rsidR="00F6413E" w:rsidRPr="00F616DE" w:rsidRDefault="00F6413E" w:rsidP="00F6413E">
            <w:pPr>
              <w:pStyle w:val="ICFTabletext"/>
              <w:numPr>
                <w:ilvl w:val="0"/>
                <w:numId w:val="66"/>
              </w:numPr>
              <w:ind w:left="250" w:hanging="250"/>
            </w:pPr>
            <w:r w:rsidRPr="00F616DE">
              <w:t>Updated land use types for wetlands.</w:t>
            </w:r>
          </w:p>
          <w:p w14:paraId="75ACC264" w14:textId="6344F979" w:rsidR="00F6413E" w:rsidRDefault="00F6413E" w:rsidP="00F6413E">
            <w:pPr>
              <w:pStyle w:val="ICFTabletext"/>
              <w:numPr>
                <w:ilvl w:val="0"/>
                <w:numId w:val="66"/>
              </w:numPr>
              <w:ind w:left="250" w:hanging="250"/>
            </w:pPr>
            <w:r w:rsidRPr="00F616DE">
              <w:t>Tailored wastewater calculation by treatment system type and added calculation for direct N₂O emissions.</w:t>
            </w:r>
          </w:p>
          <w:p w14:paraId="7D9C5F2F" w14:textId="05255D7C" w:rsidR="00455258" w:rsidRPr="00455258" w:rsidRDefault="00455258" w:rsidP="00455258">
            <w:pPr>
              <w:pStyle w:val="ICFTabletext"/>
              <w:numPr>
                <w:ilvl w:val="0"/>
                <w:numId w:val="66"/>
              </w:numPr>
              <w:ind w:left="250" w:hanging="250"/>
            </w:pPr>
            <w:r w:rsidRPr="00455258">
              <w:t xml:space="preserve">Updated equipment type list and default </w:t>
            </w:r>
            <w:r w:rsidR="00B218CF">
              <w:t>refrigerant</w:t>
            </w:r>
            <w:r w:rsidRPr="00455258">
              <w:t xml:space="preserve"> assumptions</w:t>
            </w:r>
            <w:r>
              <w:t xml:space="preserve"> for HFC leakage and a</w:t>
            </w:r>
            <w:r w:rsidRPr="00455258">
              <w:t xml:space="preserve">dded option for users to select </w:t>
            </w:r>
            <w:r w:rsidR="00B218CF">
              <w:t>the refrigerant type</w:t>
            </w:r>
            <w:r>
              <w:t>.</w:t>
            </w:r>
          </w:p>
          <w:p w14:paraId="41B4ACE5" w14:textId="5030AF21" w:rsidR="00ED45B5" w:rsidRPr="00F616DE" w:rsidRDefault="00B079BE" w:rsidP="00F616DE">
            <w:pPr>
              <w:pStyle w:val="ICFTabletext"/>
              <w:numPr>
                <w:ilvl w:val="0"/>
                <w:numId w:val="66"/>
              </w:numPr>
              <w:ind w:left="250" w:hanging="250"/>
            </w:pPr>
            <w:r w:rsidRPr="00F616DE">
              <w:t xml:space="preserve">Added alternate option to input total fuel consumption </w:t>
            </w:r>
            <w:r w:rsidR="00ED45B5" w:rsidRPr="00F616DE">
              <w:rPr>
                <w:szCs w:val="22"/>
              </w:rPr>
              <w:t>for Construction Equipment and Building Energy Consumption</w:t>
            </w:r>
            <w:r w:rsidR="00826BB1">
              <w:rPr>
                <w:szCs w:val="22"/>
              </w:rPr>
              <w:t xml:space="preserve"> calculations</w:t>
            </w:r>
            <w:r w:rsidR="00ED45B5" w:rsidRPr="00F616DE">
              <w:rPr>
                <w:szCs w:val="22"/>
              </w:rPr>
              <w:t xml:space="preserve">. </w:t>
            </w:r>
          </w:p>
          <w:p w14:paraId="3DEBBB82" w14:textId="0F87FD77" w:rsidR="00ED45B5" w:rsidRPr="00826BB1" w:rsidRDefault="00826BB1" w:rsidP="00F616DE">
            <w:pPr>
              <w:pStyle w:val="ICFTabletext"/>
              <w:numPr>
                <w:ilvl w:val="0"/>
                <w:numId w:val="66"/>
              </w:numPr>
              <w:ind w:left="250" w:hanging="250"/>
            </w:pPr>
            <w:r w:rsidRPr="00826BB1">
              <w:t>Added quantification of select mitigation measures</w:t>
            </w:r>
            <w:r>
              <w:t>.</w:t>
            </w:r>
          </w:p>
        </w:tc>
      </w:tr>
    </w:tbl>
    <w:p w14:paraId="5096D8E1" w14:textId="77777777" w:rsidR="004B69EF" w:rsidRPr="004C12C9" w:rsidRDefault="004B69EF" w:rsidP="00B65EF4"/>
    <w:p w14:paraId="35C58737" w14:textId="77777777" w:rsidR="00066976" w:rsidRPr="004C12C9" w:rsidRDefault="00066976" w:rsidP="00110951"/>
    <w:p w14:paraId="7F7D2D27" w14:textId="4AB1E804" w:rsidR="00066976" w:rsidRPr="004C12C9" w:rsidRDefault="00066976" w:rsidP="00110951">
      <w:pPr>
        <w:sectPr w:rsidR="00066976" w:rsidRPr="004C12C9" w:rsidSect="008A2C1A">
          <w:footerReference w:type="default" r:id="rId18"/>
          <w:footerReference w:type="first" r:id="rId19"/>
          <w:pgSz w:w="12240" w:h="15840" w:code="1"/>
          <w:pgMar w:top="1728" w:right="1080" w:bottom="1440" w:left="1080" w:header="0" w:footer="504" w:gutter="0"/>
          <w:pgNumType w:start="1"/>
          <w:cols w:space="720"/>
          <w:titlePg/>
          <w:docGrid w:linePitch="326"/>
        </w:sectPr>
      </w:pPr>
    </w:p>
    <w:p w14:paraId="365F296E" w14:textId="484C9EAC" w:rsidR="00FC5F6E" w:rsidRPr="004C12C9" w:rsidRDefault="00FC5F6E" w:rsidP="005D3020">
      <w:pPr>
        <w:pStyle w:val="Heading2"/>
      </w:pPr>
      <w:bookmarkStart w:id="40" w:name="_Toc219887765"/>
      <w:r w:rsidRPr="004C12C9">
        <w:lastRenderedPageBreak/>
        <w:t>Construction Emissions</w:t>
      </w:r>
      <w:bookmarkEnd w:id="36"/>
      <w:bookmarkEnd w:id="37"/>
      <w:bookmarkEnd w:id="40"/>
    </w:p>
    <w:p w14:paraId="4C4F9B18" w14:textId="15C359D1" w:rsidR="00B76F24" w:rsidRPr="004C12C9" w:rsidRDefault="00B76F24" w:rsidP="00972CF9">
      <w:r w:rsidRPr="004C12C9">
        <w:t xml:space="preserve">This section details the methodologies used to quantify </w:t>
      </w:r>
      <w:r w:rsidR="002656F8" w:rsidRPr="004C12C9">
        <w:t xml:space="preserve">emissions </w:t>
      </w:r>
      <w:r w:rsidR="003B0799" w:rsidRPr="004C12C9">
        <w:t xml:space="preserve">that </w:t>
      </w:r>
      <w:r w:rsidR="008A22C8" w:rsidRPr="004C12C9">
        <w:t xml:space="preserve">occur as a </w:t>
      </w:r>
      <w:r w:rsidR="003B0799" w:rsidRPr="004C12C9">
        <w:t xml:space="preserve">result </w:t>
      </w:r>
      <w:r w:rsidR="008A22C8" w:rsidRPr="004C12C9">
        <w:t>of</w:t>
      </w:r>
      <w:r w:rsidR="002656F8" w:rsidRPr="004C12C9">
        <w:t xml:space="preserve"> </w:t>
      </w:r>
      <w:r w:rsidR="003B0799" w:rsidRPr="004C12C9">
        <w:t xml:space="preserve">project </w:t>
      </w:r>
      <w:r w:rsidR="002656F8" w:rsidRPr="004C12C9">
        <w:t>construction</w:t>
      </w:r>
      <w:r w:rsidR="003B0799" w:rsidRPr="004C12C9">
        <w:t>.</w:t>
      </w:r>
    </w:p>
    <w:p w14:paraId="7BC53122" w14:textId="77777777" w:rsidR="00FC5F6E" w:rsidRPr="004C12C9" w:rsidRDefault="00FC5F6E" w:rsidP="00323CD8">
      <w:pPr>
        <w:pStyle w:val="Heading3"/>
      </w:pPr>
      <w:bookmarkStart w:id="41" w:name="_Ref193891657"/>
      <w:bookmarkStart w:id="42" w:name="_Toc219887766"/>
      <w:r w:rsidRPr="004C12C9">
        <w:t>Material Inputs</w:t>
      </w:r>
      <w:bookmarkEnd w:id="41"/>
      <w:bookmarkEnd w:id="42"/>
    </w:p>
    <w:p w14:paraId="28849075" w14:textId="625E4E48" w:rsidR="001A1A32" w:rsidRPr="004C12C9" w:rsidRDefault="001A1A32" w:rsidP="00972CF9">
      <w:r w:rsidRPr="004C12C9">
        <w:t xml:space="preserve">Emissions result from the production of materials used as inputs during project construction. Specifically, emissions result from the extraction of raw materials, the transportation of raw materials to the manufacturing site, and the manufacturing process. </w:t>
      </w:r>
      <w:r w:rsidR="00D322E4" w:rsidRPr="004C12C9">
        <w:t xml:space="preserve">The </w:t>
      </w:r>
      <w:r w:rsidR="00011354" w:rsidRPr="004C12C9">
        <w:t xml:space="preserve">calculator </w:t>
      </w:r>
      <w:r w:rsidR="000B08EC" w:rsidRPr="004C12C9">
        <w:t xml:space="preserve">quantifies emissions </w:t>
      </w:r>
      <w:r w:rsidR="00900FF1" w:rsidRPr="004C12C9">
        <w:t xml:space="preserve">for select material types based on </w:t>
      </w:r>
      <w:r w:rsidR="00EB7D01" w:rsidRPr="004C12C9">
        <w:t xml:space="preserve">the quantity of material </w:t>
      </w:r>
      <w:r w:rsidR="00CC4351" w:rsidRPr="004C12C9">
        <w:t xml:space="preserve">used during construction </w:t>
      </w:r>
      <w:r w:rsidR="00EB7D01" w:rsidRPr="004C12C9">
        <w:t>and a</w:t>
      </w:r>
      <w:r w:rsidR="00C116D3" w:rsidRPr="004C12C9">
        <w:t xml:space="preserve"> material-specific</w:t>
      </w:r>
      <w:r w:rsidR="00EB7D01" w:rsidRPr="004C12C9">
        <w:t xml:space="preserve"> emissions factor</w:t>
      </w:r>
      <w:r w:rsidR="00A32113" w:rsidRPr="004C12C9">
        <w:t xml:space="preserve">, as shown in </w:t>
      </w:r>
      <w:r w:rsidR="00A32113" w:rsidRPr="004C12C9">
        <w:fldChar w:fldCharType="begin" w:fldLock="1"/>
      </w:r>
      <w:r w:rsidR="00A32113" w:rsidRPr="004C12C9">
        <w:instrText xml:space="preserve"> REF _Ref194675224 \h </w:instrText>
      </w:r>
      <w:r w:rsidR="002656F8" w:rsidRPr="004C12C9">
        <w:instrText xml:space="preserve"> \* MERGEFORMAT </w:instrText>
      </w:r>
      <w:r w:rsidR="00A32113" w:rsidRPr="004C12C9">
        <w:fldChar w:fldCharType="separate"/>
      </w:r>
      <w:r w:rsidR="00127094" w:rsidRPr="004C12C9">
        <w:t>Equation 1</w:t>
      </w:r>
      <w:r w:rsidR="00A32113" w:rsidRPr="004C12C9">
        <w:fldChar w:fldCharType="end"/>
      </w:r>
      <w:r w:rsidR="00A32113" w:rsidRPr="004C12C9">
        <w:t>.</w:t>
      </w:r>
    </w:p>
    <w:p w14:paraId="31668343" w14:textId="353901DD" w:rsidR="008E469C" w:rsidRPr="004C12C9" w:rsidRDefault="00DB1D08" w:rsidP="008E469C">
      <w:pPr>
        <w:pStyle w:val="Caption"/>
      </w:pPr>
      <w:bookmarkStart w:id="43" w:name="_Ref194675224"/>
      <w:r w:rsidRPr="004C12C9">
        <w:t xml:space="preserve">Equation </w:t>
      </w:r>
      <w:r w:rsidR="00127094">
        <w:fldChar w:fldCharType="begin"/>
      </w:r>
      <w:r w:rsidR="00127094">
        <w:instrText xml:space="preserve"> SEQ Equation \* ARABIC </w:instrText>
      </w:r>
      <w:r w:rsidR="00127094">
        <w:fldChar w:fldCharType="separate"/>
      </w:r>
      <w:r w:rsidR="00C47624">
        <w:rPr>
          <w:noProof/>
        </w:rPr>
        <w:t>1</w:t>
      </w:r>
      <w:r w:rsidR="00127094">
        <w:fldChar w:fldCharType="end"/>
      </w:r>
      <w:bookmarkEnd w:id="43"/>
      <w:r w:rsidR="00295A46" w:rsidRPr="004C12C9">
        <w:t>.</w:t>
      </w:r>
      <w:r w:rsidR="00DF7CC2" w:rsidRPr="004C12C9">
        <w:t xml:space="preserve"> GHG Emissions from Material Inputs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8E469C" w:rsidRPr="004C12C9" w14:paraId="7B0BB437" w14:textId="77777777">
        <w:tc>
          <w:tcPr>
            <w:tcW w:w="10070" w:type="dxa"/>
            <w:gridSpan w:val="2"/>
            <w:shd w:val="clear" w:color="auto" w:fill="F2F2F2" w:themeFill="background1" w:themeFillShade="F2"/>
          </w:tcPr>
          <w:p w14:paraId="79478938" w14:textId="77777777" w:rsidR="008E469C" w:rsidRPr="004C12C9" w:rsidRDefault="008E469C" w:rsidP="008E469C">
            <w:pPr>
              <w:pStyle w:val="Equation"/>
              <w:rPr>
                <w:noProof w:val="0"/>
              </w:rPr>
            </w:pPr>
            <m:oMathPara>
              <m:oMath>
                <m:r>
                  <w:rPr>
                    <w:noProof w:val="0"/>
                  </w:rPr>
                  <m:t xml:space="preserve">GHG emissions= </m:t>
                </m:r>
                <m:nary>
                  <m:naryPr>
                    <m:chr m:val="∑"/>
                    <m:limLoc m:val="undOvr"/>
                    <m:subHide m:val="1"/>
                    <m:supHide m:val="1"/>
                    <m:ctrlPr>
                      <w:rPr>
                        <w:noProof w:val="0"/>
                      </w:rPr>
                    </m:ctrlPr>
                  </m:naryPr>
                  <m:sub/>
                  <m:sup/>
                  <m:e>
                    <m:sSub>
                      <m:sSubPr>
                        <m:ctrlPr>
                          <w:rPr>
                            <w:noProof w:val="0"/>
                          </w:rPr>
                        </m:ctrlPr>
                      </m:sSubPr>
                      <m:e>
                        <m:r>
                          <w:rPr>
                            <w:noProof w:val="0"/>
                          </w:rPr>
                          <m:t>material quantity</m:t>
                        </m:r>
                      </m:e>
                      <m:sub>
                        <m:r>
                          <w:rPr>
                            <w:noProof w:val="0"/>
                          </w:rPr>
                          <m:t>t</m:t>
                        </m:r>
                      </m:sub>
                    </m:sSub>
                    <m:r>
                      <w:rPr>
                        <w:noProof w:val="0"/>
                      </w:rPr>
                      <m:t xml:space="preserve"> × </m:t>
                    </m:r>
                    <m:sSub>
                      <m:sSubPr>
                        <m:ctrlPr>
                          <w:rPr>
                            <w:noProof w:val="0"/>
                          </w:rPr>
                        </m:ctrlPr>
                      </m:sSubPr>
                      <m:e>
                        <m:r>
                          <w:rPr>
                            <w:noProof w:val="0"/>
                          </w:rPr>
                          <m:t>emission factor</m:t>
                        </m:r>
                      </m:e>
                      <m:sub>
                        <m:r>
                          <w:rPr>
                            <w:noProof w:val="0"/>
                          </w:rPr>
                          <m:t>t,s</m:t>
                        </m:r>
                      </m:sub>
                    </m:sSub>
                  </m:e>
                </m:nary>
              </m:oMath>
            </m:oMathPara>
          </w:p>
          <w:p w14:paraId="0B5C9D50" w14:textId="77777777" w:rsidR="008E469C" w:rsidRPr="004C12C9" w:rsidRDefault="008E469C">
            <w:pPr>
              <w:rPr>
                <w:i/>
                <w:iCs/>
              </w:rPr>
            </w:pPr>
            <w:r w:rsidRPr="004C12C9">
              <w:rPr>
                <w:i/>
                <w:iCs/>
                <w:sz w:val="20"/>
                <w:szCs w:val="20"/>
              </w:rPr>
              <w:t xml:space="preserve">where, </w:t>
            </w:r>
          </w:p>
        </w:tc>
      </w:tr>
      <w:tr w:rsidR="008E469C" w:rsidRPr="004C12C9" w14:paraId="7749D31F" w14:textId="77777777" w:rsidTr="00720596">
        <w:tc>
          <w:tcPr>
            <w:tcW w:w="1980" w:type="dxa"/>
            <w:shd w:val="clear" w:color="auto" w:fill="F2F2F2" w:themeFill="background1" w:themeFillShade="F2"/>
          </w:tcPr>
          <w:p w14:paraId="2472BE11" w14:textId="227743A5" w:rsidR="008E469C" w:rsidRPr="004C12C9" w:rsidRDefault="008E469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Material quantity</w:t>
            </w:r>
            <w:r w:rsidR="006310B1"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Emissions factor</w:t>
            </w:r>
          </w:p>
        </w:tc>
        <w:tc>
          <w:tcPr>
            <w:tcW w:w="8090" w:type="dxa"/>
            <w:shd w:val="clear" w:color="auto" w:fill="F2F2F2" w:themeFill="background1" w:themeFillShade="F2"/>
          </w:tcPr>
          <w:p w14:paraId="60F24CC5" w14:textId="75D6320C" w:rsidR="008E469C" w:rsidRPr="004C12C9" w:rsidRDefault="0072059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8E469C" w:rsidRPr="004C12C9">
              <w:rPr>
                <w:rFonts w:ascii="Calibri" w:eastAsia="Arial" w:hAnsi="Calibri"/>
                <w:bCs w:val="0"/>
                <w:i w:val="0"/>
                <w:noProof w:val="0"/>
                <w:color w:val="auto"/>
                <w:sz w:val="20"/>
                <w:szCs w:val="20"/>
              </w:rPr>
              <w:t>Amount of material used as an input during construction by type, t (short tons)</w:t>
            </w:r>
          </w:p>
          <w:p w14:paraId="0EBA3C0A" w14:textId="16FEAE34" w:rsidR="008E469C" w:rsidRPr="004C12C9" w:rsidRDefault="00720596" w:rsidP="00720596">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8E469C" w:rsidRPr="004C12C9">
              <w:rPr>
                <w:rFonts w:ascii="Calibri" w:eastAsia="Arial" w:hAnsi="Calibri"/>
                <w:bCs w:val="0"/>
                <w:i w:val="0"/>
                <w:noProof w:val="0"/>
                <w:color w:val="auto"/>
                <w:sz w:val="20"/>
                <w:szCs w:val="20"/>
              </w:rPr>
              <w:t>The emissions associated with the production of materials by type, t and geographic source, s (kgCO</w:t>
            </w:r>
            <w:r w:rsidR="008E469C" w:rsidRPr="004C12C9">
              <w:rPr>
                <w:rFonts w:ascii="Calibri" w:eastAsia="Arial" w:hAnsi="Calibri"/>
                <w:bCs w:val="0"/>
                <w:i w:val="0"/>
                <w:noProof w:val="0"/>
                <w:color w:val="auto"/>
                <w:sz w:val="20"/>
                <w:szCs w:val="20"/>
                <w:vertAlign w:val="subscript"/>
              </w:rPr>
              <w:t>2</w:t>
            </w:r>
            <w:r w:rsidR="008E469C" w:rsidRPr="004C12C9">
              <w:rPr>
                <w:rFonts w:ascii="Calibri" w:eastAsia="Arial" w:hAnsi="Calibri"/>
                <w:bCs w:val="0"/>
                <w:i w:val="0"/>
                <w:noProof w:val="0"/>
                <w:color w:val="auto"/>
                <w:sz w:val="20"/>
                <w:szCs w:val="20"/>
              </w:rPr>
              <w:t>e/short ton)</w:t>
            </w:r>
          </w:p>
          <w:p w14:paraId="7833D39B" w14:textId="5EBF691D" w:rsidR="008E469C" w:rsidRPr="004C12C9" w:rsidRDefault="008E469C">
            <w:pPr>
              <w:pStyle w:val="Equation"/>
              <w:spacing w:before="0" w:after="0"/>
              <w:jc w:val="left"/>
              <w:rPr>
                <w:rFonts w:ascii="Calibri" w:eastAsia="Arial" w:hAnsi="Calibri"/>
                <w:bCs w:val="0"/>
                <w:i w:val="0"/>
                <w:noProof w:val="0"/>
                <w:color w:val="auto"/>
                <w:sz w:val="20"/>
                <w:szCs w:val="20"/>
              </w:rPr>
            </w:pPr>
          </w:p>
        </w:tc>
      </w:tr>
    </w:tbl>
    <w:p w14:paraId="470C9ECD" w14:textId="3E700BA5" w:rsidR="001E53B9" w:rsidRPr="004C12C9" w:rsidRDefault="001E53B9" w:rsidP="00E31E37">
      <w:pPr>
        <w:pStyle w:val="Heading4"/>
      </w:pPr>
      <w:r w:rsidRPr="004C12C9">
        <w:t>Material Quantity</w:t>
      </w:r>
    </w:p>
    <w:p w14:paraId="42AA76E1" w14:textId="6B7B86A4" w:rsidR="00EC02E5" w:rsidRPr="004C12C9" w:rsidRDefault="00416632" w:rsidP="00972CF9">
      <w:r w:rsidRPr="004C12C9">
        <w:t>Users are required to provide data on the</w:t>
      </w:r>
      <w:r w:rsidR="00EC02E5" w:rsidRPr="004C12C9">
        <w:t xml:space="preserve"> </w:t>
      </w:r>
      <w:r w:rsidR="005978FC" w:rsidRPr="004C12C9">
        <w:t xml:space="preserve">material </w:t>
      </w:r>
      <w:r w:rsidR="00EC02E5" w:rsidRPr="004C12C9">
        <w:t>quantity</w:t>
      </w:r>
      <w:r w:rsidR="0030574E" w:rsidRPr="004C12C9">
        <w:t xml:space="preserve"> </w:t>
      </w:r>
      <w:r w:rsidR="00F24B50" w:rsidRPr="004C12C9">
        <w:t>used during construction</w:t>
      </w:r>
      <w:r w:rsidR="00311BC7" w:rsidRPr="004C12C9">
        <w:t>,</w:t>
      </w:r>
      <w:r w:rsidR="00F24B50" w:rsidRPr="004C12C9">
        <w:t xml:space="preserve"> </w:t>
      </w:r>
      <w:r w:rsidR="00EC02E5" w:rsidRPr="004C12C9">
        <w:t xml:space="preserve">by material type. </w:t>
      </w:r>
      <w:r w:rsidR="00B52BED" w:rsidRPr="004C12C9">
        <w:rPr>
          <w:rFonts w:asciiTheme="minorHAnsi" w:eastAsiaTheme="minorEastAsia" w:hAnsiTheme="minorHAnsi" w:cstheme="minorBidi"/>
          <w:lang w:eastAsia="ja-JP"/>
        </w:rPr>
        <w:t>All materials may be reported</w:t>
      </w:r>
      <w:r w:rsidR="005F2D71" w:rsidRPr="004C12C9">
        <w:rPr>
          <w:rFonts w:asciiTheme="minorHAnsi" w:eastAsiaTheme="minorEastAsia" w:hAnsiTheme="minorHAnsi" w:cstheme="minorBidi"/>
          <w:lang w:eastAsia="ja-JP"/>
        </w:rPr>
        <w:t xml:space="preserve"> in short tons</w:t>
      </w:r>
      <w:r w:rsidR="000811F6" w:rsidRPr="004C12C9">
        <w:rPr>
          <w:rFonts w:asciiTheme="minorHAnsi" w:eastAsiaTheme="minorEastAsia" w:hAnsiTheme="minorHAnsi" w:cstheme="minorBidi"/>
          <w:lang w:eastAsia="ja-JP"/>
        </w:rPr>
        <w:t>, though alternative</w:t>
      </w:r>
      <w:r w:rsidR="00BF4410" w:rsidRPr="004C12C9">
        <w:rPr>
          <w:rFonts w:asciiTheme="minorHAnsi" w:eastAsiaTheme="minorEastAsia" w:hAnsiTheme="minorHAnsi" w:cstheme="minorBidi"/>
          <w:lang w:eastAsia="ja-JP"/>
        </w:rPr>
        <w:t xml:space="preserve"> units are available for select materials.</w:t>
      </w:r>
      <w:r w:rsidR="005F2D71" w:rsidRPr="004C12C9">
        <w:t xml:space="preserve"> </w:t>
      </w:r>
      <w:r w:rsidR="00EC02E5" w:rsidRPr="004C12C9">
        <w:t xml:space="preserve">The types of materials </w:t>
      </w:r>
      <w:r w:rsidR="0044500D" w:rsidRPr="004C12C9">
        <w:t xml:space="preserve">and the corresponding units </w:t>
      </w:r>
      <w:r w:rsidR="00EC02E5" w:rsidRPr="004C12C9">
        <w:t xml:space="preserve">for which users may provide data </w:t>
      </w:r>
      <w:r w:rsidR="0030574E" w:rsidRPr="004C12C9">
        <w:t>are summarized in</w:t>
      </w:r>
      <w:r w:rsidR="00B90DEA" w:rsidRPr="004C12C9">
        <w:t xml:space="preserve"> </w:t>
      </w:r>
      <w:r w:rsidR="00B90DEA" w:rsidRPr="004C12C9">
        <w:fldChar w:fldCharType="begin" w:fldLock="1"/>
      </w:r>
      <w:r w:rsidR="00B90DEA" w:rsidRPr="004C12C9">
        <w:instrText xml:space="preserve"> REF _Ref195386675 \h </w:instrText>
      </w:r>
      <w:r w:rsidR="00B90DEA" w:rsidRPr="004C12C9">
        <w:fldChar w:fldCharType="separate"/>
      </w:r>
      <w:r w:rsidR="00127094" w:rsidRPr="004C12C9">
        <w:t>Table 2</w:t>
      </w:r>
      <w:r w:rsidR="00127094" w:rsidRPr="004C12C9">
        <w:noBreakHyphen/>
        <w:t>1</w:t>
      </w:r>
      <w:r w:rsidR="00B90DEA" w:rsidRPr="004C12C9">
        <w:fldChar w:fldCharType="end"/>
      </w:r>
      <w:r w:rsidR="00DE0110" w:rsidRPr="004C12C9">
        <w:t>.</w:t>
      </w:r>
    </w:p>
    <w:p w14:paraId="3F93A91B" w14:textId="538122C9" w:rsidR="001F16A8" w:rsidRPr="004C12C9" w:rsidRDefault="007B40BA" w:rsidP="007B40BA">
      <w:pPr>
        <w:pStyle w:val="Caption"/>
      </w:pPr>
      <w:bookmarkStart w:id="44" w:name="_Ref19538667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w:t>
      </w:r>
      <w:r w:rsidR="00F72B41">
        <w:fldChar w:fldCharType="end"/>
      </w:r>
      <w:bookmarkEnd w:id="44"/>
      <w:r w:rsidRPr="004C12C9">
        <w:t xml:space="preserve">. </w:t>
      </w:r>
      <w:r w:rsidR="00DE0110" w:rsidRPr="004C12C9">
        <w:t>List of Material Types</w:t>
      </w:r>
      <w:r w:rsidR="00B76F24" w:rsidRPr="004C12C9">
        <w:t xml:space="preserve"> and Units I</w:t>
      </w:r>
      <w:r w:rsidR="00DE0110" w:rsidRPr="004C12C9">
        <w:t xml:space="preserve">ncluded in </w:t>
      </w:r>
      <w:r w:rsidR="00B31FE7" w:rsidRPr="004C12C9">
        <w:t xml:space="preserve">the Climate </w:t>
      </w:r>
      <w:r w:rsidR="00FD056A" w:rsidRPr="004C12C9">
        <w:t>Calculator</w:t>
      </w:r>
    </w:p>
    <w:tbl>
      <w:tblPr>
        <w:tblpPr w:leftFromText="180" w:rightFromText="180" w:vertAnchor="text" w:tblpY="1"/>
        <w:tblOverlap w:val="never"/>
        <w:tblW w:w="3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55"/>
        <w:gridCol w:w="3055"/>
      </w:tblGrid>
      <w:tr w:rsidR="00D32CD8" w:rsidRPr="004C12C9" w14:paraId="332568D7" w14:textId="7A5D78D5" w:rsidTr="00D32CD8">
        <w:trPr>
          <w:trHeight w:val="305"/>
        </w:trPr>
        <w:tc>
          <w:tcPr>
            <w:tcW w:w="2500" w:type="pct"/>
            <w:shd w:val="clear" w:color="auto" w:fill="D9D9D9" w:themeFill="background1" w:themeFillShade="D9"/>
          </w:tcPr>
          <w:p w14:paraId="69574D61" w14:textId="213C6D2B" w:rsidR="00D32CD8" w:rsidRPr="004C12C9" w:rsidRDefault="00D32CD8" w:rsidP="00097C38">
            <w:pPr>
              <w:pStyle w:val="ICFTableHeading"/>
            </w:pPr>
            <w:r w:rsidRPr="004C12C9">
              <w:t>Material Type</w:t>
            </w:r>
          </w:p>
        </w:tc>
        <w:tc>
          <w:tcPr>
            <w:tcW w:w="2500" w:type="pct"/>
            <w:shd w:val="clear" w:color="auto" w:fill="D9D9D9" w:themeFill="background1" w:themeFillShade="D9"/>
          </w:tcPr>
          <w:p w14:paraId="6EF18F44" w14:textId="65E7E8FA" w:rsidR="00D32CD8" w:rsidRPr="004C12C9" w:rsidRDefault="00D32CD8" w:rsidP="00097C38">
            <w:pPr>
              <w:pStyle w:val="ICFTableHeading"/>
            </w:pPr>
            <w:r w:rsidRPr="004C12C9">
              <w:t>Available Units</w:t>
            </w:r>
          </w:p>
        </w:tc>
      </w:tr>
      <w:tr w:rsidR="00D32CD8" w:rsidRPr="004C12C9" w14:paraId="0F6B5B06" w14:textId="104A5EE8" w:rsidTr="00D32CD8">
        <w:trPr>
          <w:trHeight w:val="300"/>
        </w:trPr>
        <w:tc>
          <w:tcPr>
            <w:tcW w:w="2500" w:type="pct"/>
          </w:tcPr>
          <w:p w14:paraId="2E304F47" w14:textId="7EF3D29E" w:rsidR="00D32CD8" w:rsidRPr="004C12C9" w:rsidRDefault="00D32CD8" w:rsidP="00097C38">
            <w:pPr>
              <w:pStyle w:val="ICFTabletext"/>
            </w:pPr>
            <w:r w:rsidRPr="004C12C9">
              <w:t>Aluminum</w:t>
            </w:r>
          </w:p>
        </w:tc>
        <w:tc>
          <w:tcPr>
            <w:tcW w:w="2500" w:type="pct"/>
          </w:tcPr>
          <w:p w14:paraId="1027A601" w14:textId="65EA1123" w:rsidR="00D32CD8" w:rsidRPr="004C12C9" w:rsidRDefault="0044500D" w:rsidP="00097C38">
            <w:pPr>
              <w:pStyle w:val="ICFTabletext"/>
              <w:rPr>
                <w:rFonts w:cstheme="minorHAnsi"/>
              </w:rPr>
            </w:pPr>
            <w:r w:rsidRPr="004C12C9">
              <w:rPr>
                <w:rFonts w:eastAsiaTheme="minorEastAsia"/>
                <w:lang w:eastAsia="ja-JP"/>
              </w:rPr>
              <w:t>short tons</w:t>
            </w:r>
          </w:p>
        </w:tc>
      </w:tr>
      <w:tr w:rsidR="0044500D" w:rsidRPr="004C12C9" w14:paraId="2E6D4B97" w14:textId="23E356B2" w:rsidTr="00D32CD8">
        <w:trPr>
          <w:trHeight w:val="300"/>
        </w:trPr>
        <w:tc>
          <w:tcPr>
            <w:tcW w:w="2500" w:type="pct"/>
          </w:tcPr>
          <w:p w14:paraId="5316D81A" w14:textId="6328BA31" w:rsidR="0044500D" w:rsidRPr="004C12C9" w:rsidRDefault="0044500D" w:rsidP="00097C38">
            <w:pPr>
              <w:pStyle w:val="ICFTabletext"/>
            </w:pPr>
            <w:r w:rsidRPr="004C12C9">
              <w:t>Asphalt</w:t>
            </w:r>
          </w:p>
        </w:tc>
        <w:tc>
          <w:tcPr>
            <w:tcW w:w="2500" w:type="pct"/>
          </w:tcPr>
          <w:p w14:paraId="6381B2AB" w14:textId="2243EF16" w:rsidR="0044500D" w:rsidRPr="004C12C9" w:rsidRDefault="0044500D" w:rsidP="00097C38">
            <w:pPr>
              <w:pStyle w:val="ICFTabletext"/>
              <w:rPr>
                <w:rFonts w:cstheme="minorHAnsi"/>
              </w:rPr>
            </w:pPr>
            <w:r w:rsidRPr="004C12C9">
              <w:rPr>
                <w:rFonts w:eastAsiaTheme="minorEastAsia"/>
                <w:lang w:eastAsia="ja-JP"/>
              </w:rPr>
              <w:t>short tons</w:t>
            </w:r>
          </w:p>
        </w:tc>
      </w:tr>
      <w:tr w:rsidR="0044500D" w:rsidRPr="004C12C9" w14:paraId="2AEA6DE2" w14:textId="1A9B49DE" w:rsidTr="00D32CD8">
        <w:trPr>
          <w:trHeight w:val="300"/>
        </w:trPr>
        <w:tc>
          <w:tcPr>
            <w:tcW w:w="2500" w:type="pct"/>
          </w:tcPr>
          <w:p w14:paraId="3FEE100C" w14:textId="3E085547" w:rsidR="0044500D" w:rsidRPr="004C12C9" w:rsidRDefault="0044500D" w:rsidP="00097C38">
            <w:pPr>
              <w:pStyle w:val="ICFTabletext"/>
            </w:pPr>
            <w:r w:rsidRPr="004C12C9">
              <w:t>Brick</w:t>
            </w:r>
          </w:p>
        </w:tc>
        <w:tc>
          <w:tcPr>
            <w:tcW w:w="2500" w:type="pct"/>
          </w:tcPr>
          <w:p w14:paraId="526D8032" w14:textId="2337E07B" w:rsidR="0044500D" w:rsidRPr="004C12C9" w:rsidRDefault="0044500D" w:rsidP="00097C38">
            <w:pPr>
              <w:pStyle w:val="ICFTabletext"/>
              <w:rPr>
                <w:rFonts w:cstheme="minorHAnsi"/>
              </w:rPr>
            </w:pPr>
            <w:r w:rsidRPr="004C12C9">
              <w:rPr>
                <w:rFonts w:eastAsiaTheme="minorEastAsia"/>
                <w:lang w:eastAsia="ja-JP"/>
              </w:rPr>
              <w:t>short tons</w:t>
            </w:r>
          </w:p>
        </w:tc>
      </w:tr>
      <w:tr w:rsidR="0044500D" w:rsidRPr="004C12C9" w14:paraId="628FE01E" w14:textId="24AA858A" w:rsidTr="00D32CD8">
        <w:trPr>
          <w:trHeight w:val="300"/>
        </w:trPr>
        <w:tc>
          <w:tcPr>
            <w:tcW w:w="2500" w:type="pct"/>
          </w:tcPr>
          <w:p w14:paraId="1BA34B63" w14:textId="60BC4C93" w:rsidR="0044500D" w:rsidRPr="004C12C9" w:rsidRDefault="0044500D" w:rsidP="00097C38">
            <w:pPr>
              <w:pStyle w:val="ICFTabletext"/>
            </w:pPr>
            <w:r w:rsidRPr="004C12C9">
              <w:t>Concrete</w:t>
            </w:r>
          </w:p>
        </w:tc>
        <w:tc>
          <w:tcPr>
            <w:tcW w:w="2500" w:type="pct"/>
          </w:tcPr>
          <w:p w14:paraId="3CD1D3F4" w14:textId="1A81503E" w:rsidR="0044500D" w:rsidRPr="004C12C9" w:rsidRDefault="0044500D" w:rsidP="00097C38">
            <w:pPr>
              <w:pStyle w:val="ICFTabletext"/>
              <w:rPr>
                <w:rFonts w:cstheme="minorHAnsi"/>
              </w:rPr>
            </w:pPr>
            <w:r w:rsidRPr="004C12C9">
              <w:rPr>
                <w:rFonts w:eastAsiaTheme="minorEastAsia"/>
                <w:lang w:eastAsia="ja-JP"/>
              </w:rPr>
              <w:t>short tons</w:t>
            </w:r>
            <w:r w:rsidR="00DF624C" w:rsidRPr="004C12C9">
              <w:rPr>
                <w:rFonts w:eastAsiaTheme="minorEastAsia"/>
                <w:lang w:eastAsia="ja-JP"/>
              </w:rPr>
              <w:t>, cubic yards</w:t>
            </w:r>
          </w:p>
        </w:tc>
      </w:tr>
      <w:tr w:rsidR="0044500D" w:rsidRPr="004C12C9" w14:paraId="0C743EFB" w14:textId="1C0B02E1" w:rsidTr="00D32CD8">
        <w:trPr>
          <w:trHeight w:val="300"/>
        </w:trPr>
        <w:tc>
          <w:tcPr>
            <w:tcW w:w="2500" w:type="pct"/>
          </w:tcPr>
          <w:p w14:paraId="5466F28F" w14:textId="32D27DB1" w:rsidR="0044500D" w:rsidRPr="004C12C9" w:rsidRDefault="0044500D" w:rsidP="00097C38">
            <w:pPr>
              <w:pStyle w:val="ICFTabletext"/>
            </w:pPr>
            <w:r w:rsidRPr="004C12C9">
              <w:t>Glass</w:t>
            </w:r>
          </w:p>
        </w:tc>
        <w:tc>
          <w:tcPr>
            <w:tcW w:w="2500" w:type="pct"/>
          </w:tcPr>
          <w:p w14:paraId="6D7A4342" w14:textId="2002BEA6" w:rsidR="0044500D" w:rsidRPr="004C12C9" w:rsidRDefault="0044500D" w:rsidP="00097C38">
            <w:pPr>
              <w:pStyle w:val="ICFTabletext"/>
              <w:rPr>
                <w:rFonts w:cstheme="minorHAnsi"/>
              </w:rPr>
            </w:pPr>
            <w:r w:rsidRPr="004C12C9">
              <w:rPr>
                <w:rFonts w:eastAsiaTheme="minorEastAsia"/>
                <w:lang w:eastAsia="ja-JP"/>
              </w:rPr>
              <w:t>short tons</w:t>
            </w:r>
          </w:p>
        </w:tc>
      </w:tr>
      <w:tr w:rsidR="0044500D" w:rsidRPr="004C12C9" w14:paraId="28C34FCE" w14:textId="51846EDB" w:rsidTr="00D32CD8">
        <w:trPr>
          <w:trHeight w:val="300"/>
        </w:trPr>
        <w:tc>
          <w:tcPr>
            <w:tcW w:w="2500" w:type="pct"/>
          </w:tcPr>
          <w:p w14:paraId="248FBD90" w14:textId="502CC46B" w:rsidR="0044500D" w:rsidRPr="004C12C9" w:rsidRDefault="0044500D" w:rsidP="00097C38">
            <w:pPr>
              <w:pStyle w:val="ICFTabletext"/>
            </w:pPr>
            <w:r w:rsidRPr="004C12C9">
              <w:t>Insulation (residential)</w:t>
            </w:r>
          </w:p>
        </w:tc>
        <w:tc>
          <w:tcPr>
            <w:tcW w:w="2500" w:type="pct"/>
          </w:tcPr>
          <w:p w14:paraId="609D9675" w14:textId="78A79119" w:rsidR="0044500D" w:rsidRPr="004C12C9" w:rsidRDefault="0044500D" w:rsidP="00097C38">
            <w:pPr>
              <w:pStyle w:val="ICFTabletext"/>
              <w:rPr>
                <w:rFonts w:cstheme="minorHAnsi"/>
              </w:rPr>
            </w:pPr>
            <w:r w:rsidRPr="004C12C9">
              <w:rPr>
                <w:rFonts w:eastAsiaTheme="minorEastAsia"/>
                <w:lang w:eastAsia="ja-JP"/>
              </w:rPr>
              <w:t>short tons</w:t>
            </w:r>
            <w:r w:rsidR="00DF624C" w:rsidRPr="004C12C9">
              <w:rPr>
                <w:rFonts w:eastAsiaTheme="minorEastAsia"/>
                <w:lang w:eastAsia="ja-JP"/>
              </w:rPr>
              <w:t>, square feet</w:t>
            </w:r>
          </w:p>
        </w:tc>
      </w:tr>
      <w:tr w:rsidR="0044500D" w:rsidRPr="004C12C9" w14:paraId="6C6881EE" w14:textId="4CE554FD" w:rsidTr="00D32CD8">
        <w:trPr>
          <w:trHeight w:val="300"/>
        </w:trPr>
        <w:tc>
          <w:tcPr>
            <w:tcW w:w="2500" w:type="pct"/>
          </w:tcPr>
          <w:p w14:paraId="671359CA" w14:textId="19C40B53" w:rsidR="0044500D" w:rsidRPr="004C12C9" w:rsidRDefault="0044500D" w:rsidP="00097C38">
            <w:pPr>
              <w:pStyle w:val="ICFTabletext"/>
            </w:pPr>
            <w:r w:rsidRPr="004C12C9">
              <w:t>Insulation (commercial)</w:t>
            </w:r>
          </w:p>
        </w:tc>
        <w:tc>
          <w:tcPr>
            <w:tcW w:w="2500" w:type="pct"/>
          </w:tcPr>
          <w:p w14:paraId="14FA491A" w14:textId="284BA28C" w:rsidR="0044500D" w:rsidRPr="004C12C9" w:rsidRDefault="0044500D" w:rsidP="00097C38">
            <w:pPr>
              <w:pStyle w:val="ICFTabletext"/>
              <w:rPr>
                <w:rFonts w:cstheme="minorHAnsi"/>
              </w:rPr>
            </w:pPr>
            <w:r w:rsidRPr="004C12C9">
              <w:rPr>
                <w:rFonts w:eastAsiaTheme="minorEastAsia"/>
                <w:lang w:eastAsia="ja-JP"/>
              </w:rPr>
              <w:t>short tons</w:t>
            </w:r>
            <w:r w:rsidR="00DF624C" w:rsidRPr="004C12C9">
              <w:rPr>
                <w:rFonts w:eastAsiaTheme="minorEastAsia"/>
                <w:lang w:eastAsia="ja-JP"/>
              </w:rPr>
              <w:t>, square feet</w:t>
            </w:r>
          </w:p>
        </w:tc>
      </w:tr>
      <w:tr w:rsidR="0044500D" w:rsidRPr="004C12C9" w14:paraId="25575075" w14:textId="25BC4600" w:rsidTr="00D32CD8">
        <w:trPr>
          <w:trHeight w:val="300"/>
        </w:trPr>
        <w:tc>
          <w:tcPr>
            <w:tcW w:w="2500" w:type="pct"/>
          </w:tcPr>
          <w:p w14:paraId="2DB57507" w14:textId="5CE8909D" w:rsidR="0044500D" w:rsidRPr="004C12C9" w:rsidRDefault="0044500D" w:rsidP="00097C38">
            <w:pPr>
              <w:pStyle w:val="ICFTabletext"/>
            </w:pPr>
            <w:r w:rsidRPr="004C12C9">
              <w:t>Steel</w:t>
            </w:r>
          </w:p>
        </w:tc>
        <w:tc>
          <w:tcPr>
            <w:tcW w:w="2500" w:type="pct"/>
          </w:tcPr>
          <w:p w14:paraId="42D64717" w14:textId="5EDCCD9A" w:rsidR="0044500D" w:rsidRPr="004C12C9" w:rsidRDefault="0044500D" w:rsidP="00097C38">
            <w:pPr>
              <w:pStyle w:val="ICFTabletext"/>
              <w:rPr>
                <w:rFonts w:cstheme="minorHAnsi"/>
              </w:rPr>
            </w:pPr>
            <w:r w:rsidRPr="004C12C9">
              <w:rPr>
                <w:rFonts w:eastAsiaTheme="minorEastAsia"/>
                <w:lang w:eastAsia="ja-JP"/>
              </w:rPr>
              <w:t>short tons</w:t>
            </w:r>
          </w:p>
        </w:tc>
      </w:tr>
      <w:tr w:rsidR="0044500D" w:rsidRPr="004C12C9" w14:paraId="618F3DB1" w14:textId="35B678C6" w:rsidTr="00D32CD8">
        <w:trPr>
          <w:trHeight w:val="300"/>
        </w:trPr>
        <w:tc>
          <w:tcPr>
            <w:tcW w:w="2500" w:type="pct"/>
          </w:tcPr>
          <w:p w14:paraId="398294B2" w14:textId="732C6BEE" w:rsidR="0044500D" w:rsidRPr="004C12C9" w:rsidRDefault="0044500D" w:rsidP="00097C38">
            <w:pPr>
              <w:pStyle w:val="ICFTabletext"/>
            </w:pPr>
            <w:r w:rsidRPr="004C12C9">
              <w:t>Wood Products</w:t>
            </w:r>
          </w:p>
        </w:tc>
        <w:tc>
          <w:tcPr>
            <w:tcW w:w="2500" w:type="pct"/>
          </w:tcPr>
          <w:p w14:paraId="34440C8A" w14:textId="6DF013B1" w:rsidR="0044500D" w:rsidRPr="004C12C9" w:rsidRDefault="0044500D" w:rsidP="00097C38">
            <w:pPr>
              <w:pStyle w:val="ICFTabletext"/>
              <w:rPr>
                <w:rFonts w:cstheme="minorHAnsi"/>
              </w:rPr>
            </w:pPr>
            <w:r w:rsidRPr="004C12C9">
              <w:rPr>
                <w:rFonts w:eastAsiaTheme="minorEastAsia"/>
                <w:lang w:eastAsia="ja-JP"/>
              </w:rPr>
              <w:t>short tons</w:t>
            </w:r>
            <w:r w:rsidR="00DF624C" w:rsidRPr="004C12C9">
              <w:rPr>
                <w:rFonts w:eastAsiaTheme="minorEastAsia"/>
                <w:lang w:eastAsia="ja-JP"/>
              </w:rPr>
              <w:t>, cubic yards</w:t>
            </w:r>
          </w:p>
        </w:tc>
      </w:tr>
    </w:tbl>
    <w:p w14:paraId="214D283C" w14:textId="77777777" w:rsidR="001F16A8" w:rsidRPr="004C12C9" w:rsidRDefault="001F16A8" w:rsidP="00972CF9"/>
    <w:p w14:paraId="2118648C" w14:textId="77777777" w:rsidR="001F16A8" w:rsidRPr="004C12C9" w:rsidRDefault="001F16A8" w:rsidP="00972CF9"/>
    <w:p w14:paraId="149C7B72" w14:textId="77777777" w:rsidR="001F16A8" w:rsidRPr="004C12C9" w:rsidRDefault="001F16A8" w:rsidP="00972CF9"/>
    <w:p w14:paraId="5CB527FB" w14:textId="77777777" w:rsidR="001F16A8" w:rsidRPr="004C12C9" w:rsidRDefault="001F16A8" w:rsidP="00972CF9"/>
    <w:p w14:paraId="5A2D2AD7" w14:textId="3FD62028" w:rsidR="005978FC" w:rsidRPr="004C12C9" w:rsidRDefault="001F16A8" w:rsidP="00972CF9">
      <w:r w:rsidRPr="004C12C9">
        <w:br w:type="textWrapping" w:clear="all"/>
      </w:r>
    </w:p>
    <w:p w14:paraId="45B1830B" w14:textId="17CDDFC8" w:rsidR="00406A8A" w:rsidRPr="004C12C9" w:rsidRDefault="00406A8A" w:rsidP="00E31E37">
      <w:pPr>
        <w:pStyle w:val="Heading4"/>
      </w:pPr>
      <w:r w:rsidRPr="004C12C9">
        <w:lastRenderedPageBreak/>
        <w:t xml:space="preserve">Emission </w:t>
      </w:r>
      <w:r w:rsidR="002656F8" w:rsidRPr="004C12C9">
        <w:t>F</w:t>
      </w:r>
      <w:r w:rsidRPr="004C12C9">
        <w:t>actors</w:t>
      </w:r>
    </w:p>
    <w:p w14:paraId="2B130750" w14:textId="54E69EFA" w:rsidR="00406A8A" w:rsidRPr="004C12C9" w:rsidRDefault="00406A8A" w:rsidP="00BB448A">
      <w:r w:rsidRPr="004C12C9">
        <w:t xml:space="preserve">Emission factors for each material type </w:t>
      </w:r>
      <w:r w:rsidR="00327748" w:rsidRPr="004C12C9">
        <w:t>are</w:t>
      </w:r>
      <w:r w:rsidRPr="004C12C9">
        <w:t xml:space="preserve"> compiled from the Embodied Carbon Calculator (EC3) Tool.</w:t>
      </w:r>
      <w:r w:rsidR="003C3CA0">
        <w:rPr>
          <w:rFonts w:ascii="ZWAdobeF" w:hAnsi="ZWAdobeF" w:cs="ZWAdobeF"/>
          <w:sz w:val="2"/>
          <w:szCs w:val="2"/>
        </w:rPr>
        <w:t>2F</w:t>
      </w:r>
      <w:r w:rsidR="0013041A" w:rsidRPr="004C12C9">
        <w:rPr>
          <w:rStyle w:val="FootnoteReference"/>
        </w:rPr>
        <w:footnoteReference w:id="4"/>
      </w:r>
      <w:r w:rsidRPr="004C12C9">
        <w:t xml:space="preserve"> The emission factors from the Environmental Product Declarations (EPD) in the EC3 database cover cradle to gate emissions, which include emissions from the </w:t>
      </w:r>
      <w:r w:rsidRPr="004C12C9">
        <w:rPr>
          <w:rStyle w:val="CommentReference"/>
          <w:sz w:val="22"/>
          <w:szCs w:val="22"/>
        </w:rPr>
        <w:t xml:space="preserve">extraction of raw materials; the energy consumption, process emissions, and ancillary input during manufacturing; the transportation of materials to the manufacturing site; and the waste generated during </w:t>
      </w:r>
      <w:r w:rsidRPr="004C12C9">
        <w:t xml:space="preserve">production. These activities are described as A1-A3 in compliance with the EPDs quantification methodology. For the purposes of this </w:t>
      </w:r>
      <w:r w:rsidR="00FD056A" w:rsidRPr="004C12C9">
        <w:t>calculator</w:t>
      </w:r>
      <w:r w:rsidRPr="004C12C9">
        <w:t xml:space="preserve">, emission factors </w:t>
      </w:r>
      <w:r w:rsidR="00327748" w:rsidRPr="004C12C9">
        <w:t>are</w:t>
      </w:r>
      <w:r w:rsidRPr="004C12C9">
        <w:t xml:space="preserve"> developed for both domestically sourced and imported materials. </w:t>
      </w:r>
      <w:r w:rsidRPr="004C12C9">
        <w:fldChar w:fldCharType="begin" w:fldLock="1"/>
      </w:r>
      <w:r w:rsidRPr="004C12C9">
        <w:instrText xml:space="preserve"> REF _Ref184037565 \h  \* MERGEFORMAT </w:instrText>
      </w:r>
      <w:r w:rsidRPr="004C12C9">
        <w:fldChar w:fldCharType="separate"/>
      </w:r>
      <w:r w:rsidR="00127094" w:rsidRPr="004C12C9">
        <w:t>Table 2</w:t>
      </w:r>
      <w:r w:rsidR="00127094" w:rsidRPr="004C12C9">
        <w:noBreakHyphen/>
        <w:t>2</w:t>
      </w:r>
      <w:r w:rsidRPr="004C12C9">
        <w:fldChar w:fldCharType="end"/>
      </w:r>
      <w:r w:rsidRPr="004C12C9">
        <w:t xml:space="preserve"> summarizes the availability of EPDs in the EC3 database as of December 2024, by material type and country of manufacturer.</w:t>
      </w:r>
      <w:r w:rsidR="003C3CA0">
        <w:rPr>
          <w:rFonts w:ascii="ZWAdobeF" w:hAnsi="ZWAdobeF" w:cs="ZWAdobeF"/>
          <w:sz w:val="2"/>
          <w:szCs w:val="2"/>
        </w:rPr>
        <w:t>3F</w:t>
      </w:r>
      <w:r w:rsidR="00F665C3" w:rsidRPr="004C12C9">
        <w:rPr>
          <w:rStyle w:val="FootnoteReference"/>
        </w:rPr>
        <w:footnoteReference w:id="5"/>
      </w:r>
    </w:p>
    <w:p w14:paraId="4D317676" w14:textId="650A26F8" w:rsidR="00A95ED2" w:rsidRPr="004C12C9" w:rsidRDefault="00A95ED2" w:rsidP="00BB448A">
      <w:pPr>
        <w:pStyle w:val="Caption"/>
        <w:rPr>
          <w:rFonts w:asciiTheme="minorHAnsi" w:eastAsia="MS Mincho" w:hAnsiTheme="minorHAnsi" w:cstheme="minorHAnsi"/>
          <w:b w:val="0"/>
          <w:lang w:eastAsia="ja-JP" w:bidi="ar-SA"/>
        </w:rPr>
      </w:pPr>
      <w:bookmarkStart w:id="45" w:name="_Ref184037565"/>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bookmarkEnd w:id="45"/>
      <w:r w:rsidRPr="004C12C9">
        <w:rPr>
          <w:rFonts w:eastAsia="MS Mincho"/>
          <w:lang w:eastAsia="ja-JP" w:bidi="ar-SA"/>
        </w:rPr>
        <w:t>. EPD Availability from EC3 by Material as of December 2024</w:t>
      </w:r>
    </w:p>
    <w:tbl>
      <w:tblPr>
        <w:tblW w:w="428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07"/>
        <w:gridCol w:w="3013"/>
        <w:gridCol w:w="3014"/>
      </w:tblGrid>
      <w:tr w:rsidR="00A95ED2" w:rsidRPr="004C12C9" w14:paraId="27D4EE19" w14:textId="77777777" w:rsidTr="00A73BFA">
        <w:trPr>
          <w:trHeight w:val="367"/>
        </w:trPr>
        <w:tc>
          <w:tcPr>
            <w:tcW w:w="2607" w:type="dxa"/>
            <w:shd w:val="clear" w:color="auto" w:fill="D9D9D9" w:themeFill="background1" w:themeFillShade="D9"/>
            <w:noWrap/>
            <w:vAlign w:val="center"/>
            <w:hideMark/>
          </w:tcPr>
          <w:p w14:paraId="7D9A75D7" w14:textId="77777777" w:rsidR="00A95ED2" w:rsidRPr="004C12C9" w:rsidRDefault="00A95ED2" w:rsidP="00BB448A">
            <w:pPr>
              <w:pStyle w:val="ICFTableHeading"/>
              <w:rPr>
                <w:lang w:bidi="ar-SA"/>
              </w:rPr>
            </w:pPr>
            <w:r w:rsidRPr="004C12C9">
              <w:rPr>
                <w:lang w:bidi="ar-SA"/>
              </w:rPr>
              <w:t>Material Type</w:t>
            </w:r>
          </w:p>
        </w:tc>
        <w:tc>
          <w:tcPr>
            <w:tcW w:w="3013" w:type="dxa"/>
            <w:shd w:val="clear" w:color="auto" w:fill="D9D9D9" w:themeFill="background1" w:themeFillShade="D9"/>
            <w:vAlign w:val="center"/>
            <w:hideMark/>
          </w:tcPr>
          <w:p w14:paraId="29A7A54E" w14:textId="77777777" w:rsidR="00A95ED2" w:rsidRPr="004C12C9" w:rsidRDefault="00A95ED2" w:rsidP="00BB448A">
            <w:pPr>
              <w:pStyle w:val="ICFTableHeading"/>
              <w:rPr>
                <w:lang w:bidi="ar-SA"/>
              </w:rPr>
            </w:pPr>
            <w:r w:rsidRPr="004C12C9">
              <w:rPr>
                <w:lang w:bidi="ar-SA"/>
              </w:rPr>
              <w:t>United States</w:t>
            </w:r>
          </w:p>
        </w:tc>
        <w:tc>
          <w:tcPr>
            <w:tcW w:w="3014" w:type="dxa"/>
            <w:shd w:val="clear" w:color="auto" w:fill="D9D9D9" w:themeFill="background1" w:themeFillShade="D9"/>
            <w:vAlign w:val="center"/>
          </w:tcPr>
          <w:p w14:paraId="1F7D5FE7" w14:textId="77777777" w:rsidR="00A95ED2" w:rsidRPr="004C12C9" w:rsidRDefault="00A95ED2" w:rsidP="00BB448A">
            <w:pPr>
              <w:pStyle w:val="ICFTableHeading"/>
              <w:rPr>
                <w:lang w:bidi="ar-SA"/>
              </w:rPr>
            </w:pPr>
            <w:r w:rsidRPr="004C12C9">
              <w:rPr>
                <w:lang w:bidi="ar-SA"/>
              </w:rPr>
              <w:t>Other Countries</w:t>
            </w:r>
          </w:p>
        </w:tc>
      </w:tr>
      <w:tr w:rsidR="00A95ED2" w:rsidRPr="004C12C9" w14:paraId="5F2AE7CB" w14:textId="77777777" w:rsidTr="00A73BFA">
        <w:trPr>
          <w:trHeight w:val="20"/>
        </w:trPr>
        <w:tc>
          <w:tcPr>
            <w:tcW w:w="2607" w:type="dxa"/>
            <w:noWrap/>
            <w:vAlign w:val="center"/>
            <w:hideMark/>
          </w:tcPr>
          <w:p w14:paraId="2EBEEC01" w14:textId="77777777" w:rsidR="00A95ED2" w:rsidRPr="004C12C9" w:rsidRDefault="00A95ED2" w:rsidP="00BB448A">
            <w:pPr>
              <w:pStyle w:val="ICFTabletext"/>
              <w:rPr>
                <w:lang w:bidi="ar-SA"/>
              </w:rPr>
            </w:pPr>
            <w:r w:rsidRPr="004C12C9">
              <w:rPr>
                <w:lang w:bidi="ar-SA"/>
              </w:rPr>
              <w:t>Aluminum</w:t>
            </w:r>
          </w:p>
        </w:tc>
        <w:tc>
          <w:tcPr>
            <w:tcW w:w="3013" w:type="dxa"/>
            <w:vAlign w:val="center"/>
            <w:hideMark/>
          </w:tcPr>
          <w:p w14:paraId="6D70C1AB" w14:textId="77777777" w:rsidR="00A95ED2" w:rsidRPr="004C12C9" w:rsidRDefault="00A95ED2" w:rsidP="00295A46">
            <w:pPr>
              <w:pStyle w:val="ICFTabletext"/>
              <w:jc w:val="center"/>
              <w:rPr>
                <w:lang w:bidi="ar-SA"/>
              </w:rPr>
            </w:pPr>
            <w:r w:rsidRPr="004C12C9">
              <w:rPr>
                <w:lang w:bidi="ar-SA"/>
              </w:rPr>
              <w:t>3</w:t>
            </w:r>
          </w:p>
        </w:tc>
        <w:tc>
          <w:tcPr>
            <w:tcW w:w="3014" w:type="dxa"/>
          </w:tcPr>
          <w:p w14:paraId="19C2BF20" w14:textId="77777777" w:rsidR="00A95ED2" w:rsidRPr="004C12C9" w:rsidRDefault="00A95ED2" w:rsidP="00295A46">
            <w:pPr>
              <w:pStyle w:val="ICFTabletext"/>
              <w:jc w:val="center"/>
              <w:rPr>
                <w:lang w:bidi="ar-SA"/>
              </w:rPr>
            </w:pPr>
            <w:r w:rsidRPr="004C12C9">
              <w:rPr>
                <w:lang w:bidi="ar-SA"/>
              </w:rPr>
              <w:t>179</w:t>
            </w:r>
          </w:p>
        </w:tc>
      </w:tr>
      <w:tr w:rsidR="00A95ED2" w:rsidRPr="004C12C9" w14:paraId="4B4F4BF8" w14:textId="77777777" w:rsidTr="00A73BFA">
        <w:trPr>
          <w:trHeight w:val="20"/>
        </w:trPr>
        <w:tc>
          <w:tcPr>
            <w:tcW w:w="2607" w:type="dxa"/>
            <w:noWrap/>
            <w:vAlign w:val="center"/>
          </w:tcPr>
          <w:p w14:paraId="0C0B474B" w14:textId="77777777" w:rsidR="00A95ED2" w:rsidRPr="004C12C9" w:rsidRDefault="00A95ED2" w:rsidP="00BB448A">
            <w:pPr>
              <w:pStyle w:val="ICFTabletext"/>
              <w:rPr>
                <w:lang w:bidi="ar-SA"/>
              </w:rPr>
            </w:pPr>
            <w:r w:rsidRPr="004C12C9">
              <w:rPr>
                <w:lang w:bidi="ar-SA"/>
              </w:rPr>
              <w:t>Asphalt</w:t>
            </w:r>
          </w:p>
        </w:tc>
        <w:tc>
          <w:tcPr>
            <w:tcW w:w="3013" w:type="dxa"/>
            <w:vAlign w:val="center"/>
          </w:tcPr>
          <w:p w14:paraId="27BAB4FB" w14:textId="24272EA5" w:rsidR="00A95ED2" w:rsidRPr="004C12C9" w:rsidRDefault="00A95ED2" w:rsidP="00295A46">
            <w:pPr>
              <w:pStyle w:val="ICFTabletext"/>
              <w:jc w:val="center"/>
              <w:rPr>
                <w:lang w:bidi="ar-SA"/>
              </w:rPr>
            </w:pPr>
            <w:r w:rsidRPr="004C12C9">
              <w:rPr>
                <w:lang w:bidi="ar-SA"/>
              </w:rPr>
              <w:t>6,278</w:t>
            </w:r>
          </w:p>
        </w:tc>
        <w:tc>
          <w:tcPr>
            <w:tcW w:w="3014" w:type="dxa"/>
          </w:tcPr>
          <w:p w14:paraId="40BDC585" w14:textId="77777777" w:rsidR="00A95ED2" w:rsidRPr="004C12C9" w:rsidRDefault="00A95ED2" w:rsidP="00295A46">
            <w:pPr>
              <w:pStyle w:val="ICFTabletext"/>
              <w:jc w:val="center"/>
              <w:rPr>
                <w:lang w:bidi="ar-SA"/>
              </w:rPr>
            </w:pPr>
            <w:r w:rsidRPr="004C12C9">
              <w:rPr>
                <w:lang w:bidi="ar-SA"/>
              </w:rPr>
              <w:t>290</w:t>
            </w:r>
          </w:p>
        </w:tc>
      </w:tr>
      <w:tr w:rsidR="00A95ED2" w:rsidRPr="004C12C9" w14:paraId="73671F68" w14:textId="77777777" w:rsidTr="00A73BFA">
        <w:trPr>
          <w:trHeight w:val="20"/>
        </w:trPr>
        <w:tc>
          <w:tcPr>
            <w:tcW w:w="2607" w:type="dxa"/>
            <w:noWrap/>
            <w:vAlign w:val="center"/>
          </w:tcPr>
          <w:p w14:paraId="3C223BF7" w14:textId="77777777" w:rsidR="00A95ED2" w:rsidRPr="004C12C9" w:rsidRDefault="00A95ED2" w:rsidP="00BB448A">
            <w:pPr>
              <w:pStyle w:val="ICFTabletext"/>
              <w:rPr>
                <w:lang w:bidi="ar-SA"/>
              </w:rPr>
            </w:pPr>
            <w:r w:rsidRPr="004C12C9">
              <w:rPr>
                <w:lang w:bidi="ar-SA"/>
              </w:rPr>
              <w:t>Brick</w:t>
            </w:r>
          </w:p>
        </w:tc>
        <w:tc>
          <w:tcPr>
            <w:tcW w:w="3013" w:type="dxa"/>
            <w:vAlign w:val="center"/>
          </w:tcPr>
          <w:p w14:paraId="08634887" w14:textId="0E354344" w:rsidR="00A95ED2" w:rsidRPr="004C12C9" w:rsidRDefault="00A95ED2" w:rsidP="00295A46">
            <w:pPr>
              <w:pStyle w:val="ICFTabletext"/>
              <w:jc w:val="center"/>
              <w:rPr>
                <w:lang w:bidi="ar-SA"/>
              </w:rPr>
            </w:pPr>
            <w:r w:rsidRPr="004C12C9">
              <w:rPr>
                <w:lang w:bidi="ar-SA"/>
              </w:rPr>
              <w:t>131</w:t>
            </w:r>
          </w:p>
        </w:tc>
        <w:tc>
          <w:tcPr>
            <w:tcW w:w="3014" w:type="dxa"/>
          </w:tcPr>
          <w:p w14:paraId="63E215B1" w14:textId="77777777" w:rsidR="00A95ED2" w:rsidRPr="004C12C9" w:rsidRDefault="00A95ED2" w:rsidP="00295A46">
            <w:pPr>
              <w:pStyle w:val="ICFTabletext"/>
              <w:jc w:val="center"/>
              <w:rPr>
                <w:lang w:bidi="ar-SA"/>
              </w:rPr>
            </w:pPr>
            <w:r w:rsidRPr="004C12C9">
              <w:rPr>
                <w:lang w:bidi="ar-SA"/>
              </w:rPr>
              <w:t>88</w:t>
            </w:r>
          </w:p>
        </w:tc>
      </w:tr>
      <w:tr w:rsidR="00A95ED2" w:rsidRPr="004C12C9" w14:paraId="31C26DF2" w14:textId="77777777" w:rsidTr="00A73BFA">
        <w:trPr>
          <w:trHeight w:val="20"/>
        </w:trPr>
        <w:tc>
          <w:tcPr>
            <w:tcW w:w="2607" w:type="dxa"/>
            <w:noWrap/>
            <w:vAlign w:val="center"/>
          </w:tcPr>
          <w:p w14:paraId="562CDF80" w14:textId="77777777" w:rsidR="00A95ED2" w:rsidRPr="004C12C9" w:rsidRDefault="00A95ED2" w:rsidP="00BB448A">
            <w:pPr>
              <w:pStyle w:val="ICFTabletext"/>
              <w:rPr>
                <w:lang w:bidi="ar-SA"/>
              </w:rPr>
            </w:pPr>
            <w:r w:rsidRPr="004C12C9">
              <w:rPr>
                <w:lang w:bidi="ar-SA"/>
              </w:rPr>
              <w:t>Concrete</w:t>
            </w:r>
          </w:p>
        </w:tc>
        <w:tc>
          <w:tcPr>
            <w:tcW w:w="3013" w:type="dxa"/>
            <w:vAlign w:val="center"/>
          </w:tcPr>
          <w:p w14:paraId="1287221F" w14:textId="2C623A95" w:rsidR="00A95ED2" w:rsidRPr="004C12C9" w:rsidRDefault="00A95ED2" w:rsidP="00295A46">
            <w:pPr>
              <w:pStyle w:val="ICFTabletext"/>
              <w:jc w:val="center"/>
              <w:rPr>
                <w:lang w:bidi="ar-SA"/>
              </w:rPr>
            </w:pPr>
            <w:r w:rsidRPr="004C12C9">
              <w:rPr>
                <w:lang w:bidi="ar-SA"/>
              </w:rPr>
              <w:t>74,074</w:t>
            </w:r>
          </w:p>
        </w:tc>
        <w:tc>
          <w:tcPr>
            <w:tcW w:w="3014" w:type="dxa"/>
          </w:tcPr>
          <w:p w14:paraId="6534B2F6" w14:textId="77777777" w:rsidR="00A95ED2" w:rsidRPr="004C12C9" w:rsidRDefault="00A95ED2" w:rsidP="00295A46">
            <w:pPr>
              <w:pStyle w:val="ICFTabletext"/>
              <w:jc w:val="center"/>
              <w:rPr>
                <w:lang w:bidi="ar-SA"/>
              </w:rPr>
            </w:pPr>
            <w:r w:rsidRPr="004C12C9">
              <w:rPr>
                <w:lang w:bidi="ar-SA"/>
              </w:rPr>
              <w:t>7,665</w:t>
            </w:r>
          </w:p>
        </w:tc>
      </w:tr>
      <w:tr w:rsidR="00A95ED2" w:rsidRPr="004C12C9" w14:paraId="151102B3" w14:textId="77777777" w:rsidTr="00A73BFA">
        <w:trPr>
          <w:trHeight w:val="20"/>
        </w:trPr>
        <w:tc>
          <w:tcPr>
            <w:tcW w:w="2607" w:type="dxa"/>
            <w:noWrap/>
            <w:vAlign w:val="center"/>
            <w:hideMark/>
          </w:tcPr>
          <w:p w14:paraId="0B00A9F2" w14:textId="79A3315F" w:rsidR="00A95ED2" w:rsidRPr="004C12C9" w:rsidRDefault="00A95ED2" w:rsidP="00BB448A">
            <w:pPr>
              <w:pStyle w:val="ICFTabletext"/>
              <w:rPr>
                <w:lang w:bidi="ar-SA"/>
              </w:rPr>
            </w:pPr>
            <w:r w:rsidRPr="004C12C9">
              <w:rPr>
                <w:lang w:bidi="ar-SA"/>
              </w:rPr>
              <w:t>Glass</w:t>
            </w:r>
            <w:r w:rsidR="00D22934" w:rsidRPr="004C12C9">
              <w:rPr>
                <w:vertAlign w:val="superscript"/>
                <w:lang w:bidi="ar-SA"/>
              </w:rPr>
              <w:t>a</w:t>
            </w:r>
          </w:p>
        </w:tc>
        <w:tc>
          <w:tcPr>
            <w:tcW w:w="3013" w:type="dxa"/>
            <w:vAlign w:val="center"/>
            <w:hideMark/>
          </w:tcPr>
          <w:p w14:paraId="338451E7" w14:textId="77777777" w:rsidR="00A95ED2" w:rsidRPr="004C12C9" w:rsidRDefault="00A95ED2" w:rsidP="00295A46">
            <w:pPr>
              <w:pStyle w:val="ICFTabletext"/>
              <w:jc w:val="center"/>
              <w:rPr>
                <w:lang w:bidi="ar-SA"/>
              </w:rPr>
            </w:pPr>
            <w:r w:rsidRPr="004C12C9">
              <w:rPr>
                <w:lang w:bidi="ar-SA"/>
              </w:rPr>
              <w:t>9</w:t>
            </w:r>
          </w:p>
        </w:tc>
        <w:tc>
          <w:tcPr>
            <w:tcW w:w="3014" w:type="dxa"/>
          </w:tcPr>
          <w:p w14:paraId="7646CC1A" w14:textId="77777777" w:rsidR="00A95ED2" w:rsidRPr="004C12C9" w:rsidRDefault="00A95ED2" w:rsidP="00295A46">
            <w:pPr>
              <w:pStyle w:val="ICFTabletext"/>
              <w:jc w:val="center"/>
              <w:rPr>
                <w:lang w:bidi="ar-SA"/>
              </w:rPr>
            </w:pPr>
            <w:r w:rsidRPr="004C12C9">
              <w:rPr>
                <w:lang w:bidi="ar-SA"/>
              </w:rPr>
              <w:t>31</w:t>
            </w:r>
          </w:p>
        </w:tc>
      </w:tr>
      <w:tr w:rsidR="00A95ED2" w:rsidRPr="004C12C9" w14:paraId="22B888AB" w14:textId="77777777" w:rsidTr="00A73BFA">
        <w:trPr>
          <w:trHeight w:val="20"/>
        </w:trPr>
        <w:tc>
          <w:tcPr>
            <w:tcW w:w="2607" w:type="dxa"/>
            <w:noWrap/>
            <w:vAlign w:val="center"/>
          </w:tcPr>
          <w:p w14:paraId="48A14D3E" w14:textId="0B0F9A20" w:rsidR="00A95ED2" w:rsidRPr="004C12C9" w:rsidRDefault="00A95ED2" w:rsidP="00BB448A">
            <w:pPr>
              <w:pStyle w:val="ICFTabletext"/>
              <w:rPr>
                <w:lang w:bidi="ar-SA"/>
              </w:rPr>
            </w:pPr>
            <w:r w:rsidRPr="004C12C9">
              <w:rPr>
                <w:lang w:bidi="ar-SA"/>
              </w:rPr>
              <w:t>Insulation</w:t>
            </w:r>
            <w:r w:rsidR="00D22934" w:rsidRPr="004C12C9">
              <w:rPr>
                <w:vertAlign w:val="superscript"/>
                <w:lang w:bidi="ar-SA"/>
              </w:rPr>
              <w:t>b</w:t>
            </w:r>
          </w:p>
        </w:tc>
        <w:tc>
          <w:tcPr>
            <w:tcW w:w="3013" w:type="dxa"/>
            <w:vAlign w:val="center"/>
          </w:tcPr>
          <w:p w14:paraId="6F1D108C" w14:textId="77777777" w:rsidR="00A95ED2" w:rsidRPr="004C12C9" w:rsidRDefault="00A95ED2" w:rsidP="00295A46">
            <w:pPr>
              <w:pStyle w:val="ICFTabletext"/>
              <w:jc w:val="center"/>
              <w:rPr>
                <w:lang w:bidi="ar-SA"/>
              </w:rPr>
            </w:pPr>
            <w:r w:rsidRPr="004C12C9">
              <w:rPr>
                <w:lang w:bidi="ar-SA"/>
              </w:rPr>
              <w:t>38</w:t>
            </w:r>
          </w:p>
        </w:tc>
        <w:tc>
          <w:tcPr>
            <w:tcW w:w="3014" w:type="dxa"/>
          </w:tcPr>
          <w:p w14:paraId="4910C092" w14:textId="77777777" w:rsidR="00A95ED2" w:rsidRPr="004C12C9" w:rsidRDefault="00A95ED2" w:rsidP="00295A46">
            <w:pPr>
              <w:pStyle w:val="ICFTabletext"/>
              <w:jc w:val="center"/>
              <w:rPr>
                <w:lang w:bidi="ar-SA"/>
              </w:rPr>
            </w:pPr>
            <w:r w:rsidRPr="004C12C9">
              <w:rPr>
                <w:lang w:bidi="ar-SA"/>
              </w:rPr>
              <w:t>3</w:t>
            </w:r>
          </w:p>
        </w:tc>
      </w:tr>
      <w:tr w:rsidR="00A95ED2" w:rsidRPr="004C12C9" w14:paraId="5A9BF348" w14:textId="77777777" w:rsidTr="00A73BFA">
        <w:trPr>
          <w:trHeight w:val="20"/>
        </w:trPr>
        <w:tc>
          <w:tcPr>
            <w:tcW w:w="2607" w:type="dxa"/>
            <w:noWrap/>
            <w:vAlign w:val="center"/>
            <w:hideMark/>
          </w:tcPr>
          <w:p w14:paraId="1C5FC39E" w14:textId="77777777" w:rsidR="00A95ED2" w:rsidRPr="004C12C9" w:rsidRDefault="00A95ED2" w:rsidP="00BB448A">
            <w:pPr>
              <w:pStyle w:val="ICFTabletext"/>
              <w:rPr>
                <w:lang w:bidi="ar-SA"/>
              </w:rPr>
            </w:pPr>
            <w:r w:rsidRPr="004C12C9">
              <w:rPr>
                <w:lang w:bidi="ar-SA"/>
              </w:rPr>
              <w:t>Steel</w:t>
            </w:r>
          </w:p>
        </w:tc>
        <w:tc>
          <w:tcPr>
            <w:tcW w:w="3013" w:type="dxa"/>
            <w:vAlign w:val="center"/>
            <w:hideMark/>
          </w:tcPr>
          <w:p w14:paraId="20E0406B" w14:textId="77777777" w:rsidR="00A95ED2" w:rsidRPr="004C12C9" w:rsidRDefault="00A95ED2" w:rsidP="00295A46">
            <w:pPr>
              <w:pStyle w:val="ICFTabletext"/>
              <w:jc w:val="center"/>
              <w:rPr>
                <w:lang w:bidi="ar-SA"/>
              </w:rPr>
            </w:pPr>
            <w:r w:rsidRPr="004C12C9">
              <w:rPr>
                <w:lang w:bidi="ar-SA"/>
              </w:rPr>
              <w:t>286</w:t>
            </w:r>
          </w:p>
        </w:tc>
        <w:tc>
          <w:tcPr>
            <w:tcW w:w="3014" w:type="dxa"/>
          </w:tcPr>
          <w:p w14:paraId="56140F4D" w14:textId="77777777" w:rsidR="00A95ED2" w:rsidRPr="004C12C9" w:rsidRDefault="00A95ED2" w:rsidP="00295A46">
            <w:pPr>
              <w:pStyle w:val="ICFTabletext"/>
              <w:jc w:val="center"/>
              <w:rPr>
                <w:lang w:bidi="ar-SA"/>
              </w:rPr>
            </w:pPr>
            <w:r w:rsidRPr="004C12C9">
              <w:rPr>
                <w:lang w:bidi="ar-SA"/>
              </w:rPr>
              <w:t>825</w:t>
            </w:r>
          </w:p>
        </w:tc>
      </w:tr>
      <w:tr w:rsidR="00A95ED2" w:rsidRPr="004C12C9" w14:paraId="65BC0EBA" w14:textId="77777777" w:rsidTr="00A73BFA">
        <w:trPr>
          <w:trHeight w:val="20"/>
        </w:trPr>
        <w:tc>
          <w:tcPr>
            <w:tcW w:w="2607" w:type="dxa"/>
            <w:noWrap/>
            <w:vAlign w:val="center"/>
            <w:hideMark/>
          </w:tcPr>
          <w:p w14:paraId="2BD10A18" w14:textId="77777777" w:rsidR="00A95ED2" w:rsidRPr="004C12C9" w:rsidRDefault="00A95ED2" w:rsidP="00BB448A">
            <w:pPr>
              <w:pStyle w:val="ICFTabletext"/>
              <w:rPr>
                <w:lang w:bidi="ar-SA"/>
              </w:rPr>
            </w:pPr>
            <w:r w:rsidRPr="004C12C9">
              <w:rPr>
                <w:lang w:bidi="ar-SA"/>
              </w:rPr>
              <w:t>Wood Products</w:t>
            </w:r>
          </w:p>
        </w:tc>
        <w:tc>
          <w:tcPr>
            <w:tcW w:w="3013" w:type="dxa"/>
            <w:vAlign w:val="center"/>
            <w:hideMark/>
          </w:tcPr>
          <w:p w14:paraId="0D7CF4A4" w14:textId="4F6E266B" w:rsidR="00A95ED2" w:rsidRPr="004C12C9" w:rsidRDefault="00A95ED2" w:rsidP="00295A46">
            <w:pPr>
              <w:pStyle w:val="ICFTabletext"/>
              <w:jc w:val="center"/>
              <w:rPr>
                <w:lang w:bidi="ar-SA"/>
              </w:rPr>
            </w:pPr>
            <w:r w:rsidRPr="004C12C9">
              <w:rPr>
                <w:lang w:bidi="ar-SA"/>
              </w:rPr>
              <w:t>27</w:t>
            </w:r>
          </w:p>
        </w:tc>
        <w:tc>
          <w:tcPr>
            <w:tcW w:w="3014" w:type="dxa"/>
          </w:tcPr>
          <w:p w14:paraId="0DC1FAB8" w14:textId="77777777" w:rsidR="00A95ED2" w:rsidRPr="004C12C9" w:rsidRDefault="00A95ED2" w:rsidP="00295A46">
            <w:pPr>
              <w:pStyle w:val="ICFTabletext"/>
              <w:jc w:val="center"/>
              <w:rPr>
                <w:lang w:bidi="ar-SA"/>
              </w:rPr>
            </w:pPr>
            <w:r w:rsidRPr="004C12C9">
              <w:rPr>
                <w:lang w:bidi="ar-SA"/>
              </w:rPr>
              <w:t>121</w:t>
            </w:r>
          </w:p>
        </w:tc>
      </w:tr>
    </w:tbl>
    <w:p w14:paraId="5EC4118E" w14:textId="17E1719F" w:rsidR="00406A8A" w:rsidRPr="004C12C9" w:rsidRDefault="00D22934" w:rsidP="0020098B">
      <w:pPr>
        <w:pStyle w:val="TableFooter"/>
      </w:pPr>
      <w:r w:rsidRPr="004C12C9">
        <w:rPr>
          <w:vertAlign w:val="superscript"/>
        </w:rPr>
        <w:t>a</w:t>
      </w:r>
      <w:r w:rsidR="00406A8A" w:rsidRPr="004C12C9">
        <w:t xml:space="preserve"> </w:t>
      </w:r>
      <w:r w:rsidR="0030451C" w:rsidRPr="004C12C9">
        <w:t>Based on</w:t>
      </w:r>
      <w:r w:rsidR="00406A8A" w:rsidRPr="004C12C9">
        <w:t xml:space="preserve"> EPDs for flat glass products.</w:t>
      </w:r>
    </w:p>
    <w:p w14:paraId="61995E3B" w14:textId="40EC7464" w:rsidR="00406A8A" w:rsidRPr="004C12C9" w:rsidRDefault="00D22934" w:rsidP="0020098B">
      <w:pPr>
        <w:pStyle w:val="TableFooter"/>
      </w:pPr>
      <w:r w:rsidRPr="004C12C9">
        <w:rPr>
          <w:vertAlign w:val="superscript"/>
        </w:rPr>
        <w:t>b</w:t>
      </w:r>
      <w:r w:rsidR="00406A8A" w:rsidRPr="004C12C9">
        <w:t xml:space="preserve"> </w:t>
      </w:r>
      <w:r w:rsidR="0030451C" w:rsidRPr="004C12C9">
        <w:t>Based on</w:t>
      </w:r>
      <w:r w:rsidR="00406A8A" w:rsidRPr="004C12C9">
        <w:t xml:space="preserve"> fiberglass batts (faced) insulation</w:t>
      </w:r>
      <w:r w:rsidR="0030451C" w:rsidRPr="004C12C9">
        <w:t xml:space="preserve"> as</w:t>
      </w:r>
      <w:r w:rsidR="00406A8A" w:rsidRPr="004C12C9">
        <w:t xml:space="preserve"> fiberglass batts is commonly used for insulation in new construction.</w:t>
      </w:r>
    </w:p>
    <w:p w14:paraId="53C0DF37" w14:textId="4468E422" w:rsidR="00406A8A" w:rsidRPr="004C12C9" w:rsidRDefault="00406A8A" w:rsidP="00D22934">
      <w:r w:rsidRPr="004C12C9">
        <w:t xml:space="preserve">To develop emission factors for imported materials, EPDs from select countries or regions </w:t>
      </w:r>
      <w:r w:rsidR="00A41A4A" w:rsidRPr="004C12C9">
        <w:t>are</w:t>
      </w:r>
      <w:r w:rsidRPr="004C12C9">
        <w:t xml:space="preserve"> used as </w:t>
      </w:r>
      <w:r w:rsidR="008E2A11" w:rsidRPr="004C12C9">
        <w:t xml:space="preserve">a </w:t>
      </w:r>
      <w:r w:rsidRPr="004C12C9">
        <w:t>prox</w:t>
      </w:r>
      <w:r w:rsidR="008E2A11" w:rsidRPr="004C12C9">
        <w:t>y</w:t>
      </w:r>
      <w:r w:rsidRPr="004C12C9">
        <w:t>. For most material types, the largest importing country for each material serve</w:t>
      </w:r>
      <w:r w:rsidR="00FD222D" w:rsidRPr="004C12C9">
        <w:t>s</w:t>
      </w:r>
      <w:r w:rsidRPr="004C12C9">
        <w:t xml:space="preserve"> as the proxy. However, due to limited EPD availability, </w:t>
      </w:r>
      <w:r w:rsidR="008F0102" w:rsidRPr="004C12C9">
        <w:t xml:space="preserve">in some cases </w:t>
      </w:r>
      <w:r w:rsidRPr="004C12C9">
        <w:t xml:space="preserve">EPDs from </w:t>
      </w:r>
      <w:r w:rsidR="005026E7" w:rsidRPr="004C12C9">
        <w:t xml:space="preserve">a </w:t>
      </w:r>
      <w:r w:rsidRPr="004C12C9">
        <w:t>specific region</w:t>
      </w:r>
      <w:r w:rsidR="005026E7" w:rsidRPr="004C12C9">
        <w:t xml:space="preserve"> </w:t>
      </w:r>
      <w:r w:rsidR="00FD222D" w:rsidRPr="004C12C9">
        <w:t>are</w:t>
      </w:r>
      <w:r w:rsidRPr="004C12C9">
        <w:t xml:space="preserve"> </w:t>
      </w:r>
      <w:r w:rsidR="005026E7" w:rsidRPr="004C12C9">
        <w:t xml:space="preserve">relied on </w:t>
      </w:r>
      <w:r w:rsidRPr="004C12C9">
        <w:t xml:space="preserve">instead. Emission factors for imported concrete and asphalt </w:t>
      </w:r>
      <w:r w:rsidR="00FD222D" w:rsidRPr="004C12C9">
        <w:t>are</w:t>
      </w:r>
      <w:r w:rsidRPr="004C12C9">
        <w:t xml:space="preserve"> not developed, as these materials are typically sourced from local suppliers within a short driving distance of the construction site and are assumed to be domestically sourced. </w:t>
      </w:r>
      <w:r w:rsidRPr="004C12C9">
        <w:fldChar w:fldCharType="begin" w:fldLock="1"/>
      </w:r>
      <w:r w:rsidRPr="004C12C9">
        <w:instrText xml:space="preserve"> REF _Ref183099468 \h  \* MERGEFORMAT </w:instrText>
      </w:r>
      <w:r w:rsidRPr="004C12C9">
        <w:fldChar w:fldCharType="separate"/>
      </w:r>
      <w:r w:rsidR="00127094" w:rsidRPr="004C12C9">
        <w:t>Table 2</w:t>
      </w:r>
      <w:r w:rsidR="00127094" w:rsidRPr="004C12C9">
        <w:noBreakHyphen/>
        <w:t>3</w:t>
      </w:r>
      <w:r w:rsidRPr="004C12C9">
        <w:fldChar w:fldCharType="end"/>
      </w:r>
      <w:r w:rsidRPr="004C12C9">
        <w:t xml:space="preserve"> summarizes the largest import country for each material and the proxy country/region used to develop the imported material emission factors used in the </w:t>
      </w:r>
      <w:r w:rsidR="00FD056A" w:rsidRPr="004C12C9">
        <w:t>calculator</w:t>
      </w:r>
      <w:r w:rsidRPr="004C12C9">
        <w:t>.</w:t>
      </w:r>
    </w:p>
    <w:p w14:paraId="3DDD2EEE" w14:textId="61A75606" w:rsidR="00817570" w:rsidRPr="004C12C9" w:rsidRDefault="00817570" w:rsidP="0095735B">
      <w:pPr>
        <w:pStyle w:val="Caption"/>
        <w:rPr>
          <w:rFonts w:asciiTheme="minorHAnsi" w:eastAsia="MS Mincho" w:hAnsiTheme="minorHAnsi" w:cstheme="minorHAnsi"/>
          <w:b w:val="0"/>
          <w:lang w:eastAsia="ja-JP" w:bidi="ar-SA"/>
        </w:rPr>
      </w:pPr>
      <w:bookmarkStart w:id="46" w:name="_Ref183099468"/>
      <w:r w:rsidRPr="004C12C9">
        <w:rPr>
          <w:rFonts w:eastAsia="MS Mincho"/>
          <w:lang w:eastAsia="ja-JP" w:bidi="ar-SA"/>
        </w:rPr>
        <w:lastRenderedPageBreak/>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3</w:t>
      </w:r>
      <w:r w:rsidR="00F72B41">
        <w:rPr>
          <w:rFonts w:eastAsia="MS Mincho"/>
          <w:lang w:eastAsia="ja-JP" w:bidi="ar-SA"/>
        </w:rPr>
        <w:fldChar w:fldCharType="end"/>
      </w:r>
      <w:bookmarkEnd w:id="46"/>
      <w:r w:rsidR="00295A46" w:rsidRPr="004C12C9">
        <w:rPr>
          <w:rFonts w:eastAsia="MS Mincho"/>
          <w:lang w:eastAsia="ja-JP" w:bidi="ar-SA"/>
        </w:rPr>
        <w:t>.</w:t>
      </w:r>
      <w:r w:rsidRPr="004C12C9">
        <w:rPr>
          <w:rFonts w:eastAsia="MS Mincho"/>
          <w:lang w:eastAsia="ja-JP" w:bidi="ar-SA"/>
        </w:rPr>
        <w:t xml:space="preserve"> Largest Source of Imports by Material Type</w:t>
      </w:r>
    </w:p>
    <w:tbl>
      <w:tblPr>
        <w:tblW w:w="500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3"/>
        <w:gridCol w:w="2392"/>
        <w:gridCol w:w="1170"/>
        <w:gridCol w:w="4689"/>
      </w:tblGrid>
      <w:tr w:rsidR="00817570" w:rsidRPr="004C12C9" w14:paraId="1C1F8014" w14:textId="77777777" w:rsidTr="00754E70">
        <w:trPr>
          <w:trHeight w:val="259"/>
        </w:trPr>
        <w:tc>
          <w:tcPr>
            <w:tcW w:w="1833" w:type="dxa"/>
            <w:shd w:val="clear" w:color="auto" w:fill="D9D9D9" w:themeFill="background1" w:themeFillShade="D9"/>
            <w:noWrap/>
            <w:vAlign w:val="center"/>
            <w:hideMark/>
          </w:tcPr>
          <w:p w14:paraId="695E35BA" w14:textId="77777777" w:rsidR="00817570" w:rsidRPr="004C12C9" w:rsidRDefault="00817570" w:rsidP="0095735B">
            <w:pPr>
              <w:pStyle w:val="ICFTableHeading"/>
              <w:keepNext/>
              <w:rPr>
                <w:lang w:bidi="ar-SA"/>
              </w:rPr>
            </w:pPr>
            <w:r w:rsidRPr="004C12C9">
              <w:rPr>
                <w:lang w:bidi="ar-SA"/>
              </w:rPr>
              <w:t>Material Type</w:t>
            </w:r>
          </w:p>
        </w:tc>
        <w:tc>
          <w:tcPr>
            <w:tcW w:w="2392" w:type="dxa"/>
            <w:shd w:val="clear" w:color="auto" w:fill="D9D9D9" w:themeFill="background1" w:themeFillShade="D9"/>
            <w:vAlign w:val="center"/>
            <w:hideMark/>
          </w:tcPr>
          <w:p w14:paraId="5E4020FF" w14:textId="77777777" w:rsidR="00817570" w:rsidRPr="004C12C9" w:rsidRDefault="00817570" w:rsidP="0095735B">
            <w:pPr>
              <w:pStyle w:val="ICFTableHeading"/>
              <w:keepNext/>
              <w:rPr>
                <w:lang w:bidi="ar-SA"/>
              </w:rPr>
            </w:pPr>
            <w:r w:rsidRPr="004C12C9">
              <w:rPr>
                <w:rFonts w:eastAsia="MS Mincho"/>
                <w:lang w:eastAsia="ja-JP" w:bidi="ar-SA"/>
              </w:rPr>
              <w:t>Largest Import Country</w:t>
            </w:r>
          </w:p>
        </w:tc>
        <w:tc>
          <w:tcPr>
            <w:tcW w:w="1170" w:type="dxa"/>
            <w:shd w:val="clear" w:color="auto" w:fill="D9D9D9" w:themeFill="background1" w:themeFillShade="D9"/>
            <w:vAlign w:val="center"/>
          </w:tcPr>
          <w:p w14:paraId="5D3EBD36" w14:textId="723FC358" w:rsidR="00817570" w:rsidRPr="004C12C9" w:rsidRDefault="00817570" w:rsidP="0095735B">
            <w:pPr>
              <w:pStyle w:val="ICFTableHeading"/>
              <w:keepNext/>
              <w:rPr>
                <w:rFonts w:eastAsia="MS Mincho"/>
                <w:lang w:eastAsia="ja-JP" w:bidi="ar-SA"/>
              </w:rPr>
            </w:pPr>
            <w:r w:rsidRPr="004C12C9">
              <w:rPr>
                <w:rFonts w:eastAsia="MS Mincho"/>
                <w:lang w:eastAsia="ja-JP" w:bidi="ar-SA"/>
              </w:rPr>
              <w:t xml:space="preserve">Proxy </w:t>
            </w:r>
          </w:p>
        </w:tc>
        <w:tc>
          <w:tcPr>
            <w:tcW w:w="4689" w:type="dxa"/>
            <w:shd w:val="clear" w:color="auto" w:fill="D9D9D9" w:themeFill="background1" w:themeFillShade="D9"/>
            <w:vAlign w:val="center"/>
          </w:tcPr>
          <w:p w14:paraId="4AEDB402" w14:textId="269F2E9C" w:rsidR="00817570" w:rsidRPr="004C12C9" w:rsidRDefault="00817570" w:rsidP="0095735B">
            <w:pPr>
              <w:pStyle w:val="ICFTableHeading"/>
              <w:keepNext/>
              <w:rPr>
                <w:lang w:bidi="ar-SA"/>
              </w:rPr>
            </w:pPr>
            <w:r w:rsidRPr="004C12C9">
              <w:rPr>
                <w:rFonts w:eastAsia="MS Mincho"/>
                <w:lang w:eastAsia="ja-JP" w:bidi="ar-SA"/>
              </w:rPr>
              <w:t>Source</w:t>
            </w:r>
          </w:p>
        </w:tc>
      </w:tr>
      <w:tr w:rsidR="00817570" w:rsidRPr="004C12C9" w14:paraId="66398C3B" w14:textId="77777777" w:rsidTr="00754E70">
        <w:trPr>
          <w:trHeight w:val="20"/>
        </w:trPr>
        <w:tc>
          <w:tcPr>
            <w:tcW w:w="1833" w:type="dxa"/>
            <w:noWrap/>
            <w:vAlign w:val="bottom"/>
            <w:hideMark/>
          </w:tcPr>
          <w:p w14:paraId="7F814073" w14:textId="77777777" w:rsidR="00817570" w:rsidRPr="004C12C9" w:rsidRDefault="00817570" w:rsidP="0095735B">
            <w:pPr>
              <w:pStyle w:val="ICFTabletext"/>
              <w:keepNext/>
              <w:rPr>
                <w:lang w:bidi="ar-SA"/>
              </w:rPr>
            </w:pPr>
            <w:r w:rsidRPr="004C12C9">
              <w:rPr>
                <w:lang w:bidi="ar-SA"/>
              </w:rPr>
              <w:t>Aluminum</w:t>
            </w:r>
          </w:p>
        </w:tc>
        <w:tc>
          <w:tcPr>
            <w:tcW w:w="2392" w:type="dxa"/>
            <w:vAlign w:val="bottom"/>
            <w:hideMark/>
          </w:tcPr>
          <w:p w14:paraId="1C927D08" w14:textId="77777777" w:rsidR="00817570" w:rsidRPr="004C12C9" w:rsidRDefault="00817570" w:rsidP="0095735B">
            <w:pPr>
              <w:pStyle w:val="ICFTabletext"/>
              <w:keepNext/>
              <w:rPr>
                <w:szCs w:val="22"/>
                <w:lang w:bidi="ar-SA"/>
              </w:rPr>
            </w:pPr>
            <w:r w:rsidRPr="004C12C9">
              <w:rPr>
                <w:rFonts w:eastAsia="MS Mincho"/>
                <w:szCs w:val="22"/>
                <w:lang w:eastAsia="ja-JP" w:bidi="ar-SA"/>
              </w:rPr>
              <w:t>Canada</w:t>
            </w:r>
          </w:p>
        </w:tc>
        <w:tc>
          <w:tcPr>
            <w:tcW w:w="1170" w:type="dxa"/>
          </w:tcPr>
          <w:p w14:paraId="3AD35C1F" w14:textId="77777777" w:rsidR="00817570" w:rsidRPr="004C12C9" w:rsidRDefault="00817570" w:rsidP="0095735B">
            <w:pPr>
              <w:pStyle w:val="ICFTabletext"/>
              <w:keepNext/>
              <w:rPr>
                <w:rFonts w:eastAsia="MS Mincho"/>
                <w:szCs w:val="22"/>
                <w:lang w:eastAsia="ja-JP" w:bidi="ar-SA"/>
              </w:rPr>
            </w:pPr>
            <w:r w:rsidRPr="004C12C9">
              <w:rPr>
                <w:rFonts w:eastAsia="MS Mincho"/>
                <w:szCs w:val="22"/>
                <w:lang w:eastAsia="ja-JP" w:bidi="ar-SA"/>
              </w:rPr>
              <w:t>Canada</w:t>
            </w:r>
          </w:p>
        </w:tc>
        <w:tc>
          <w:tcPr>
            <w:tcW w:w="4689" w:type="dxa"/>
            <w:vAlign w:val="bottom"/>
          </w:tcPr>
          <w:p w14:paraId="5981DE49" w14:textId="2E6DD2D5" w:rsidR="00817570" w:rsidRPr="004C12C9" w:rsidRDefault="00D91D17" w:rsidP="0095735B">
            <w:pPr>
              <w:pStyle w:val="ICFTabletext"/>
              <w:keepNext/>
              <w:rPr>
                <w:rFonts w:asciiTheme="minorHAnsi" w:hAnsiTheme="minorHAnsi" w:cstheme="minorHAnsi"/>
                <w:color w:val="000000"/>
                <w:szCs w:val="22"/>
                <w:lang w:bidi="ar-SA"/>
              </w:rPr>
            </w:pPr>
            <w:r w:rsidRPr="004C12C9">
              <w:rPr>
                <w:rFonts w:asciiTheme="minorHAnsi" w:eastAsia="MS Mincho" w:hAnsiTheme="minorHAnsi" w:cstheme="minorHAnsi"/>
                <w:szCs w:val="22"/>
              </w:rPr>
              <w:t>Carbon Voyage Tool</w:t>
            </w:r>
            <w:r w:rsidR="003C3CA0">
              <w:rPr>
                <w:rFonts w:ascii="ZWAdobeF" w:eastAsia="MS Mincho" w:hAnsi="ZWAdobeF" w:cs="ZWAdobeF"/>
                <w:sz w:val="2"/>
                <w:szCs w:val="2"/>
              </w:rPr>
              <w:t>4F</w:t>
            </w:r>
            <w:r w:rsidR="00CA4761" w:rsidRPr="004C12C9">
              <w:rPr>
                <w:rStyle w:val="FootnoteReference"/>
                <w:szCs w:val="22"/>
                <w:lang w:bidi="ar-SA"/>
              </w:rPr>
              <w:footnoteReference w:id="6"/>
            </w:r>
          </w:p>
        </w:tc>
      </w:tr>
      <w:tr w:rsidR="00817570" w:rsidRPr="004C12C9" w14:paraId="1E2DC373" w14:textId="77777777" w:rsidTr="00754E70">
        <w:trPr>
          <w:trHeight w:val="20"/>
        </w:trPr>
        <w:tc>
          <w:tcPr>
            <w:tcW w:w="1833" w:type="dxa"/>
            <w:noWrap/>
            <w:vAlign w:val="bottom"/>
            <w:hideMark/>
          </w:tcPr>
          <w:p w14:paraId="48C59AFC" w14:textId="77777777" w:rsidR="00817570" w:rsidRPr="004C12C9" w:rsidRDefault="00817570" w:rsidP="0045736E">
            <w:pPr>
              <w:pStyle w:val="ICFTabletext"/>
              <w:rPr>
                <w:lang w:bidi="ar-SA"/>
              </w:rPr>
            </w:pPr>
            <w:r w:rsidRPr="004C12C9">
              <w:rPr>
                <w:lang w:bidi="ar-SA"/>
              </w:rPr>
              <w:t>Asphalt</w:t>
            </w:r>
          </w:p>
        </w:tc>
        <w:tc>
          <w:tcPr>
            <w:tcW w:w="2392" w:type="dxa"/>
            <w:vAlign w:val="bottom"/>
            <w:hideMark/>
          </w:tcPr>
          <w:p w14:paraId="5FD7906F" w14:textId="77777777" w:rsidR="00817570" w:rsidRPr="004C12C9" w:rsidRDefault="00817570" w:rsidP="0045736E">
            <w:pPr>
              <w:pStyle w:val="ICFTabletext"/>
              <w:rPr>
                <w:szCs w:val="22"/>
                <w:lang w:bidi="ar-SA"/>
              </w:rPr>
            </w:pPr>
            <w:r w:rsidRPr="004C12C9">
              <w:rPr>
                <w:rFonts w:eastAsia="MS Mincho"/>
                <w:szCs w:val="22"/>
                <w:lang w:eastAsia="ja-JP" w:bidi="ar-SA"/>
              </w:rPr>
              <w:t>NA</w:t>
            </w:r>
          </w:p>
        </w:tc>
        <w:tc>
          <w:tcPr>
            <w:tcW w:w="1170" w:type="dxa"/>
            <w:vAlign w:val="bottom"/>
          </w:tcPr>
          <w:p w14:paraId="6BCCD8D3"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NA</w:t>
            </w:r>
          </w:p>
        </w:tc>
        <w:tc>
          <w:tcPr>
            <w:tcW w:w="4689" w:type="dxa"/>
            <w:vAlign w:val="bottom"/>
          </w:tcPr>
          <w:p w14:paraId="2CA70313" w14:textId="77777777" w:rsidR="00817570" w:rsidRPr="004C12C9" w:rsidRDefault="00817570" w:rsidP="0045736E">
            <w:pPr>
              <w:pStyle w:val="ICFTabletext"/>
              <w:rPr>
                <w:szCs w:val="22"/>
                <w:lang w:bidi="ar-SA"/>
              </w:rPr>
            </w:pPr>
            <w:r w:rsidRPr="004C12C9">
              <w:rPr>
                <w:rFonts w:eastAsia="MS Mincho"/>
                <w:szCs w:val="22"/>
                <w:lang w:eastAsia="ja-JP" w:bidi="ar-SA"/>
              </w:rPr>
              <w:t> </w:t>
            </w:r>
          </w:p>
        </w:tc>
      </w:tr>
      <w:tr w:rsidR="00817570" w:rsidRPr="004C12C9" w14:paraId="097D4DC4" w14:textId="77777777" w:rsidTr="00754E70">
        <w:trPr>
          <w:trHeight w:val="20"/>
        </w:trPr>
        <w:tc>
          <w:tcPr>
            <w:tcW w:w="1833" w:type="dxa"/>
            <w:noWrap/>
            <w:vAlign w:val="bottom"/>
            <w:hideMark/>
          </w:tcPr>
          <w:p w14:paraId="5CAFDA8F" w14:textId="77777777" w:rsidR="00817570" w:rsidRPr="004C12C9" w:rsidRDefault="00817570" w:rsidP="0045736E">
            <w:pPr>
              <w:pStyle w:val="ICFTabletext"/>
              <w:rPr>
                <w:lang w:bidi="ar-SA"/>
              </w:rPr>
            </w:pPr>
            <w:r w:rsidRPr="004C12C9">
              <w:rPr>
                <w:lang w:bidi="ar-SA"/>
              </w:rPr>
              <w:t>Brick</w:t>
            </w:r>
          </w:p>
        </w:tc>
        <w:tc>
          <w:tcPr>
            <w:tcW w:w="2392" w:type="dxa"/>
            <w:vAlign w:val="bottom"/>
            <w:hideMark/>
          </w:tcPr>
          <w:p w14:paraId="61607A3C" w14:textId="77777777" w:rsidR="00817570" w:rsidRPr="004C12C9" w:rsidRDefault="00817570" w:rsidP="0045736E">
            <w:pPr>
              <w:pStyle w:val="ICFTabletext"/>
              <w:rPr>
                <w:szCs w:val="22"/>
                <w:lang w:bidi="ar-SA"/>
              </w:rPr>
            </w:pPr>
            <w:r w:rsidRPr="004C12C9">
              <w:rPr>
                <w:rFonts w:eastAsia="MS Mincho"/>
                <w:szCs w:val="22"/>
                <w:lang w:eastAsia="ja-JP" w:bidi="ar-SA"/>
              </w:rPr>
              <w:t>China</w:t>
            </w:r>
          </w:p>
        </w:tc>
        <w:tc>
          <w:tcPr>
            <w:tcW w:w="1170" w:type="dxa"/>
          </w:tcPr>
          <w:p w14:paraId="4D3E4B47"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Asia</w:t>
            </w:r>
          </w:p>
        </w:tc>
        <w:tc>
          <w:tcPr>
            <w:tcW w:w="4689" w:type="dxa"/>
            <w:vAlign w:val="bottom"/>
          </w:tcPr>
          <w:p w14:paraId="69DAC9D1" w14:textId="463E1271" w:rsidR="00817570" w:rsidRPr="004C12C9" w:rsidRDefault="0051379A" w:rsidP="0045736E">
            <w:pPr>
              <w:pStyle w:val="ICFTabletext"/>
              <w:rPr>
                <w:rFonts w:asciiTheme="minorHAnsi" w:hAnsiTheme="minorHAnsi" w:cstheme="minorHAnsi"/>
                <w:color w:val="000000"/>
                <w:szCs w:val="22"/>
                <w:lang w:bidi="ar-SA"/>
              </w:rPr>
            </w:pPr>
            <w:r w:rsidRPr="004C12C9">
              <w:rPr>
                <w:rFonts w:asciiTheme="minorHAnsi" w:hAnsiTheme="minorHAnsi" w:cstheme="minorHAnsi"/>
                <w:szCs w:val="22"/>
              </w:rPr>
              <w:t>The Observatory of Economic Complexity</w:t>
            </w:r>
            <w:r w:rsidR="003C3CA0">
              <w:rPr>
                <w:rFonts w:ascii="ZWAdobeF" w:hAnsi="ZWAdobeF" w:cs="ZWAdobeF"/>
                <w:sz w:val="2"/>
                <w:szCs w:val="2"/>
              </w:rPr>
              <w:t>5F</w:t>
            </w:r>
            <w:r w:rsidRPr="004C12C9">
              <w:rPr>
                <w:rStyle w:val="FootnoteReference"/>
                <w:rFonts w:asciiTheme="minorHAnsi" w:hAnsiTheme="minorHAnsi" w:cstheme="minorHAnsi"/>
                <w:szCs w:val="22"/>
              </w:rPr>
              <w:footnoteReference w:id="7"/>
            </w:r>
          </w:p>
        </w:tc>
      </w:tr>
      <w:tr w:rsidR="00817570" w:rsidRPr="004C12C9" w14:paraId="71E12F3F" w14:textId="77777777" w:rsidTr="00754E70">
        <w:trPr>
          <w:trHeight w:val="20"/>
        </w:trPr>
        <w:tc>
          <w:tcPr>
            <w:tcW w:w="1833" w:type="dxa"/>
            <w:noWrap/>
            <w:vAlign w:val="bottom"/>
            <w:hideMark/>
          </w:tcPr>
          <w:p w14:paraId="271D0ED4" w14:textId="77777777" w:rsidR="00817570" w:rsidRPr="004C12C9" w:rsidRDefault="00817570" w:rsidP="0045736E">
            <w:pPr>
              <w:pStyle w:val="ICFTabletext"/>
              <w:rPr>
                <w:lang w:bidi="ar-SA"/>
              </w:rPr>
            </w:pPr>
            <w:r w:rsidRPr="004C12C9">
              <w:rPr>
                <w:lang w:bidi="ar-SA"/>
              </w:rPr>
              <w:t>Concrete</w:t>
            </w:r>
          </w:p>
        </w:tc>
        <w:tc>
          <w:tcPr>
            <w:tcW w:w="2392" w:type="dxa"/>
            <w:vAlign w:val="bottom"/>
            <w:hideMark/>
          </w:tcPr>
          <w:p w14:paraId="20CE9E74" w14:textId="77777777" w:rsidR="00817570" w:rsidRPr="004C12C9" w:rsidRDefault="00817570" w:rsidP="0045736E">
            <w:pPr>
              <w:pStyle w:val="ICFTabletext"/>
              <w:rPr>
                <w:szCs w:val="22"/>
                <w:lang w:bidi="ar-SA"/>
              </w:rPr>
            </w:pPr>
            <w:r w:rsidRPr="004C12C9">
              <w:rPr>
                <w:rFonts w:eastAsia="MS Mincho"/>
                <w:szCs w:val="22"/>
                <w:lang w:eastAsia="ja-JP" w:bidi="ar-SA"/>
              </w:rPr>
              <w:t>NA</w:t>
            </w:r>
          </w:p>
        </w:tc>
        <w:tc>
          <w:tcPr>
            <w:tcW w:w="1170" w:type="dxa"/>
            <w:vAlign w:val="bottom"/>
          </w:tcPr>
          <w:p w14:paraId="31A18DE6"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NA</w:t>
            </w:r>
          </w:p>
        </w:tc>
        <w:tc>
          <w:tcPr>
            <w:tcW w:w="4689" w:type="dxa"/>
            <w:vAlign w:val="bottom"/>
          </w:tcPr>
          <w:p w14:paraId="1DCD8E84" w14:textId="77777777" w:rsidR="00817570" w:rsidRPr="004C12C9" w:rsidRDefault="00817570" w:rsidP="0045736E">
            <w:pPr>
              <w:pStyle w:val="ICFTabletext"/>
              <w:rPr>
                <w:szCs w:val="22"/>
                <w:lang w:bidi="ar-SA"/>
              </w:rPr>
            </w:pPr>
            <w:r w:rsidRPr="004C12C9">
              <w:rPr>
                <w:rFonts w:eastAsia="MS Mincho"/>
                <w:szCs w:val="22"/>
                <w:lang w:eastAsia="ja-JP" w:bidi="ar-SA"/>
              </w:rPr>
              <w:t> </w:t>
            </w:r>
          </w:p>
        </w:tc>
      </w:tr>
      <w:tr w:rsidR="00817570" w:rsidRPr="004C12C9" w14:paraId="6945FB98" w14:textId="77777777" w:rsidTr="00754E70">
        <w:trPr>
          <w:trHeight w:val="20"/>
        </w:trPr>
        <w:tc>
          <w:tcPr>
            <w:tcW w:w="1833" w:type="dxa"/>
            <w:noWrap/>
            <w:vAlign w:val="bottom"/>
            <w:hideMark/>
          </w:tcPr>
          <w:p w14:paraId="66DE8729" w14:textId="77777777" w:rsidR="00817570" w:rsidRPr="004C12C9" w:rsidRDefault="00817570" w:rsidP="0045736E">
            <w:pPr>
              <w:pStyle w:val="ICFTabletext"/>
              <w:rPr>
                <w:lang w:bidi="ar-SA"/>
              </w:rPr>
            </w:pPr>
            <w:r w:rsidRPr="004C12C9">
              <w:rPr>
                <w:lang w:bidi="ar-SA"/>
              </w:rPr>
              <w:t>Glass</w:t>
            </w:r>
          </w:p>
        </w:tc>
        <w:tc>
          <w:tcPr>
            <w:tcW w:w="2392" w:type="dxa"/>
            <w:vAlign w:val="bottom"/>
            <w:hideMark/>
          </w:tcPr>
          <w:p w14:paraId="01F412BB" w14:textId="77777777" w:rsidR="00817570" w:rsidRPr="004C12C9" w:rsidRDefault="00817570" w:rsidP="0045736E">
            <w:pPr>
              <w:pStyle w:val="ICFTabletext"/>
              <w:rPr>
                <w:szCs w:val="22"/>
                <w:lang w:bidi="ar-SA"/>
              </w:rPr>
            </w:pPr>
            <w:r w:rsidRPr="004C12C9">
              <w:rPr>
                <w:rFonts w:eastAsia="MS Mincho"/>
                <w:szCs w:val="22"/>
                <w:lang w:eastAsia="ja-JP" w:bidi="ar-SA"/>
              </w:rPr>
              <w:t>Belgium</w:t>
            </w:r>
          </w:p>
        </w:tc>
        <w:tc>
          <w:tcPr>
            <w:tcW w:w="1170" w:type="dxa"/>
          </w:tcPr>
          <w:p w14:paraId="0B7F3374"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Europe</w:t>
            </w:r>
          </w:p>
        </w:tc>
        <w:tc>
          <w:tcPr>
            <w:tcW w:w="4689" w:type="dxa"/>
            <w:vAlign w:val="bottom"/>
          </w:tcPr>
          <w:p w14:paraId="29E5A05E" w14:textId="56564374" w:rsidR="00817570" w:rsidRPr="004C12C9" w:rsidRDefault="00D15884" w:rsidP="0045736E">
            <w:pPr>
              <w:pStyle w:val="ICFTabletext"/>
              <w:rPr>
                <w:rFonts w:asciiTheme="minorHAnsi" w:hAnsiTheme="minorHAnsi" w:cstheme="minorHAnsi"/>
                <w:color w:val="000000"/>
                <w:szCs w:val="22"/>
                <w:lang w:bidi="ar-SA"/>
              </w:rPr>
            </w:pPr>
            <w:r w:rsidRPr="004C12C9">
              <w:rPr>
                <w:szCs w:val="22"/>
              </w:rPr>
              <w:t>The Observatory of Economic Complexity</w:t>
            </w:r>
            <w:r w:rsidR="003C3CA0">
              <w:rPr>
                <w:rFonts w:ascii="ZWAdobeF" w:hAnsi="ZWAdobeF" w:cs="ZWAdobeF"/>
                <w:sz w:val="2"/>
                <w:szCs w:val="2"/>
              </w:rPr>
              <w:t>6F</w:t>
            </w:r>
            <w:r w:rsidR="005C42E6" w:rsidRPr="004C12C9">
              <w:rPr>
                <w:rStyle w:val="FootnoteReference"/>
                <w:szCs w:val="22"/>
                <w:lang w:bidi="ar-SA"/>
              </w:rPr>
              <w:footnoteReference w:id="8"/>
            </w:r>
          </w:p>
        </w:tc>
      </w:tr>
      <w:tr w:rsidR="00817570" w:rsidRPr="004C12C9" w14:paraId="6EB2F255" w14:textId="77777777" w:rsidTr="00754E70">
        <w:trPr>
          <w:trHeight w:val="20"/>
        </w:trPr>
        <w:tc>
          <w:tcPr>
            <w:tcW w:w="1833" w:type="dxa"/>
            <w:noWrap/>
            <w:vAlign w:val="bottom"/>
            <w:hideMark/>
          </w:tcPr>
          <w:p w14:paraId="3CD1F5C9" w14:textId="77777777" w:rsidR="00817570" w:rsidRPr="004C12C9" w:rsidRDefault="00817570" w:rsidP="0045736E">
            <w:pPr>
              <w:pStyle w:val="ICFTabletext"/>
              <w:rPr>
                <w:lang w:bidi="ar-SA"/>
              </w:rPr>
            </w:pPr>
            <w:r w:rsidRPr="004C12C9">
              <w:rPr>
                <w:lang w:bidi="ar-SA"/>
              </w:rPr>
              <w:t>Insulation</w:t>
            </w:r>
          </w:p>
        </w:tc>
        <w:tc>
          <w:tcPr>
            <w:tcW w:w="2392" w:type="dxa"/>
            <w:vAlign w:val="bottom"/>
            <w:hideMark/>
          </w:tcPr>
          <w:p w14:paraId="5DCEF00B" w14:textId="77777777" w:rsidR="00817570" w:rsidRPr="004C12C9" w:rsidRDefault="00817570" w:rsidP="0045736E">
            <w:pPr>
              <w:pStyle w:val="ICFTabletext"/>
              <w:rPr>
                <w:szCs w:val="22"/>
                <w:lang w:bidi="ar-SA"/>
              </w:rPr>
            </w:pPr>
            <w:r w:rsidRPr="004C12C9">
              <w:rPr>
                <w:rFonts w:eastAsia="MS Mincho"/>
                <w:szCs w:val="22"/>
                <w:lang w:eastAsia="ja-JP" w:bidi="ar-SA"/>
              </w:rPr>
              <w:t>Canada</w:t>
            </w:r>
          </w:p>
        </w:tc>
        <w:tc>
          <w:tcPr>
            <w:tcW w:w="1170" w:type="dxa"/>
            <w:vAlign w:val="bottom"/>
          </w:tcPr>
          <w:p w14:paraId="66DBAF89"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Canada</w:t>
            </w:r>
          </w:p>
        </w:tc>
        <w:tc>
          <w:tcPr>
            <w:tcW w:w="4689" w:type="dxa"/>
            <w:vAlign w:val="bottom"/>
          </w:tcPr>
          <w:p w14:paraId="14E9F6EF" w14:textId="4666A124" w:rsidR="00817570" w:rsidRPr="004C12C9" w:rsidRDefault="00AC7F1F" w:rsidP="0045736E">
            <w:pPr>
              <w:pStyle w:val="ICFTabletext"/>
              <w:rPr>
                <w:rFonts w:asciiTheme="minorHAnsi" w:hAnsiTheme="minorHAnsi" w:cstheme="minorHAnsi"/>
                <w:color w:val="000000"/>
                <w:szCs w:val="22"/>
                <w:lang w:bidi="ar-SA"/>
              </w:rPr>
            </w:pPr>
            <w:r w:rsidRPr="004C12C9">
              <w:rPr>
                <w:rFonts w:asciiTheme="minorHAnsi" w:hAnsiTheme="minorHAnsi" w:cstheme="minorHAnsi"/>
                <w:color w:val="000000"/>
                <w:szCs w:val="22"/>
                <w:lang w:bidi="ar-SA"/>
              </w:rPr>
              <w:t>Freedonia Group</w:t>
            </w:r>
            <w:r w:rsidR="003C3CA0">
              <w:rPr>
                <w:rFonts w:ascii="ZWAdobeF" w:hAnsi="ZWAdobeF" w:cs="ZWAdobeF"/>
                <w:sz w:val="2"/>
                <w:szCs w:val="2"/>
                <w:lang w:bidi="ar-SA"/>
              </w:rPr>
              <w:t>7F</w:t>
            </w:r>
            <w:r w:rsidRPr="004C12C9">
              <w:rPr>
                <w:rStyle w:val="FootnoteReference"/>
                <w:szCs w:val="22"/>
                <w:lang w:bidi="ar-SA"/>
              </w:rPr>
              <w:footnoteReference w:id="9"/>
            </w:r>
          </w:p>
        </w:tc>
      </w:tr>
      <w:tr w:rsidR="00817570" w:rsidRPr="004C12C9" w14:paraId="19F9F045" w14:textId="77777777" w:rsidTr="00754E70">
        <w:trPr>
          <w:trHeight w:val="45"/>
        </w:trPr>
        <w:tc>
          <w:tcPr>
            <w:tcW w:w="1833" w:type="dxa"/>
            <w:noWrap/>
            <w:vAlign w:val="bottom"/>
            <w:hideMark/>
          </w:tcPr>
          <w:p w14:paraId="620799F8" w14:textId="77777777" w:rsidR="00817570" w:rsidRPr="004C12C9" w:rsidRDefault="00817570" w:rsidP="0045736E">
            <w:pPr>
              <w:pStyle w:val="ICFTabletext"/>
              <w:rPr>
                <w:lang w:bidi="ar-SA"/>
              </w:rPr>
            </w:pPr>
            <w:r w:rsidRPr="004C12C9">
              <w:rPr>
                <w:lang w:bidi="ar-SA"/>
              </w:rPr>
              <w:t>Steel</w:t>
            </w:r>
          </w:p>
        </w:tc>
        <w:tc>
          <w:tcPr>
            <w:tcW w:w="2392" w:type="dxa"/>
            <w:vAlign w:val="bottom"/>
            <w:hideMark/>
          </w:tcPr>
          <w:p w14:paraId="58AA98EE" w14:textId="77777777" w:rsidR="00817570" w:rsidRPr="004C12C9" w:rsidRDefault="00817570" w:rsidP="0045736E">
            <w:pPr>
              <w:pStyle w:val="ICFTabletext"/>
              <w:rPr>
                <w:szCs w:val="22"/>
                <w:lang w:bidi="ar-SA"/>
              </w:rPr>
            </w:pPr>
            <w:r w:rsidRPr="004C12C9">
              <w:rPr>
                <w:rFonts w:eastAsia="MS Mincho"/>
                <w:szCs w:val="22"/>
                <w:lang w:eastAsia="ja-JP" w:bidi="ar-SA"/>
              </w:rPr>
              <w:t>Canada</w:t>
            </w:r>
          </w:p>
        </w:tc>
        <w:tc>
          <w:tcPr>
            <w:tcW w:w="1170" w:type="dxa"/>
            <w:vAlign w:val="bottom"/>
          </w:tcPr>
          <w:p w14:paraId="23B9DA80"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Canada</w:t>
            </w:r>
          </w:p>
        </w:tc>
        <w:tc>
          <w:tcPr>
            <w:tcW w:w="4689" w:type="dxa"/>
            <w:vAlign w:val="bottom"/>
          </w:tcPr>
          <w:p w14:paraId="2C001387" w14:textId="6A40C069" w:rsidR="00817570" w:rsidRPr="004C12C9" w:rsidRDefault="00542AFF" w:rsidP="0045736E">
            <w:pPr>
              <w:pStyle w:val="ICFTabletext"/>
              <w:rPr>
                <w:rFonts w:asciiTheme="minorHAnsi" w:hAnsiTheme="minorHAnsi" w:cstheme="minorHAnsi"/>
                <w:szCs w:val="22"/>
                <w:lang w:bidi="ar-SA"/>
              </w:rPr>
            </w:pPr>
            <w:r w:rsidRPr="004C12C9">
              <w:rPr>
                <w:rFonts w:asciiTheme="minorHAnsi" w:eastAsia="MS Mincho" w:hAnsiTheme="minorHAnsi" w:cstheme="minorHAnsi"/>
                <w:szCs w:val="22"/>
                <w:lang w:eastAsia="ja-JP" w:bidi="ar-SA"/>
              </w:rPr>
              <w:t>International Trade Administration</w:t>
            </w:r>
            <w:r w:rsidR="003C3CA0">
              <w:rPr>
                <w:rFonts w:ascii="ZWAdobeF" w:eastAsia="MS Mincho" w:hAnsi="ZWAdobeF" w:cs="ZWAdobeF"/>
                <w:sz w:val="2"/>
                <w:szCs w:val="2"/>
                <w:lang w:eastAsia="ja-JP" w:bidi="ar-SA"/>
              </w:rPr>
              <w:t>8F</w:t>
            </w:r>
            <w:r w:rsidRPr="004C12C9">
              <w:rPr>
                <w:rStyle w:val="FootnoteReference"/>
                <w:rFonts w:asciiTheme="minorHAnsi" w:eastAsia="MS Mincho" w:hAnsiTheme="minorHAnsi" w:cstheme="minorHAnsi"/>
                <w:szCs w:val="22"/>
                <w:lang w:eastAsia="ja-JP" w:bidi="ar-SA"/>
              </w:rPr>
              <w:footnoteReference w:id="10"/>
            </w:r>
          </w:p>
        </w:tc>
      </w:tr>
      <w:tr w:rsidR="00817570" w:rsidRPr="004C12C9" w14:paraId="3E759ABC" w14:textId="77777777" w:rsidTr="00754E70">
        <w:trPr>
          <w:trHeight w:val="20"/>
        </w:trPr>
        <w:tc>
          <w:tcPr>
            <w:tcW w:w="1833" w:type="dxa"/>
            <w:noWrap/>
            <w:vAlign w:val="center"/>
            <w:hideMark/>
          </w:tcPr>
          <w:p w14:paraId="248352D2" w14:textId="77777777" w:rsidR="00817570" w:rsidRPr="004C12C9" w:rsidRDefault="00817570" w:rsidP="0045736E">
            <w:pPr>
              <w:pStyle w:val="ICFTabletext"/>
              <w:rPr>
                <w:lang w:bidi="ar-SA"/>
              </w:rPr>
            </w:pPr>
            <w:r w:rsidRPr="004C12C9">
              <w:rPr>
                <w:lang w:bidi="ar-SA"/>
              </w:rPr>
              <w:t>Wood Products</w:t>
            </w:r>
          </w:p>
        </w:tc>
        <w:tc>
          <w:tcPr>
            <w:tcW w:w="2392" w:type="dxa"/>
            <w:vAlign w:val="center"/>
            <w:hideMark/>
          </w:tcPr>
          <w:p w14:paraId="5D0D0E44" w14:textId="77777777" w:rsidR="00817570" w:rsidRPr="004C12C9" w:rsidRDefault="00817570" w:rsidP="0045736E">
            <w:pPr>
              <w:pStyle w:val="ICFTabletext"/>
              <w:rPr>
                <w:szCs w:val="22"/>
                <w:lang w:bidi="ar-SA"/>
              </w:rPr>
            </w:pPr>
            <w:r w:rsidRPr="004C12C9">
              <w:rPr>
                <w:rFonts w:eastAsia="MS Mincho"/>
                <w:szCs w:val="22"/>
                <w:lang w:eastAsia="ja-JP" w:bidi="ar-SA"/>
              </w:rPr>
              <w:t>Canada</w:t>
            </w:r>
          </w:p>
        </w:tc>
        <w:tc>
          <w:tcPr>
            <w:tcW w:w="1170" w:type="dxa"/>
            <w:vAlign w:val="center"/>
          </w:tcPr>
          <w:p w14:paraId="58E92796" w14:textId="77777777" w:rsidR="00817570" w:rsidRPr="004C12C9" w:rsidRDefault="00817570" w:rsidP="0045736E">
            <w:pPr>
              <w:pStyle w:val="ICFTabletext"/>
              <w:rPr>
                <w:rFonts w:eastAsia="MS Mincho"/>
                <w:szCs w:val="22"/>
                <w:lang w:eastAsia="ja-JP" w:bidi="ar-SA"/>
              </w:rPr>
            </w:pPr>
            <w:r w:rsidRPr="004C12C9">
              <w:rPr>
                <w:rFonts w:eastAsia="MS Mincho"/>
                <w:szCs w:val="22"/>
                <w:lang w:eastAsia="ja-JP" w:bidi="ar-SA"/>
              </w:rPr>
              <w:t>Canada</w:t>
            </w:r>
          </w:p>
        </w:tc>
        <w:tc>
          <w:tcPr>
            <w:tcW w:w="4689" w:type="dxa"/>
            <w:vAlign w:val="bottom"/>
          </w:tcPr>
          <w:p w14:paraId="03A07A04" w14:textId="51227048" w:rsidR="00817570" w:rsidRPr="004C12C9" w:rsidRDefault="00212EA2" w:rsidP="0045736E">
            <w:pPr>
              <w:pStyle w:val="ICFTabletext"/>
              <w:rPr>
                <w:rFonts w:asciiTheme="minorHAnsi" w:hAnsiTheme="minorHAnsi" w:cstheme="minorHAnsi"/>
                <w:color w:val="000000"/>
                <w:szCs w:val="22"/>
                <w:lang w:bidi="ar-SA"/>
              </w:rPr>
            </w:pPr>
            <w:r w:rsidRPr="004C12C9">
              <w:rPr>
                <w:szCs w:val="22"/>
              </w:rPr>
              <w:t>United States International Trade Commission</w:t>
            </w:r>
            <w:r w:rsidR="003C3CA0">
              <w:rPr>
                <w:rFonts w:ascii="ZWAdobeF" w:hAnsi="ZWAdobeF" w:cs="ZWAdobeF"/>
                <w:sz w:val="2"/>
                <w:szCs w:val="2"/>
              </w:rPr>
              <w:t>9F</w:t>
            </w:r>
            <w:r w:rsidR="00190FEF" w:rsidRPr="004C12C9">
              <w:rPr>
                <w:rStyle w:val="FootnoteReference"/>
                <w:szCs w:val="22"/>
              </w:rPr>
              <w:footnoteReference w:id="11"/>
            </w:r>
          </w:p>
        </w:tc>
      </w:tr>
    </w:tbl>
    <w:p w14:paraId="0DBE63B6" w14:textId="6A580E1F" w:rsidR="00406A8A" w:rsidRPr="004C12C9" w:rsidRDefault="00406A8A" w:rsidP="00972CF9">
      <w:pPr>
        <w:rPr>
          <w:rFonts w:asciiTheme="minorHAnsi" w:hAnsiTheme="minorHAnsi" w:cstheme="minorHAnsi"/>
        </w:rPr>
      </w:pPr>
      <w:r w:rsidRPr="004C12C9">
        <w:t xml:space="preserve">The EC3 interface provides the average emission factor for all EPDs that match the user's selected search criteria. </w:t>
      </w:r>
      <w:r w:rsidRPr="004C12C9">
        <w:fldChar w:fldCharType="begin" w:fldLock="1"/>
      </w:r>
      <w:r w:rsidRPr="004C12C9">
        <w:instrText xml:space="preserve"> REF _Ref182986194 \h  \* MERGEFORMAT </w:instrText>
      </w:r>
      <w:r w:rsidRPr="004C12C9">
        <w:fldChar w:fldCharType="separate"/>
      </w:r>
      <w:r w:rsidR="00127094" w:rsidRPr="004C12C9">
        <w:t>Table 2</w:t>
      </w:r>
      <w:r w:rsidR="00127094" w:rsidRPr="004C12C9">
        <w:noBreakHyphen/>
        <w:t>4</w:t>
      </w:r>
      <w:r w:rsidRPr="004C12C9">
        <w:fldChar w:fldCharType="end"/>
      </w:r>
      <w:r w:rsidRPr="004C12C9">
        <w:t xml:space="preserve"> below shows the average emission factor</w:t>
      </w:r>
      <w:r w:rsidR="00DA5446" w:rsidRPr="004C12C9">
        <w:t xml:space="preserve"> by material type</w:t>
      </w:r>
      <w:r w:rsidRPr="004C12C9">
        <w:t xml:space="preserve"> obtained from EC3 for the United States and each proxy </w:t>
      </w:r>
      <w:r w:rsidRPr="004C12C9">
        <w:rPr>
          <w:rFonts w:asciiTheme="minorHAnsi" w:hAnsiTheme="minorHAnsi" w:cstheme="minorHAnsi"/>
        </w:rPr>
        <w:t>import country/region</w:t>
      </w:r>
      <w:r w:rsidR="00DA5446" w:rsidRPr="004C12C9">
        <w:t xml:space="preserve"> listed in </w:t>
      </w:r>
      <w:r w:rsidR="00DA5446" w:rsidRPr="004C12C9">
        <w:fldChar w:fldCharType="begin" w:fldLock="1"/>
      </w:r>
      <w:r w:rsidR="00DA5446" w:rsidRPr="004C12C9">
        <w:instrText xml:space="preserve"> REF _Ref183099468 \h  \* MERGEFORMAT </w:instrText>
      </w:r>
      <w:r w:rsidR="00DA5446" w:rsidRPr="004C12C9">
        <w:fldChar w:fldCharType="separate"/>
      </w:r>
      <w:r w:rsidR="00127094" w:rsidRPr="004C12C9">
        <w:t>Table 2</w:t>
      </w:r>
      <w:r w:rsidR="00127094" w:rsidRPr="004C12C9">
        <w:noBreakHyphen/>
        <w:t>3</w:t>
      </w:r>
      <w:r w:rsidR="00DA5446" w:rsidRPr="004C12C9">
        <w:fldChar w:fldCharType="end"/>
      </w:r>
      <w:r w:rsidR="00DA5446" w:rsidRPr="004C12C9">
        <w:t xml:space="preserve"> above</w:t>
      </w:r>
      <w:r w:rsidRPr="004C12C9">
        <w:rPr>
          <w:rFonts w:asciiTheme="minorHAnsi" w:hAnsiTheme="minorHAnsi" w:cstheme="minorHAnsi"/>
        </w:rPr>
        <w:t>.</w:t>
      </w:r>
    </w:p>
    <w:p w14:paraId="07CB6000" w14:textId="39B0708F" w:rsidR="00FE5C32" w:rsidRPr="004C12C9" w:rsidRDefault="00FE5C32" w:rsidP="00EA4758">
      <w:pPr>
        <w:pStyle w:val="Caption"/>
        <w:rPr>
          <w:rFonts w:asciiTheme="minorHAnsi" w:eastAsia="MS Mincho" w:hAnsiTheme="minorHAnsi" w:cstheme="minorHAnsi"/>
          <w:b w:val="0"/>
          <w:lang w:eastAsia="ja-JP" w:bidi="ar-SA"/>
        </w:rPr>
      </w:pPr>
      <w:bookmarkStart w:id="47" w:name="_Ref182986194"/>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4</w:t>
      </w:r>
      <w:r w:rsidR="00F72B41">
        <w:rPr>
          <w:rFonts w:eastAsia="MS Mincho"/>
          <w:lang w:eastAsia="ja-JP" w:bidi="ar-SA"/>
        </w:rPr>
        <w:fldChar w:fldCharType="end"/>
      </w:r>
      <w:bookmarkEnd w:id="47"/>
      <w:r w:rsidR="00295A46" w:rsidRPr="004C12C9">
        <w:rPr>
          <w:rFonts w:eastAsia="MS Mincho"/>
          <w:lang w:eastAsia="ja-JP" w:bidi="ar-SA"/>
        </w:rPr>
        <w:t>.</w:t>
      </w:r>
      <w:r w:rsidRPr="004C12C9">
        <w:rPr>
          <w:rFonts w:eastAsia="MS Mincho"/>
          <w:lang w:eastAsia="ja-JP" w:bidi="ar-SA"/>
        </w:rPr>
        <w:t xml:space="preserve"> Average Emission Factors from EC3, by Material Type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89"/>
        <w:gridCol w:w="2166"/>
        <w:gridCol w:w="3420"/>
        <w:gridCol w:w="2695"/>
      </w:tblGrid>
      <w:tr w:rsidR="009F64B6" w:rsidRPr="004C12C9" w14:paraId="28CFD418" w14:textId="77777777" w:rsidTr="00754E70">
        <w:trPr>
          <w:trHeight w:val="367"/>
          <w:tblHeader/>
        </w:trPr>
        <w:tc>
          <w:tcPr>
            <w:tcW w:w="1789" w:type="dxa"/>
            <w:shd w:val="clear" w:color="auto" w:fill="D9D9D9" w:themeFill="background1" w:themeFillShade="D9"/>
            <w:noWrap/>
            <w:vAlign w:val="center"/>
            <w:hideMark/>
          </w:tcPr>
          <w:p w14:paraId="202E9ECB" w14:textId="77777777" w:rsidR="00FE5C32" w:rsidRPr="004C12C9" w:rsidRDefault="00FE5C32" w:rsidP="00EA4758">
            <w:pPr>
              <w:pStyle w:val="ICFTableHeading"/>
              <w:rPr>
                <w:lang w:bidi="ar-SA"/>
              </w:rPr>
            </w:pPr>
            <w:r w:rsidRPr="004C12C9">
              <w:rPr>
                <w:lang w:bidi="ar-SA"/>
              </w:rPr>
              <w:t>Material Type</w:t>
            </w:r>
          </w:p>
        </w:tc>
        <w:tc>
          <w:tcPr>
            <w:tcW w:w="2166" w:type="dxa"/>
            <w:shd w:val="clear" w:color="auto" w:fill="D9D9D9" w:themeFill="background1" w:themeFillShade="D9"/>
            <w:vAlign w:val="center"/>
            <w:hideMark/>
          </w:tcPr>
          <w:p w14:paraId="378E8D77" w14:textId="01E8E26C" w:rsidR="00FE5C32" w:rsidRPr="004C12C9" w:rsidRDefault="00FE5C32" w:rsidP="00EA4758">
            <w:pPr>
              <w:pStyle w:val="ICFTableHeading"/>
              <w:rPr>
                <w:lang w:bidi="ar-SA"/>
              </w:rPr>
            </w:pPr>
            <w:r w:rsidRPr="004C12C9">
              <w:rPr>
                <w:lang w:bidi="ar-SA"/>
              </w:rPr>
              <w:t xml:space="preserve">Average </w:t>
            </w:r>
            <w:r w:rsidR="00EA4758" w:rsidRPr="004C12C9">
              <w:rPr>
                <w:lang w:bidi="ar-SA"/>
              </w:rPr>
              <w:t xml:space="preserve">Emissions Factor: </w:t>
            </w:r>
            <w:r w:rsidRPr="004C12C9">
              <w:rPr>
                <w:lang w:bidi="ar-SA"/>
              </w:rPr>
              <w:t>U</w:t>
            </w:r>
            <w:r w:rsidR="00A707C1" w:rsidRPr="004C12C9">
              <w:rPr>
                <w:lang w:bidi="ar-SA"/>
              </w:rPr>
              <w:t>.S.</w:t>
            </w:r>
          </w:p>
        </w:tc>
        <w:tc>
          <w:tcPr>
            <w:tcW w:w="3420" w:type="dxa"/>
            <w:shd w:val="clear" w:color="auto" w:fill="D9D9D9" w:themeFill="background1" w:themeFillShade="D9"/>
          </w:tcPr>
          <w:p w14:paraId="72D5DF26" w14:textId="6D9F5124" w:rsidR="00FE5C32" w:rsidRPr="004C12C9" w:rsidDel="0092427D" w:rsidRDefault="00FE5C32" w:rsidP="00EA4758">
            <w:pPr>
              <w:pStyle w:val="ICFTableHeading"/>
              <w:rPr>
                <w:rFonts w:eastAsia="MS Mincho"/>
                <w:lang w:eastAsia="ja-JP" w:bidi="ar-SA"/>
              </w:rPr>
            </w:pPr>
            <w:r w:rsidRPr="004C12C9">
              <w:rPr>
                <w:rFonts w:eastAsia="MS Mincho"/>
                <w:lang w:eastAsia="ja-JP" w:bidi="ar-SA"/>
              </w:rPr>
              <w:t xml:space="preserve">Average </w:t>
            </w:r>
            <w:r w:rsidR="00EA4758" w:rsidRPr="004C12C9">
              <w:rPr>
                <w:lang w:bidi="ar-SA"/>
              </w:rPr>
              <w:t>Emissions Factor:</w:t>
            </w:r>
            <w:r w:rsidR="00EA4758" w:rsidRPr="004C12C9">
              <w:rPr>
                <w:rFonts w:eastAsia="MS Mincho"/>
                <w:lang w:bidi="ar-SA"/>
              </w:rPr>
              <w:t xml:space="preserve"> </w:t>
            </w:r>
            <w:r w:rsidRPr="004C12C9">
              <w:rPr>
                <w:rFonts w:eastAsia="MS Mincho"/>
                <w:lang w:eastAsia="ja-JP" w:bidi="ar-SA"/>
              </w:rPr>
              <w:t>Top Importing Country/Region</w:t>
            </w:r>
          </w:p>
        </w:tc>
        <w:tc>
          <w:tcPr>
            <w:tcW w:w="2695" w:type="dxa"/>
            <w:shd w:val="clear" w:color="auto" w:fill="D9D9D9" w:themeFill="background1" w:themeFillShade="D9"/>
            <w:vAlign w:val="center"/>
          </w:tcPr>
          <w:p w14:paraId="11DEBB9B" w14:textId="5E061995" w:rsidR="00FE5C32" w:rsidRPr="004C12C9" w:rsidRDefault="00FE5C32" w:rsidP="00EA4758">
            <w:pPr>
              <w:pStyle w:val="ICFTableHeading"/>
              <w:rPr>
                <w:lang w:bidi="ar-SA"/>
              </w:rPr>
            </w:pPr>
            <w:r w:rsidRPr="004C12C9">
              <w:rPr>
                <w:rFonts w:eastAsia="MS Mincho"/>
                <w:lang w:eastAsia="ja-JP" w:bidi="ar-SA"/>
              </w:rPr>
              <w:t>Unit</w:t>
            </w:r>
          </w:p>
        </w:tc>
      </w:tr>
      <w:tr w:rsidR="00FE5C32" w:rsidRPr="004C12C9" w14:paraId="1736A604" w14:textId="77777777" w:rsidTr="00754E70">
        <w:trPr>
          <w:trHeight w:val="20"/>
        </w:trPr>
        <w:tc>
          <w:tcPr>
            <w:tcW w:w="1789" w:type="dxa"/>
            <w:noWrap/>
            <w:vAlign w:val="center"/>
            <w:hideMark/>
          </w:tcPr>
          <w:p w14:paraId="48086BB1" w14:textId="77777777" w:rsidR="00FE5C32" w:rsidRPr="004C12C9" w:rsidRDefault="00FE5C32" w:rsidP="00EA4758">
            <w:pPr>
              <w:pStyle w:val="ICFTabletext"/>
              <w:rPr>
                <w:lang w:bidi="ar-SA"/>
              </w:rPr>
            </w:pPr>
            <w:r w:rsidRPr="004C12C9">
              <w:rPr>
                <w:lang w:bidi="ar-SA"/>
              </w:rPr>
              <w:t>Aluminum</w:t>
            </w:r>
          </w:p>
        </w:tc>
        <w:tc>
          <w:tcPr>
            <w:tcW w:w="2166" w:type="dxa"/>
            <w:vAlign w:val="center"/>
            <w:hideMark/>
          </w:tcPr>
          <w:p w14:paraId="06185061" w14:textId="77777777" w:rsidR="00FE5C32" w:rsidRPr="004C12C9" w:rsidRDefault="00FE5C32" w:rsidP="00295A46">
            <w:pPr>
              <w:pStyle w:val="ICFTabletext"/>
              <w:jc w:val="center"/>
              <w:rPr>
                <w:lang w:bidi="ar-SA"/>
              </w:rPr>
            </w:pPr>
            <w:r w:rsidRPr="004C12C9">
              <w:rPr>
                <w:lang w:bidi="ar-SA"/>
              </w:rPr>
              <w:t>3.24</w:t>
            </w:r>
          </w:p>
        </w:tc>
        <w:tc>
          <w:tcPr>
            <w:tcW w:w="3420" w:type="dxa"/>
          </w:tcPr>
          <w:p w14:paraId="6DD03C01"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3.27</w:t>
            </w:r>
          </w:p>
        </w:tc>
        <w:tc>
          <w:tcPr>
            <w:tcW w:w="2695" w:type="dxa"/>
            <w:vAlign w:val="center"/>
          </w:tcPr>
          <w:p w14:paraId="689AD6FD" w14:textId="1B036AE5" w:rsidR="00FE5C32" w:rsidRPr="004C12C9" w:rsidRDefault="00FE5C32" w:rsidP="00EA475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pound</w:t>
            </w:r>
          </w:p>
        </w:tc>
      </w:tr>
      <w:tr w:rsidR="00FE5C32" w:rsidRPr="004C12C9" w14:paraId="33F19279" w14:textId="77777777" w:rsidTr="00754E70">
        <w:trPr>
          <w:trHeight w:val="20"/>
        </w:trPr>
        <w:tc>
          <w:tcPr>
            <w:tcW w:w="1789" w:type="dxa"/>
            <w:noWrap/>
            <w:vAlign w:val="center"/>
            <w:hideMark/>
          </w:tcPr>
          <w:p w14:paraId="268BB5D4" w14:textId="77777777" w:rsidR="00FE5C32" w:rsidRPr="004C12C9" w:rsidRDefault="00FE5C32" w:rsidP="00EA4758">
            <w:pPr>
              <w:pStyle w:val="ICFTabletext"/>
              <w:rPr>
                <w:lang w:bidi="ar-SA"/>
              </w:rPr>
            </w:pPr>
            <w:r w:rsidRPr="004C12C9">
              <w:rPr>
                <w:lang w:bidi="ar-SA"/>
              </w:rPr>
              <w:t>Asphalt</w:t>
            </w:r>
          </w:p>
        </w:tc>
        <w:tc>
          <w:tcPr>
            <w:tcW w:w="2166" w:type="dxa"/>
            <w:vAlign w:val="center"/>
            <w:hideMark/>
          </w:tcPr>
          <w:p w14:paraId="58CB5FB4" w14:textId="77777777" w:rsidR="00FE5C32" w:rsidRPr="004C12C9" w:rsidRDefault="00FE5C32" w:rsidP="00295A46">
            <w:pPr>
              <w:pStyle w:val="ICFTabletext"/>
              <w:jc w:val="center"/>
              <w:rPr>
                <w:lang w:bidi="ar-SA"/>
              </w:rPr>
            </w:pPr>
            <w:r w:rsidRPr="004C12C9">
              <w:rPr>
                <w:lang w:bidi="ar-SA"/>
              </w:rPr>
              <w:t>0.0351</w:t>
            </w:r>
          </w:p>
        </w:tc>
        <w:tc>
          <w:tcPr>
            <w:tcW w:w="3420" w:type="dxa"/>
          </w:tcPr>
          <w:p w14:paraId="0D23667E"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NA</w:t>
            </w:r>
          </w:p>
        </w:tc>
        <w:tc>
          <w:tcPr>
            <w:tcW w:w="2695" w:type="dxa"/>
            <w:vAlign w:val="center"/>
          </w:tcPr>
          <w:p w14:paraId="221FAB0B" w14:textId="3E46D440" w:rsidR="00FE5C32" w:rsidRPr="004C12C9" w:rsidRDefault="00FE5C32" w:rsidP="00EA475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pound</w:t>
            </w:r>
          </w:p>
        </w:tc>
      </w:tr>
      <w:tr w:rsidR="00FE5C32" w:rsidRPr="004C12C9" w14:paraId="063C09B6" w14:textId="77777777" w:rsidTr="00754E70">
        <w:trPr>
          <w:trHeight w:val="20"/>
        </w:trPr>
        <w:tc>
          <w:tcPr>
            <w:tcW w:w="1789" w:type="dxa"/>
            <w:noWrap/>
            <w:vAlign w:val="center"/>
            <w:hideMark/>
          </w:tcPr>
          <w:p w14:paraId="558CFEC0" w14:textId="77777777" w:rsidR="00FE5C32" w:rsidRPr="004C12C9" w:rsidRDefault="00FE5C32" w:rsidP="00EA4758">
            <w:pPr>
              <w:pStyle w:val="ICFTabletext"/>
              <w:rPr>
                <w:lang w:bidi="ar-SA"/>
              </w:rPr>
            </w:pPr>
            <w:r w:rsidRPr="004C12C9">
              <w:rPr>
                <w:lang w:bidi="ar-SA"/>
              </w:rPr>
              <w:t>Brick</w:t>
            </w:r>
          </w:p>
        </w:tc>
        <w:tc>
          <w:tcPr>
            <w:tcW w:w="2166" w:type="dxa"/>
            <w:vAlign w:val="center"/>
            <w:hideMark/>
          </w:tcPr>
          <w:p w14:paraId="1D1600F1" w14:textId="77777777" w:rsidR="00FE5C32" w:rsidRPr="004C12C9" w:rsidRDefault="00FE5C32" w:rsidP="00295A46">
            <w:pPr>
              <w:pStyle w:val="ICFTabletext"/>
              <w:jc w:val="center"/>
              <w:rPr>
                <w:lang w:bidi="ar-SA"/>
              </w:rPr>
            </w:pPr>
            <w:r w:rsidRPr="004C12C9">
              <w:rPr>
                <w:lang w:bidi="ar-SA"/>
              </w:rPr>
              <w:t>0.203</w:t>
            </w:r>
          </w:p>
        </w:tc>
        <w:tc>
          <w:tcPr>
            <w:tcW w:w="3420" w:type="dxa"/>
          </w:tcPr>
          <w:p w14:paraId="702ED452"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0.345</w:t>
            </w:r>
          </w:p>
        </w:tc>
        <w:tc>
          <w:tcPr>
            <w:tcW w:w="2695" w:type="dxa"/>
            <w:vAlign w:val="center"/>
          </w:tcPr>
          <w:p w14:paraId="4F944586" w14:textId="7FE6DF36"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pound</w:t>
            </w:r>
          </w:p>
        </w:tc>
      </w:tr>
      <w:tr w:rsidR="00FE5C32" w:rsidRPr="004C12C9" w14:paraId="1A46BA7D" w14:textId="77777777" w:rsidTr="00754E70">
        <w:trPr>
          <w:trHeight w:val="20"/>
        </w:trPr>
        <w:tc>
          <w:tcPr>
            <w:tcW w:w="1789" w:type="dxa"/>
            <w:noWrap/>
            <w:vAlign w:val="center"/>
            <w:hideMark/>
          </w:tcPr>
          <w:p w14:paraId="484D5166" w14:textId="77777777" w:rsidR="00FE5C32" w:rsidRPr="004C12C9" w:rsidRDefault="00FE5C32" w:rsidP="00EA4758">
            <w:pPr>
              <w:pStyle w:val="ICFTabletext"/>
              <w:rPr>
                <w:lang w:bidi="ar-SA"/>
              </w:rPr>
            </w:pPr>
            <w:r w:rsidRPr="004C12C9">
              <w:rPr>
                <w:lang w:bidi="ar-SA"/>
              </w:rPr>
              <w:t>Concrete</w:t>
            </w:r>
          </w:p>
        </w:tc>
        <w:tc>
          <w:tcPr>
            <w:tcW w:w="2166" w:type="dxa"/>
            <w:vAlign w:val="center"/>
            <w:hideMark/>
          </w:tcPr>
          <w:p w14:paraId="59389E6E" w14:textId="59A5F2DE" w:rsidR="00FE5C32" w:rsidRPr="004C12C9" w:rsidRDefault="00FE5C32" w:rsidP="00295A46">
            <w:pPr>
              <w:pStyle w:val="ICFTabletext"/>
              <w:jc w:val="center"/>
              <w:rPr>
                <w:lang w:bidi="ar-SA"/>
              </w:rPr>
            </w:pPr>
            <w:r w:rsidRPr="004C12C9">
              <w:rPr>
                <w:lang w:bidi="ar-SA"/>
              </w:rPr>
              <w:t>287</w:t>
            </w:r>
          </w:p>
        </w:tc>
        <w:tc>
          <w:tcPr>
            <w:tcW w:w="3420" w:type="dxa"/>
          </w:tcPr>
          <w:p w14:paraId="6C22BCC6"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NA</w:t>
            </w:r>
          </w:p>
        </w:tc>
        <w:tc>
          <w:tcPr>
            <w:tcW w:w="2695" w:type="dxa"/>
            <w:vAlign w:val="center"/>
          </w:tcPr>
          <w:p w14:paraId="0BB0D777" w14:textId="519B0DE2"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cubic yard</w:t>
            </w:r>
          </w:p>
        </w:tc>
      </w:tr>
      <w:tr w:rsidR="00FE5C32" w:rsidRPr="004C12C9" w14:paraId="446FE321" w14:textId="77777777" w:rsidTr="00754E70">
        <w:trPr>
          <w:trHeight w:val="20"/>
        </w:trPr>
        <w:tc>
          <w:tcPr>
            <w:tcW w:w="1789" w:type="dxa"/>
            <w:noWrap/>
            <w:vAlign w:val="center"/>
            <w:hideMark/>
          </w:tcPr>
          <w:p w14:paraId="266D011D" w14:textId="77777777" w:rsidR="00FE5C32" w:rsidRPr="004C12C9" w:rsidRDefault="00FE5C32" w:rsidP="00EA4758">
            <w:pPr>
              <w:pStyle w:val="ICFTabletext"/>
              <w:rPr>
                <w:lang w:bidi="ar-SA"/>
              </w:rPr>
            </w:pPr>
            <w:r w:rsidRPr="004C12C9">
              <w:rPr>
                <w:lang w:bidi="ar-SA"/>
              </w:rPr>
              <w:t>Glass</w:t>
            </w:r>
          </w:p>
        </w:tc>
        <w:tc>
          <w:tcPr>
            <w:tcW w:w="2166" w:type="dxa"/>
            <w:vAlign w:val="center"/>
            <w:hideMark/>
          </w:tcPr>
          <w:p w14:paraId="3ED075C0" w14:textId="77777777" w:rsidR="00FE5C32" w:rsidRPr="004C12C9" w:rsidRDefault="00FE5C32" w:rsidP="00295A46">
            <w:pPr>
              <w:pStyle w:val="ICFTabletext"/>
              <w:jc w:val="center"/>
              <w:rPr>
                <w:lang w:bidi="ar-SA"/>
              </w:rPr>
            </w:pPr>
            <w:r w:rsidRPr="004C12C9">
              <w:rPr>
                <w:lang w:bidi="ar-SA"/>
              </w:rPr>
              <w:t>0.635</w:t>
            </w:r>
          </w:p>
        </w:tc>
        <w:tc>
          <w:tcPr>
            <w:tcW w:w="3420" w:type="dxa"/>
          </w:tcPr>
          <w:p w14:paraId="5E4213C6"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0.568</w:t>
            </w:r>
          </w:p>
        </w:tc>
        <w:tc>
          <w:tcPr>
            <w:tcW w:w="2695" w:type="dxa"/>
            <w:vAlign w:val="center"/>
          </w:tcPr>
          <w:p w14:paraId="27FD88A5" w14:textId="28A0FF9D"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pound</w:t>
            </w:r>
          </w:p>
        </w:tc>
      </w:tr>
      <w:tr w:rsidR="00FE5C32" w:rsidRPr="004C12C9" w14:paraId="5472F0F1" w14:textId="77777777" w:rsidTr="00754E70">
        <w:trPr>
          <w:trHeight w:val="20"/>
        </w:trPr>
        <w:tc>
          <w:tcPr>
            <w:tcW w:w="1789" w:type="dxa"/>
            <w:noWrap/>
            <w:vAlign w:val="center"/>
            <w:hideMark/>
          </w:tcPr>
          <w:p w14:paraId="136943E1" w14:textId="12AAA1CF" w:rsidR="00FE5C32" w:rsidRPr="004C12C9" w:rsidRDefault="00FE5C32" w:rsidP="00EA4758">
            <w:pPr>
              <w:pStyle w:val="ICFTabletext"/>
              <w:rPr>
                <w:lang w:bidi="ar-SA"/>
              </w:rPr>
            </w:pPr>
            <w:r w:rsidRPr="004C12C9">
              <w:rPr>
                <w:lang w:bidi="ar-SA"/>
              </w:rPr>
              <w:t>Insulation</w:t>
            </w:r>
            <w:r w:rsidR="00C1056C" w:rsidRPr="004C12C9">
              <w:rPr>
                <w:vertAlign w:val="superscript"/>
                <w:lang w:bidi="ar-SA"/>
              </w:rPr>
              <w:t>a</w:t>
            </w:r>
          </w:p>
        </w:tc>
        <w:tc>
          <w:tcPr>
            <w:tcW w:w="2166" w:type="dxa"/>
            <w:vAlign w:val="center"/>
            <w:hideMark/>
          </w:tcPr>
          <w:p w14:paraId="485DCEE0" w14:textId="77777777" w:rsidR="00FE5C32" w:rsidRPr="004C12C9" w:rsidRDefault="00FE5C32" w:rsidP="00295A46">
            <w:pPr>
              <w:pStyle w:val="ICFTabletext"/>
              <w:jc w:val="center"/>
              <w:rPr>
                <w:lang w:bidi="ar-SA"/>
              </w:rPr>
            </w:pPr>
            <w:r w:rsidRPr="004C12C9">
              <w:rPr>
                <w:lang w:bidi="ar-SA"/>
              </w:rPr>
              <w:t>0.0985</w:t>
            </w:r>
          </w:p>
        </w:tc>
        <w:tc>
          <w:tcPr>
            <w:tcW w:w="3420" w:type="dxa"/>
          </w:tcPr>
          <w:p w14:paraId="51D653CC" w14:textId="77777777" w:rsidR="00FE5C32" w:rsidRPr="004C12C9" w:rsidRDefault="00FE5C32" w:rsidP="00295A46">
            <w:pPr>
              <w:pStyle w:val="ICFTabletext"/>
              <w:jc w:val="center"/>
              <w:rPr>
                <w:rFonts w:eastAsia="MS Mincho"/>
                <w:lang w:eastAsia="ja-JP" w:bidi="ar-SA"/>
              </w:rPr>
            </w:pPr>
            <w:r w:rsidRPr="004C12C9">
              <w:rPr>
                <w:lang w:bidi="ar-SA"/>
              </w:rPr>
              <w:t>0.0985</w:t>
            </w:r>
          </w:p>
        </w:tc>
        <w:tc>
          <w:tcPr>
            <w:tcW w:w="2695" w:type="dxa"/>
            <w:vAlign w:val="center"/>
          </w:tcPr>
          <w:p w14:paraId="26598C95" w14:textId="3BB87299"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square foot</w:t>
            </w:r>
            <w:r w:rsidRPr="004C12C9">
              <w:rPr>
                <w:rFonts w:eastAsia="MS Mincho"/>
                <w:lang w:eastAsia="ja-JP" w:bidi="ar-SA"/>
              </w:rPr>
              <w:t xml:space="preserve"> RSI</w:t>
            </w:r>
            <w:r w:rsidR="000811F6" w:rsidRPr="004C12C9">
              <w:rPr>
                <w:rFonts w:eastAsia="MS Mincho"/>
                <w:vertAlign w:val="superscript"/>
                <w:lang w:eastAsia="ja-JP" w:bidi="ar-SA"/>
              </w:rPr>
              <w:t>b</w:t>
            </w:r>
          </w:p>
        </w:tc>
      </w:tr>
      <w:tr w:rsidR="00FE5C32" w:rsidRPr="004C12C9" w14:paraId="5058C496" w14:textId="77777777" w:rsidTr="00754E70">
        <w:trPr>
          <w:trHeight w:val="20"/>
        </w:trPr>
        <w:tc>
          <w:tcPr>
            <w:tcW w:w="1789" w:type="dxa"/>
            <w:noWrap/>
            <w:vAlign w:val="center"/>
            <w:hideMark/>
          </w:tcPr>
          <w:p w14:paraId="58922BF6" w14:textId="77777777" w:rsidR="00FE5C32" w:rsidRPr="004C12C9" w:rsidRDefault="00FE5C32" w:rsidP="00EA4758">
            <w:pPr>
              <w:pStyle w:val="ICFTabletext"/>
              <w:rPr>
                <w:lang w:bidi="ar-SA"/>
              </w:rPr>
            </w:pPr>
            <w:r w:rsidRPr="004C12C9">
              <w:rPr>
                <w:lang w:bidi="ar-SA"/>
              </w:rPr>
              <w:t>Steel</w:t>
            </w:r>
          </w:p>
        </w:tc>
        <w:tc>
          <w:tcPr>
            <w:tcW w:w="2166" w:type="dxa"/>
            <w:vAlign w:val="center"/>
            <w:hideMark/>
          </w:tcPr>
          <w:p w14:paraId="7AAD511C" w14:textId="77777777" w:rsidR="00FE5C32" w:rsidRPr="004C12C9" w:rsidRDefault="00FE5C32" w:rsidP="00295A46">
            <w:pPr>
              <w:pStyle w:val="ICFTabletext"/>
              <w:jc w:val="center"/>
              <w:rPr>
                <w:lang w:bidi="ar-SA"/>
              </w:rPr>
            </w:pPr>
            <w:r w:rsidRPr="004C12C9">
              <w:rPr>
                <w:lang w:bidi="ar-SA"/>
              </w:rPr>
              <w:t>0.787</w:t>
            </w:r>
          </w:p>
        </w:tc>
        <w:tc>
          <w:tcPr>
            <w:tcW w:w="3420" w:type="dxa"/>
          </w:tcPr>
          <w:p w14:paraId="660D89B8"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0.792</w:t>
            </w:r>
          </w:p>
        </w:tc>
        <w:tc>
          <w:tcPr>
            <w:tcW w:w="2695" w:type="dxa"/>
            <w:vAlign w:val="center"/>
          </w:tcPr>
          <w:p w14:paraId="30693D13" w14:textId="6800B765"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9F64B6" w:rsidRPr="004C12C9">
              <w:rPr>
                <w:rFonts w:eastAsia="MS Mincho"/>
                <w:lang w:eastAsia="ja-JP" w:bidi="ar-SA"/>
              </w:rPr>
              <w:t>pound</w:t>
            </w:r>
          </w:p>
        </w:tc>
      </w:tr>
      <w:tr w:rsidR="00FE5C32" w:rsidRPr="004C12C9" w14:paraId="36B429D0" w14:textId="77777777" w:rsidTr="00754E70">
        <w:trPr>
          <w:trHeight w:val="20"/>
        </w:trPr>
        <w:tc>
          <w:tcPr>
            <w:tcW w:w="1789" w:type="dxa"/>
            <w:noWrap/>
            <w:vAlign w:val="center"/>
            <w:hideMark/>
          </w:tcPr>
          <w:p w14:paraId="787AA1A7" w14:textId="77777777" w:rsidR="00FE5C32" w:rsidRPr="004C12C9" w:rsidRDefault="00FE5C32" w:rsidP="00EA4758">
            <w:pPr>
              <w:pStyle w:val="ICFTabletext"/>
              <w:rPr>
                <w:lang w:bidi="ar-SA"/>
              </w:rPr>
            </w:pPr>
            <w:r w:rsidRPr="004C12C9">
              <w:rPr>
                <w:lang w:bidi="ar-SA"/>
              </w:rPr>
              <w:lastRenderedPageBreak/>
              <w:t>Wood Products</w:t>
            </w:r>
          </w:p>
        </w:tc>
        <w:tc>
          <w:tcPr>
            <w:tcW w:w="2166" w:type="dxa"/>
            <w:vAlign w:val="center"/>
            <w:hideMark/>
          </w:tcPr>
          <w:p w14:paraId="13988AD7" w14:textId="0BDF4397" w:rsidR="00FE5C32" w:rsidRPr="004C12C9" w:rsidRDefault="00FE5C32" w:rsidP="00295A46">
            <w:pPr>
              <w:pStyle w:val="ICFTabletext"/>
              <w:jc w:val="center"/>
              <w:rPr>
                <w:lang w:bidi="ar-SA"/>
              </w:rPr>
            </w:pPr>
            <w:r w:rsidRPr="004C12C9">
              <w:rPr>
                <w:lang w:bidi="ar-SA"/>
              </w:rPr>
              <w:t>150</w:t>
            </w:r>
          </w:p>
        </w:tc>
        <w:tc>
          <w:tcPr>
            <w:tcW w:w="3420" w:type="dxa"/>
          </w:tcPr>
          <w:p w14:paraId="5E1327A8" w14:textId="7BCD1274" w:rsidR="00FE5C32" w:rsidRPr="004C12C9" w:rsidRDefault="00FE5C32" w:rsidP="00295A46">
            <w:pPr>
              <w:pStyle w:val="ICFTabletext"/>
              <w:jc w:val="center"/>
              <w:rPr>
                <w:rFonts w:eastAsia="MS Mincho"/>
                <w:lang w:eastAsia="ja-JP" w:bidi="ar-SA"/>
              </w:rPr>
            </w:pPr>
            <w:r w:rsidRPr="004C12C9">
              <w:rPr>
                <w:rFonts w:eastAsia="MS Mincho"/>
                <w:lang w:eastAsia="ja-JP" w:bidi="ar-SA"/>
              </w:rPr>
              <w:t>140</w:t>
            </w:r>
          </w:p>
        </w:tc>
        <w:tc>
          <w:tcPr>
            <w:tcW w:w="2695" w:type="dxa"/>
            <w:vAlign w:val="center"/>
          </w:tcPr>
          <w:p w14:paraId="1FE531CC" w14:textId="1C62C0F1" w:rsidR="00FE5C32" w:rsidRPr="004C12C9" w:rsidRDefault="00FE5C32" w:rsidP="00EA4758">
            <w:pPr>
              <w:pStyle w:val="ICFTabletext"/>
              <w:rPr>
                <w:lang w:bidi="ar-SA"/>
              </w:rPr>
            </w:pPr>
            <w:r w:rsidRPr="004C12C9">
              <w:rPr>
                <w:rFonts w:eastAsia="MS Mincho"/>
                <w:lang w:eastAsia="ja-JP" w:bidi="ar-SA"/>
              </w:rPr>
              <w:t>kgCO</w:t>
            </w:r>
            <w:r w:rsidR="0021424A" w:rsidRPr="004C12C9">
              <w:rPr>
                <w:rFonts w:eastAsia="MS Mincho"/>
                <w:vertAlign w:val="subscript"/>
                <w:lang w:eastAsia="ja-JP" w:bidi="ar-SA"/>
              </w:rPr>
              <w:t>2</w:t>
            </w:r>
            <w:r w:rsidRPr="004C12C9">
              <w:rPr>
                <w:rFonts w:eastAsia="MS Mincho"/>
                <w:lang w:eastAsia="ja-JP" w:bidi="ar-SA"/>
              </w:rPr>
              <w:t>e/</w:t>
            </w:r>
            <w:r w:rsidR="0021424A" w:rsidRPr="004C12C9">
              <w:rPr>
                <w:rFonts w:eastAsia="MS Mincho"/>
                <w:lang w:eastAsia="ja-JP" w:bidi="ar-SA"/>
              </w:rPr>
              <w:t>cubic yard</w:t>
            </w:r>
          </w:p>
        </w:tc>
      </w:tr>
    </w:tbl>
    <w:p w14:paraId="38B4EE13" w14:textId="1577014E" w:rsidR="00FE5C32" w:rsidRPr="004C12C9" w:rsidRDefault="00C1056C" w:rsidP="00AD59B0">
      <w:pPr>
        <w:pStyle w:val="TableFooter"/>
        <w:rPr>
          <w:rFonts w:eastAsia="MS Mincho"/>
          <w:lang w:eastAsia="ja-JP" w:bidi="ar-SA"/>
        </w:rPr>
      </w:pPr>
      <w:r w:rsidRPr="004C12C9">
        <w:rPr>
          <w:rFonts w:eastAsia="MS Mincho"/>
          <w:vertAlign w:val="superscript"/>
          <w:lang w:eastAsia="ja-JP" w:bidi="ar-SA"/>
        </w:rPr>
        <w:t>a</w:t>
      </w:r>
      <w:r w:rsidR="00FE5C32" w:rsidRPr="004C12C9">
        <w:rPr>
          <w:rFonts w:eastAsia="MS Mincho"/>
          <w:lang w:eastAsia="ja-JP" w:bidi="ar-SA"/>
        </w:rPr>
        <w:t xml:space="preserve"> Insulation emission factors are based on a fiberglass batts (faced) North American Industry EPD from the North American Insulation Manufacturing Association (NAIMA) for domestic and imported products from Can</w:t>
      </w:r>
      <w:r w:rsidR="00361024" w:rsidRPr="004C12C9">
        <w:rPr>
          <w:rFonts w:eastAsia="MS Mincho"/>
          <w:lang w:eastAsia="ja-JP" w:bidi="ar-SA"/>
        </w:rPr>
        <w:t>a</w:t>
      </w:r>
      <w:r w:rsidR="00FE5C32" w:rsidRPr="004C12C9">
        <w:rPr>
          <w:rFonts w:eastAsia="MS Mincho"/>
          <w:lang w:eastAsia="ja-JP" w:bidi="ar-SA"/>
        </w:rPr>
        <w:t>da, the top importing country for Insulation.</w:t>
      </w:r>
    </w:p>
    <w:p w14:paraId="52E3DA1D" w14:textId="69743494" w:rsidR="000811F6" w:rsidRPr="004C12C9" w:rsidRDefault="00A43869" w:rsidP="00AD59B0">
      <w:pPr>
        <w:pStyle w:val="TableFooter"/>
        <w:rPr>
          <w:rFonts w:asciiTheme="minorHAnsi" w:eastAsia="MS Mincho" w:hAnsiTheme="minorHAnsi" w:cstheme="minorHAnsi"/>
          <w:lang w:eastAsia="ja-JP" w:bidi="ar-SA"/>
        </w:rPr>
      </w:pPr>
      <w:r w:rsidRPr="004C12C9">
        <w:rPr>
          <w:rFonts w:eastAsia="MS Mincho"/>
          <w:vertAlign w:val="superscript"/>
          <w:lang w:eastAsia="ja-JP" w:bidi="ar-SA"/>
        </w:rPr>
        <w:t>b</w:t>
      </w:r>
      <w:r w:rsidR="000811F6" w:rsidRPr="004C12C9">
        <w:rPr>
          <w:rFonts w:eastAsia="MS Mincho"/>
          <w:lang w:eastAsia="ja-JP" w:bidi="ar-SA"/>
        </w:rPr>
        <w:t xml:space="preserve"> </w:t>
      </w:r>
      <w:r w:rsidR="000811F6" w:rsidRPr="004C12C9">
        <w:rPr>
          <w:rFonts w:eastAsia="MS Mincho"/>
          <w:lang w:eastAsia="ja-JP"/>
        </w:rPr>
        <w:t>RSI stands for “R-value Systeme International</w:t>
      </w:r>
      <w:r w:rsidRPr="004C12C9">
        <w:rPr>
          <w:rFonts w:eastAsia="MS Mincho"/>
          <w:lang w:eastAsia="ja-JP"/>
        </w:rPr>
        <w:t>,” a metric system unit measurement of thermal resistance.</w:t>
      </w:r>
    </w:p>
    <w:p w14:paraId="6E41E763" w14:textId="3ED098BC" w:rsidR="00FE5C32" w:rsidRPr="004C12C9" w:rsidRDefault="00FE5C32" w:rsidP="00972CF9">
      <w:pPr>
        <w:rPr>
          <w:rFonts w:eastAsia="MS Mincho"/>
          <w:color w:val="000000"/>
          <w:lang w:eastAsia="ja-JP" w:bidi="ar-SA"/>
        </w:rPr>
      </w:pPr>
      <w:r w:rsidRPr="004C12C9">
        <w:rPr>
          <w:rFonts w:eastAsia="MS Mincho"/>
          <w:lang w:eastAsia="ja-JP" w:bidi="ar-SA"/>
        </w:rPr>
        <w:t xml:space="preserve">Using the conversion factors described in the subsequent section, the emission factors </w:t>
      </w:r>
      <w:r w:rsidR="004D2CD5" w:rsidRPr="004C12C9">
        <w:rPr>
          <w:rFonts w:eastAsia="MS Mincho"/>
          <w:lang w:eastAsia="ja-JP" w:bidi="ar-SA"/>
        </w:rPr>
        <w:t>are</w:t>
      </w:r>
      <w:r w:rsidRPr="004C12C9">
        <w:rPr>
          <w:rFonts w:eastAsia="MS Mincho"/>
          <w:lang w:eastAsia="ja-JP" w:bidi="ar-SA"/>
        </w:rPr>
        <w:t xml:space="preserve"> converted to </w:t>
      </w:r>
      <w:r w:rsidRPr="004C12C9">
        <w:rPr>
          <w:rFonts w:eastAsia="MS Mincho"/>
          <w:color w:val="000000"/>
          <w:lang w:eastAsia="ja-JP" w:bidi="ar-SA"/>
        </w:rPr>
        <w:t>kgCO</w:t>
      </w:r>
      <w:r w:rsidRPr="004C12C9">
        <w:rPr>
          <w:rFonts w:eastAsia="MS Mincho"/>
          <w:color w:val="000000"/>
          <w:vertAlign w:val="subscript"/>
          <w:lang w:eastAsia="ja-JP" w:bidi="ar-SA"/>
        </w:rPr>
        <w:t>2</w:t>
      </w:r>
      <w:r w:rsidRPr="004C12C9">
        <w:rPr>
          <w:rFonts w:eastAsia="MS Mincho"/>
          <w:color w:val="000000"/>
          <w:lang w:eastAsia="ja-JP" w:bidi="ar-SA"/>
        </w:rPr>
        <w:t>e</w:t>
      </w:r>
      <w:r w:rsidR="00E067B4" w:rsidRPr="004C12C9">
        <w:rPr>
          <w:rFonts w:eastAsia="MS Mincho"/>
          <w:color w:val="000000"/>
          <w:lang w:eastAsia="ja-JP" w:bidi="ar-SA"/>
        </w:rPr>
        <w:t>/</w:t>
      </w:r>
      <w:r w:rsidRPr="004C12C9">
        <w:rPr>
          <w:rFonts w:eastAsia="MS Mincho"/>
          <w:color w:val="000000"/>
          <w:lang w:eastAsia="ja-JP" w:bidi="ar-SA"/>
        </w:rPr>
        <w:t xml:space="preserve">short ton. The resulting emission factors are summarized in </w:t>
      </w:r>
      <w:r w:rsidRPr="004C12C9">
        <w:rPr>
          <w:rFonts w:eastAsia="MS Mincho"/>
          <w:color w:val="000000"/>
          <w:lang w:eastAsia="ja-JP" w:bidi="ar-SA"/>
        </w:rPr>
        <w:fldChar w:fldCharType="begin" w:fldLock="1"/>
      </w:r>
      <w:r w:rsidRPr="004C12C9">
        <w:rPr>
          <w:rFonts w:eastAsia="MS Mincho"/>
          <w:color w:val="000000"/>
          <w:lang w:eastAsia="ja-JP" w:bidi="ar-SA"/>
        </w:rPr>
        <w:instrText xml:space="preserve"> REF _Ref185340089 \h  \* MERGEFORMAT </w:instrText>
      </w:r>
      <w:r w:rsidRPr="004C12C9">
        <w:rPr>
          <w:rFonts w:eastAsia="MS Mincho"/>
          <w:color w:val="000000"/>
          <w:lang w:eastAsia="ja-JP" w:bidi="ar-SA"/>
        </w:rPr>
      </w:r>
      <w:r w:rsidRPr="004C12C9">
        <w:rPr>
          <w:rFonts w:eastAsia="MS Mincho"/>
          <w:color w:val="000000"/>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5</w:t>
      </w:r>
      <w:r w:rsidRPr="004C12C9">
        <w:rPr>
          <w:rFonts w:eastAsia="MS Mincho"/>
          <w:color w:val="000000"/>
          <w:lang w:eastAsia="ja-JP" w:bidi="ar-SA"/>
        </w:rPr>
        <w:fldChar w:fldCharType="end"/>
      </w:r>
      <w:r w:rsidRPr="004C12C9">
        <w:rPr>
          <w:rFonts w:eastAsia="MS Mincho"/>
          <w:color w:val="000000"/>
          <w:lang w:eastAsia="ja-JP" w:bidi="ar-SA"/>
        </w:rPr>
        <w:t>.</w:t>
      </w:r>
    </w:p>
    <w:p w14:paraId="7156A18B" w14:textId="01DFA7AE" w:rsidR="00FE5C32" w:rsidRPr="004C12C9" w:rsidRDefault="00FE5C32" w:rsidP="001174C8">
      <w:pPr>
        <w:pStyle w:val="Caption"/>
        <w:rPr>
          <w:rFonts w:asciiTheme="minorHAnsi" w:eastAsia="MS Mincho" w:hAnsiTheme="minorHAnsi" w:cstheme="minorHAnsi"/>
          <w:b w:val="0"/>
          <w:lang w:eastAsia="ja-JP" w:bidi="ar-SA"/>
        </w:rPr>
      </w:pPr>
      <w:bookmarkStart w:id="48" w:name="_Ref185340089"/>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5</w:t>
      </w:r>
      <w:r w:rsidR="00F72B41">
        <w:rPr>
          <w:rFonts w:eastAsia="MS Mincho"/>
          <w:lang w:eastAsia="ja-JP" w:bidi="ar-SA"/>
        </w:rPr>
        <w:fldChar w:fldCharType="end"/>
      </w:r>
      <w:bookmarkEnd w:id="48"/>
      <w:r w:rsidR="009C24CE" w:rsidRPr="004C12C9">
        <w:rPr>
          <w:rFonts w:eastAsia="MS Mincho"/>
          <w:lang w:eastAsia="ja-JP" w:bidi="ar-SA"/>
        </w:rPr>
        <w:t>.</w:t>
      </w:r>
      <w:r w:rsidRPr="004C12C9">
        <w:rPr>
          <w:rFonts w:eastAsia="MS Mincho"/>
          <w:lang w:eastAsia="ja-JP" w:bidi="ar-SA"/>
        </w:rPr>
        <w:t xml:space="preserve"> Emission Factors Used in</w:t>
      </w:r>
      <w:r w:rsidR="00E95A69" w:rsidRPr="004C12C9">
        <w:rPr>
          <w:rFonts w:eastAsia="MS Mincho"/>
          <w:lang w:eastAsia="ja-JP" w:bidi="ar-SA"/>
        </w:rPr>
        <w:t xml:space="preserve"> the Climate</w:t>
      </w:r>
      <w:r w:rsidRPr="004C12C9">
        <w:rPr>
          <w:rFonts w:eastAsia="MS Mincho"/>
          <w:lang w:eastAsia="ja-JP" w:bidi="ar-SA"/>
        </w:rPr>
        <w:t xml:space="preserve"> </w:t>
      </w:r>
      <w:r w:rsidR="00FD056A" w:rsidRPr="004C12C9">
        <w:t>Calculator</w:t>
      </w:r>
      <w:r w:rsidR="0065534C" w:rsidRPr="004C12C9">
        <w:rPr>
          <w:rFonts w:eastAsia="MS Mincho"/>
          <w:lang w:eastAsia="ja-JP" w:bidi="ar-SA"/>
        </w:rPr>
        <w:t>, by Material Type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08"/>
        <w:gridCol w:w="2447"/>
        <w:gridCol w:w="2447"/>
        <w:gridCol w:w="2568"/>
      </w:tblGrid>
      <w:tr w:rsidR="00FE5C32" w:rsidRPr="004C12C9" w14:paraId="681D3ADD" w14:textId="77777777" w:rsidTr="00A73BFA">
        <w:trPr>
          <w:trHeight w:val="358"/>
        </w:trPr>
        <w:tc>
          <w:tcPr>
            <w:tcW w:w="2610" w:type="dxa"/>
            <w:shd w:val="clear" w:color="auto" w:fill="D9D9D9" w:themeFill="background1" w:themeFillShade="D9"/>
            <w:noWrap/>
            <w:vAlign w:val="center"/>
            <w:hideMark/>
          </w:tcPr>
          <w:p w14:paraId="238056F2" w14:textId="77777777" w:rsidR="00FE5C32" w:rsidRPr="004C12C9" w:rsidRDefault="00FE5C32" w:rsidP="001174C8">
            <w:pPr>
              <w:pStyle w:val="ICFTableHeading"/>
              <w:keepNext/>
              <w:rPr>
                <w:lang w:bidi="ar-SA"/>
              </w:rPr>
            </w:pPr>
            <w:r w:rsidRPr="004C12C9">
              <w:rPr>
                <w:lang w:bidi="ar-SA"/>
              </w:rPr>
              <w:t>Material Type</w:t>
            </w:r>
          </w:p>
        </w:tc>
        <w:tc>
          <w:tcPr>
            <w:tcW w:w="2448" w:type="dxa"/>
            <w:shd w:val="clear" w:color="auto" w:fill="D9D9D9" w:themeFill="background1" w:themeFillShade="D9"/>
            <w:vAlign w:val="center"/>
            <w:hideMark/>
          </w:tcPr>
          <w:p w14:paraId="0D9448BA" w14:textId="77777777" w:rsidR="00FE5C32" w:rsidRPr="004C12C9" w:rsidRDefault="00FE5C32" w:rsidP="001174C8">
            <w:pPr>
              <w:pStyle w:val="ICFTableHeading"/>
              <w:keepNext/>
              <w:rPr>
                <w:lang w:bidi="ar-SA"/>
              </w:rPr>
            </w:pPr>
            <w:r w:rsidRPr="004C12C9">
              <w:rPr>
                <w:lang w:bidi="ar-SA"/>
              </w:rPr>
              <w:t>Domestically Sourced</w:t>
            </w:r>
          </w:p>
        </w:tc>
        <w:tc>
          <w:tcPr>
            <w:tcW w:w="2448" w:type="dxa"/>
            <w:shd w:val="clear" w:color="auto" w:fill="D9D9D9" w:themeFill="background1" w:themeFillShade="D9"/>
            <w:vAlign w:val="center"/>
          </w:tcPr>
          <w:p w14:paraId="0CB6ADA3" w14:textId="77777777" w:rsidR="00FE5C32" w:rsidRPr="004C12C9" w:rsidDel="0092427D" w:rsidRDefault="00FE5C32" w:rsidP="001174C8">
            <w:pPr>
              <w:pStyle w:val="ICFTableHeading"/>
              <w:keepNext/>
              <w:rPr>
                <w:rFonts w:eastAsia="MS Mincho"/>
                <w:lang w:eastAsia="ja-JP" w:bidi="ar-SA"/>
              </w:rPr>
            </w:pPr>
            <w:r w:rsidRPr="004C12C9">
              <w:rPr>
                <w:rFonts w:eastAsia="MS Mincho"/>
                <w:lang w:eastAsia="ja-JP" w:bidi="ar-SA"/>
              </w:rPr>
              <w:t>Imported</w:t>
            </w:r>
          </w:p>
        </w:tc>
        <w:tc>
          <w:tcPr>
            <w:tcW w:w="2569" w:type="dxa"/>
            <w:shd w:val="clear" w:color="auto" w:fill="D9D9D9" w:themeFill="background1" w:themeFillShade="D9"/>
            <w:vAlign w:val="center"/>
          </w:tcPr>
          <w:p w14:paraId="5730042E" w14:textId="77777777" w:rsidR="00FE5C32" w:rsidRPr="004C12C9" w:rsidRDefault="00FE5C32" w:rsidP="001174C8">
            <w:pPr>
              <w:pStyle w:val="ICFTableHeading"/>
              <w:keepNext/>
              <w:rPr>
                <w:lang w:bidi="ar-SA"/>
              </w:rPr>
            </w:pPr>
            <w:r w:rsidRPr="004C12C9">
              <w:rPr>
                <w:rFonts w:eastAsia="MS Mincho"/>
                <w:lang w:eastAsia="ja-JP" w:bidi="ar-SA"/>
              </w:rPr>
              <w:t>Units</w:t>
            </w:r>
          </w:p>
        </w:tc>
      </w:tr>
      <w:tr w:rsidR="00FE5C32" w:rsidRPr="004C12C9" w14:paraId="3EB33007" w14:textId="77777777" w:rsidTr="00A73BFA">
        <w:trPr>
          <w:trHeight w:val="20"/>
        </w:trPr>
        <w:tc>
          <w:tcPr>
            <w:tcW w:w="2610" w:type="dxa"/>
            <w:noWrap/>
            <w:vAlign w:val="bottom"/>
            <w:hideMark/>
          </w:tcPr>
          <w:p w14:paraId="44682E8A" w14:textId="77777777" w:rsidR="00FE5C32" w:rsidRPr="004C12C9" w:rsidRDefault="00FE5C32" w:rsidP="001174C8">
            <w:pPr>
              <w:pStyle w:val="ICFTabletext"/>
              <w:keepNext/>
              <w:rPr>
                <w:lang w:bidi="ar-SA"/>
              </w:rPr>
            </w:pPr>
            <w:r w:rsidRPr="004C12C9">
              <w:rPr>
                <w:rFonts w:eastAsia="MS Mincho"/>
                <w:lang w:eastAsia="ja-JP" w:bidi="ar-SA"/>
              </w:rPr>
              <w:t>Aluminum</w:t>
            </w:r>
          </w:p>
        </w:tc>
        <w:tc>
          <w:tcPr>
            <w:tcW w:w="2448" w:type="dxa"/>
            <w:vAlign w:val="bottom"/>
          </w:tcPr>
          <w:p w14:paraId="6BCE4071" w14:textId="77777777" w:rsidR="00FE5C32" w:rsidRPr="004C12C9" w:rsidRDefault="00FE5C32" w:rsidP="00295A46">
            <w:pPr>
              <w:pStyle w:val="ICFTabletext"/>
              <w:keepNext/>
              <w:jc w:val="center"/>
              <w:rPr>
                <w:lang w:bidi="ar-SA"/>
              </w:rPr>
            </w:pPr>
            <w:r w:rsidRPr="004C12C9">
              <w:rPr>
                <w:rFonts w:eastAsia="MS Mincho"/>
                <w:lang w:eastAsia="ja-JP" w:bidi="ar-SA"/>
              </w:rPr>
              <w:t>6,480</w:t>
            </w:r>
          </w:p>
        </w:tc>
        <w:tc>
          <w:tcPr>
            <w:tcW w:w="2448" w:type="dxa"/>
            <w:vAlign w:val="bottom"/>
          </w:tcPr>
          <w:p w14:paraId="628B26DC" w14:textId="77777777" w:rsidR="00FE5C32" w:rsidRPr="004C12C9" w:rsidRDefault="00FE5C32" w:rsidP="00295A46">
            <w:pPr>
              <w:pStyle w:val="ICFTabletext"/>
              <w:keepNext/>
              <w:jc w:val="center"/>
              <w:rPr>
                <w:rFonts w:eastAsia="MS Mincho"/>
                <w:lang w:eastAsia="ja-JP" w:bidi="ar-SA"/>
              </w:rPr>
            </w:pPr>
            <w:r w:rsidRPr="004C12C9">
              <w:rPr>
                <w:rFonts w:eastAsia="MS Mincho"/>
                <w:lang w:eastAsia="ja-JP" w:bidi="ar-SA"/>
              </w:rPr>
              <w:t>6,540</w:t>
            </w:r>
          </w:p>
        </w:tc>
        <w:tc>
          <w:tcPr>
            <w:tcW w:w="2569" w:type="dxa"/>
            <w:vAlign w:val="bottom"/>
          </w:tcPr>
          <w:p w14:paraId="0F5EB0D9" w14:textId="77777777" w:rsidR="00FE5C32" w:rsidRPr="004C12C9" w:rsidRDefault="00FE5C32" w:rsidP="001174C8">
            <w:pPr>
              <w:pStyle w:val="ICFTabletext"/>
              <w:keepN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10A93582" w14:textId="77777777" w:rsidTr="00A73BFA">
        <w:trPr>
          <w:trHeight w:val="20"/>
        </w:trPr>
        <w:tc>
          <w:tcPr>
            <w:tcW w:w="2610" w:type="dxa"/>
            <w:noWrap/>
            <w:vAlign w:val="bottom"/>
            <w:hideMark/>
          </w:tcPr>
          <w:p w14:paraId="7B46430C" w14:textId="77777777" w:rsidR="00FE5C32" w:rsidRPr="004C12C9" w:rsidRDefault="00FE5C32" w:rsidP="001174C8">
            <w:pPr>
              <w:pStyle w:val="ICFTabletext"/>
              <w:rPr>
                <w:lang w:bidi="ar-SA"/>
              </w:rPr>
            </w:pPr>
            <w:r w:rsidRPr="004C12C9">
              <w:rPr>
                <w:rFonts w:eastAsia="MS Mincho"/>
                <w:lang w:eastAsia="ja-JP" w:bidi="ar-SA"/>
              </w:rPr>
              <w:t>Asphalt</w:t>
            </w:r>
          </w:p>
        </w:tc>
        <w:tc>
          <w:tcPr>
            <w:tcW w:w="2448" w:type="dxa"/>
            <w:vAlign w:val="bottom"/>
          </w:tcPr>
          <w:p w14:paraId="518720A4" w14:textId="77777777" w:rsidR="00FE5C32" w:rsidRPr="004C12C9" w:rsidRDefault="00FE5C32" w:rsidP="00295A46">
            <w:pPr>
              <w:pStyle w:val="ICFTabletext"/>
              <w:jc w:val="center"/>
              <w:rPr>
                <w:lang w:bidi="ar-SA"/>
              </w:rPr>
            </w:pPr>
            <w:r w:rsidRPr="004C12C9">
              <w:rPr>
                <w:rFonts w:eastAsia="MS Mincho"/>
                <w:lang w:eastAsia="ja-JP" w:bidi="ar-SA"/>
              </w:rPr>
              <w:t>70</w:t>
            </w:r>
          </w:p>
        </w:tc>
        <w:tc>
          <w:tcPr>
            <w:tcW w:w="2448" w:type="dxa"/>
            <w:vAlign w:val="bottom"/>
          </w:tcPr>
          <w:p w14:paraId="47FC0207"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NA</w:t>
            </w:r>
          </w:p>
        </w:tc>
        <w:tc>
          <w:tcPr>
            <w:tcW w:w="2569" w:type="dxa"/>
            <w:vAlign w:val="bottom"/>
          </w:tcPr>
          <w:p w14:paraId="29E6A734"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50F29FDF" w14:textId="77777777" w:rsidTr="00A73BFA">
        <w:trPr>
          <w:trHeight w:val="20"/>
        </w:trPr>
        <w:tc>
          <w:tcPr>
            <w:tcW w:w="2610" w:type="dxa"/>
            <w:noWrap/>
            <w:vAlign w:val="bottom"/>
            <w:hideMark/>
          </w:tcPr>
          <w:p w14:paraId="467677DF" w14:textId="77777777" w:rsidR="00FE5C32" w:rsidRPr="004C12C9" w:rsidRDefault="00FE5C32" w:rsidP="001174C8">
            <w:pPr>
              <w:pStyle w:val="ICFTabletext"/>
              <w:rPr>
                <w:lang w:bidi="ar-SA"/>
              </w:rPr>
            </w:pPr>
            <w:r w:rsidRPr="004C12C9">
              <w:rPr>
                <w:rFonts w:eastAsia="MS Mincho"/>
                <w:lang w:eastAsia="ja-JP" w:bidi="ar-SA"/>
              </w:rPr>
              <w:t>Brick</w:t>
            </w:r>
          </w:p>
        </w:tc>
        <w:tc>
          <w:tcPr>
            <w:tcW w:w="2448" w:type="dxa"/>
            <w:vAlign w:val="bottom"/>
          </w:tcPr>
          <w:p w14:paraId="49E16FF7" w14:textId="77777777" w:rsidR="00FE5C32" w:rsidRPr="004C12C9" w:rsidRDefault="00FE5C32" w:rsidP="00295A46">
            <w:pPr>
              <w:pStyle w:val="ICFTabletext"/>
              <w:jc w:val="center"/>
              <w:rPr>
                <w:lang w:bidi="ar-SA"/>
              </w:rPr>
            </w:pPr>
            <w:r w:rsidRPr="004C12C9">
              <w:rPr>
                <w:rFonts w:eastAsia="MS Mincho"/>
                <w:lang w:eastAsia="ja-JP" w:bidi="ar-SA"/>
              </w:rPr>
              <w:t>406</w:t>
            </w:r>
          </w:p>
        </w:tc>
        <w:tc>
          <w:tcPr>
            <w:tcW w:w="2448" w:type="dxa"/>
            <w:vAlign w:val="bottom"/>
          </w:tcPr>
          <w:p w14:paraId="68913B48"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690</w:t>
            </w:r>
          </w:p>
        </w:tc>
        <w:tc>
          <w:tcPr>
            <w:tcW w:w="2569" w:type="dxa"/>
            <w:vAlign w:val="bottom"/>
          </w:tcPr>
          <w:p w14:paraId="269C3038"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5497CF63" w14:textId="77777777" w:rsidTr="00A73BFA">
        <w:trPr>
          <w:trHeight w:val="20"/>
        </w:trPr>
        <w:tc>
          <w:tcPr>
            <w:tcW w:w="2610" w:type="dxa"/>
            <w:noWrap/>
            <w:vAlign w:val="bottom"/>
            <w:hideMark/>
          </w:tcPr>
          <w:p w14:paraId="06EC0B73" w14:textId="77777777" w:rsidR="00FE5C32" w:rsidRPr="004C12C9" w:rsidRDefault="00FE5C32" w:rsidP="001174C8">
            <w:pPr>
              <w:pStyle w:val="ICFTabletext"/>
              <w:rPr>
                <w:lang w:bidi="ar-SA"/>
              </w:rPr>
            </w:pPr>
            <w:r w:rsidRPr="004C12C9">
              <w:rPr>
                <w:rFonts w:eastAsia="MS Mincho"/>
                <w:lang w:eastAsia="ja-JP" w:bidi="ar-SA"/>
              </w:rPr>
              <w:t>Concrete</w:t>
            </w:r>
          </w:p>
        </w:tc>
        <w:tc>
          <w:tcPr>
            <w:tcW w:w="2448" w:type="dxa"/>
            <w:vAlign w:val="bottom"/>
          </w:tcPr>
          <w:p w14:paraId="288001A9" w14:textId="77777777" w:rsidR="00FE5C32" w:rsidRPr="004C12C9" w:rsidRDefault="00FE5C32" w:rsidP="00295A46">
            <w:pPr>
              <w:pStyle w:val="ICFTabletext"/>
              <w:jc w:val="center"/>
              <w:rPr>
                <w:lang w:bidi="ar-SA"/>
              </w:rPr>
            </w:pPr>
            <w:r w:rsidRPr="004C12C9">
              <w:rPr>
                <w:rFonts w:eastAsia="MS Mincho"/>
                <w:lang w:eastAsia="ja-JP" w:bidi="ar-SA"/>
              </w:rPr>
              <w:t>147</w:t>
            </w:r>
          </w:p>
        </w:tc>
        <w:tc>
          <w:tcPr>
            <w:tcW w:w="2448" w:type="dxa"/>
            <w:vAlign w:val="bottom"/>
          </w:tcPr>
          <w:p w14:paraId="51CC83CA"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NA</w:t>
            </w:r>
          </w:p>
        </w:tc>
        <w:tc>
          <w:tcPr>
            <w:tcW w:w="2569" w:type="dxa"/>
            <w:vAlign w:val="bottom"/>
          </w:tcPr>
          <w:p w14:paraId="2DE8BC98"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311BF0F1" w14:textId="77777777" w:rsidTr="00A73BFA">
        <w:trPr>
          <w:trHeight w:val="20"/>
        </w:trPr>
        <w:tc>
          <w:tcPr>
            <w:tcW w:w="2610" w:type="dxa"/>
            <w:noWrap/>
            <w:vAlign w:val="bottom"/>
            <w:hideMark/>
          </w:tcPr>
          <w:p w14:paraId="5EFBDD55" w14:textId="77777777" w:rsidR="00FE5C32" w:rsidRPr="004C12C9" w:rsidRDefault="00FE5C32" w:rsidP="001174C8">
            <w:pPr>
              <w:pStyle w:val="ICFTabletext"/>
              <w:rPr>
                <w:lang w:bidi="ar-SA"/>
              </w:rPr>
            </w:pPr>
            <w:r w:rsidRPr="004C12C9">
              <w:rPr>
                <w:rFonts w:eastAsia="MS Mincho"/>
                <w:lang w:eastAsia="ja-JP" w:bidi="ar-SA"/>
              </w:rPr>
              <w:t>Glass</w:t>
            </w:r>
          </w:p>
        </w:tc>
        <w:tc>
          <w:tcPr>
            <w:tcW w:w="2448" w:type="dxa"/>
            <w:vAlign w:val="bottom"/>
          </w:tcPr>
          <w:p w14:paraId="7F66F3F2" w14:textId="77777777" w:rsidR="00FE5C32" w:rsidRPr="004C12C9" w:rsidRDefault="00FE5C32" w:rsidP="00295A46">
            <w:pPr>
              <w:pStyle w:val="ICFTabletext"/>
              <w:jc w:val="center"/>
              <w:rPr>
                <w:lang w:bidi="ar-SA"/>
              </w:rPr>
            </w:pPr>
            <w:r w:rsidRPr="004C12C9">
              <w:rPr>
                <w:rFonts w:eastAsia="MS Mincho"/>
                <w:lang w:eastAsia="ja-JP" w:bidi="ar-SA"/>
              </w:rPr>
              <w:t>1,270</w:t>
            </w:r>
          </w:p>
        </w:tc>
        <w:tc>
          <w:tcPr>
            <w:tcW w:w="2448" w:type="dxa"/>
            <w:vAlign w:val="bottom"/>
          </w:tcPr>
          <w:p w14:paraId="2BA98499"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1,136</w:t>
            </w:r>
          </w:p>
        </w:tc>
        <w:tc>
          <w:tcPr>
            <w:tcW w:w="2569" w:type="dxa"/>
            <w:vAlign w:val="bottom"/>
          </w:tcPr>
          <w:p w14:paraId="2150BAD3"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1B75F46E" w14:textId="77777777" w:rsidTr="00A73BFA">
        <w:trPr>
          <w:trHeight w:val="20"/>
        </w:trPr>
        <w:tc>
          <w:tcPr>
            <w:tcW w:w="2610" w:type="dxa"/>
            <w:noWrap/>
            <w:vAlign w:val="bottom"/>
            <w:hideMark/>
          </w:tcPr>
          <w:p w14:paraId="17F7218C" w14:textId="77777777" w:rsidR="00FE5C32" w:rsidRPr="004C12C9" w:rsidRDefault="00FE5C32" w:rsidP="001174C8">
            <w:pPr>
              <w:pStyle w:val="ICFTabletext"/>
              <w:rPr>
                <w:lang w:bidi="ar-SA"/>
              </w:rPr>
            </w:pPr>
            <w:r w:rsidRPr="004C12C9">
              <w:rPr>
                <w:rFonts w:eastAsia="MS Mincho"/>
                <w:lang w:eastAsia="ja-JP" w:bidi="ar-SA"/>
              </w:rPr>
              <w:t>Insulation</w:t>
            </w:r>
          </w:p>
        </w:tc>
        <w:tc>
          <w:tcPr>
            <w:tcW w:w="2448" w:type="dxa"/>
          </w:tcPr>
          <w:p w14:paraId="7ECEC315" w14:textId="4FC4AADD" w:rsidR="00FE5C32" w:rsidRPr="004C12C9" w:rsidRDefault="00FE5C32" w:rsidP="00295A46">
            <w:pPr>
              <w:pStyle w:val="ICFTabletext"/>
              <w:jc w:val="center"/>
              <w:rPr>
                <w:rFonts w:eastAsia="MS Mincho"/>
                <w:lang w:eastAsia="ja-JP" w:bidi="ar-SA"/>
              </w:rPr>
            </w:pPr>
            <w:r w:rsidRPr="004C12C9">
              <w:rPr>
                <w:rFonts w:eastAsia="MS Mincho"/>
                <w:lang w:eastAsia="ja-JP" w:bidi="ar-SA"/>
              </w:rPr>
              <w:t>2,284</w:t>
            </w:r>
          </w:p>
        </w:tc>
        <w:tc>
          <w:tcPr>
            <w:tcW w:w="2448" w:type="dxa"/>
          </w:tcPr>
          <w:p w14:paraId="5D1F0AEB" w14:textId="7A0F664C" w:rsidR="00FE5C32" w:rsidRPr="004C12C9" w:rsidRDefault="00FE5C32" w:rsidP="00295A46">
            <w:pPr>
              <w:pStyle w:val="ICFTabletext"/>
              <w:jc w:val="center"/>
              <w:rPr>
                <w:rFonts w:eastAsia="MS Mincho"/>
                <w:lang w:eastAsia="ja-JP" w:bidi="ar-SA"/>
              </w:rPr>
            </w:pPr>
            <w:r w:rsidRPr="004C12C9">
              <w:rPr>
                <w:rFonts w:eastAsia="MS Mincho"/>
                <w:lang w:eastAsia="ja-JP" w:bidi="ar-SA"/>
              </w:rPr>
              <w:t>2,284</w:t>
            </w:r>
          </w:p>
        </w:tc>
        <w:tc>
          <w:tcPr>
            <w:tcW w:w="2569" w:type="dxa"/>
            <w:vAlign w:val="bottom"/>
          </w:tcPr>
          <w:p w14:paraId="0AF2B0D1"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2F9B4386" w14:textId="77777777" w:rsidTr="00A73BFA">
        <w:trPr>
          <w:trHeight w:val="20"/>
        </w:trPr>
        <w:tc>
          <w:tcPr>
            <w:tcW w:w="2610" w:type="dxa"/>
            <w:noWrap/>
            <w:vAlign w:val="bottom"/>
            <w:hideMark/>
          </w:tcPr>
          <w:p w14:paraId="172EE3C6" w14:textId="77777777" w:rsidR="00FE5C32" w:rsidRPr="004C12C9" w:rsidRDefault="00FE5C32" w:rsidP="001174C8">
            <w:pPr>
              <w:pStyle w:val="ICFTabletext"/>
              <w:rPr>
                <w:lang w:bidi="ar-SA"/>
              </w:rPr>
            </w:pPr>
            <w:r w:rsidRPr="004C12C9">
              <w:rPr>
                <w:rFonts w:eastAsia="MS Mincho"/>
                <w:lang w:eastAsia="ja-JP" w:bidi="ar-SA"/>
              </w:rPr>
              <w:t>Steel</w:t>
            </w:r>
          </w:p>
        </w:tc>
        <w:tc>
          <w:tcPr>
            <w:tcW w:w="2448" w:type="dxa"/>
            <w:vAlign w:val="bottom"/>
          </w:tcPr>
          <w:p w14:paraId="7CE4E52A" w14:textId="77777777" w:rsidR="00FE5C32" w:rsidRPr="004C12C9" w:rsidRDefault="00FE5C32" w:rsidP="00295A46">
            <w:pPr>
              <w:pStyle w:val="ICFTabletext"/>
              <w:jc w:val="center"/>
              <w:rPr>
                <w:lang w:bidi="ar-SA"/>
              </w:rPr>
            </w:pPr>
            <w:r w:rsidRPr="004C12C9">
              <w:rPr>
                <w:rFonts w:eastAsia="MS Mincho"/>
                <w:lang w:eastAsia="ja-JP" w:bidi="ar-SA"/>
              </w:rPr>
              <w:t>1,574</w:t>
            </w:r>
          </w:p>
        </w:tc>
        <w:tc>
          <w:tcPr>
            <w:tcW w:w="2448" w:type="dxa"/>
            <w:vAlign w:val="bottom"/>
          </w:tcPr>
          <w:p w14:paraId="74386BF9"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1,584</w:t>
            </w:r>
          </w:p>
        </w:tc>
        <w:tc>
          <w:tcPr>
            <w:tcW w:w="2569" w:type="dxa"/>
            <w:vAlign w:val="bottom"/>
          </w:tcPr>
          <w:p w14:paraId="33932911"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r w:rsidR="00FE5C32" w:rsidRPr="004C12C9" w14:paraId="22439EF5" w14:textId="77777777" w:rsidTr="00A73BFA">
        <w:trPr>
          <w:trHeight w:val="20"/>
        </w:trPr>
        <w:tc>
          <w:tcPr>
            <w:tcW w:w="2610" w:type="dxa"/>
            <w:noWrap/>
            <w:vAlign w:val="bottom"/>
            <w:hideMark/>
          </w:tcPr>
          <w:p w14:paraId="727A370E" w14:textId="77777777" w:rsidR="00FE5C32" w:rsidRPr="004C12C9" w:rsidRDefault="00FE5C32" w:rsidP="001174C8">
            <w:pPr>
              <w:pStyle w:val="ICFTabletext"/>
              <w:rPr>
                <w:lang w:bidi="ar-SA"/>
              </w:rPr>
            </w:pPr>
            <w:r w:rsidRPr="004C12C9">
              <w:rPr>
                <w:rFonts w:eastAsia="MS Mincho"/>
                <w:lang w:eastAsia="ja-JP" w:bidi="ar-SA"/>
              </w:rPr>
              <w:t>Wood Products</w:t>
            </w:r>
          </w:p>
        </w:tc>
        <w:tc>
          <w:tcPr>
            <w:tcW w:w="2448" w:type="dxa"/>
            <w:vAlign w:val="bottom"/>
          </w:tcPr>
          <w:p w14:paraId="559F09F2" w14:textId="77777777" w:rsidR="00FE5C32" w:rsidRPr="004C12C9" w:rsidRDefault="00FE5C32" w:rsidP="00295A46">
            <w:pPr>
              <w:pStyle w:val="ICFTabletext"/>
              <w:jc w:val="center"/>
              <w:rPr>
                <w:lang w:bidi="ar-SA"/>
              </w:rPr>
            </w:pPr>
            <w:r w:rsidRPr="004C12C9">
              <w:rPr>
                <w:rFonts w:eastAsia="MS Mincho"/>
                <w:lang w:eastAsia="ja-JP" w:bidi="ar-SA"/>
              </w:rPr>
              <w:t>339</w:t>
            </w:r>
          </w:p>
        </w:tc>
        <w:tc>
          <w:tcPr>
            <w:tcW w:w="2448" w:type="dxa"/>
            <w:vAlign w:val="bottom"/>
          </w:tcPr>
          <w:p w14:paraId="514D7E7A" w14:textId="77777777" w:rsidR="00FE5C32" w:rsidRPr="004C12C9" w:rsidRDefault="00FE5C32" w:rsidP="00295A46">
            <w:pPr>
              <w:pStyle w:val="ICFTabletext"/>
              <w:jc w:val="center"/>
              <w:rPr>
                <w:rFonts w:eastAsia="MS Mincho"/>
                <w:lang w:eastAsia="ja-JP" w:bidi="ar-SA"/>
              </w:rPr>
            </w:pPr>
            <w:r w:rsidRPr="004C12C9">
              <w:rPr>
                <w:rFonts w:eastAsia="MS Mincho"/>
                <w:lang w:eastAsia="ja-JP" w:bidi="ar-SA"/>
              </w:rPr>
              <w:t>316</w:t>
            </w:r>
          </w:p>
        </w:tc>
        <w:tc>
          <w:tcPr>
            <w:tcW w:w="2569" w:type="dxa"/>
            <w:vAlign w:val="bottom"/>
          </w:tcPr>
          <w:p w14:paraId="24F9E7F0" w14:textId="77777777" w:rsidR="00FE5C32" w:rsidRPr="004C12C9" w:rsidRDefault="00FE5C32" w:rsidP="001174C8">
            <w:pPr>
              <w:pStyle w:val="ICFTabletext"/>
              <w:rPr>
                <w:lang w:bidi="ar-SA"/>
              </w:rPr>
            </w:pPr>
            <w:r w:rsidRPr="004C12C9">
              <w:rPr>
                <w:rFonts w:eastAsia="MS Mincho"/>
                <w:lang w:eastAsia="ja-JP" w:bidi="ar-SA"/>
              </w:rPr>
              <w:t>kgCO</w:t>
            </w:r>
            <w:r w:rsidRPr="004C12C9">
              <w:rPr>
                <w:rFonts w:eastAsia="MS Mincho"/>
                <w:vertAlign w:val="subscript"/>
                <w:lang w:eastAsia="ja-JP" w:bidi="ar-SA"/>
              </w:rPr>
              <w:t>2</w:t>
            </w:r>
            <w:r w:rsidRPr="004C12C9">
              <w:rPr>
                <w:rFonts w:eastAsia="MS Mincho"/>
                <w:lang w:eastAsia="ja-JP" w:bidi="ar-SA"/>
              </w:rPr>
              <w:t>e/short ton</w:t>
            </w:r>
          </w:p>
        </w:tc>
      </w:tr>
    </w:tbl>
    <w:p w14:paraId="47DE27DE" w14:textId="62557BD6" w:rsidR="00BF5AA6" w:rsidRPr="004C12C9" w:rsidRDefault="00514313" w:rsidP="00E31E37">
      <w:pPr>
        <w:pStyle w:val="Heading4"/>
      </w:pPr>
      <w:r w:rsidRPr="004C12C9">
        <w:t>Conversion Factors</w:t>
      </w:r>
    </w:p>
    <w:p w14:paraId="4D3B2856" w14:textId="66289DEC" w:rsidR="00497896" w:rsidRPr="004C12C9" w:rsidRDefault="00497896" w:rsidP="00972CF9">
      <w:r w:rsidRPr="004C12C9">
        <w:t xml:space="preserve">For the purposes of the </w:t>
      </w:r>
      <w:r w:rsidR="00FD056A" w:rsidRPr="004C12C9">
        <w:t>calculator</w:t>
      </w:r>
      <w:r w:rsidRPr="004C12C9">
        <w:t xml:space="preserve">, the emission factors in </w:t>
      </w:r>
      <w:r w:rsidRPr="004C12C9">
        <w:fldChar w:fldCharType="begin" w:fldLock="1"/>
      </w:r>
      <w:r w:rsidRPr="004C12C9">
        <w:instrText xml:space="preserve"> REF _Ref182986194 \h  \* MERGEFORMAT </w:instrText>
      </w:r>
      <w:r w:rsidRPr="004C12C9">
        <w:fldChar w:fldCharType="separate"/>
      </w:r>
      <w:r w:rsidR="00127094" w:rsidRPr="004C12C9">
        <w:t>Table 2</w:t>
      </w:r>
      <w:r w:rsidR="00127094" w:rsidRPr="004C12C9">
        <w:noBreakHyphen/>
        <w:t>4</w:t>
      </w:r>
      <w:r w:rsidRPr="004C12C9">
        <w:fldChar w:fldCharType="end"/>
      </w:r>
      <w:r w:rsidRPr="004C12C9">
        <w:t xml:space="preserve"> </w:t>
      </w:r>
      <w:r w:rsidR="004D2CD5" w:rsidRPr="004C12C9">
        <w:t>are</w:t>
      </w:r>
      <w:r w:rsidRPr="004C12C9">
        <w:t xml:space="preserve"> converted into kgCO</w:t>
      </w:r>
      <w:r w:rsidRPr="004C12C9">
        <w:rPr>
          <w:vertAlign w:val="subscript"/>
        </w:rPr>
        <w:t>2</w:t>
      </w:r>
      <w:r w:rsidRPr="004C12C9">
        <w:t xml:space="preserve">e/short ton. For </w:t>
      </w:r>
      <w:r w:rsidR="00A10878" w:rsidRPr="004C12C9">
        <w:t>a</w:t>
      </w:r>
      <w:r w:rsidRPr="004C12C9">
        <w:t xml:space="preserve">luminum, </w:t>
      </w:r>
      <w:r w:rsidR="00A10878" w:rsidRPr="004C12C9">
        <w:t>a</w:t>
      </w:r>
      <w:r w:rsidRPr="004C12C9">
        <w:t xml:space="preserve">sphalt, </w:t>
      </w:r>
      <w:r w:rsidR="00A10878" w:rsidRPr="004C12C9">
        <w:t>b</w:t>
      </w:r>
      <w:r w:rsidRPr="004C12C9">
        <w:t>rick,</w:t>
      </w:r>
      <w:r w:rsidR="00A10878" w:rsidRPr="004C12C9">
        <w:t xml:space="preserve"> g</w:t>
      </w:r>
      <w:r w:rsidRPr="004C12C9">
        <w:t xml:space="preserve">lass, and </w:t>
      </w:r>
      <w:r w:rsidR="00A10878" w:rsidRPr="004C12C9">
        <w:t>s</w:t>
      </w:r>
      <w:r w:rsidRPr="004C12C9">
        <w:t xml:space="preserve">teel, the emission factors </w:t>
      </w:r>
      <w:r w:rsidR="00C7158A" w:rsidRPr="004C12C9">
        <w:t>are</w:t>
      </w:r>
      <w:r w:rsidRPr="004C12C9">
        <w:t xml:space="preserve"> converted into kgCO</w:t>
      </w:r>
      <w:r w:rsidRPr="004C12C9">
        <w:rPr>
          <w:vertAlign w:val="subscript"/>
        </w:rPr>
        <w:t>2</w:t>
      </w:r>
      <w:r w:rsidRPr="004C12C9">
        <w:t xml:space="preserve">e/short ton using the conversion rate of 2,000 pounds per short ton. For </w:t>
      </w:r>
      <w:r w:rsidR="00A10878" w:rsidRPr="004C12C9">
        <w:t>w</w:t>
      </w:r>
      <w:r w:rsidRPr="004C12C9">
        <w:t xml:space="preserve">ood </w:t>
      </w:r>
      <w:r w:rsidR="00A10878" w:rsidRPr="004C12C9">
        <w:t>p</w:t>
      </w:r>
      <w:r w:rsidRPr="004C12C9">
        <w:t xml:space="preserve">roducts, </w:t>
      </w:r>
      <w:r w:rsidR="00A10878" w:rsidRPr="004C12C9">
        <w:t>c</w:t>
      </w:r>
      <w:r w:rsidRPr="004C12C9">
        <w:t xml:space="preserve">oncrete, and </w:t>
      </w:r>
      <w:r w:rsidR="00A10878" w:rsidRPr="004C12C9">
        <w:t>i</w:t>
      </w:r>
      <w:r w:rsidRPr="004C12C9">
        <w:t xml:space="preserve">nsulation, additional assumptions regarding product density and RSI value are required, as described in the sections below. Key unit conversions are summarized in </w:t>
      </w:r>
      <w:r w:rsidRPr="004C12C9">
        <w:fldChar w:fldCharType="begin" w:fldLock="1"/>
      </w:r>
      <w:r w:rsidRPr="004C12C9">
        <w:instrText xml:space="preserve"> REF _Ref187866742 \h  \* MERGEFORMAT </w:instrText>
      </w:r>
      <w:r w:rsidRPr="004C12C9">
        <w:fldChar w:fldCharType="separate"/>
      </w:r>
      <w:r w:rsidR="00127094" w:rsidRPr="004C12C9">
        <w:t>Table 2</w:t>
      </w:r>
      <w:r w:rsidR="00127094" w:rsidRPr="004C12C9">
        <w:noBreakHyphen/>
        <w:t>6</w:t>
      </w:r>
      <w:r w:rsidRPr="004C12C9">
        <w:fldChar w:fldCharType="end"/>
      </w:r>
      <w:r w:rsidRPr="004C12C9">
        <w:t>.</w:t>
      </w:r>
    </w:p>
    <w:p w14:paraId="71875304" w14:textId="2C7251F7" w:rsidR="00497896" w:rsidRPr="004C12C9" w:rsidRDefault="00497896" w:rsidP="00972CF9">
      <w:pPr>
        <w:pStyle w:val="Caption"/>
      </w:pPr>
      <w:bookmarkStart w:id="49" w:name="_Ref187866742"/>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6</w:t>
      </w:r>
      <w:r w:rsidR="00F72B41">
        <w:fldChar w:fldCharType="end"/>
      </w:r>
      <w:bookmarkEnd w:id="49"/>
      <w:r w:rsidR="009C24CE" w:rsidRPr="004C12C9">
        <w:t>.</w:t>
      </w:r>
      <w:r w:rsidRPr="004C12C9">
        <w:t xml:space="preserve"> Material-Specific Unit Conversions</w:t>
      </w:r>
    </w:p>
    <w:tbl>
      <w:tblPr>
        <w:tblW w:w="359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15"/>
        <w:gridCol w:w="2314"/>
        <w:gridCol w:w="2415"/>
      </w:tblGrid>
      <w:tr w:rsidR="00352805" w:rsidRPr="004C12C9" w14:paraId="7742A9E6" w14:textId="77777777" w:rsidTr="004570BD">
        <w:trPr>
          <w:trHeight w:val="358"/>
        </w:trPr>
        <w:tc>
          <w:tcPr>
            <w:tcW w:w="2515" w:type="dxa"/>
            <w:shd w:val="clear" w:color="auto" w:fill="D9D9D9" w:themeFill="background1" w:themeFillShade="D9"/>
            <w:noWrap/>
            <w:vAlign w:val="center"/>
            <w:hideMark/>
          </w:tcPr>
          <w:p w14:paraId="2ADEC090" w14:textId="588EA92E" w:rsidR="00352805" w:rsidRPr="004C12C9" w:rsidRDefault="00352805" w:rsidP="00730659">
            <w:pPr>
              <w:pStyle w:val="ICFTableHeading"/>
              <w:rPr>
                <w:lang w:bidi="ar-SA"/>
              </w:rPr>
            </w:pPr>
            <w:r w:rsidRPr="004C12C9">
              <w:t>Material Type</w:t>
            </w:r>
          </w:p>
        </w:tc>
        <w:tc>
          <w:tcPr>
            <w:tcW w:w="2314" w:type="dxa"/>
            <w:shd w:val="clear" w:color="auto" w:fill="D9D9D9" w:themeFill="background1" w:themeFillShade="D9"/>
            <w:vAlign w:val="center"/>
            <w:hideMark/>
          </w:tcPr>
          <w:p w14:paraId="3E8E2DED" w14:textId="5201A19E" w:rsidR="00352805" w:rsidRPr="004C12C9" w:rsidRDefault="00352805" w:rsidP="00730659">
            <w:pPr>
              <w:pStyle w:val="ICFTableHeading"/>
              <w:rPr>
                <w:lang w:bidi="ar-SA"/>
              </w:rPr>
            </w:pPr>
            <w:r w:rsidRPr="004C12C9">
              <w:t>Conversion Factor</w:t>
            </w:r>
          </w:p>
        </w:tc>
        <w:tc>
          <w:tcPr>
            <w:tcW w:w="2415" w:type="dxa"/>
            <w:shd w:val="clear" w:color="auto" w:fill="D9D9D9" w:themeFill="background1" w:themeFillShade="D9"/>
            <w:vAlign w:val="center"/>
          </w:tcPr>
          <w:p w14:paraId="6F84C03A" w14:textId="1A35E213" w:rsidR="00352805" w:rsidRPr="004C12C9" w:rsidDel="0092427D" w:rsidRDefault="00352805" w:rsidP="00730659">
            <w:pPr>
              <w:pStyle w:val="ICFTableHeading"/>
              <w:rPr>
                <w:rFonts w:eastAsia="MS Mincho"/>
                <w:lang w:eastAsia="ja-JP" w:bidi="ar-SA"/>
              </w:rPr>
            </w:pPr>
            <w:r w:rsidRPr="004C12C9">
              <w:t>Units</w:t>
            </w:r>
          </w:p>
        </w:tc>
      </w:tr>
      <w:tr w:rsidR="00352805" w:rsidRPr="004C12C9" w14:paraId="4F49E798" w14:textId="77777777" w:rsidTr="004570BD">
        <w:trPr>
          <w:trHeight w:val="20"/>
        </w:trPr>
        <w:tc>
          <w:tcPr>
            <w:tcW w:w="2515" w:type="dxa"/>
            <w:noWrap/>
            <w:vAlign w:val="bottom"/>
            <w:hideMark/>
          </w:tcPr>
          <w:p w14:paraId="537CE72C" w14:textId="3BD0C4F5" w:rsidR="00352805" w:rsidRPr="004C12C9" w:rsidRDefault="00352805" w:rsidP="00730659">
            <w:pPr>
              <w:pStyle w:val="ICFTabletext"/>
              <w:rPr>
                <w:lang w:bidi="ar-SA"/>
              </w:rPr>
            </w:pPr>
            <w:r w:rsidRPr="004C12C9">
              <w:t>Insultation (residential)</w:t>
            </w:r>
          </w:p>
        </w:tc>
        <w:tc>
          <w:tcPr>
            <w:tcW w:w="2314" w:type="dxa"/>
          </w:tcPr>
          <w:p w14:paraId="79BD5E52" w14:textId="2BE45BDE" w:rsidR="00352805" w:rsidRPr="004C12C9" w:rsidRDefault="00352805" w:rsidP="00295A46">
            <w:pPr>
              <w:pStyle w:val="ICFTabletext"/>
              <w:jc w:val="center"/>
              <w:rPr>
                <w:lang w:bidi="ar-SA"/>
              </w:rPr>
            </w:pPr>
            <w:r w:rsidRPr="004C12C9">
              <w:t>0.00030</w:t>
            </w:r>
          </w:p>
        </w:tc>
        <w:tc>
          <w:tcPr>
            <w:tcW w:w="2415" w:type="dxa"/>
            <w:vAlign w:val="bottom"/>
          </w:tcPr>
          <w:p w14:paraId="70D859BC" w14:textId="3F1A1D3C" w:rsidR="00352805" w:rsidRPr="004C12C9" w:rsidRDefault="00352805" w:rsidP="00730659">
            <w:pPr>
              <w:pStyle w:val="ICFTabletext"/>
              <w:rPr>
                <w:rFonts w:eastAsia="MS Mincho"/>
                <w:lang w:eastAsia="ja-JP" w:bidi="ar-SA"/>
              </w:rPr>
            </w:pPr>
            <w:r w:rsidRPr="004C12C9">
              <w:t>short ton/</w:t>
            </w:r>
            <w:r w:rsidR="004570BD" w:rsidRPr="004C12C9">
              <w:t>square foot</w:t>
            </w:r>
          </w:p>
        </w:tc>
      </w:tr>
      <w:tr w:rsidR="00352805" w:rsidRPr="004C12C9" w14:paraId="3CA0E45F" w14:textId="77777777" w:rsidTr="004570BD">
        <w:trPr>
          <w:trHeight w:val="20"/>
        </w:trPr>
        <w:tc>
          <w:tcPr>
            <w:tcW w:w="2515" w:type="dxa"/>
            <w:noWrap/>
            <w:vAlign w:val="bottom"/>
            <w:hideMark/>
          </w:tcPr>
          <w:p w14:paraId="614682FD" w14:textId="1FA18AFD" w:rsidR="00352805" w:rsidRPr="004C12C9" w:rsidRDefault="00352805" w:rsidP="00730659">
            <w:pPr>
              <w:pStyle w:val="ICFTabletext"/>
              <w:rPr>
                <w:lang w:bidi="ar-SA"/>
              </w:rPr>
            </w:pPr>
            <w:r w:rsidRPr="004C12C9">
              <w:t>Insultation (commercial)</w:t>
            </w:r>
          </w:p>
        </w:tc>
        <w:tc>
          <w:tcPr>
            <w:tcW w:w="2314" w:type="dxa"/>
          </w:tcPr>
          <w:p w14:paraId="691C1CC4" w14:textId="104A3635" w:rsidR="00352805" w:rsidRPr="004C12C9" w:rsidRDefault="00352805" w:rsidP="00295A46">
            <w:pPr>
              <w:pStyle w:val="ICFTabletext"/>
              <w:jc w:val="center"/>
              <w:rPr>
                <w:lang w:bidi="ar-SA"/>
              </w:rPr>
            </w:pPr>
            <w:r w:rsidRPr="004C12C9">
              <w:t>0.00022</w:t>
            </w:r>
          </w:p>
        </w:tc>
        <w:tc>
          <w:tcPr>
            <w:tcW w:w="2415" w:type="dxa"/>
            <w:vAlign w:val="bottom"/>
          </w:tcPr>
          <w:p w14:paraId="76888AE1" w14:textId="6701A68B" w:rsidR="00352805" w:rsidRPr="004C12C9" w:rsidRDefault="004570BD" w:rsidP="00730659">
            <w:pPr>
              <w:pStyle w:val="ICFTabletext"/>
              <w:rPr>
                <w:rFonts w:eastAsia="MS Mincho"/>
                <w:lang w:eastAsia="ja-JP" w:bidi="ar-SA"/>
              </w:rPr>
            </w:pPr>
            <w:r w:rsidRPr="004C12C9">
              <w:t>short ton/square foot</w:t>
            </w:r>
          </w:p>
        </w:tc>
      </w:tr>
      <w:tr w:rsidR="00352805" w:rsidRPr="004C12C9" w14:paraId="53C4F4B2" w14:textId="77777777" w:rsidTr="004570BD">
        <w:trPr>
          <w:trHeight w:val="20"/>
        </w:trPr>
        <w:tc>
          <w:tcPr>
            <w:tcW w:w="2515" w:type="dxa"/>
            <w:noWrap/>
            <w:vAlign w:val="bottom"/>
            <w:hideMark/>
          </w:tcPr>
          <w:p w14:paraId="0365E329" w14:textId="0B1A22E1" w:rsidR="00352805" w:rsidRPr="004C12C9" w:rsidRDefault="00352805" w:rsidP="00730659">
            <w:pPr>
              <w:pStyle w:val="ICFTabletext"/>
              <w:rPr>
                <w:lang w:bidi="ar-SA"/>
              </w:rPr>
            </w:pPr>
            <w:r w:rsidRPr="004C12C9">
              <w:t>Concrete</w:t>
            </w:r>
          </w:p>
        </w:tc>
        <w:tc>
          <w:tcPr>
            <w:tcW w:w="2314" w:type="dxa"/>
          </w:tcPr>
          <w:p w14:paraId="76C85CC8" w14:textId="3EDD2761" w:rsidR="00352805" w:rsidRPr="004C12C9" w:rsidRDefault="00352805" w:rsidP="00295A46">
            <w:pPr>
              <w:pStyle w:val="ICFTabletext"/>
              <w:jc w:val="center"/>
              <w:rPr>
                <w:lang w:bidi="ar-SA"/>
              </w:rPr>
            </w:pPr>
            <w:r w:rsidRPr="004C12C9">
              <w:t>1.958</w:t>
            </w:r>
          </w:p>
        </w:tc>
        <w:tc>
          <w:tcPr>
            <w:tcW w:w="2415" w:type="dxa"/>
            <w:vAlign w:val="bottom"/>
          </w:tcPr>
          <w:p w14:paraId="7F9C4A08" w14:textId="695391C8" w:rsidR="00352805" w:rsidRPr="004C12C9" w:rsidRDefault="00352805" w:rsidP="00730659">
            <w:pPr>
              <w:pStyle w:val="ICFTabletext"/>
              <w:rPr>
                <w:rFonts w:eastAsia="MS Mincho"/>
                <w:lang w:eastAsia="ja-JP" w:bidi="ar-SA"/>
              </w:rPr>
            </w:pPr>
            <w:r w:rsidRPr="004C12C9">
              <w:t>short tons/cubic yard</w:t>
            </w:r>
          </w:p>
        </w:tc>
      </w:tr>
      <w:tr w:rsidR="00352805" w:rsidRPr="004C12C9" w14:paraId="0A73880C" w14:textId="77777777" w:rsidTr="004570BD">
        <w:trPr>
          <w:trHeight w:val="20"/>
        </w:trPr>
        <w:tc>
          <w:tcPr>
            <w:tcW w:w="2515" w:type="dxa"/>
            <w:noWrap/>
            <w:vAlign w:val="bottom"/>
            <w:hideMark/>
          </w:tcPr>
          <w:p w14:paraId="45EC3511" w14:textId="3ADB55CA" w:rsidR="00352805" w:rsidRPr="004C12C9" w:rsidRDefault="00352805" w:rsidP="00730659">
            <w:pPr>
              <w:pStyle w:val="ICFTabletext"/>
              <w:rPr>
                <w:lang w:bidi="ar-SA"/>
              </w:rPr>
            </w:pPr>
            <w:r w:rsidRPr="004C12C9">
              <w:t>Wood Products</w:t>
            </w:r>
          </w:p>
        </w:tc>
        <w:tc>
          <w:tcPr>
            <w:tcW w:w="2314" w:type="dxa"/>
          </w:tcPr>
          <w:p w14:paraId="11BCB64E" w14:textId="6D4533EA" w:rsidR="00352805" w:rsidRPr="004C12C9" w:rsidRDefault="00352805" w:rsidP="00295A46">
            <w:pPr>
              <w:pStyle w:val="ICFTabletext"/>
              <w:jc w:val="center"/>
              <w:rPr>
                <w:lang w:bidi="ar-SA"/>
              </w:rPr>
            </w:pPr>
            <w:r w:rsidRPr="004C12C9">
              <w:t>0.443</w:t>
            </w:r>
          </w:p>
        </w:tc>
        <w:tc>
          <w:tcPr>
            <w:tcW w:w="2415" w:type="dxa"/>
            <w:vAlign w:val="bottom"/>
          </w:tcPr>
          <w:p w14:paraId="0FAA7BBF" w14:textId="6AEE0100" w:rsidR="00352805" w:rsidRPr="004C12C9" w:rsidRDefault="00352805" w:rsidP="00730659">
            <w:pPr>
              <w:pStyle w:val="ICFTabletext"/>
              <w:rPr>
                <w:rFonts w:eastAsia="MS Mincho"/>
                <w:lang w:eastAsia="ja-JP" w:bidi="ar-SA"/>
              </w:rPr>
            </w:pPr>
            <w:r w:rsidRPr="004C12C9">
              <w:t>short tons/cubic yard</w:t>
            </w:r>
          </w:p>
        </w:tc>
      </w:tr>
    </w:tbl>
    <w:p w14:paraId="552258ED" w14:textId="0C3FF91D" w:rsidR="00514313" w:rsidRPr="004C12C9" w:rsidRDefault="00514313" w:rsidP="008B3FB7">
      <w:pPr>
        <w:pStyle w:val="ICFHeading4"/>
      </w:pPr>
      <w:r w:rsidRPr="004C12C9">
        <w:lastRenderedPageBreak/>
        <w:t>Wood Products</w:t>
      </w:r>
    </w:p>
    <w:p w14:paraId="756A9091" w14:textId="313A68D4" w:rsidR="00D47208" w:rsidRPr="004C12C9" w:rsidRDefault="00D47208" w:rsidP="00972CF9">
      <w:r w:rsidRPr="004C12C9">
        <w:t xml:space="preserve">The average density of the seven most used wood types in construction, including a mix of softwoods and hardwoods, </w:t>
      </w:r>
      <w:r w:rsidR="00C7158A" w:rsidRPr="004C12C9">
        <w:t>are</w:t>
      </w:r>
      <w:r w:rsidRPr="004C12C9">
        <w:t xml:space="preserve"> used to derive the density for the </w:t>
      </w:r>
      <w:r w:rsidR="00CB466B" w:rsidRPr="004C12C9">
        <w:t>w</w:t>
      </w:r>
      <w:r w:rsidRPr="004C12C9">
        <w:t xml:space="preserve">ood </w:t>
      </w:r>
      <w:r w:rsidR="00CB466B" w:rsidRPr="004C12C9">
        <w:t>p</w:t>
      </w:r>
      <w:r w:rsidRPr="004C12C9">
        <w:t xml:space="preserve">roducts material type in the </w:t>
      </w:r>
      <w:r w:rsidR="007D3E2F" w:rsidRPr="004C12C9">
        <w:t>calculator</w:t>
      </w:r>
      <w:r w:rsidRPr="004C12C9">
        <w:t xml:space="preserve">. The density of each of these seven wood types and the calculated average density are shown in </w:t>
      </w:r>
      <w:r w:rsidRPr="004C12C9">
        <w:fldChar w:fldCharType="begin" w:fldLock="1"/>
      </w:r>
      <w:r w:rsidRPr="004C12C9">
        <w:instrText xml:space="preserve"> REF _Ref185339833 \h  \* MERGEFORMAT </w:instrText>
      </w:r>
      <w:r w:rsidRPr="004C12C9">
        <w:fldChar w:fldCharType="separate"/>
      </w:r>
      <w:r w:rsidR="00127094" w:rsidRPr="004C12C9">
        <w:t>Table 2</w:t>
      </w:r>
      <w:r w:rsidR="00127094" w:rsidRPr="004C12C9">
        <w:noBreakHyphen/>
        <w:t>7</w:t>
      </w:r>
      <w:r w:rsidRPr="004C12C9">
        <w:fldChar w:fldCharType="end"/>
      </w:r>
      <w:r w:rsidRPr="004C12C9">
        <w:t xml:space="preserve">. These average densities </w:t>
      </w:r>
      <w:r w:rsidR="00C7158A" w:rsidRPr="004C12C9">
        <w:t>are</w:t>
      </w:r>
      <w:r w:rsidRPr="004C12C9">
        <w:t xml:space="preserve"> derived from MT Copeland, an online platform that offers a variety of construction training courses.</w:t>
      </w:r>
      <w:r w:rsidR="003C3CA0">
        <w:rPr>
          <w:rFonts w:ascii="ZWAdobeF" w:hAnsi="ZWAdobeF" w:cs="ZWAdobeF"/>
          <w:sz w:val="2"/>
          <w:szCs w:val="2"/>
        </w:rPr>
        <w:t>10F</w:t>
      </w:r>
      <w:r w:rsidRPr="004C12C9">
        <w:rPr>
          <w:rStyle w:val="FootnoteReference"/>
        </w:rPr>
        <w:footnoteReference w:id="12"/>
      </w:r>
      <w:r w:rsidRPr="004C12C9">
        <w:t xml:space="preserve"> The calculated average density in</w:t>
      </w:r>
      <w:r w:rsidR="00EB3F45" w:rsidRPr="004C12C9">
        <w:t xml:space="preserve"> pounds per </w:t>
      </w:r>
      <w:r w:rsidRPr="004C12C9">
        <w:t xml:space="preserve">cubic yard </w:t>
      </w:r>
      <w:r w:rsidR="00C7158A" w:rsidRPr="004C12C9">
        <w:t>are</w:t>
      </w:r>
      <w:r w:rsidRPr="004C12C9">
        <w:t xml:space="preserve"> converted to short tons</w:t>
      </w:r>
      <w:r w:rsidR="00EB3F45" w:rsidRPr="004C12C9">
        <w:t xml:space="preserve"> per </w:t>
      </w:r>
      <w:r w:rsidRPr="004C12C9">
        <w:t xml:space="preserve">cubic yard (as shown in </w:t>
      </w:r>
      <w:r w:rsidRPr="004C12C9">
        <w:fldChar w:fldCharType="begin" w:fldLock="1"/>
      </w:r>
      <w:r w:rsidRPr="004C12C9">
        <w:instrText xml:space="preserve"> REF _Ref187866742 \h  \* MERGEFORMAT </w:instrText>
      </w:r>
      <w:r w:rsidRPr="004C12C9">
        <w:fldChar w:fldCharType="separate"/>
      </w:r>
      <w:r w:rsidR="00127094" w:rsidRPr="004C12C9">
        <w:t>Table 2</w:t>
      </w:r>
      <w:r w:rsidR="00127094" w:rsidRPr="004C12C9">
        <w:noBreakHyphen/>
        <w:t>6</w:t>
      </w:r>
      <w:r w:rsidRPr="004C12C9">
        <w:fldChar w:fldCharType="end"/>
      </w:r>
      <w:r w:rsidRPr="004C12C9">
        <w:t>) using the conversion rate of 2,000 pounds per short ton.</w:t>
      </w:r>
    </w:p>
    <w:p w14:paraId="14390DE1" w14:textId="27DFF565" w:rsidR="00D47208" w:rsidRPr="004C12C9" w:rsidRDefault="00D47208" w:rsidP="00972CF9">
      <w:pPr>
        <w:pStyle w:val="Caption"/>
      </w:pPr>
      <w:bookmarkStart w:id="50" w:name="_Ref185339833"/>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7</w:t>
      </w:r>
      <w:r w:rsidR="00F72B41">
        <w:fldChar w:fldCharType="end"/>
      </w:r>
      <w:bookmarkEnd w:id="50"/>
      <w:r w:rsidR="009C24CE" w:rsidRPr="004C12C9">
        <w:t>.</w:t>
      </w:r>
      <w:r w:rsidRPr="004C12C9">
        <w:t xml:space="preserve"> Commonly Used Wood Type Densities, via MT Copeland</w:t>
      </w:r>
    </w:p>
    <w:tbl>
      <w:tblPr>
        <w:tblW w:w="365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87"/>
        <w:gridCol w:w="3974"/>
      </w:tblGrid>
      <w:tr w:rsidR="00E90611" w:rsidRPr="004C12C9" w14:paraId="5928E671" w14:textId="77777777" w:rsidTr="00730659">
        <w:trPr>
          <w:trHeight w:val="367"/>
        </w:trPr>
        <w:tc>
          <w:tcPr>
            <w:tcW w:w="3145" w:type="dxa"/>
            <w:shd w:val="clear" w:color="auto" w:fill="D9D9D9" w:themeFill="background1" w:themeFillShade="D9"/>
            <w:noWrap/>
            <w:vAlign w:val="center"/>
            <w:hideMark/>
          </w:tcPr>
          <w:p w14:paraId="397E92B2" w14:textId="77777777" w:rsidR="00E90611" w:rsidRPr="004C12C9" w:rsidRDefault="00E90611" w:rsidP="00730659">
            <w:pPr>
              <w:pStyle w:val="ICFTableHeading"/>
              <w:rPr>
                <w:lang w:bidi="ar-SA"/>
              </w:rPr>
            </w:pPr>
            <w:r w:rsidRPr="004C12C9">
              <w:rPr>
                <w:lang w:bidi="ar-SA"/>
              </w:rPr>
              <w:t>Wood Type</w:t>
            </w:r>
          </w:p>
        </w:tc>
        <w:tc>
          <w:tcPr>
            <w:tcW w:w="3690" w:type="dxa"/>
            <w:shd w:val="clear" w:color="auto" w:fill="D9D9D9" w:themeFill="background1" w:themeFillShade="D9"/>
            <w:vAlign w:val="center"/>
            <w:hideMark/>
          </w:tcPr>
          <w:p w14:paraId="47CE8749" w14:textId="519C13F5" w:rsidR="00E90611" w:rsidRPr="004C12C9" w:rsidRDefault="00E90611" w:rsidP="00730659">
            <w:pPr>
              <w:pStyle w:val="ICFTableHeading"/>
              <w:rPr>
                <w:lang w:bidi="ar-SA"/>
              </w:rPr>
            </w:pPr>
            <w:r w:rsidRPr="004C12C9">
              <w:rPr>
                <w:lang w:bidi="ar-SA"/>
              </w:rPr>
              <w:t>Average Density (</w:t>
            </w:r>
            <w:r w:rsidR="00604F17" w:rsidRPr="004C12C9">
              <w:rPr>
                <w:lang w:bidi="ar-SA"/>
              </w:rPr>
              <w:t>pounds/cubic yard</w:t>
            </w:r>
            <w:r w:rsidRPr="004C12C9">
              <w:rPr>
                <w:lang w:bidi="ar-SA"/>
              </w:rPr>
              <w:t>)</w:t>
            </w:r>
          </w:p>
        </w:tc>
      </w:tr>
      <w:tr w:rsidR="00E90611" w:rsidRPr="004C12C9" w14:paraId="1574B4A1" w14:textId="77777777" w:rsidTr="00730659">
        <w:trPr>
          <w:trHeight w:val="20"/>
        </w:trPr>
        <w:tc>
          <w:tcPr>
            <w:tcW w:w="3145" w:type="dxa"/>
            <w:noWrap/>
            <w:vAlign w:val="bottom"/>
            <w:hideMark/>
          </w:tcPr>
          <w:p w14:paraId="111D5E9C" w14:textId="77777777" w:rsidR="00E90611" w:rsidRPr="004C12C9" w:rsidRDefault="00E90611" w:rsidP="00730659">
            <w:pPr>
              <w:pStyle w:val="ICFTabletext"/>
              <w:rPr>
                <w:color w:val="000000"/>
                <w:lang w:bidi="ar-SA"/>
              </w:rPr>
            </w:pPr>
            <w:r w:rsidRPr="004C12C9">
              <w:rPr>
                <w:rFonts w:eastAsia="MS Mincho"/>
                <w:lang w:eastAsia="ja-JP" w:bidi="ar-SA"/>
              </w:rPr>
              <w:t>Aspen</w:t>
            </w:r>
          </w:p>
        </w:tc>
        <w:tc>
          <w:tcPr>
            <w:tcW w:w="3690" w:type="dxa"/>
            <w:vAlign w:val="center"/>
          </w:tcPr>
          <w:p w14:paraId="2EC34D2E" w14:textId="77777777" w:rsidR="00E90611" w:rsidRPr="004C12C9" w:rsidRDefault="00E90611" w:rsidP="009C24CE">
            <w:pPr>
              <w:pStyle w:val="ICFTabletext"/>
              <w:jc w:val="center"/>
              <w:rPr>
                <w:lang w:bidi="ar-SA"/>
              </w:rPr>
            </w:pPr>
            <w:r w:rsidRPr="004C12C9">
              <w:rPr>
                <w:rFonts w:eastAsia="MS Mincho"/>
                <w:lang w:eastAsia="ja-JP" w:bidi="ar-SA"/>
              </w:rPr>
              <w:t>702.0</w:t>
            </w:r>
          </w:p>
        </w:tc>
      </w:tr>
      <w:tr w:rsidR="00E90611" w:rsidRPr="004C12C9" w14:paraId="5571C172" w14:textId="77777777" w:rsidTr="00730659">
        <w:trPr>
          <w:trHeight w:val="20"/>
        </w:trPr>
        <w:tc>
          <w:tcPr>
            <w:tcW w:w="3145" w:type="dxa"/>
            <w:noWrap/>
            <w:vAlign w:val="bottom"/>
            <w:hideMark/>
          </w:tcPr>
          <w:p w14:paraId="394252F0" w14:textId="77777777" w:rsidR="00E90611" w:rsidRPr="004C12C9" w:rsidRDefault="00E90611" w:rsidP="00730659">
            <w:pPr>
              <w:pStyle w:val="ICFTabletext"/>
              <w:rPr>
                <w:color w:val="000000"/>
                <w:lang w:bidi="ar-SA"/>
              </w:rPr>
            </w:pPr>
            <w:r w:rsidRPr="004C12C9">
              <w:rPr>
                <w:rFonts w:eastAsia="MS Mincho"/>
                <w:lang w:eastAsia="ja-JP" w:bidi="ar-SA"/>
              </w:rPr>
              <w:t>Hickory</w:t>
            </w:r>
          </w:p>
        </w:tc>
        <w:tc>
          <w:tcPr>
            <w:tcW w:w="3690" w:type="dxa"/>
            <w:vAlign w:val="center"/>
          </w:tcPr>
          <w:p w14:paraId="4074A1D8" w14:textId="77777777" w:rsidR="00E90611" w:rsidRPr="004C12C9" w:rsidRDefault="00E90611" w:rsidP="009C24CE">
            <w:pPr>
              <w:pStyle w:val="ICFTabletext"/>
              <w:jc w:val="center"/>
              <w:rPr>
                <w:lang w:bidi="ar-SA"/>
              </w:rPr>
            </w:pPr>
            <w:r w:rsidRPr="004C12C9">
              <w:rPr>
                <w:rFonts w:eastAsia="MS Mincho"/>
                <w:lang w:eastAsia="ja-JP" w:bidi="ar-SA"/>
              </w:rPr>
              <w:t>1,282.5</w:t>
            </w:r>
          </w:p>
        </w:tc>
      </w:tr>
      <w:tr w:rsidR="00E90611" w:rsidRPr="004C12C9" w14:paraId="11733EFF" w14:textId="77777777" w:rsidTr="00730659">
        <w:trPr>
          <w:trHeight w:val="20"/>
        </w:trPr>
        <w:tc>
          <w:tcPr>
            <w:tcW w:w="3145" w:type="dxa"/>
            <w:noWrap/>
            <w:vAlign w:val="bottom"/>
            <w:hideMark/>
          </w:tcPr>
          <w:p w14:paraId="0817146D" w14:textId="77777777" w:rsidR="00E90611" w:rsidRPr="004C12C9" w:rsidRDefault="00E90611" w:rsidP="00730659">
            <w:pPr>
              <w:pStyle w:val="ICFTabletext"/>
              <w:rPr>
                <w:color w:val="000000"/>
                <w:lang w:bidi="ar-SA"/>
              </w:rPr>
            </w:pPr>
            <w:r w:rsidRPr="004C12C9">
              <w:rPr>
                <w:rFonts w:eastAsia="MS Mincho"/>
                <w:lang w:eastAsia="ja-JP" w:bidi="ar-SA"/>
              </w:rPr>
              <w:t>Balsa</w:t>
            </w:r>
          </w:p>
        </w:tc>
        <w:tc>
          <w:tcPr>
            <w:tcW w:w="3690" w:type="dxa"/>
            <w:vAlign w:val="center"/>
          </w:tcPr>
          <w:p w14:paraId="78773D2F" w14:textId="77777777" w:rsidR="00E90611" w:rsidRPr="004C12C9" w:rsidRDefault="00E90611" w:rsidP="009C24CE">
            <w:pPr>
              <w:pStyle w:val="ICFTabletext"/>
              <w:jc w:val="center"/>
              <w:rPr>
                <w:lang w:bidi="ar-SA"/>
              </w:rPr>
            </w:pPr>
            <w:r w:rsidRPr="004C12C9">
              <w:rPr>
                <w:rFonts w:eastAsia="MS Mincho"/>
                <w:lang w:eastAsia="ja-JP" w:bidi="ar-SA"/>
              </w:rPr>
              <w:t>216.0</w:t>
            </w:r>
          </w:p>
        </w:tc>
      </w:tr>
      <w:tr w:rsidR="00E90611" w:rsidRPr="004C12C9" w14:paraId="4CF759C3" w14:textId="77777777" w:rsidTr="00730659">
        <w:trPr>
          <w:trHeight w:val="20"/>
        </w:trPr>
        <w:tc>
          <w:tcPr>
            <w:tcW w:w="3145" w:type="dxa"/>
            <w:noWrap/>
            <w:vAlign w:val="bottom"/>
            <w:hideMark/>
          </w:tcPr>
          <w:p w14:paraId="0D446720" w14:textId="77777777" w:rsidR="00E90611" w:rsidRPr="004C12C9" w:rsidRDefault="00E90611" w:rsidP="00730659">
            <w:pPr>
              <w:pStyle w:val="ICFTabletext"/>
              <w:rPr>
                <w:color w:val="000000"/>
                <w:lang w:bidi="ar-SA"/>
              </w:rPr>
            </w:pPr>
            <w:r w:rsidRPr="004C12C9">
              <w:rPr>
                <w:rFonts w:eastAsia="MS Mincho"/>
                <w:lang w:eastAsia="ja-JP" w:bidi="ar-SA"/>
              </w:rPr>
              <w:t>Pine</w:t>
            </w:r>
          </w:p>
        </w:tc>
        <w:tc>
          <w:tcPr>
            <w:tcW w:w="3690" w:type="dxa"/>
            <w:vAlign w:val="center"/>
          </w:tcPr>
          <w:p w14:paraId="1434E9BB" w14:textId="77777777" w:rsidR="00E90611" w:rsidRPr="004C12C9" w:rsidRDefault="00E90611" w:rsidP="009C24CE">
            <w:pPr>
              <w:pStyle w:val="ICFTabletext"/>
              <w:jc w:val="center"/>
              <w:rPr>
                <w:lang w:bidi="ar-SA"/>
              </w:rPr>
            </w:pPr>
            <w:r w:rsidRPr="004C12C9">
              <w:rPr>
                <w:rFonts w:eastAsia="MS Mincho"/>
                <w:lang w:eastAsia="ja-JP" w:bidi="ar-SA"/>
              </w:rPr>
              <w:t>1,012.5</w:t>
            </w:r>
          </w:p>
        </w:tc>
      </w:tr>
      <w:tr w:rsidR="00E90611" w:rsidRPr="004C12C9" w14:paraId="08D3AF15" w14:textId="77777777" w:rsidTr="00730659">
        <w:trPr>
          <w:trHeight w:val="20"/>
        </w:trPr>
        <w:tc>
          <w:tcPr>
            <w:tcW w:w="3145" w:type="dxa"/>
            <w:noWrap/>
            <w:vAlign w:val="bottom"/>
            <w:hideMark/>
          </w:tcPr>
          <w:p w14:paraId="483B7BD6" w14:textId="77777777" w:rsidR="00E90611" w:rsidRPr="004C12C9" w:rsidRDefault="00E90611" w:rsidP="00730659">
            <w:pPr>
              <w:pStyle w:val="ICFTabletext"/>
              <w:rPr>
                <w:color w:val="000000"/>
                <w:lang w:bidi="ar-SA"/>
              </w:rPr>
            </w:pPr>
            <w:r w:rsidRPr="004C12C9">
              <w:rPr>
                <w:rFonts w:eastAsia="MS Mincho"/>
                <w:lang w:eastAsia="ja-JP" w:bidi="ar-SA"/>
              </w:rPr>
              <w:t>Cedar</w:t>
            </w:r>
          </w:p>
        </w:tc>
        <w:tc>
          <w:tcPr>
            <w:tcW w:w="3690" w:type="dxa"/>
            <w:vAlign w:val="center"/>
          </w:tcPr>
          <w:p w14:paraId="2D0A8D18" w14:textId="77777777" w:rsidR="00E90611" w:rsidRPr="004C12C9" w:rsidRDefault="00E90611" w:rsidP="009C24CE">
            <w:pPr>
              <w:pStyle w:val="ICFTabletext"/>
              <w:jc w:val="center"/>
              <w:rPr>
                <w:lang w:bidi="ar-SA"/>
              </w:rPr>
            </w:pPr>
            <w:r w:rsidRPr="004C12C9">
              <w:rPr>
                <w:rFonts w:eastAsia="MS Mincho"/>
                <w:lang w:eastAsia="ja-JP" w:bidi="ar-SA"/>
              </w:rPr>
              <w:t>796.5</w:t>
            </w:r>
          </w:p>
        </w:tc>
      </w:tr>
      <w:tr w:rsidR="00E90611" w:rsidRPr="004C12C9" w14:paraId="163706ED" w14:textId="77777777" w:rsidTr="00730659">
        <w:trPr>
          <w:trHeight w:val="20"/>
        </w:trPr>
        <w:tc>
          <w:tcPr>
            <w:tcW w:w="3145" w:type="dxa"/>
            <w:noWrap/>
            <w:vAlign w:val="bottom"/>
          </w:tcPr>
          <w:p w14:paraId="3BF0788B" w14:textId="77777777" w:rsidR="00E90611" w:rsidRPr="004C12C9" w:rsidRDefault="00E90611" w:rsidP="00730659">
            <w:pPr>
              <w:pStyle w:val="ICFTabletext"/>
              <w:rPr>
                <w:color w:val="000000"/>
                <w:lang w:bidi="ar-SA"/>
              </w:rPr>
            </w:pPr>
            <w:r w:rsidRPr="004C12C9">
              <w:rPr>
                <w:rFonts w:eastAsia="MS Mincho"/>
                <w:lang w:eastAsia="ja-JP" w:bidi="ar-SA"/>
              </w:rPr>
              <w:t>Spruce</w:t>
            </w:r>
          </w:p>
        </w:tc>
        <w:tc>
          <w:tcPr>
            <w:tcW w:w="3690" w:type="dxa"/>
            <w:vAlign w:val="center"/>
          </w:tcPr>
          <w:p w14:paraId="134D4404" w14:textId="77777777" w:rsidR="00E90611" w:rsidRPr="004C12C9" w:rsidRDefault="00E90611" w:rsidP="009C24CE">
            <w:pPr>
              <w:pStyle w:val="ICFTabletext"/>
              <w:jc w:val="center"/>
              <w:rPr>
                <w:lang w:bidi="ar-SA"/>
              </w:rPr>
            </w:pPr>
            <w:r w:rsidRPr="004C12C9">
              <w:rPr>
                <w:rFonts w:eastAsia="MS Mincho"/>
                <w:lang w:eastAsia="ja-JP" w:bidi="ar-SA"/>
              </w:rPr>
              <w:t>931.5</w:t>
            </w:r>
          </w:p>
        </w:tc>
      </w:tr>
      <w:tr w:rsidR="00E90611" w:rsidRPr="004C12C9" w14:paraId="31FD4079" w14:textId="77777777" w:rsidTr="00730659">
        <w:trPr>
          <w:trHeight w:val="20"/>
        </w:trPr>
        <w:tc>
          <w:tcPr>
            <w:tcW w:w="3145" w:type="dxa"/>
            <w:noWrap/>
            <w:vAlign w:val="bottom"/>
          </w:tcPr>
          <w:p w14:paraId="581171C9" w14:textId="77777777" w:rsidR="00E90611" w:rsidRPr="004C12C9" w:rsidRDefault="00E90611" w:rsidP="00730659">
            <w:pPr>
              <w:pStyle w:val="ICFTabletext"/>
              <w:rPr>
                <w:color w:val="000000"/>
                <w:lang w:bidi="ar-SA"/>
              </w:rPr>
            </w:pPr>
            <w:r w:rsidRPr="004C12C9">
              <w:rPr>
                <w:rFonts w:eastAsia="MS Mincho"/>
                <w:lang w:eastAsia="ja-JP" w:bidi="ar-SA"/>
              </w:rPr>
              <w:t>Oak</w:t>
            </w:r>
          </w:p>
        </w:tc>
        <w:tc>
          <w:tcPr>
            <w:tcW w:w="3690" w:type="dxa"/>
            <w:vAlign w:val="center"/>
          </w:tcPr>
          <w:p w14:paraId="304714FF" w14:textId="77777777" w:rsidR="00E90611" w:rsidRPr="004C12C9" w:rsidRDefault="00E90611" w:rsidP="009C24CE">
            <w:pPr>
              <w:pStyle w:val="ICFTabletext"/>
              <w:jc w:val="center"/>
              <w:rPr>
                <w:lang w:bidi="ar-SA"/>
              </w:rPr>
            </w:pPr>
            <w:r w:rsidRPr="004C12C9">
              <w:rPr>
                <w:rFonts w:eastAsia="MS Mincho"/>
                <w:lang w:eastAsia="ja-JP" w:bidi="ar-SA"/>
              </w:rPr>
              <w:t>1,255.5</w:t>
            </w:r>
          </w:p>
        </w:tc>
      </w:tr>
      <w:tr w:rsidR="00E90611" w:rsidRPr="004C12C9" w14:paraId="22158BD9" w14:textId="77777777" w:rsidTr="00F95DF4">
        <w:trPr>
          <w:trHeight w:val="20"/>
        </w:trPr>
        <w:tc>
          <w:tcPr>
            <w:tcW w:w="3145" w:type="dxa"/>
            <w:shd w:val="clear" w:color="auto" w:fill="FFFFFF" w:themeFill="background1"/>
            <w:noWrap/>
            <w:vAlign w:val="bottom"/>
          </w:tcPr>
          <w:p w14:paraId="5B9F2085" w14:textId="77777777" w:rsidR="00E90611" w:rsidRPr="004C12C9" w:rsidRDefault="00E90611" w:rsidP="00730659">
            <w:pPr>
              <w:pStyle w:val="ICFTabletext"/>
              <w:rPr>
                <w:b/>
                <w:bCs/>
                <w:lang w:bidi="ar-SA"/>
              </w:rPr>
            </w:pPr>
            <w:r w:rsidRPr="004C12C9">
              <w:rPr>
                <w:b/>
                <w:bCs/>
                <w:lang w:bidi="ar-SA"/>
              </w:rPr>
              <w:t>Average</w:t>
            </w:r>
          </w:p>
        </w:tc>
        <w:tc>
          <w:tcPr>
            <w:tcW w:w="3690" w:type="dxa"/>
            <w:shd w:val="clear" w:color="auto" w:fill="FFFFFF" w:themeFill="background1"/>
            <w:vAlign w:val="center"/>
          </w:tcPr>
          <w:p w14:paraId="02AF81DC" w14:textId="77777777" w:rsidR="00E90611" w:rsidRPr="004C12C9" w:rsidRDefault="00E90611" w:rsidP="009C24CE">
            <w:pPr>
              <w:pStyle w:val="ICFTabletext"/>
              <w:jc w:val="center"/>
              <w:rPr>
                <w:b/>
                <w:bCs/>
                <w:lang w:bidi="ar-SA"/>
              </w:rPr>
            </w:pPr>
            <w:r w:rsidRPr="004C12C9">
              <w:rPr>
                <w:rFonts w:eastAsia="MS Mincho"/>
                <w:b/>
                <w:bCs/>
                <w:lang w:eastAsia="ja-JP" w:bidi="ar-SA"/>
              </w:rPr>
              <w:t>885.2</w:t>
            </w:r>
          </w:p>
        </w:tc>
      </w:tr>
    </w:tbl>
    <w:p w14:paraId="174FCAB0" w14:textId="6BB4413E" w:rsidR="00514313" w:rsidRPr="004C12C9" w:rsidRDefault="00514313" w:rsidP="008B3FB7">
      <w:pPr>
        <w:pStyle w:val="ICFHeading4"/>
      </w:pPr>
      <w:r w:rsidRPr="004C12C9">
        <w:t>C</w:t>
      </w:r>
      <w:r w:rsidRPr="004C12C9">
        <w:rPr>
          <w:rStyle w:val="Heading4Char"/>
          <w:rFonts w:eastAsiaTheme="minorEastAsia" w:cstheme="minorHAnsi"/>
          <w:b/>
          <w:color w:val="auto"/>
          <w:szCs w:val="24"/>
        </w:rPr>
        <w:t>oncrete</w:t>
      </w:r>
    </w:p>
    <w:p w14:paraId="4E7041DD" w14:textId="28D44B5C" w:rsidR="00804A2A" w:rsidRPr="004C12C9" w:rsidRDefault="00804A2A" w:rsidP="00972CF9">
      <w:r w:rsidRPr="004C12C9">
        <w:t xml:space="preserve">The average density of the six most common </w:t>
      </w:r>
      <w:r w:rsidR="00DB7365" w:rsidRPr="004C12C9">
        <w:t>r</w:t>
      </w:r>
      <w:r w:rsidRPr="004C12C9">
        <w:t xml:space="preserve">eady </w:t>
      </w:r>
      <w:r w:rsidR="00DB7365" w:rsidRPr="004C12C9">
        <w:t>m</w:t>
      </w:r>
      <w:r w:rsidRPr="004C12C9">
        <w:t xml:space="preserve">ix </w:t>
      </w:r>
      <w:r w:rsidR="00DB7365" w:rsidRPr="004C12C9">
        <w:t>c</w:t>
      </w:r>
      <w:r w:rsidRPr="004C12C9">
        <w:t>oncrete compressive strength products from the North Central Region of the U</w:t>
      </w:r>
      <w:r w:rsidR="00604F17" w:rsidRPr="004C12C9">
        <w:t>nited States</w:t>
      </w:r>
      <w:r w:rsidRPr="004C12C9">
        <w:t xml:space="preserve"> (which includes Minnesota), </w:t>
      </w:r>
      <w:r w:rsidR="00CE1011" w:rsidRPr="004C12C9">
        <w:t>is</w:t>
      </w:r>
      <w:r w:rsidRPr="004C12C9">
        <w:t xml:space="preserve"> used to derive the density for the Concrete material type in the </w:t>
      </w:r>
      <w:r w:rsidR="007D3E2F" w:rsidRPr="004C12C9">
        <w:t>calculator</w:t>
      </w:r>
      <w:r w:rsidRPr="004C12C9">
        <w:t xml:space="preserve">. The density of each of these six </w:t>
      </w:r>
      <w:r w:rsidR="00DB7365" w:rsidRPr="004C12C9">
        <w:t>r</w:t>
      </w:r>
      <w:r w:rsidRPr="004C12C9">
        <w:t xml:space="preserve">eady </w:t>
      </w:r>
      <w:r w:rsidR="00DB7365" w:rsidRPr="004C12C9">
        <w:t>m</w:t>
      </w:r>
      <w:r w:rsidRPr="004C12C9">
        <w:t xml:space="preserve">ix </w:t>
      </w:r>
      <w:r w:rsidR="00DB7365" w:rsidRPr="004C12C9">
        <w:t>c</w:t>
      </w:r>
      <w:r w:rsidRPr="004C12C9">
        <w:t xml:space="preserve">oncrete product types and the calculated average density are shown in </w:t>
      </w:r>
      <w:r w:rsidRPr="004C12C9">
        <w:fldChar w:fldCharType="begin" w:fldLock="1"/>
      </w:r>
      <w:r w:rsidRPr="004C12C9">
        <w:instrText xml:space="preserve"> REF _Ref185339850 \h  \* MERGEFORMAT </w:instrText>
      </w:r>
      <w:r w:rsidRPr="004C12C9">
        <w:fldChar w:fldCharType="separate"/>
      </w:r>
      <w:r w:rsidR="00127094" w:rsidRPr="004C12C9">
        <w:t>Table 2</w:t>
      </w:r>
      <w:r w:rsidR="00127094" w:rsidRPr="004C12C9">
        <w:noBreakHyphen/>
        <w:t>8</w:t>
      </w:r>
      <w:r w:rsidRPr="004C12C9">
        <w:fldChar w:fldCharType="end"/>
      </w:r>
      <w:r w:rsidRPr="004C12C9">
        <w:t xml:space="preserve">. These densities </w:t>
      </w:r>
      <w:r w:rsidR="003B7796" w:rsidRPr="004C12C9">
        <w:t>are</w:t>
      </w:r>
      <w:r w:rsidRPr="004C12C9">
        <w:t xml:space="preserve"> derived from table B4 in the 2022 cradle to gate life cycle assessment conducted by the National Ready Mixed Concrete Association (NRMCA).</w:t>
      </w:r>
      <w:r w:rsidR="003C3CA0">
        <w:rPr>
          <w:rFonts w:ascii="ZWAdobeF" w:hAnsi="ZWAdobeF" w:cs="ZWAdobeF"/>
          <w:sz w:val="2"/>
          <w:szCs w:val="2"/>
        </w:rPr>
        <w:t>11F</w:t>
      </w:r>
      <w:r w:rsidRPr="004C12C9">
        <w:rPr>
          <w:rStyle w:val="FootnoteReference"/>
        </w:rPr>
        <w:footnoteReference w:id="13"/>
      </w:r>
      <w:r w:rsidRPr="004C12C9">
        <w:t xml:space="preserve"> The calculated average density in </w:t>
      </w:r>
      <w:r w:rsidR="00604F17" w:rsidRPr="004C12C9">
        <w:t xml:space="preserve">pounds per </w:t>
      </w:r>
      <w:r w:rsidRPr="004C12C9">
        <w:t xml:space="preserve">cubic yard </w:t>
      </w:r>
      <w:r w:rsidR="003B7796" w:rsidRPr="004C12C9">
        <w:t>is</w:t>
      </w:r>
      <w:r w:rsidRPr="004C12C9">
        <w:t xml:space="preserve"> converted to short tons</w:t>
      </w:r>
      <w:r w:rsidR="00604F17" w:rsidRPr="004C12C9">
        <w:t xml:space="preserve"> per </w:t>
      </w:r>
      <w:r w:rsidRPr="004C12C9">
        <w:t xml:space="preserve">cubic yard (as shown in </w:t>
      </w:r>
      <w:r w:rsidRPr="004C12C9">
        <w:fldChar w:fldCharType="begin" w:fldLock="1"/>
      </w:r>
      <w:r w:rsidRPr="004C12C9">
        <w:instrText xml:space="preserve"> REF _Ref187866742 \h  \* MERGEFORMAT </w:instrText>
      </w:r>
      <w:r w:rsidRPr="004C12C9">
        <w:fldChar w:fldCharType="separate"/>
      </w:r>
      <w:r w:rsidR="00127094" w:rsidRPr="004C12C9">
        <w:t>Table 2</w:t>
      </w:r>
      <w:r w:rsidR="00127094" w:rsidRPr="004C12C9">
        <w:noBreakHyphen/>
        <w:t>6</w:t>
      </w:r>
      <w:r w:rsidRPr="004C12C9">
        <w:fldChar w:fldCharType="end"/>
      </w:r>
      <w:r w:rsidRPr="004C12C9">
        <w:t>) using the conversion rate of 2,000 pounds per short ton.</w:t>
      </w:r>
    </w:p>
    <w:p w14:paraId="5641F177" w14:textId="17446F41" w:rsidR="00BB04F8" w:rsidRPr="004C12C9" w:rsidRDefault="00BB04F8" w:rsidP="00972CF9">
      <w:pPr>
        <w:pStyle w:val="Caption"/>
      </w:pPr>
      <w:bookmarkStart w:id="51" w:name="_Ref185339850"/>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8</w:t>
      </w:r>
      <w:r w:rsidR="00F72B41">
        <w:fldChar w:fldCharType="end"/>
      </w:r>
      <w:bookmarkEnd w:id="51"/>
      <w:r w:rsidR="009C24CE" w:rsidRPr="004C12C9">
        <w:t>.</w:t>
      </w:r>
      <w:r w:rsidRPr="004C12C9">
        <w:t xml:space="preserve"> NRMCA North Central Region Ready Mix Concrete Densities by Compressive Strength Product</w:t>
      </w:r>
    </w:p>
    <w:tbl>
      <w:tblPr>
        <w:tblW w:w="446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035"/>
        <w:gridCol w:w="3960"/>
      </w:tblGrid>
      <w:tr w:rsidR="00C75B75" w:rsidRPr="004C12C9" w14:paraId="6AA3A170" w14:textId="77777777" w:rsidTr="0004269B">
        <w:trPr>
          <w:trHeight w:val="313"/>
          <w:tblHeader/>
        </w:trPr>
        <w:tc>
          <w:tcPr>
            <w:tcW w:w="5035" w:type="dxa"/>
            <w:shd w:val="clear" w:color="auto" w:fill="D9D9D9" w:themeFill="background1" w:themeFillShade="D9"/>
            <w:noWrap/>
            <w:vAlign w:val="center"/>
            <w:hideMark/>
          </w:tcPr>
          <w:p w14:paraId="543ADD04" w14:textId="77777777" w:rsidR="00C75B75" w:rsidRPr="004C12C9" w:rsidRDefault="00C75B75" w:rsidP="004570BD">
            <w:pPr>
              <w:pStyle w:val="ICFTableHeading"/>
              <w:rPr>
                <w:lang w:bidi="ar-SA"/>
              </w:rPr>
            </w:pPr>
            <w:r w:rsidRPr="004C12C9">
              <w:rPr>
                <w:lang w:bidi="ar-SA"/>
              </w:rPr>
              <w:t>Ready Mix Concrete Compressive Strength (psi)</w:t>
            </w:r>
          </w:p>
        </w:tc>
        <w:tc>
          <w:tcPr>
            <w:tcW w:w="3960" w:type="dxa"/>
            <w:shd w:val="clear" w:color="auto" w:fill="D9D9D9" w:themeFill="background1" w:themeFillShade="D9"/>
            <w:vAlign w:val="center"/>
            <w:hideMark/>
          </w:tcPr>
          <w:p w14:paraId="713DCB0D" w14:textId="4BA6E8FA" w:rsidR="00C75B75" w:rsidRPr="004C12C9" w:rsidRDefault="00C75B75" w:rsidP="004570BD">
            <w:pPr>
              <w:pStyle w:val="ICFTableHeading"/>
              <w:rPr>
                <w:lang w:bidi="ar-SA"/>
              </w:rPr>
            </w:pPr>
            <w:r w:rsidRPr="004C12C9">
              <w:rPr>
                <w:lang w:bidi="ar-SA"/>
              </w:rPr>
              <w:t>Average Density (</w:t>
            </w:r>
            <w:r w:rsidR="00604F17" w:rsidRPr="004C12C9">
              <w:rPr>
                <w:lang w:bidi="ar-SA"/>
              </w:rPr>
              <w:t>pounds/cubic yard</w:t>
            </w:r>
            <w:r w:rsidRPr="004C12C9">
              <w:rPr>
                <w:lang w:bidi="ar-SA"/>
              </w:rPr>
              <w:t>)</w:t>
            </w:r>
          </w:p>
        </w:tc>
      </w:tr>
      <w:tr w:rsidR="00C75B75" w:rsidRPr="004C12C9" w14:paraId="29695A83" w14:textId="77777777" w:rsidTr="00604F17">
        <w:trPr>
          <w:trHeight w:val="20"/>
        </w:trPr>
        <w:tc>
          <w:tcPr>
            <w:tcW w:w="5035" w:type="dxa"/>
            <w:noWrap/>
            <w:vAlign w:val="bottom"/>
            <w:hideMark/>
          </w:tcPr>
          <w:p w14:paraId="22753F4C" w14:textId="77777777" w:rsidR="00C75B75" w:rsidRPr="004C12C9" w:rsidRDefault="00C75B75" w:rsidP="004570BD">
            <w:pPr>
              <w:pStyle w:val="ICFTabletext"/>
              <w:rPr>
                <w:color w:val="000000"/>
                <w:lang w:bidi="ar-SA"/>
              </w:rPr>
            </w:pPr>
            <w:r w:rsidRPr="004C12C9">
              <w:rPr>
                <w:rFonts w:eastAsia="MS Mincho"/>
                <w:lang w:eastAsia="ja-JP" w:bidi="ar-SA"/>
              </w:rPr>
              <w:t>Ready Mix Concrete 2500 psi</w:t>
            </w:r>
          </w:p>
        </w:tc>
        <w:tc>
          <w:tcPr>
            <w:tcW w:w="3960" w:type="dxa"/>
            <w:vAlign w:val="bottom"/>
          </w:tcPr>
          <w:p w14:paraId="070A18E2" w14:textId="77777777" w:rsidR="00C75B75" w:rsidRPr="004C12C9" w:rsidRDefault="00C75B75" w:rsidP="00604F17">
            <w:pPr>
              <w:pStyle w:val="ICFTabletext"/>
              <w:jc w:val="center"/>
              <w:rPr>
                <w:color w:val="000000"/>
                <w:lang w:bidi="ar-SA"/>
              </w:rPr>
            </w:pPr>
            <w:r w:rsidRPr="004C12C9">
              <w:rPr>
                <w:rFonts w:eastAsia="MS Mincho"/>
                <w:lang w:eastAsia="ja-JP" w:bidi="ar-SA"/>
              </w:rPr>
              <w:t>3,862</w:t>
            </w:r>
          </w:p>
        </w:tc>
      </w:tr>
      <w:tr w:rsidR="00C75B75" w:rsidRPr="004C12C9" w14:paraId="65121950" w14:textId="77777777" w:rsidTr="00604F17">
        <w:trPr>
          <w:trHeight w:val="20"/>
        </w:trPr>
        <w:tc>
          <w:tcPr>
            <w:tcW w:w="5035" w:type="dxa"/>
            <w:noWrap/>
            <w:vAlign w:val="bottom"/>
            <w:hideMark/>
          </w:tcPr>
          <w:p w14:paraId="49C22736" w14:textId="77777777" w:rsidR="00C75B75" w:rsidRPr="004C12C9" w:rsidRDefault="00C75B75" w:rsidP="004570BD">
            <w:pPr>
              <w:pStyle w:val="ICFTabletext"/>
              <w:rPr>
                <w:color w:val="000000"/>
                <w:lang w:bidi="ar-SA"/>
              </w:rPr>
            </w:pPr>
            <w:r w:rsidRPr="004C12C9">
              <w:rPr>
                <w:rFonts w:eastAsia="MS Mincho"/>
                <w:lang w:eastAsia="ja-JP" w:bidi="ar-SA"/>
              </w:rPr>
              <w:lastRenderedPageBreak/>
              <w:t>Ready Mix Concrete 3000 psi</w:t>
            </w:r>
          </w:p>
        </w:tc>
        <w:tc>
          <w:tcPr>
            <w:tcW w:w="3960" w:type="dxa"/>
            <w:vAlign w:val="bottom"/>
          </w:tcPr>
          <w:p w14:paraId="3867115E" w14:textId="77777777" w:rsidR="00C75B75" w:rsidRPr="004C12C9" w:rsidRDefault="00C75B75" w:rsidP="00604F17">
            <w:pPr>
              <w:pStyle w:val="ICFTabletext"/>
              <w:jc w:val="center"/>
              <w:rPr>
                <w:color w:val="000000"/>
                <w:lang w:bidi="ar-SA"/>
              </w:rPr>
            </w:pPr>
            <w:r w:rsidRPr="004C12C9">
              <w:rPr>
                <w:rFonts w:eastAsia="MS Mincho"/>
                <w:lang w:eastAsia="ja-JP" w:bidi="ar-SA"/>
              </w:rPr>
              <w:t>3,850</w:t>
            </w:r>
          </w:p>
        </w:tc>
      </w:tr>
      <w:tr w:rsidR="00C75B75" w:rsidRPr="004C12C9" w14:paraId="15191A9C" w14:textId="77777777" w:rsidTr="00604F17">
        <w:trPr>
          <w:trHeight w:val="20"/>
        </w:trPr>
        <w:tc>
          <w:tcPr>
            <w:tcW w:w="5035" w:type="dxa"/>
            <w:noWrap/>
            <w:vAlign w:val="bottom"/>
            <w:hideMark/>
          </w:tcPr>
          <w:p w14:paraId="02620DEC" w14:textId="77777777" w:rsidR="00C75B75" w:rsidRPr="004C12C9" w:rsidRDefault="00C75B75" w:rsidP="004570BD">
            <w:pPr>
              <w:pStyle w:val="ICFTabletext"/>
              <w:rPr>
                <w:color w:val="000000"/>
                <w:lang w:bidi="ar-SA"/>
              </w:rPr>
            </w:pPr>
            <w:r w:rsidRPr="004C12C9">
              <w:rPr>
                <w:rFonts w:eastAsia="MS Mincho"/>
                <w:lang w:eastAsia="ja-JP" w:bidi="ar-SA"/>
              </w:rPr>
              <w:t>Ready Mix Concrete 4000 psi</w:t>
            </w:r>
          </w:p>
        </w:tc>
        <w:tc>
          <w:tcPr>
            <w:tcW w:w="3960" w:type="dxa"/>
            <w:vAlign w:val="bottom"/>
          </w:tcPr>
          <w:p w14:paraId="06BCD3E1" w14:textId="77777777" w:rsidR="00C75B75" w:rsidRPr="004C12C9" w:rsidRDefault="00C75B75" w:rsidP="00604F17">
            <w:pPr>
              <w:pStyle w:val="ICFTabletext"/>
              <w:jc w:val="center"/>
              <w:rPr>
                <w:color w:val="000000"/>
                <w:lang w:bidi="ar-SA"/>
              </w:rPr>
            </w:pPr>
            <w:r w:rsidRPr="004C12C9">
              <w:rPr>
                <w:rFonts w:eastAsia="MS Mincho"/>
                <w:lang w:eastAsia="ja-JP" w:bidi="ar-SA"/>
              </w:rPr>
              <w:t>3,860</w:t>
            </w:r>
          </w:p>
        </w:tc>
      </w:tr>
      <w:tr w:rsidR="00C75B75" w:rsidRPr="004C12C9" w14:paraId="0F4630AE" w14:textId="77777777" w:rsidTr="00604F17">
        <w:trPr>
          <w:trHeight w:val="20"/>
        </w:trPr>
        <w:tc>
          <w:tcPr>
            <w:tcW w:w="5035" w:type="dxa"/>
            <w:noWrap/>
            <w:vAlign w:val="bottom"/>
            <w:hideMark/>
          </w:tcPr>
          <w:p w14:paraId="7F1EA228" w14:textId="77777777" w:rsidR="00C75B75" w:rsidRPr="004C12C9" w:rsidRDefault="00C75B75" w:rsidP="004570BD">
            <w:pPr>
              <w:pStyle w:val="ICFTabletext"/>
              <w:rPr>
                <w:color w:val="000000"/>
                <w:lang w:bidi="ar-SA"/>
              </w:rPr>
            </w:pPr>
            <w:r w:rsidRPr="004C12C9">
              <w:rPr>
                <w:rFonts w:eastAsia="MS Mincho"/>
                <w:lang w:eastAsia="ja-JP" w:bidi="ar-SA"/>
              </w:rPr>
              <w:t>Ready Mix Concrete 5000 psi</w:t>
            </w:r>
          </w:p>
        </w:tc>
        <w:tc>
          <w:tcPr>
            <w:tcW w:w="3960" w:type="dxa"/>
            <w:vAlign w:val="bottom"/>
          </w:tcPr>
          <w:p w14:paraId="553FE522" w14:textId="77777777" w:rsidR="00C75B75" w:rsidRPr="004C12C9" w:rsidRDefault="00C75B75" w:rsidP="00604F17">
            <w:pPr>
              <w:pStyle w:val="ICFTabletext"/>
              <w:jc w:val="center"/>
              <w:rPr>
                <w:color w:val="000000"/>
                <w:lang w:bidi="ar-SA"/>
              </w:rPr>
            </w:pPr>
            <w:r w:rsidRPr="004C12C9">
              <w:rPr>
                <w:rFonts w:eastAsia="MS Mincho"/>
                <w:lang w:eastAsia="ja-JP" w:bidi="ar-SA"/>
              </w:rPr>
              <w:t>3,843</w:t>
            </w:r>
          </w:p>
        </w:tc>
      </w:tr>
      <w:tr w:rsidR="00C75B75" w:rsidRPr="004C12C9" w14:paraId="0D15980F" w14:textId="77777777" w:rsidTr="00604F17">
        <w:trPr>
          <w:trHeight w:val="20"/>
        </w:trPr>
        <w:tc>
          <w:tcPr>
            <w:tcW w:w="5035" w:type="dxa"/>
            <w:noWrap/>
            <w:vAlign w:val="bottom"/>
            <w:hideMark/>
          </w:tcPr>
          <w:p w14:paraId="12C64932" w14:textId="77777777" w:rsidR="00C75B75" w:rsidRPr="004C12C9" w:rsidRDefault="00C75B75" w:rsidP="004570BD">
            <w:pPr>
              <w:pStyle w:val="ICFTabletext"/>
              <w:rPr>
                <w:color w:val="000000"/>
                <w:lang w:bidi="ar-SA"/>
              </w:rPr>
            </w:pPr>
            <w:r w:rsidRPr="004C12C9">
              <w:rPr>
                <w:rFonts w:eastAsia="MS Mincho"/>
                <w:lang w:eastAsia="ja-JP" w:bidi="ar-SA"/>
              </w:rPr>
              <w:t>Ready Mix Concrete 6000 psi</w:t>
            </w:r>
          </w:p>
        </w:tc>
        <w:tc>
          <w:tcPr>
            <w:tcW w:w="3960" w:type="dxa"/>
            <w:vAlign w:val="bottom"/>
          </w:tcPr>
          <w:p w14:paraId="5BF2CFAA" w14:textId="77777777" w:rsidR="00C75B75" w:rsidRPr="004C12C9" w:rsidRDefault="00C75B75" w:rsidP="00604F17">
            <w:pPr>
              <w:pStyle w:val="ICFTabletext"/>
              <w:jc w:val="center"/>
              <w:rPr>
                <w:color w:val="000000"/>
                <w:lang w:bidi="ar-SA"/>
              </w:rPr>
            </w:pPr>
            <w:r w:rsidRPr="004C12C9">
              <w:rPr>
                <w:rFonts w:eastAsia="MS Mincho"/>
                <w:lang w:eastAsia="ja-JP" w:bidi="ar-SA"/>
              </w:rPr>
              <w:t>4,032</w:t>
            </w:r>
          </w:p>
        </w:tc>
      </w:tr>
      <w:tr w:rsidR="00C75B75" w:rsidRPr="004C12C9" w14:paraId="055063D6" w14:textId="77777777" w:rsidTr="00604F17">
        <w:trPr>
          <w:trHeight w:val="20"/>
        </w:trPr>
        <w:tc>
          <w:tcPr>
            <w:tcW w:w="5035" w:type="dxa"/>
            <w:noWrap/>
            <w:vAlign w:val="bottom"/>
          </w:tcPr>
          <w:p w14:paraId="10772F20" w14:textId="77777777" w:rsidR="00C75B75" w:rsidRPr="004C12C9" w:rsidRDefault="00C75B75" w:rsidP="004570BD">
            <w:pPr>
              <w:pStyle w:val="ICFTabletext"/>
              <w:rPr>
                <w:color w:val="000000"/>
                <w:lang w:bidi="ar-SA"/>
              </w:rPr>
            </w:pPr>
            <w:r w:rsidRPr="004C12C9">
              <w:rPr>
                <w:rFonts w:eastAsia="MS Mincho"/>
                <w:lang w:eastAsia="ja-JP" w:bidi="ar-SA"/>
              </w:rPr>
              <w:t>Ready Mix Concrete 8000 psi</w:t>
            </w:r>
          </w:p>
        </w:tc>
        <w:tc>
          <w:tcPr>
            <w:tcW w:w="3960" w:type="dxa"/>
            <w:vAlign w:val="bottom"/>
          </w:tcPr>
          <w:p w14:paraId="47579087" w14:textId="77777777" w:rsidR="00C75B75" w:rsidRPr="004C12C9" w:rsidRDefault="00C75B75" w:rsidP="00604F17">
            <w:pPr>
              <w:pStyle w:val="ICFTabletext"/>
              <w:jc w:val="center"/>
              <w:rPr>
                <w:color w:val="000000"/>
                <w:lang w:bidi="ar-SA"/>
              </w:rPr>
            </w:pPr>
            <w:r w:rsidRPr="004C12C9">
              <w:rPr>
                <w:rFonts w:eastAsia="MS Mincho"/>
                <w:lang w:eastAsia="ja-JP" w:bidi="ar-SA"/>
              </w:rPr>
              <w:t>4,047</w:t>
            </w:r>
          </w:p>
        </w:tc>
      </w:tr>
      <w:tr w:rsidR="00C75B75" w:rsidRPr="004C12C9" w14:paraId="4FA96140" w14:textId="77777777" w:rsidTr="00604F17">
        <w:trPr>
          <w:trHeight w:val="20"/>
        </w:trPr>
        <w:tc>
          <w:tcPr>
            <w:tcW w:w="5035" w:type="dxa"/>
            <w:noWrap/>
            <w:vAlign w:val="bottom"/>
          </w:tcPr>
          <w:p w14:paraId="7812C595" w14:textId="77777777" w:rsidR="00C75B75" w:rsidRPr="004C12C9" w:rsidRDefault="00C75B75" w:rsidP="004570BD">
            <w:pPr>
              <w:pStyle w:val="ICFTabletext"/>
              <w:rPr>
                <w:color w:val="000000"/>
                <w:lang w:bidi="ar-SA"/>
              </w:rPr>
            </w:pPr>
            <w:r w:rsidRPr="004C12C9">
              <w:rPr>
                <w:rFonts w:eastAsia="MS Mincho"/>
                <w:lang w:eastAsia="ja-JP" w:bidi="ar-SA"/>
              </w:rPr>
              <w:t>Ready Mix Concrete 2500 psi</w:t>
            </w:r>
          </w:p>
        </w:tc>
        <w:tc>
          <w:tcPr>
            <w:tcW w:w="3960" w:type="dxa"/>
            <w:vAlign w:val="bottom"/>
          </w:tcPr>
          <w:p w14:paraId="0332D1DB" w14:textId="77777777" w:rsidR="00C75B75" w:rsidRPr="004C12C9" w:rsidRDefault="00C75B75" w:rsidP="00604F17">
            <w:pPr>
              <w:pStyle w:val="ICFTabletext"/>
              <w:jc w:val="center"/>
              <w:rPr>
                <w:color w:val="000000"/>
                <w:lang w:bidi="ar-SA"/>
              </w:rPr>
            </w:pPr>
            <w:r w:rsidRPr="004C12C9">
              <w:rPr>
                <w:rFonts w:eastAsia="MS Mincho"/>
                <w:lang w:eastAsia="ja-JP" w:bidi="ar-SA"/>
              </w:rPr>
              <w:t>3,862</w:t>
            </w:r>
          </w:p>
        </w:tc>
      </w:tr>
      <w:tr w:rsidR="00C75B75" w:rsidRPr="004C12C9" w14:paraId="4FAAC8A7" w14:textId="77777777" w:rsidTr="00F95DF4">
        <w:trPr>
          <w:trHeight w:val="20"/>
        </w:trPr>
        <w:tc>
          <w:tcPr>
            <w:tcW w:w="5035" w:type="dxa"/>
            <w:shd w:val="clear" w:color="auto" w:fill="FFFFFF" w:themeFill="background1"/>
            <w:noWrap/>
            <w:vAlign w:val="bottom"/>
          </w:tcPr>
          <w:p w14:paraId="3004B1EA" w14:textId="77777777" w:rsidR="00C75B75" w:rsidRPr="004C12C9" w:rsidRDefault="00C75B75" w:rsidP="004570BD">
            <w:pPr>
              <w:pStyle w:val="ICFTabletext"/>
              <w:rPr>
                <w:b/>
                <w:bCs/>
                <w:lang w:bidi="ar-SA"/>
              </w:rPr>
            </w:pPr>
            <w:r w:rsidRPr="004C12C9">
              <w:rPr>
                <w:b/>
                <w:bCs/>
                <w:lang w:bidi="ar-SA"/>
              </w:rPr>
              <w:t>Average</w:t>
            </w:r>
          </w:p>
        </w:tc>
        <w:tc>
          <w:tcPr>
            <w:tcW w:w="3960" w:type="dxa"/>
            <w:shd w:val="clear" w:color="auto" w:fill="FFFFFF" w:themeFill="background1"/>
            <w:vAlign w:val="center"/>
          </w:tcPr>
          <w:p w14:paraId="3F2A2A6F" w14:textId="77777777" w:rsidR="00C75B75" w:rsidRPr="004C12C9" w:rsidRDefault="00C75B75" w:rsidP="00604F17">
            <w:pPr>
              <w:pStyle w:val="ICFTabletext"/>
              <w:jc w:val="center"/>
              <w:rPr>
                <w:b/>
                <w:bCs/>
                <w:lang w:bidi="ar-SA"/>
              </w:rPr>
            </w:pPr>
            <w:r w:rsidRPr="004C12C9">
              <w:rPr>
                <w:b/>
                <w:bCs/>
                <w:lang w:bidi="ar-SA"/>
              </w:rPr>
              <w:t>3,916</w:t>
            </w:r>
          </w:p>
        </w:tc>
      </w:tr>
    </w:tbl>
    <w:p w14:paraId="615203E4" w14:textId="58C946BC" w:rsidR="00514313" w:rsidRPr="004C12C9" w:rsidRDefault="00514313" w:rsidP="008B3FB7">
      <w:pPr>
        <w:pStyle w:val="ICFHeading4"/>
      </w:pPr>
      <w:r w:rsidRPr="004C12C9">
        <w:t>Insulation</w:t>
      </w:r>
    </w:p>
    <w:p w14:paraId="2E7F5BB1" w14:textId="21FC2FF4" w:rsidR="00B15639" w:rsidRPr="004C12C9" w:rsidRDefault="00B15639" w:rsidP="00972CF9">
      <w:pPr>
        <w:rPr>
          <w:rFonts w:eastAsia="MS Mincho"/>
          <w:lang w:eastAsia="ja-JP" w:bidi="ar-SA"/>
        </w:rPr>
      </w:pPr>
      <w:r w:rsidRPr="004C12C9">
        <w:rPr>
          <w:rFonts w:eastAsia="MS Mincho"/>
          <w:lang w:eastAsia="ja-JP" w:bidi="ar-SA"/>
        </w:rPr>
        <w:t xml:space="preserve">R-values (thermal resistance values) for ceiling and wall insulation for residential and commercial buildings </w:t>
      </w:r>
      <w:r w:rsidR="003B7796" w:rsidRPr="004C12C9">
        <w:rPr>
          <w:rFonts w:eastAsia="MS Mincho"/>
          <w:lang w:eastAsia="ja-JP" w:bidi="ar-SA"/>
        </w:rPr>
        <w:t>are</w:t>
      </w:r>
      <w:r w:rsidRPr="004C12C9">
        <w:rPr>
          <w:rFonts w:eastAsia="MS Mincho"/>
          <w:lang w:eastAsia="ja-JP" w:bidi="ar-SA"/>
        </w:rPr>
        <w:t xml:space="preserve"> obtained from the 2024 International Energy Conservation Code for Minnesota’s specific climate type (6a) and then averaged to derive a single R-value for residential and commercial insulation.</w:t>
      </w:r>
      <w:r w:rsidR="003C3CA0">
        <w:rPr>
          <w:rFonts w:ascii="ZWAdobeF" w:eastAsia="MS Mincho" w:hAnsi="ZWAdobeF" w:cs="ZWAdobeF"/>
          <w:sz w:val="2"/>
          <w:szCs w:val="2"/>
          <w:lang w:eastAsia="ja-JP" w:bidi="ar-SA"/>
        </w:rPr>
        <w:t>12F</w:t>
      </w:r>
      <w:r w:rsidRPr="004C12C9">
        <w:rPr>
          <w:rFonts w:eastAsia="MS Mincho"/>
          <w:vertAlign w:val="superscript"/>
          <w:lang w:eastAsia="ja-JP" w:bidi="ar-SA"/>
        </w:rPr>
        <w:footnoteReference w:id="14"/>
      </w:r>
      <w:r w:rsidRPr="004C12C9">
        <w:rPr>
          <w:rFonts w:eastAsia="MS Mincho"/>
          <w:lang w:eastAsia="ja-JP" w:bidi="ar-SA"/>
        </w:rPr>
        <w:t xml:space="preserve"> </w:t>
      </w:r>
      <w:r w:rsidRPr="004C12C9">
        <w:rPr>
          <w:rFonts w:eastAsia="MS Mincho"/>
          <w:color w:val="000000"/>
          <w:lang w:eastAsia="ja-JP" w:bidi="ar-SA"/>
        </w:rPr>
        <w:t xml:space="preserve">These two residential and commercial R-values </w:t>
      </w:r>
      <w:r w:rsidR="003B7796" w:rsidRPr="004C12C9">
        <w:rPr>
          <w:rFonts w:eastAsia="MS Mincho"/>
          <w:lang w:eastAsia="ja-JP" w:bidi="ar-SA"/>
        </w:rPr>
        <w:t>are</w:t>
      </w:r>
      <w:r w:rsidRPr="004C12C9">
        <w:rPr>
          <w:rFonts w:eastAsia="MS Mincho"/>
          <w:lang w:eastAsia="ja-JP" w:bidi="ar-SA"/>
        </w:rPr>
        <w:t xml:space="preserve"> then converted to RSI using the standard conversion factor of dividing the R-value by 5.678.</w:t>
      </w:r>
      <w:r w:rsidR="003C3CA0">
        <w:rPr>
          <w:rFonts w:ascii="ZWAdobeF" w:eastAsia="MS Mincho" w:hAnsi="ZWAdobeF" w:cs="ZWAdobeF"/>
          <w:sz w:val="2"/>
          <w:szCs w:val="2"/>
          <w:lang w:eastAsia="ja-JP" w:bidi="ar-SA"/>
        </w:rPr>
        <w:t>13F</w:t>
      </w:r>
      <w:r w:rsidRPr="004C12C9">
        <w:rPr>
          <w:rFonts w:eastAsia="MS Mincho"/>
          <w:vertAlign w:val="superscript"/>
          <w:lang w:eastAsia="ja-JP" w:bidi="ar-SA"/>
        </w:rPr>
        <w:footnoteReference w:id="15"/>
      </w:r>
      <w:r w:rsidRPr="004C12C9">
        <w:rPr>
          <w:rFonts w:eastAsia="MS Mincho"/>
          <w:lang w:eastAsia="ja-JP" w:bidi="ar-SA"/>
        </w:rPr>
        <w:t xml:space="preserve"> </w:t>
      </w:r>
      <w:r w:rsidRPr="004C12C9">
        <w:rPr>
          <w:rFonts w:eastAsia="MS Mincho"/>
          <w:lang w:eastAsia="ja-JP" w:bidi="ar-SA"/>
        </w:rPr>
        <w:fldChar w:fldCharType="begin" w:fldLock="1"/>
      </w:r>
      <w:r w:rsidRPr="004C12C9">
        <w:rPr>
          <w:rFonts w:eastAsia="MS Mincho"/>
          <w:lang w:eastAsia="ja-JP" w:bidi="ar-SA"/>
        </w:rPr>
        <w:instrText xml:space="preserve"> REF _Ref185334587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9</w:t>
      </w:r>
      <w:r w:rsidRPr="004C12C9">
        <w:rPr>
          <w:rFonts w:eastAsia="MS Mincho"/>
          <w:lang w:eastAsia="ja-JP" w:bidi="ar-SA"/>
        </w:rPr>
        <w:fldChar w:fldCharType="end"/>
      </w:r>
      <w:r w:rsidRPr="004C12C9">
        <w:rPr>
          <w:rFonts w:eastAsia="MS Mincho"/>
          <w:lang w:eastAsia="ja-JP" w:bidi="ar-SA"/>
        </w:rPr>
        <w:t xml:space="preserve"> summarizes the </w:t>
      </w:r>
      <w:r w:rsidR="00C0180F" w:rsidRPr="004C12C9">
        <w:rPr>
          <w:rFonts w:eastAsia="MS Mincho"/>
          <w:lang w:eastAsia="ja-JP" w:bidi="ar-SA"/>
        </w:rPr>
        <w:t>R-value</w:t>
      </w:r>
      <w:r w:rsidRPr="004C12C9">
        <w:rPr>
          <w:rFonts w:eastAsia="MS Mincho"/>
          <w:lang w:eastAsia="ja-JP" w:bidi="ar-SA"/>
        </w:rPr>
        <w:t xml:space="preserve"> and RSI</w:t>
      </w:r>
      <w:r w:rsidR="00134EE7" w:rsidRPr="004C12C9">
        <w:rPr>
          <w:rFonts w:eastAsia="MS Mincho"/>
          <w:lang w:eastAsia="ja-JP" w:bidi="ar-SA"/>
        </w:rPr>
        <w:t xml:space="preserve"> </w:t>
      </w:r>
      <w:r w:rsidR="00C0180F" w:rsidRPr="004C12C9">
        <w:rPr>
          <w:rFonts w:eastAsia="MS Mincho"/>
          <w:lang w:eastAsia="ja-JP" w:bidi="ar-SA"/>
        </w:rPr>
        <w:t>value of both insulation types</w:t>
      </w:r>
      <w:r w:rsidRPr="004C12C9">
        <w:rPr>
          <w:rFonts w:eastAsia="MS Mincho"/>
          <w:lang w:eastAsia="ja-JP" w:bidi="ar-SA"/>
        </w:rPr>
        <w:t>.</w:t>
      </w:r>
    </w:p>
    <w:p w14:paraId="66ED5ECE" w14:textId="3AEDCC73" w:rsidR="00B15639" w:rsidRPr="004C12C9" w:rsidRDefault="00B15639" w:rsidP="00220ADC">
      <w:pPr>
        <w:pStyle w:val="Caption"/>
        <w:rPr>
          <w:rFonts w:asciiTheme="minorHAnsi" w:eastAsia="MS Mincho" w:hAnsiTheme="minorHAnsi" w:cstheme="minorHAnsi"/>
          <w:b w:val="0"/>
          <w:lang w:eastAsia="ja-JP" w:bidi="ar-SA"/>
        </w:rPr>
      </w:pPr>
      <w:bookmarkStart w:id="52" w:name="_Ref185334587"/>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9</w:t>
      </w:r>
      <w:r w:rsidR="00F72B41">
        <w:rPr>
          <w:rFonts w:eastAsia="MS Mincho"/>
          <w:lang w:eastAsia="ja-JP" w:bidi="ar-SA"/>
        </w:rPr>
        <w:fldChar w:fldCharType="end"/>
      </w:r>
      <w:bookmarkEnd w:id="52"/>
      <w:r w:rsidRPr="004C12C9">
        <w:rPr>
          <w:rFonts w:eastAsia="MS Mincho"/>
          <w:lang w:eastAsia="ja-JP" w:bidi="ar-SA"/>
        </w:rPr>
        <w:t>. Insulation Thermal Resistance (R-Value) Assumptions</w:t>
      </w:r>
    </w:p>
    <w:tbl>
      <w:tblPr>
        <w:tblW w:w="495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20"/>
        <w:gridCol w:w="1938"/>
        <w:gridCol w:w="1939"/>
        <w:gridCol w:w="1939"/>
        <w:gridCol w:w="1939"/>
      </w:tblGrid>
      <w:tr w:rsidR="00B15639" w:rsidRPr="004C12C9" w14:paraId="616C20A5" w14:textId="77777777" w:rsidTr="00AC2955">
        <w:trPr>
          <w:trHeight w:val="170"/>
        </w:trPr>
        <w:tc>
          <w:tcPr>
            <w:tcW w:w="2062" w:type="dxa"/>
            <w:vMerge w:val="restart"/>
            <w:shd w:val="clear" w:color="auto" w:fill="D9D9D9" w:themeFill="background1" w:themeFillShade="D9"/>
            <w:vAlign w:val="center"/>
          </w:tcPr>
          <w:p w14:paraId="3B5AE5F2"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Insulation Type</w:t>
            </w:r>
          </w:p>
        </w:tc>
        <w:tc>
          <w:tcPr>
            <w:tcW w:w="5400" w:type="dxa"/>
            <w:gridSpan w:val="3"/>
            <w:shd w:val="clear" w:color="auto" w:fill="D9D9D9" w:themeFill="background1" w:themeFillShade="D9"/>
            <w:vAlign w:val="center"/>
          </w:tcPr>
          <w:p w14:paraId="293437FA"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R-Value</w:t>
            </w:r>
          </w:p>
        </w:tc>
        <w:tc>
          <w:tcPr>
            <w:tcW w:w="1800" w:type="dxa"/>
            <w:vMerge w:val="restart"/>
            <w:shd w:val="clear" w:color="auto" w:fill="D9D9D9" w:themeFill="background1" w:themeFillShade="D9"/>
            <w:vAlign w:val="center"/>
          </w:tcPr>
          <w:p w14:paraId="53543B19"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RSI Value</w:t>
            </w:r>
          </w:p>
        </w:tc>
      </w:tr>
      <w:tr w:rsidR="00B15639" w:rsidRPr="004C12C9" w14:paraId="4C2E2122" w14:textId="77777777" w:rsidTr="00AC2955">
        <w:trPr>
          <w:trHeight w:val="170"/>
        </w:trPr>
        <w:tc>
          <w:tcPr>
            <w:tcW w:w="2062" w:type="dxa"/>
            <w:vMerge/>
            <w:shd w:val="clear" w:color="000000" w:fill="0785F2"/>
          </w:tcPr>
          <w:p w14:paraId="0C2D4FBB" w14:textId="77777777" w:rsidR="00B15639" w:rsidRPr="004C12C9" w:rsidRDefault="00B15639" w:rsidP="00972CF9">
            <w:pPr>
              <w:rPr>
                <w:lang w:bidi="ar-SA"/>
              </w:rPr>
            </w:pPr>
          </w:p>
        </w:tc>
        <w:tc>
          <w:tcPr>
            <w:tcW w:w="1800" w:type="dxa"/>
            <w:shd w:val="clear" w:color="auto" w:fill="D9D9D9" w:themeFill="background1" w:themeFillShade="D9"/>
          </w:tcPr>
          <w:p w14:paraId="41588117"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Ceilings</w:t>
            </w:r>
          </w:p>
        </w:tc>
        <w:tc>
          <w:tcPr>
            <w:tcW w:w="1800" w:type="dxa"/>
            <w:shd w:val="clear" w:color="auto" w:fill="D9D9D9" w:themeFill="background1" w:themeFillShade="D9"/>
          </w:tcPr>
          <w:p w14:paraId="7B5D261E"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Walls</w:t>
            </w:r>
          </w:p>
        </w:tc>
        <w:tc>
          <w:tcPr>
            <w:tcW w:w="1800" w:type="dxa"/>
            <w:shd w:val="clear" w:color="auto" w:fill="D9D9D9" w:themeFill="background1" w:themeFillShade="D9"/>
          </w:tcPr>
          <w:p w14:paraId="3F8C5A23" w14:textId="77777777" w:rsidR="00B15639" w:rsidRPr="004C12C9" w:rsidRDefault="00B15639" w:rsidP="00AC2955">
            <w:pPr>
              <w:pStyle w:val="ICFTableHeading"/>
              <w:rPr>
                <w:rFonts w:asciiTheme="minorHAnsi" w:hAnsiTheme="minorHAnsi" w:cstheme="minorHAnsi"/>
                <w:b w:val="0"/>
                <w:color w:val="FFFFFF"/>
                <w:sz w:val="20"/>
                <w:lang w:bidi="ar-SA"/>
              </w:rPr>
            </w:pPr>
            <w:r w:rsidRPr="004C12C9">
              <w:rPr>
                <w:lang w:bidi="ar-SA"/>
              </w:rPr>
              <w:t>Average</w:t>
            </w:r>
          </w:p>
        </w:tc>
        <w:tc>
          <w:tcPr>
            <w:tcW w:w="1800" w:type="dxa"/>
            <w:vMerge/>
            <w:shd w:val="clear" w:color="000000" w:fill="0785F2"/>
          </w:tcPr>
          <w:p w14:paraId="066AD9B1" w14:textId="77777777" w:rsidR="00B15639" w:rsidRPr="004C12C9" w:rsidRDefault="00B15639" w:rsidP="00972CF9">
            <w:pPr>
              <w:rPr>
                <w:lang w:bidi="ar-SA"/>
              </w:rPr>
            </w:pPr>
          </w:p>
        </w:tc>
      </w:tr>
      <w:tr w:rsidR="00B15639" w:rsidRPr="004C12C9" w14:paraId="14930F86" w14:textId="77777777" w:rsidTr="00AC2955">
        <w:trPr>
          <w:trHeight w:val="20"/>
        </w:trPr>
        <w:tc>
          <w:tcPr>
            <w:tcW w:w="2062" w:type="dxa"/>
          </w:tcPr>
          <w:p w14:paraId="20B9FA48" w14:textId="77777777" w:rsidR="00B15639" w:rsidRPr="004C12C9" w:rsidRDefault="00B15639" w:rsidP="00AC2955">
            <w:pPr>
              <w:pStyle w:val="ICFTabletext"/>
              <w:rPr>
                <w:rFonts w:eastAsia="MS Mincho"/>
                <w:lang w:eastAsia="ja-JP" w:bidi="ar-SA"/>
              </w:rPr>
            </w:pPr>
            <w:r w:rsidRPr="004C12C9">
              <w:rPr>
                <w:rFonts w:eastAsia="MS Mincho"/>
                <w:lang w:eastAsia="ja-JP" w:bidi="ar-SA"/>
              </w:rPr>
              <w:t>Residential</w:t>
            </w:r>
          </w:p>
        </w:tc>
        <w:tc>
          <w:tcPr>
            <w:tcW w:w="1800" w:type="dxa"/>
          </w:tcPr>
          <w:p w14:paraId="19C36956"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49.0</w:t>
            </w:r>
          </w:p>
        </w:tc>
        <w:tc>
          <w:tcPr>
            <w:tcW w:w="1800" w:type="dxa"/>
          </w:tcPr>
          <w:p w14:paraId="78ACBF29"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30.0</w:t>
            </w:r>
          </w:p>
        </w:tc>
        <w:tc>
          <w:tcPr>
            <w:tcW w:w="1800" w:type="dxa"/>
          </w:tcPr>
          <w:p w14:paraId="162E8D92"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39.5</w:t>
            </w:r>
          </w:p>
        </w:tc>
        <w:tc>
          <w:tcPr>
            <w:tcW w:w="1800" w:type="dxa"/>
          </w:tcPr>
          <w:p w14:paraId="12F9CF51"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7.0</w:t>
            </w:r>
          </w:p>
        </w:tc>
      </w:tr>
      <w:tr w:rsidR="00B15639" w:rsidRPr="004C12C9" w14:paraId="6E51FB63" w14:textId="77777777" w:rsidTr="00AC2955">
        <w:trPr>
          <w:trHeight w:val="20"/>
        </w:trPr>
        <w:tc>
          <w:tcPr>
            <w:tcW w:w="2062" w:type="dxa"/>
          </w:tcPr>
          <w:p w14:paraId="68C74AE3" w14:textId="77777777" w:rsidR="00B15639" w:rsidRPr="004C12C9" w:rsidRDefault="00B15639" w:rsidP="00AC2955">
            <w:pPr>
              <w:pStyle w:val="ICFTabletext"/>
              <w:rPr>
                <w:rFonts w:eastAsia="MS Mincho"/>
                <w:lang w:eastAsia="ja-JP" w:bidi="ar-SA"/>
              </w:rPr>
            </w:pPr>
            <w:r w:rsidRPr="004C12C9">
              <w:rPr>
                <w:rFonts w:eastAsia="MS Mincho"/>
                <w:lang w:eastAsia="ja-JP" w:bidi="ar-SA"/>
              </w:rPr>
              <w:t>Commercial</w:t>
            </w:r>
          </w:p>
        </w:tc>
        <w:tc>
          <w:tcPr>
            <w:tcW w:w="1800" w:type="dxa"/>
          </w:tcPr>
          <w:p w14:paraId="4090E40C"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38.0</w:t>
            </w:r>
          </w:p>
        </w:tc>
        <w:tc>
          <w:tcPr>
            <w:tcW w:w="1800" w:type="dxa"/>
          </w:tcPr>
          <w:p w14:paraId="11896453"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19.6</w:t>
            </w:r>
          </w:p>
        </w:tc>
        <w:tc>
          <w:tcPr>
            <w:tcW w:w="1800" w:type="dxa"/>
          </w:tcPr>
          <w:p w14:paraId="5EDA6DF6"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28.8</w:t>
            </w:r>
          </w:p>
        </w:tc>
        <w:tc>
          <w:tcPr>
            <w:tcW w:w="1800" w:type="dxa"/>
          </w:tcPr>
          <w:p w14:paraId="7CB95DD7"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5.1</w:t>
            </w:r>
          </w:p>
        </w:tc>
      </w:tr>
    </w:tbl>
    <w:p w14:paraId="7C65399C" w14:textId="7BD85A34" w:rsidR="00B15639" w:rsidRPr="004C12C9" w:rsidRDefault="00B15639" w:rsidP="00972CF9">
      <w:pPr>
        <w:rPr>
          <w:rFonts w:eastAsia="MS Mincho"/>
          <w:lang w:eastAsia="ja-JP" w:bidi="ar-SA"/>
        </w:rPr>
      </w:pPr>
      <w:r w:rsidRPr="004C12C9">
        <w:rPr>
          <w:rFonts w:eastAsia="MS Mincho"/>
          <w:color w:val="000000"/>
          <w:lang w:eastAsia="ja-JP" w:bidi="ar-SA"/>
        </w:rPr>
        <w:t>The emission factor from EC3 for insulation</w:t>
      </w:r>
      <w:r w:rsidRPr="004C12C9">
        <w:rPr>
          <w:rFonts w:eastAsia="MS Mincho"/>
          <w:lang w:eastAsia="ja-JP" w:bidi="ar-SA"/>
        </w:rPr>
        <w:t xml:space="preserve"> in </w:t>
      </w:r>
      <w:r w:rsidRPr="004C12C9">
        <w:rPr>
          <w:rFonts w:eastAsia="MS Mincho"/>
          <w:lang w:eastAsia="ja-JP" w:bidi="ar-SA"/>
        </w:rPr>
        <w:fldChar w:fldCharType="begin" w:fldLock="1"/>
      </w:r>
      <w:r w:rsidRPr="004C12C9">
        <w:rPr>
          <w:rFonts w:asciiTheme="minorHAnsi" w:eastAsia="MS Mincho" w:hAnsiTheme="minorHAnsi" w:cstheme="minorHAnsi"/>
          <w:lang w:eastAsia="ja-JP" w:bidi="ar-SA"/>
        </w:rPr>
        <w:instrText xml:space="preserve"> REF _Ref182986194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4</w:t>
      </w:r>
      <w:r w:rsidRPr="004C12C9">
        <w:rPr>
          <w:rFonts w:eastAsia="MS Mincho"/>
          <w:lang w:eastAsia="ja-JP" w:bidi="ar-SA"/>
        </w:rPr>
        <w:fldChar w:fldCharType="end"/>
      </w:r>
      <w:r w:rsidRPr="004C12C9">
        <w:rPr>
          <w:rFonts w:eastAsia="MS Mincho"/>
          <w:lang w:eastAsia="ja-JP" w:bidi="ar-SA"/>
        </w:rPr>
        <w:t xml:space="preserve"> is </w:t>
      </w:r>
      <w:r w:rsidR="008A3573" w:rsidRPr="004C12C9">
        <w:rPr>
          <w:rFonts w:eastAsia="MS Mincho"/>
          <w:lang w:eastAsia="ja-JP" w:bidi="ar-SA"/>
        </w:rPr>
        <w:t>for</w:t>
      </w:r>
      <w:r w:rsidRPr="004C12C9">
        <w:rPr>
          <w:rFonts w:eastAsia="MS Mincho"/>
          <w:lang w:eastAsia="ja-JP" w:bidi="ar-SA"/>
        </w:rPr>
        <w:t xml:space="preserve"> kgCO</w:t>
      </w:r>
      <w:r w:rsidRPr="004C12C9">
        <w:rPr>
          <w:rFonts w:eastAsia="MS Mincho"/>
          <w:vertAlign w:val="subscript"/>
          <w:lang w:eastAsia="ja-JP" w:bidi="ar-SA"/>
        </w:rPr>
        <w:t>2</w:t>
      </w:r>
      <w:r w:rsidRPr="004C12C9">
        <w:rPr>
          <w:rFonts w:eastAsia="MS Mincho"/>
          <w:lang w:eastAsia="ja-JP" w:bidi="ar-SA"/>
        </w:rPr>
        <w:t>e</w:t>
      </w:r>
      <w:r w:rsidR="008A3573" w:rsidRPr="004C12C9">
        <w:rPr>
          <w:rFonts w:eastAsia="MS Mincho"/>
          <w:lang w:eastAsia="ja-JP" w:bidi="ar-SA"/>
        </w:rPr>
        <w:t>/</w:t>
      </w:r>
      <w:r w:rsidR="00EC2A71" w:rsidRPr="004C12C9">
        <w:rPr>
          <w:rFonts w:eastAsia="MS Mincho"/>
          <w:lang w:eastAsia="ja-JP" w:bidi="ar-SA"/>
        </w:rPr>
        <w:t>square foot</w:t>
      </w:r>
      <w:r w:rsidR="00EC2A71" w:rsidRPr="004C12C9">
        <w:rPr>
          <w:rFonts w:eastAsia="MS Mincho"/>
          <w:vertAlign w:val="superscript"/>
          <w:lang w:eastAsia="ja-JP" w:bidi="ar-SA"/>
        </w:rPr>
        <w:t xml:space="preserve"> </w:t>
      </w:r>
      <w:r w:rsidRPr="004C12C9">
        <w:rPr>
          <w:rFonts w:eastAsia="MS Mincho"/>
          <w:lang w:eastAsia="ja-JP" w:bidi="ar-SA"/>
        </w:rPr>
        <w:t xml:space="preserve">RSI where RSI=1. </w:t>
      </w:r>
      <w:r w:rsidR="001C2E81" w:rsidRPr="004C12C9">
        <w:rPr>
          <w:rFonts w:eastAsia="MS Mincho"/>
          <w:lang w:eastAsia="ja-JP" w:bidi="ar-SA"/>
        </w:rPr>
        <w:t>T</w:t>
      </w:r>
      <w:r w:rsidRPr="004C12C9">
        <w:rPr>
          <w:rFonts w:eastAsia="MS Mincho"/>
          <w:lang w:eastAsia="ja-JP" w:bidi="ar-SA"/>
        </w:rPr>
        <w:t xml:space="preserve">he RSI value assumptions summarized in </w:t>
      </w:r>
      <w:r w:rsidRPr="004C12C9">
        <w:rPr>
          <w:rFonts w:eastAsia="MS Mincho"/>
          <w:lang w:eastAsia="ja-JP" w:bidi="ar-SA"/>
        </w:rPr>
        <w:fldChar w:fldCharType="begin" w:fldLock="1"/>
      </w:r>
      <w:r w:rsidRPr="004C12C9">
        <w:rPr>
          <w:rFonts w:eastAsia="MS Mincho"/>
          <w:lang w:eastAsia="ja-JP" w:bidi="ar-SA"/>
        </w:rPr>
        <w:instrText xml:space="preserve"> REF _Ref185334587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9</w:t>
      </w:r>
      <w:r w:rsidRPr="004C12C9">
        <w:rPr>
          <w:rFonts w:eastAsia="MS Mincho"/>
          <w:lang w:eastAsia="ja-JP" w:bidi="ar-SA"/>
        </w:rPr>
        <w:fldChar w:fldCharType="end"/>
      </w:r>
      <w:r w:rsidRPr="004C12C9">
        <w:rPr>
          <w:rFonts w:eastAsia="MS Mincho"/>
          <w:lang w:eastAsia="ja-JP" w:bidi="ar-SA"/>
        </w:rPr>
        <w:t xml:space="preserve"> </w:t>
      </w:r>
      <w:r w:rsidR="00425F85" w:rsidRPr="004C12C9">
        <w:rPr>
          <w:rFonts w:eastAsia="MS Mincho"/>
          <w:lang w:eastAsia="ja-JP" w:bidi="ar-SA"/>
        </w:rPr>
        <w:t>are</w:t>
      </w:r>
      <w:r w:rsidR="001C2E81" w:rsidRPr="004C12C9">
        <w:rPr>
          <w:rFonts w:eastAsia="MS Mincho"/>
          <w:lang w:eastAsia="ja-JP" w:bidi="ar-SA"/>
        </w:rPr>
        <w:t xml:space="preserve"> multiplied </w:t>
      </w:r>
      <w:r w:rsidRPr="004C12C9">
        <w:rPr>
          <w:rFonts w:eastAsia="MS Mincho"/>
          <w:lang w:eastAsia="ja-JP" w:bidi="ar-SA"/>
        </w:rPr>
        <w:t xml:space="preserve">by the </w:t>
      </w:r>
      <w:r w:rsidRPr="004C12C9">
        <w:rPr>
          <w:rFonts w:eastAsia="MS Mincho"/>
          <w:color w:val="000000"/>
          <w:lang w:eastAsia="ja-JP" w:bidi="ar-SA"/>
        </w:rPr>
        <w:t>emission factor from EC3 for insulation</w:t>
      </w:r>
      <w:r w:rsidRPr="004C12C9">
        <w:rPr>
          <w:rFonts w:eastAsia="MS Mincho"/>
          <w:lang w:eastAsia="ja-JP" w:bidi="ar-SA"/>
        </w:rPr>
        <w:t xml:space="preserve"> in </w:t>
      </w:r>
      <w:r w:rsidRPr="004C12C9">
        <w:rPr>
          <w:rFonts w:eastAsia="MS Mincho"/>
          <w:lang w:eastAsia="ja-JP" w:bidi="ar-SA"/>
        </w:rPr>
        <w:fldChar w:fldCharType="begin" w:fldLock="1"/>
      </w:r>
      <w:r w:rsidRPr="004C12C9">
        <w:rPr>
          <w:rFonts w:eastAsia="MS Mincho"/>
          <w:lang w:eastAsia="ja-JP" w:bidi="ar-SA"/>
        </w:rPr>
        <w:instrText xml:space="preserve"> REF _Ref182986194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4</w:t>
      </w:r>
      <w:r w:rsidRPr="004C12C9">
        <w:rPr>
          <w:rFonts w:eastAsia="MS Mincho"/>
          <w:lang w:eastAsia="ja-JP" w:bidi="ar-SA"/>
        </w:rPr>
        <w:fldChar w:fldCharType="end"/>
      </w:r>
      <w:r w:rsidRPr="004C12C9">
        <w:rPr>
          <w:rFonts w:eastAsia="MS Mincho"/>
          <w:lang w:eastAsia="ja-JP" w:bidi="ar-SA"/>
        </w:rPr>
        <w:t xml:space="preserve"> to derive separate emission factors for residential and commercial insulation in </w:t>
      </w:r>
      <w:r w:rsidRPr="004C12C9">
        <w:rPr>
          <w:rFonts w:eastAsia="MS Mincho"/>
          <w:color w:val="000000"/>
          <w:lang w:eastAsia="ja-JP" w:bidi="ar-SA"/>
        </w:rPr>
        <w:t>kgCO</w:t>
      </w:r>
      <w:r w:rsidRPr="004C12C9">
        <w:rPr>
          <w:rFonts w:eastAsia="MS Mincho"/>
          <w:color w:val="000000"/>
          <w:vertAlign w:val="subscript"/>
          <w:lang w:eastAsia="ja-JP" w:bidi="ar-SA"/>
        </w:rPr>
        <w:t>2</w:t>
      </w:r>
      <w:r w:rsidRPr="004C12C9">
        <w:rPr>
          <w:rFonts w:eastAsia="MS Mincho"/>
          <w:color w:val="000000"/>
          <w:lang w:eastAsia="ja-JP" w:bidi="ar-SA"/>
        </w:rPr>
        <w:t>e</w:t>
      </w:r>
      <w:r w:rsidR="001C2E81" w:rsidRPr="004C12C9">
        <w:rPr>
          <w:rFonts w:eastAsia="MS Mincho"/>
          <w:color w:val="000000"/>
          <w:lang w:eastAsia="ja-JP" w:bidi="ar-SA"/>
        </w:rPr>
        <w:t xml:space="preserve"> </w:t>
      </w:r>
      <w:r w:rsidR="001C2E81" w:rsidRPr="004C12C9">
        <w:rPr>
          <w:rFonts w:eastAsia="MS Mincho"/>
          <w:lang w:eastAsia="ja-JP" w:bidi="ar-SA"/>
        </w:rPr>
        <w:t>per square foot</w:t>
      </w:r>
      <w:r w:rsidRPr="004C12C9">
        <w:rPr>
          <w:rFonts w:eastAsia="MS Mincho"/>
          <w:lang w:eastAsia="ja-JP" w:bidi="ar-SA"/>
        </w:rPr>
        <w:t xml:space="preserve">, as shown in </w:t>
      </w:r>
      <w:r w:rsidRPr="004C12C9">
        <w:rPr>
          <w:rFonts w:eastAsia="MS Mincho"/>
          <w:lang w:eastAsia="ja-JP" w:bidi="ar-SA"/>
        </w:rPr>
        <w:fldChar w:fldCharType="begin" w:fldLock="1"/>
      </w:r>
      <w:r w:rsidRPr="004C12C9">
        <w:rPr>
          <w:rFonts w:eastAsia="MS Mincho"/>
          <w:lang w:eastAsia="ja-JP" w:bidi="ar-SA"/>
        </w:rPr>
        <w:instrText xml:space="preserve"> REF _Ref187909736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10</w:t>
      </w:r>
      <w:r w:rsidRPr="004C12C9">
        <w:rPr>
          <w:rFonts w:eastAsia="MS Mincho"/>
          <w:lang w:eastAsia="ja-JP" w:bidi="ar-SA"/>
        </w:rPr>
        <w:fldChar w:fldCharType="end"/>
      </w:r>
      <w:r w:rsidRPr="004C12C9">
        <w:rPr>
          <w:rFonts w:eastAsia="MS Mincho"/>
          <w:lang w:eastAsia="ja-JP" w:bidi="ar-SA"/>
        </w:rPr>
        <w:t>.</w:t>
      </w:r>
    </w:p>
    <w:p w14:paraId="4BD21D15" w14:textId="5AD63E8F" w:rsidR="00B15639" w:rsidRPr="004C12C9" w:rsidRDefault="00B15639" w:rsidP="00AC2955">
      <w:pPr>
        <w:pStyle w:val="Caption"/>
        <w:rPr>
          <w:rFonts w:asciiTheme="minorHAnsi" w:eastAsia="MS Mincho" w:hAnsiTheme="minorHAnsi" w:cstheme="minorHAnsi"/>
          <w:b w:val="0"/>
          <w:lang w:eastAsia="ja-JP" w:bidi="ar-SA"/>
        </w:rPr>
      </w:pPr>
      <w:bookmarkStart w:id="53" w:name="_Ref187909736"/>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10</w:t>
      </w:r>
      <w:r w:rsidR="00F72B41">
        <w:rPr>
          <w:rFonts w:eastAsia="MS Mincho"/>
          <w:lang w:eastAsia="ja-JP" w:bidi="ar-SA"/>
        </w:rPr>
        <w:fldChar w:fldCharType="end"/>
      </w:r>
      <w:bookmarkEnd w:id="53"/>
      <w:r w:rsidRPr="004C12C9">
        <w:rPr>
          <w:rFonts w:eastAsia="MS Mincho"/>
          <w:lang w:eastAsia="ja-JP" w:bidi="ar-SA"/>
        </w:rPr>
        <w:t>. Insulation Emission Factors</w:t>
      </w:r>
    </w:p>
    <w:tbl>
      <w:tblPr>
        <w:tblW w:w="25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21"/>
        <w:gridCol w:w="2814"/>
      </w:tblGrid>
      <w:tr w:rsidR="00B15639" w:rsidRPr="004C12C9" w14:paraId="28BA3046" w14:textId="77777777" w:rsidTr="00CD3DA7">
        <w:trPr>
          <w:trHeight w:val="386"/>
        </w:trPr>
        <w:tc>
          <w:tcPr>
            <w:tcW w:w="2221" w:type="dxa"/>
            <w:shd w:val="clear" w:color="auto" w:fill="D9D9D9" w:themeFill="background1" w:themeFillShade="D9"/>
            <w:vAlign w:val="center"/>
          </w:tcPr>
          <w:p w14:paraId="56B2997A" w14:textId="77777777" w:rsidR="00B15639" w:rsidRPr="004C12C9" w:rsidRDefault="00B15639" w:rsidP="00AC2955">
            <w:pPr>
              <w:pStyle w:val="ICFTableHeading"/>
              <w:rPr>
                <w:lang w:bidi="ar-SA"/>
              </w:rPr>
            </w:pPr>
            <w:r w:rsidRPr="004C12C9">
              <w:rPr>
                <w:lang w:bidi="ar-SA"/>
              </w:rPr>
              <w:t>Insulation Type</w:t>
            </w:r>
          </w:p>
        </w:tc>
        <w:tc>
          <w:tcPr>
            <w:tcW w:w="2814" w:type="dxa"/>
            <w:shd w:val="clear" w:color="auto" w:fill="D9D9D9" w:themeFill="background1" w:themeFillShade="D9"/>
            <w:vAlign w:val="center"/>
          </w:tcPr>
          <w:p w14:paraId="1CB6B7E9" w14:textId="5D1FE8B1" w:rsidR="00B15639" w:rsidRPr="004C12C9" w:rsidRDefault="00B15639" w:rsidP="00AC2955">
            <w:pPr>
              <w:pStyle w:val="ICFTableHeading"/>
              <w:rPr>
                <w:lang w:bidi="ar-SA"/>
              </w:rPr>
            </w:pPr>
            <w:r w:rsidRPr="004C12C9">
              <w:rPr>
                <w:lang w:bidi="ar-SA"/>
              </w:rPr>
              <w:t>kgCO</w:t>
            </w:r>
            <w:r w:rsidRPr="004C12C9">
              <w:rPr>
                <w:vertAlign w:val="subscript"/>
                <w:lang w:bidi="ar-SA"/>
              </w:rPr>
              <w:t>2</w:t>
            </w:r>
            <w:r w:rsidRPr="004C12C9">
              <w:rPr>
                <w:lang w:bidi="ar-SA"/>
              </w:rPr>
              <w:t>e/</w:t>
            </w:r>
            <w:r w:rsidR="00CD3DA7" w:rsidRPr="004C12C9">
              <w:rPr>
                <w:lang w:bidi="ar-SA"/>
              </w:rPr>
              <w:t>square foot</w:t>
            </w:r>
          </w:p>
        </w:tc>
      </w:tr>
      <w:tr w:rsidR="00B15639" w:rsidRPr="004C12C9" w14:paraId="2919BFDD" w14:textId="77777777" w:rsidTr="00CD3DA7">
        <w:trPr>
          <w:trHeight w:val="20"/>
        </w:trPr>
        <w:tc>
          <w:tcPr>
            <w:tcW w:w="2221" w:type="dxa"/>
          </w:tcPr>
          <w:p w14:paraId="09DAC3FA" w14:textId="77777777" w:rsidR="00B15639" w:rsidRPr="004C12C9" w:rsidRDefault="00B15639" w:rsidP="00AC2955">
            <w:pPr>
              <w:pStyle w:val="ICFTabletext"/>
              <w:rPr>
                <w:rFonts w:eastAsia="MS Mincho"/>
                <w:lang w:eastAsia="ja-JP" w:bidi="ar-SA"/>
              </w:rPr>
            </w:pPr>
            <w:r w:rsidRPr="004C12C9">
              <w:rPr>
                <w:rFonts w:eastAsia="MS Mincho"/>
                <w:lang w:eastAsia="ja-JP" w:bidi="ar-SA"/>
              </w:rPr>
              <w:t>Residential</w:t>
            </w:r>
          </w:p>
        </w:tc>
        <w:tc>
          <w:tcPr>
            <w:tcW w:w="2814" w:type="dxa"/>
          </w:tcPr>
          <w:p w14:paraId="289CF96E"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0.685</w:t>
            </w:r>
          </w:p>
        </w:tc>
      </w:tr>
      <w:tr w:rsidR="00B15639" w:rsidRPr="004C12C9" w14:paraId="2B8F9C00" w14:textId="77777777" w:rsidTr="00CD3DA7">
        <w:trPr>
          <w:trHeight w:val="20"/>
        </w:trPr>
        <w:tc>
          <w:tcPr>
            <w:tcW w:w="2221" w:type="dxa"/>
          </w:tcPr>
          <w:p w14:paraId="5BE23F06" w14:textId="77777777" w:rsidR="00B15639" w:rsidRPr="004C12C9" w:rsidRDefault="00B15639" w:rsidP="00AC2955">
            <w:pPr>
              <w:pStyle w:val="ICFTabletext"/>
              <w:rPr>
                <w:rFonts w:eastAsia="MS Mincho"/>
                <w:lang w:eastAsia="ja-JP" w:bidi="ar-SA"/>
              </w:rPr>
            </w:pPr>
            <w:r w:rsidRPr="004C12C9">
              <w:rPr>
                <w:rFonts w:eastAsia="MS Mincho"/>
                <w:lang w:eastAsia="ja-JP" w:bidi="ar-SA"/>
              </w:rPr>
              <w:t>Commercial</w:t>
            </w:r>
          </w:p>
        </w:tc>
        <w:tc>
          <w:tcPr>
            <w:tcW w:w="2814" w:type="dxa"/>
          </w:tcPr>
          <w:p w14:paraId="1198BCCC"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0.500</w:t>
            </w:r>
          </w:p>
        </w:tc>
      </w:tr>
    </w:tbl>
    <w:p w14:paraId="752F1872" w14:textId="62C85B9C" w:rsidR="00B15639" w:rsidRPr="004C12C9" w:rsidRDefault="00B15639" w:rsidP="00972CF9">
      <w:pPr>
        <w:rPr>
          <w:rFonts w:eastAsia="MS Mincho"/>
          <w:lang w:eastAsia="ja-JP" w:bidi="ar-SA"/>
        </w:rPr>
      </w:pPr>
      <w:r w:rsidRPr="004C12C9">
        <w:rPr>
          <w:rFonts w:eastAsia="MS Mincho"/>
          <w:lang w:eastAsia="ja-JP" w:bidi="ar-SA"/>
        </w:rPr>
        <w:lastRenderedPageBreak/>
        <w:t xml:space="preserve">Assumptions regarding density and thickness </w:t>
      </w:r>
      <w:r w:rsidR="00425F85" w:rsidRPr="004C12C9">
        <w:rPr>
          <w:rFonts w:eastAsia="MS Mincho"/>
          <w:lang w:eastAsia="ja-JP" w:bidi="ar-SA"/>
        </w:rPr>
        <w:t>are</w:t>
      </w:r>
      <w:r w:rsidRPr="004C12C9">
        <w:rPr>
          <w:rFonts w:eastAsia="MS Mincho"/>
          <w:lang w:eastAsia="ja-JP" w:bidi="ar-SA"/>
        </w:rPr>
        <w:t xml:space="preserve"> then used to convert the emission factors into kgCO</w:t>
      </w:r>
      <w:r w:rsidRPr="004C12C9">
        <w:rPr>
          <w:rFonts w:eastAsia="MS Mincho"/>
          <w:vertAlign w:val="subscript"/>
          <w:lang w:eastAsia="ja-JP" w:bidi="ar-SA"/>
        </w:rPr>
        <w:t>2</w:t>
      </w:r>
      <w:r w:rsidRPr="004C12C9">
        <w:rPr>
          <w:rFonts w:eastAsia="MS Mincho"/>
          <w:lang w:eastAsia="ja-JP" w:bidi="ar-SA"/>
        </w:rPr>
        <w:t>e</w:t>
      </w:r>
      <w:r w:rsidR="00200985" w:rsidRPr="004C12C9">
        <w:rPr>
          <w:rFonts w:eastAsia="MS Mincho"/>
          <w:lang w:eastAsia="ja-JP" w:bidi="ar-SA"/>
        </w:rPr>
        <w:t xml:space="preserve"> per </w:t>
      </w:r>
      <w:r w:rsidRPr="004C12C9">
        <w:rPr>
          <w:rFonts w:eastAsia="MS Mincho"/>
          <w:lang w:eastAsia="ja-JP" w:bidi="ar-SA"/>
        </w:rPr>
        <w:t xml:space="preserve">short ton. Density and thickness assumptions, as shown in </w:t>
      </w:r>
      <w:r w:rsidRPr="004C12C9">
        <w:rPr>
          <w:rFonts w:eastAsia="MS Mincho"/>
          <w:lang w:eastAsia="ja-JP" w:bidi="ar-SA"/>
        </w:rPr>
        <w:fldChar w:fldCharType="begin" w:fldLock="1"/>
      </w:r>
      <w:r w:rsidRPr="004C12C9">
        <w:rPr>
          <w:rFonts w:eastAsia="MS Mincho"/>
          <w:lang w:eastAsia="ja-JP" w:bidi="ar-SA"/>
        </w:rPr>
        <w:instrText xml:space="preserve"> REF _Ref185415538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11</w:t>
      </w:r>
      <w:r w:rsidRPr="004C12C9">
        <w:rPr>
          <w:rFonts w:eastAsia="MS Mincho"/>
          <w:lang w:eastAsia="ja-JP" w:bidi="ar-SA"/>
        </w:rPr>
        <w:fldChar w:fldCharType="end"/>
      </w:r>
      <w:r w:rsidRPr="004C12C9">
        <w:rPr>
          <w:rFonts w:eastAsia="MS Mincho"/>
          <w:lang w:eastAsia="ja-JP" w:bidi="ar-SA"/>
        </w:rPr>
        <w:t xml:space="preserve">, </w:t>
      </w:r>
      <w:r w:rsidR="00425F85" w:rsidRPr="004C12C9">
        <w:rPr>
          <w:rFonts w:eastAsia="MS Mincho"/>
          <w:lang w:eastAsia="ja-JP" w:bidi="ar-SA"/>
        </w:rPr>
        <w:t>are</w:t>
      </w:r>
      <w:r w:rsidRPr="004C12C9">
        <w:rPr>
          <w:rFonts w:eastAsia="MS Mincho"/>
          <w:lang w:eastAsia="ja-JP" w:bidi="ar-SA"/>
        </w:rPr>
        <w:t xml:space="preserve"> taken directly from the NAIMA Fiberglass Batts EPD</w:t>
      </w:r>
      <w:r w:rsidR="003C3CA0">
        <w:rPr>
          <w:rFonts w:ascii="ZWAdobeF" w:eastAsia="MS Mincho" w:hAnsi="ZWAdobeF" w:cs="ZWAdobeF"/>
          <w:sz w:val="2"/>
          <w:szCs w:val="2"/>
          <w:lang w:eastAsia="ja-JP" w:bidi="ar-SA"/>
        </w:rPr>
        <w:t>14F</w:t>
      </w:r>
      <w:r w:rsidR="003A1614" w:rsidRPr="004C12C9">
        <w:rPr>
          <w:rStyle w:val="FootnoteReference"/>
          <w:rFonts w:eastAsia="MS Mincho"/>
          <w:lang w:eastAsia="ja-JP" w:bidi="ar-SA"/>
        </w:rPr>
        <w:footnoteReference w:id="16"/>
      </w:r>
      <w:r w:rsidRPr="004C12C9">
        <w:rPr>
          <w:rFonts w:eastAsia="MS Mincho"/>
          <w:lang w:eastAsia="ja-JP" w:bidi="ar-SA"/>
        </w:rPr>
        <w:t xml:space="preserve">, which is the </w:t>
      </w:r>
      <w:r w:rsidR="00B76CD5" w:rsidRPr="004C12C9">
        <w:rPr>
          <w:rFonts w:eastAsia="MS Mincho"/>
          <w:lang w:eastAsia="ja-JP" w:bidi="ar-SA"/>
        </w:rPr>
        <w:t xml:space="preserve">same </w:t>
      </w:r>
      <w:r w:rsidRPr="004C12C9">
        <w:rPr>
          <w:rFonts w:eastAsia="MS Mincho"/>
          <w:lang w:eastAsia="ja-JP" w:bidi="ar-SA"/>
        </w:rPr>
        <w:t xml:space="preserve">source used for the insulation emission factor value in </w:t>
      </w:r>
      <w:r w:rsidRPr="004C12C9">
        <w:rPr>
          <w:rFonts w:eastAsia="MS Mincho"/>
          <w:lang w:eastAsia="ja-JP" w:bidi="ar-SA"/>
        </w:rPr>
        <w:fldChar w:fldCharType="begin" w:fldLock="1"/>
      </w:r>
      <w:r w:rsidRPr="004C12C9">
        <w:rPr>
          <w:rFonts w:eastAsia="MS Mincho"/>
          <w:lang w:eastAsia="ja-JP" w:bidi="ar-SA"/>
        </w:rPr>
        <w:instrText xml:space="preserve"> REF _Ref182986194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4</w:t>
      </w:r>
      <w:r w:rsidRPr="004C12C9">
        <w:rPr>
          <w:rFonts w:eastAsia="MS Mincho"/>
          <w:lang w:eastAsia="ja-JP" w:bidi="ar-SA"/>
        </w:rPr>
        <w:fldChar w:fldCharType="end"/>
      </w:r>
      <w:r w:rsidRPr="004C12C9">
        <w:rPr>
          <w:rFonts w:eastAsia="MS Mincho"/>
          <w:lang w:eastAsia="ja-JP" w:bidi="ar-SA"/>
        </w:rPr>
        <w:t>. The thickness per RSI</w:t>
      </w:r>
      <w:r w:rsidR="00134EE7" w:rsidRPr="004C12C9">
        <w:rPr>
          <w:rFonts w:eastAsia="MS Mincho"/>
          <w:lang w:eastAsia="ja-JP" w:bidi="ar-SA"/>
        </w:rPr>
        <w:t xml:space="preserve"> </w:t>
      </w:r>
      <w:r w:rsidRPr="004C12C9">
        <w:rPr>
          <w:rFonts w:eastAsia="MS Mincho"/>
          <w:lang w:eastAsia="ja-JP" w:bidi="ar-SA"/>
        </w:rPr>
        <w:t xml:space="preserve">value (in </w:t>
      </w:r>
      <w:r w:rsidR="008D3603" w:rsidRPr="004C12C9">
        <w:rPr>
          <w:rFonts w:eastAsia="MS Mincho"/>
          <w:lang w:eastAsia="ja-JP" w:bidi="ar-SA"/>
        </w:rPr>
        <w:t>milli</w:t>
      </w:r>
      <w:r w:rsidRPr="004C12C9">
        <w:rPr>
          <w:rFonts w:eastAsia="MS Mincho"/>
          <w:lang w:eastAsia="ja-JP" w:bidi="ar-SA"/>
        </w:rPr>
        <w:t xml:space="preserve">meters) </w:t>
      </w:r>
      <w:r w:rsidR="00425F85" w:rsidRPr="004C12C9">
        <w:rPr>
          <w:rFonts w:eastAsia="MS Mincho"/>
          <w:lang w:eastAsia="ja-JP" w:bidi="ar-SA"/>
        </w:rPr>
        <w:t>is</w:t>
      </w:r>
      <w:r w:rsidRPr="004C12C9">
        <w:rPr>
          <w:rFonts w:eastAsia="MS Mincho"/>
          <w:lang w:eastAsia="ja-JP" w:bidi="ar-SA"/>
        </w:rPr>
        <w:t xml:space="preserve"> multiplied by the RSI value for each insulation type and then multiplied by the density (in kilograms/cubic meter) and converted to tons</w:t>
      </w:r>
      <w:r w:rsidR="00422EFE" w:rsidRPr="004C12C9">
        <w:rPr>
          <w:rFonts w:eastAsia="MS Mincho"/>
          <w:lang w:eastAsia="ja-JP" w:bidi="ar-SA"/>
        </w:rPr>
        <w:t>/</w:t>
      </w:r>
      <w:r w:rsidRPr="004C12C9">
        <w:rPr>
          <w:rFonts w:eastAsia="MS Mincho"/>
          <w:lang w:eastAsia="ja-JP" w:bidi="ar-SA"/>
        </w:rPr>
        <w:t xml:space="preserve">square foot (as shown in </w:t>
      </w:r>
      <w:r w:rsidRPr="004C12C9">
        <w:rPr>
          <w:rFonts w:eastAsia="MS Mincho"/>
          <w:lang w:eastAsia="ja-JP" w:bidi="ar-SA"/>
        </w:rPr>
        <w:fldChar w:fldCharType="begin" w:fldLock="1"/>
      </w:r>
      <w:r w:rsidRPr="004C12C9">
        <w:rPr>
          <w:rFonts w:eastAsia="MS Mincho"/>
          <w:lang w:eastAsia="ja-JP" w:bidi="ar-SA"/>
        </w:rPr>
        <w:instrText xml:space="preserve"> REF _Ref187866742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6</w:t>
      </w:r>
      <w:r w:rsidRPr="004C12C9">
        <w:rPr>
          <w:rFonts w:eastAsia="MS Mincho"/>
          <w:lang w:eastAsia="ja-JP" w:bidi="ar-SA"/>
        </w:rPr>
        <w:fldChar w:fldCharType="end"/>
      </w:r>
      <w:r w:rsidRPr="004C12C9">
        <w:rPr>
          <w:rFonts w:eastAsia="MS Mincho"/>
          <w:lang w:eastAsia="ja-JP" w:bidi="ar-SA"/>
        </w:rPr>
        <w:t>) using the conversion rate of 907 kilograms per short ton and 0.093 square meters</w:t>
      </w:r>
      <w:r w:rsidR="00B76CD5" w:rsidRPr="004C12C9">
        <w:rPr>
          <w:rFonts w:eastAsia="MS Mincho"/>
          <w:lang w:eastAsia="ja-JP" w:bidi="ar-SA"/>
        </w:rPr>
        <w:t xml:space="preserve"> per </w:t>
      </w:r>
      <w:r w:rsidRPr="004C12C9">
        <w:rPr>
          <w:rFonts w:eastAsia="MS Mincho"/>
          <w:lang w:eastAsia="ja-JP" w:bidi="ar-SA"/>
        </w:rPr>
        <w:t>square foot.</w:t>
      </w:r>
    </w:p>
    <w:p w14:paraId="2AC9CFB7" w14:textId="7E678A2A" w:rsidR="00B15639" w:rsidRPr="004C12C9" w:rsidRDefault="00B15639" w:rsidP="00AC2955">
      <w:pPr>
        <w:pStyle w:val="Caption"/>
        <w:rPr>
          <w:rFonts w:asciiTheme="minorHAnsi" w:eastAsia="MS Mincho" w:hAnsiTheme="minorHAnsi" w:cstheme="minorHAnsi"/>
          <w:b w:val="0"/>
          <w:lang w:eastAsia="ja-JP" w:bidi="ar-SA"/>
        </w:rPr>
      </w:pPr>
      <w:bookmarkStart w:id="54" w:name="_Ref185415538"/>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11</w:t>
      </w:r>
      <w:r w:rsidR="00F72B41">
        <w:rPr>
          <w:rFonts w:eastAsia="MS Mincho"/>
          <w:lang w:eastAsia="ja-JP" w:bidi="ar-SA"/>
        </w:rPr>
        <w:fldChar w:fldCharType="end"/>
      </w:r>
      <w:bookmarkEnd w:id="54"/>
      <w:r w:rsidRPr="004C12C9">
        <w:rPr>
          <w:rFonts w:eastAsia="MS Mincho"/>
          <w:lang w:eastAsia="ja-JP" w:bidi="ar-SA"/>
        </w:rPr>
        <w:t>. Insulation Density and Thickness Assumptions</w:t>
      </w:r>
    </w:p>
    <w:tbl>
      <w:tblPr>
        <w:tblW w:w="35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95"/>
        <w:gridCol w:w="3492"/>
      </w:tblGrid>
      <w:tr w:rsidR="00B15639" w:rsidRPr="004C12C9" w14:paraId="009ADF42" w14:textId="77777777" w:rsidTr="00B76CD5">
        <w:trPr>
          <w:trHeight w:val="313"/>
        </w:trPr>
        <w:tc>
          <w:tcPr>
            <w:tcW w:w="3595" w:type="dxa"/>
            <w:shd w:val="clear" w:color="auto" w:fill="D9D9D9" w:themeFill="background1" w:themeFillShade="D9"/>
            <w:vAlign w:val="center"/>
          </w:tcPr>
          <w:p w14:paraId="1B327487" w14:textId="38F6B639" w:rsidR="00B15639" w:rsidRPr="004C12C9" w:rsidRDefault="00B15639" w:rsidP="00AC2955">
            <w:pPr>
              <w:pStyle w:val="ICFTableHeading"/>
              <w:rPr>
                <w:lang w:bidi="ar-SA"/>
              </w:rPr>
            </w:pPr>
            <w:r w:rsidRPr="004C12C9">
              <w:rPr>
                <w:lang w:bidi="ar-SA"/>
              </w:rPr>
              <w:t>Density (k</w:t>
            </w:r>
            <w:r w:rsidR="00B76CD5" w:rsidRPr="004C12C9">
              <w:rPr>
                <w:lang w:bidi="ar-SA"/>
              </w:rPr>
              <w:t>ilogram</w:t>
            </w:r>
            <w:r w:rsidRPr="004C12C9">
              <w:rPr>
                <w:lang w:bidi="ar-SA"/>
              </w:rPr>
              <w:t>/</w:t>
            </w:r>
            <w:r w:rsidR="00B76CD5" w:rsidRPr="004C12C9">
              <w:rPr>
                <w:lang w:bidi="ar-SA"/>
              </w:rPr>
              <w:t>cubic meter</w:t>
            </w:r>
            <w:r w:rsidRPr="004C12C9">
              <w:rPr>
                <w:lang w:bidi="ar-SA"/>
              </w:rPr>
              <w:t>)</w:t>
            </w:r>
          </w:p>
        </w:tc>
        <w:tc>
          <w:tcPr>
            <w:tcW w:w="3492" w:type="dxa"/>
            <w:shd w:val="clear" w:color="auto" w:fill="D9D9D9" w:themeFill="background1" w:themeFillShade="D9"/>
            <w:vAlign w:val="center"/>
          </w:tcPr>
          <w:p w14:paraId="79AD18BC" w14:textId="49661DB8" w:rsidR="00B15639" w:rsidRPr="004C12C9" w:rsidRDefault="00B15639" w:rsidP="00AC2955">
            <w:pPr>
              <w:pStyle w:val="ICFTableHeading"/>
              <w:rPr>
                <w:lang w:bidi="ar-SA"/>
              </w:rPr>
            </w:pPr>
            <w:r w:rsidRPr="004C12C9">
              <w:rPr>
                <w:lang w:bidi="ar-SA"/>
              </w:rPr>
              <w:t>Thickness per RSI</w:t>
            </w:r>
            <w:r w:rsidR="00134EE7" w:rsidRPr="004C12C9">
              <w:rPr>
                <w:lang w:bidi="ar-SA"/>
              </w:rPr>
              <w:t xml:space="preserve"> </w:t>
            </w:r>
            <w:r w:rsidRPr="004C12C9">
              <w:rPr>
                <w:lang w:bidi="ar-SA"/>
              </w:rPr>
              <w:t>value</w:t>
            </w:r>
            <w:r w:rsidR="00CD3DA7" w:rsidRPr="004C12C9">
              <w:rPr>
                <w:lang w:bidi="ar-SA"/>
              </w:rPr>
              <w:t xml:space="preserve"> </w:t>
            </w:r>
            <w:r w:rsidRPr="004C12C9">
              <w:rPr>
                <w:lang w:bidi="ar-SA"/>
              </w:rPr>
              <w:t>(mm)</w:t>
            </w:r>
          </w:p>
        </w:tc>
      </w:tr>
      <w:tr w:rsidR="00B15639" w:rsidRPr="004C12C9" w14:paraId="38A03943" w14:textId="77777777" w:rsidTr="00B76CD5">
        <w:trPr>
          <w:trHeight w:val="260"/>
        </w:trPr>
        <w:tc>
          <w:tcPr>
            <w:tcW w:w="3595" w:type="dxa"/>
            <w:vAlign w:val="center"/>
          </w:tcPr>
          <w:p w14:paraId="50739D4D" w14:textId="77777777" w:rsidR="00B15639" w:rsidRPr="004C12C9" w:rsidRDefault="00B15639" w:rsidP="00B76CD5">
            <w:pPr>
              <w:pStyle w:val="ICFTabletext"/>
              <w:jc w:val="center"/>
              <w:rPr>
                <w:rFonts w:eastAsia="MS Mincho"/>
                <w:lang w:eastAsia="ja-JP" w:bidi="ar-SA"/>
              </w:rPr>
            </w:pPr>
            <w:r w:rsidRPr="004C12C9">
              <w:rPr>
                <w:rFonts w:eastAsia="MS Mincho"/>
                <w:lang w:eastAsia="ja-JP" w:bidi="ar-SA"/>
              </w:rPr>
              <w:t>12.03</w:t>
            </w:r>
          </w:p>
        </w:tc>
        <w:tc>
          <w:tcPr>
            <w:tcW w:w="3492" w:type="dxa"/>
            <w:vAlign w:val="center"/>
          </w:tcPr>
          <w:p w14:paraId="7E6660E5" w14:textId="77777777" w:rsidR="00B15639" w:rsidRPr="004C12C9" w:rsidRDefault="00B15639" w:rsidP="00CD3DA7">
            <w:pPr>
              <w:pStyle w:val="ICFTabletext"/>
              <w:jc w:val="center"/>
              <w:rPr>
                <w:rFonts w:eastAsia="MS Mincho"/>
                <w:lang w:eastAsia="ja-JP" w:bidi="ar-SA"/>
              </w:rPr>
            </w:pPr>
            <w:r w:rsidRPr="004C12C9">
              <w:rPr>
                <w:rFonts w:eastAsia="MS Mincho"/>
                <w:lang w:eastAsia="ja-JP" w:bidi="ar-SA"/>
              </w:rPr>
              <w:t>35</w:t>
            </w:r>
          </w:p>
        </w:tc>
      </w:tr>
    </w:tbl>
    <w:p w14:paraId="1C8CC69C" w14:textId="40EE00A7" w:rsidR="00514313" w:rsidRPr="004C12C9" w:rsidRDefault="00B15639" w:rsidP="00972CF9">
      <w:pPr>
        <w:rPr>
          <w:rFonts w:eastAsia="MS Mincho"/>
          <w:lang w:eastAsia="ja-JP" w:bidi="ar-SA"/>
        </w:rPr>
      </w:pPr>
      <w:r w:rsidRPr="004C12C9">
        <w:rPr>
          <w:rFonts w:eastAsia="MS Mincho"/>
          <w:lang w:eastAsia="ja-JP" w:bidi="ar-SA"/>
        </w:rPr>
        <w:t>When converted to kgCO</w:t>
      </w:r>
      <w:r w:rsidRPr="004C12C9">
        <w:rPr>
          <w:rFonts w:eastAsia="MS Mincho"/>
          <w:vertAlign w:val="subscript"/>
          <w:lang w:eastAsia="ja-JP" w:bidi="ar-SA"/>
        </w:rPr>
        <w:t>2</w:t>
      </w:r>
      <w:r w:rsidRPr="004C12C9">
        <w:rPr>
          <w:rFonts w:eastAsia="MS Mincho"/>
          <w:lang w:eastAsia="ja-JP" w:bidi="ar-SA"/>
        </w:rPr>
        <w:t>e</w:t>
      </w:r>
      <w:r w:rsidR="006435CC" w:rsidRPr="004C12C9">
        <w:rPr>
          <w:rFonts w:eastAsia="MS Mincho"/>
          <w:lang w:eastAsia="ja-JP" w:bidi="ar-SA"/>
        </w:rPr>
        <w:t>/</w:t>
      </w:r>
      <w:r w:rsidR="00200985" w:rsidRPr="004C12C9">
        <w:rPr>
          <w:rFonts w:eastAsia="MS Mincho"/>
          <w:lang w:eastAsia="ja-JP" w:bidi="ar-SA"/>
        </w:rPr>
        <w:t xml:space="preserve">short </w:t>
      </w:r>
      <w:r w:rsidRPr="004C12C9">
        <w:rPr>
          <w:rFonts w:eastAsia="MS Mincho"/>
          <w:lang w:eastAsia="ja-JP" w:bidi="ar-SA"/>
        </w:rPr>
        <w:t xml:space="preserve">ton, the emission factors for residential and commercial insulation are the same, as shown in </w:t>
      </w:r>
      <w:r w:rsidRPr="004C12C9">
        <w:rPr>
          <w:rFonts w:eastAsia="MS Mincho"/>
          <w:lang w:eastAsia="ja-JP" w:bidi="ar-SA"/>
        </w:rPr>
        <w:fldChar w:fldCharType="begin" w:fldLock="1"/>
      </w:r>
      <w:r w:rsidRPr="004C12C9">
        <w:rPr>
          <w:rFonts w:eastAsia="MS Mincho"/>
          <w:lang w:eastAsia="ja-JP" w:bidi="ar-SA"/>
        </w:rPr>
        <w:instrText xml:space="preserve"> REF _Ref185340089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5</w:t>
      </w:r>
      <w:r w:rsidRPr="004C12C9">
        <w:rPr>
          <w:rFonts w:eastAsia="MS Mincho"/>
          <w:lang w:eastAsia="ja-JP" w:bidi="ar-SA"/>
        </w:rPr>
        <w:fldChar w:fldCharType="end"/>
      </w:r>
      <w:r w:rsidRPr="004C12C9">
        <w:rPr>
          <w:rFonts w:eastAsia="MS Mincho"/>
          <w:lang w:eastAsia="ja-JP" w:bidi="ar-SA"/>
        </w:rPr>
        <w:t>. This is because insulation of the same material type (e.g., fiberglass batts) has a constant density across RSI values.</w:t>
      </w:r>
    </w:p>
    <w:p w14:paraId="311FC500" w14:textId="4DBB168E" w:rsidR="008A5719" w:rsidRPr="004C12C9" w:rsidRDefault="008A5719" w:rsidP="00E31E37">
      <w:pPr>
        <w:pStyle w:val="Heading4"/>
      </w:pPr>
      <w:r w:rsidRPr="004C12C9">
        <w:t>Material Source Defaults</w:t>
      </w:r>
    </w:p>
    <w:p w14:paraId="423D397A" w14:textId="3B6F63D0" w:rsidR="008A4323" w:rsidRPr="004C12C9" w:rsidRDefault="002D7BEE" w:rsidP="00972CF9">
      <w:r w:rsidRPr="004C12C9">
        <w:t xml:space="preserve">In the </w:t>
      </w:r>
      <w:r w:rsidR="007D3E2F" w:rsidRPr="004C12C9">
        <w:t>calculator</w:t>
      </w:r>
      <w:r w:rsidRPr="004C12C9">
        <w:t>, users may</w:t>
      </w:r>
      <w:r w:rsidR="008A4323" w:rsidRPr="004C12C9">
        <w:t xml:space="preserve"> identify whether material inputs are domestically sourced or imported. In cases when the material sourcing is unknown, the </w:t>
      </w:r>
      <w:r w:rsidR="007D3E2F" w:rsidRPr="004C12C9">
        <w:t xml:space="preserve">calculator </w:t>
      </w:r>
      <w:r w:rsidR="008A4323" w:rsidRPr="004C12C9">
        <w:t>app</w:t>
      </w:r>
      <w:r w:rsidR="007970D2" w:rsidRPr="004C12C9">
        <w:t>lies</w:t>
      </w:r>
      <w:r w:rsidR="008A4323" w:rsidRPr="004C12C9">
        <w:t xml:space="preserve"> a weighted average emissions factor based on the estimated percent of the material imported into the United States. The import assumptions and data sources used to derive these assumptions are summarized in </w:t>
      </w:r>
      <w:r w:rsidR="008A4323" w:rsidRPr="004C12C9">
        <w:rPr>
          <w:highlight w:val="yellow"/>
        </w:rPr>
        <w:fldChar w:fldCharType="begin" w:fldLock="1"/>
      </w:r>
      <w:r w:rsidR="008A4323" w:rsidRPr="004C12C9">
        <w:instrText xml:space="preserve"> REF _Ref182987062 \h </w:instrText>
      </w:r>
      <w:r w:rsidR="008A4323" w:rsidRPr="004C12C9">
        <w:rPr>
          <w:highlight w:val="yellow"/>
        </w:rPr>
        <w:instrText xml:space="preserve"> \* MERGEFORMAT </w:instrText>
      </w:r>
      <w:r w:rsidR="008A4323" w:rsidRPr="004C12C9">
        <w:rPr>
          <w:highlight w:val="yellow"/>
        </w:rPr>
      </w:r>
      <w:r w:rsidR="008A4323" w:rsidRPr="004C12C9">
        <w:rPr>
          <w:highlight w:val="yellow"/>
        </w:rPr>
        <w:fldChar w:fldCharType="separate"/>
      </w:r>
      <w:r w:rsidR="00127094" w:rsidRPr="004C12C9">
        <w:t>Table 2</w:t>
      </w:r>
      <w:r w:rsidR="00127094" w:rsidRPr="004C12C9">
        <w:noBreakHyphen/>
        <w:t>12</w:t>
      </w:r>
      <w:r w:rsidR="008A4323" w:rsidRPr="004C12C9">
        <w:rPr>
          <w:highlight w:val="yellow"/>
        </w:rPr>
        <w:fldChar w:fldCharType="end"/>
      </w:r>
      <w:r w:rsidR="008A4323" w:rsidRPr="004C12C9">
        <w:t xml:space="preserve">. For some material types (specifically wood products, insulation, and brick), </w:t>
      </w:r>
      <w:r w:rsidR="00B90857" w:rsidRPr="004C12C9">
        <w:t xml:space="preserve">sufficient </w:t>
      </w:r>
      <w:r w:rsidR="008A4323" w:rsidRPr="004C12C9">
        <w:t xml:space="preserve">information </w:t>
      </w:r>
      <w:r w:rsidR="00333D12" w:rsidRPr="004C12C9">
        <w:t xml:space="preserve">was not </w:t>
      </w:r>
      <w:r w:rsidR="00B90857" w:rsidRPr="004C12C9">
        <w:t xml:space="preserve">identified to </w:t>
      </w:r>
      <w:r w:rsidR="008A4323" w:rsidRPr="004C12C9">
        <w:t>develop a defensible assumption for the percent imported. In these cases, a default of 16 percent</w:t>
      </w:r>
      <w:r w:rsidR="00E636B5" w:rsidRPr="004C12C9">
        <w:t xml:space="preserve"> is applied</w:t>
      </w:r>
      <w:r w:rsidR="008A4323" w:rsidRPr="004C12C9">
        <w:t xml:space="preserve">, which </w:t>
      </w:r>
      <w:r w:rsidR="001B5F48" w:rsidRPr="004C12C9">
        <w:t>is</w:t>
      </w:r>
      <w:r w:rsidR="008A4323" w:rsidRPr="004C12C9">
        <w:t xml:space="preserve"> calculated by dividing the dollar value of all 2022 U.S. imports by 2022 U.S. Gross Domestic Product (GDP).</w:t>
      </w:r>
      <w:r w:rsidR="003C3CA0">
        <w:rPr>
          <w:rFonts w:ascii="ZWAdobeF" w:hAnsi="ZWAdobeF" w:cs="ZWAdobeF"/>
          <w:sz w:val="2"/>
          <w:szCs w:val="2"/>
        </w:rPr>
        <w:t>15F</w:t>
      </w:r>
      <w:r w:rsidR="008A4323" w:rsidRPr="004C12C9">
        <w:rPr>
          <w:rStyle w:val="FootnoteReference"/>
        </w:rPr>
        <w:footnoteReference w:id="17"/>
      </w:r>
    </w:p>
    <w:p w14:paraId="6F7DF49C" w14:textId="05ABD829" w:rsidR="00151003" w:rsidRPr="004C12C9" w:rsidRDefault="00151003" w:rsidP="00AC2955">
      <w:pPr>
        <w:pStyle w:val="Caption"/>
        <w:rPr>
          <w:rFonts w:asciiTheme="minorHAnsi" w:eastAsia="MS Mincho" w:hAnsiTheme="minorHAnsi" w:cstheme="minorHAnsi"/>
          <w:b w:val="0"/>
          <w:lang w:eastAsia="ja-JP" w:bidi="ar-SA"/>
        </w:rPr>
      </w:pPr>
      <w:bookmarkStart w:id="55" w:name="_Ref182987062"/>
      <w:bookmarkStart w:id="56" w:name="_Ref195713736"/>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12</w:t>
      </w:r>
      <w:r w:rsidR="00F72B41">
        <w:rPr>
          <w:rFonts w:eastAsia="MS Mincho"/>
          <w:lang w:eastAsia="ja-JP" w:bidi="ar-SA"/>
        </w:rPr>
        <w:fldChar w:fldCharType="end"/>
      </w:r>
      <w:bookmarkEnd w:id="55"/>
      <w:bookmarkEnd w:id="56"/>
      <w:r w:rsidRPr="004C12C9">
        <w:rPr>
          <w:rFonts w:eastAsia="MS Mincho"/>
          <w:lang w:eastAsia="ja-JP" w:bidi="ar-SA"/>
        </w:rPr>
        <w:t xml:space="preserve">. Material </w:t>
      </w:r>
      <w:r w:rsidRPr="004C12C9">
        <w:rPr>
          <w:rFonts w:asciiTheme="minorHAnsi" w:eastAsia="MS Mincho" w:hAnsiTheme="minorHAnsi" w:cstheme="minorHAnsi"/>
          <w:lang w:eastAsia="ja-JP" w:bidi="ar-SA"/>
        </w:rPr>
        <w:t>Percent Imported Assumptions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5"/>
        <w:gridCol w:w="1440"/>
        <w:gridCol w:w="2160"/>
        <w:gridCol w:w="4765"/>
      </w:tblGrid>
      <w:tr w:rsidR="00151003" w:rsidRPr="004C12C9" w14:paraId="1B80303C" w14:textId="77777777" w:rsidTr="00C03977">
        <w:trPr>
          <w:cantSplit/>
          <w:trHeight w:val="20"/>
          <w:tblHeader/>
        </w:trPr>
        <w:tc>
          <w:tcPr>
            <w:tcW w:w="1705" w:type="dxa"/>
            <w:shd w:val="clear" w:color="auto" w:fill="D9D9D9" w:themeFill="background1" w:themeFillShade="D9"/>
            <w:noWrap/>
            <w:vAlign w:val="center"/>
            <w:hideMark/>
          </w:tcPr>
          <w:p w14:paraId="4E1E022D" w14:textId="77777777" w:rsidR="00151003" w:rsidRPr="004C12C9" w:rsidRDefault="00151003" w:rsidP="00AC2955">
            <w:pPr>
              <w:pStyle w:val="ICFTableHeading"/>
              <w:rPr>
                <w:lang w:bidi="ar-SA"/>
              </w:rPr>
            </w:pPr>
            <w:r w:rsidRPr="004C12C9">
              <w:rPr>
                <w:lang w:bidi="ar-SA"/>
              </w:rPr>
              <w:t>Material</w:t>
            </w:r>
          </w:p>
        </w:tc>
        <w:tc>
          <w:tcPr>
            <w:tcW w:w="1440" w:type="dxa"/>
            <w:shd w:val="clear" w:color="auto" w:fill="D9D9D9" w:themeFill="background1" w:themeFillShade="D9"/>
            <w:vAlign w:val="center"/>
            <w:hideMark/>
          </w:tcPr>
          <w:p w14:paraId="70465BC6" w14:textId="77777777" w:rsidR="00151003" w:rsidRPr="004C12C9" w:rsidRDefault="00151003" w:rsidP="00AC2955">
            <w:pPr>
              <w:pStyle w:val="ICFTableHeading"/>
              <w:rPr>
                <w:lang w:bidi="ar-SA"/>
              </w:rPr>
            </w:pPr>
            <w:r w:rsidRPr="004C12C9">
              <w:rPr>
                <w:lang w:bidi="ar-SA"/>
              </w:rPr>
              <w:t>Percent Imported</w:t>
            </w:r>
          </w:p>
        </w:tc>
        <w:tc>
          <w:tcPr>
            <w:tcW w:w="2160" w:type="dxa"/>
            <w:shd w:val="clear" w:color="auto" w:fill="D9D9D9" w:themeFill="background1" w:themeFillShade="D9"/>
            <w:vAlign w:val="center"/>
            <w:hideMark/>
          </w:tcPr>
          <w:p w14:paraId="563BBC8E" w14:textId="508AD8B7" w:rsidR="00151003" w:rsidRPr="004C12C9" w:rsidRDefault="00151003" w:rsidP="00AC2955">
            <w:pPr>
              <w:pStyle w:val="ICFTableHeading"/>
              <w:rPr>
                <w:lang w:bidi="ar-SA"/>
              </w:rPr>
            </w:pPr>
            <w:r w:rsidRPr="004C12C9">
              <w:rPr>
                <w:lang w:bidi="ar-SA"/>
              </w:rPr>
              <w:t>Source</w:t>
            </w:r>
          </w:p>
        </w:tc>
        <w:tc>
          <w:tcPr>
            <w:tcW w:w="4765" w:type="dxa"/>
            <w:shd w:val="clear" w:color="auto" w:fill="D9D9D9" w:themeFill="background1" w:themeFillShade="D9"/>
            <w:vAlign w:val="center"/>
            <w:hideMark/>
          </w:tcPr>
          <w:p w14:paraId="4CBD76B7" w14:textId="77777777" w:rsidR="00151003" w:rsidRPr="004C12C9" w:rsidRDefault="00151003" w:rsidP="00AC2955">
            <w:pPr>
              <w:pStyle w:val="ICFTableHeading"/>
              <w:rPr>
                <w:lang w:bidi="ar-SA"/>
              </w:rPr>
            </w:pPr>
            <w:r w:rsidRPr="004C12C9">
              <w:rPr>
                <w:lang w:bidi="ar-SA"/>
              </w:rPr>
              <w:t>Source Notes</w:t>
            </w:r>
          </w:p>
        </w:tc>
      </w:tr>
      <w:tr w:rsidR="00151003" w:rsidRPr="004C12C9" w14:paraId="66E95B0A" w14:textId="77777777" w:rsidTr="00C03977">
        <w:trPr>
          <w:cantSplit/>
          <w:trHeight w:val="20"/>
        </w:trPr>
        <w:tc>
          <w:tcPr>
            <w:tcW w:w="1705" w:type="dxa"/>
            <w:noWrap/>
            <w:vAlign w:val="center"/>
            <w:hideMark/>
          </w:tcPr>
          <w:p w14:paraId="1FC73AE6" w14:textId="77777777" w:rsidR="00151003" w:rsidRPr="004C12C9" w:rsidRDefault="00151003" w:rsidP="00AC2955">
            <w:pPr>
              <w:pStyle w:val="ICFTabletext"/>
              <w:rPr>
                <w:lang w:bidi="ar-SA"/>
              </w:rPr>
            </w:pPr>
            <w:r w:rsidRPr="004C12C9">
              <w:rPr>
                <w:lang w:bidi="ar-SA"/>
              </w:rPr>
              <w:t>Aluminum</w:t>
            </w:r>
          </w:p>
        </w:tc>
        <w:tc>
          <w:tcPr>
            <w:tcW w:w="1440" w:type="dxa"/>
            <w:noWrap/>
            <w:vAlign w:val="center"/>
            <w:hideMark/>
          </w:tcPr>
          <w:p w14:paraId="392B5FDF" w14:textId="77777777" w:rsidR="00151003" w:rsidRPr="004C12C9" w:rsidRDefault="00151003" w:rsidP="00B90857">
            <w:pPr>
              <w:pStyle w:val="ICFTabletext"/>
              <w:jc w:val="center"/>
              <w:rPr>
                <w:lang w:bidi="ar-SA"/>
              </w:rPr>
            </w:pPr>
            <w:r w:rsidRPr="004C12C9">
              <w:rPr>
                <w:lang w:bidi="ar-SA"/>
              </w:rPr>
              <w:t>30%</w:t>
            </w:r>
          </w:p>
        </w:tc>
        <w:tc>
          <w:tcPr>
            <w:tcW w:w="2160" w:type="dxa"/>
            <w:vAlign w:val="center"/>
            <w:hideMark/>
          </w:tcPr>
          <w:p w14:paraId="5009D171" w14:textId="3B54EADE" w:rsidR="00151003" w:rsidRPr="004C12C9" w:rsidRDefault="00151003" w:rsidP="00AC2955">
            <w:pPr>
              <w:pStyle w:val="ICFTabletext"/>
              <w:rPr>
                <w:rFonts w:asciiTheme="minorHAnsi" w:hAnsiTheme="minorHAnsi" w:cstheme="minorHAnsi"/>
                <w:szCs w:val="22"/>
                <w:lang w:bidi="ar-SA"/>
              </w:rPr>
            </w:pPr>
            <w:r w:rsidRPr="004C12C9">
              <w:rPr>
                <w:rFonts w:asciiTheme="minorHAnsi" w:hAnsiTheme="minorHAnsi" w:cstheme="minorHAnsi"/>
                <w:szCs w:val="22"/>
                <w:lang w:bidi="ar-SA"/>
              </w:rPr>
              <w:t>The Aluminum Association</w:t>
            </w:r>
            <w:r w:rsidR="003C3CA0">
              <w:rPr>
                <w:rFonts w:ascii="ZWAdobeF" w:hAnsi="ZWAdobeF" w:cs="ZWAdobeF"/>
                <w:sz w:val="2"/>
                <w:szCs w:val="2"/>
                <w:lang w:bidi="ar-SA"/>
              </w:rPr>
              <w:t>16F</w:t>
            </w:r>
            <w:r w:rsidR="007341C5" w:rsidRPr="004C12C9">
              <w:rPr>
                <w:rStyle w:val="FootnoteReference"/>
                <w:szCs w:val="22"/>
                <w:lang w:bidi="ar-SA"/>
              </w:rPr>
              <w:footnoteReference w:id="18"/>
            </w:r>
          </w:p>
        </w:tc>
        <w:tc>
          <w:tcPr>
            <w:tcW w:w="4765" w:type="dxa"/>
            <w:vAlign w:val="center"/>
            <w:hideMark/>
          </w:tcPr>
          <w:p w14:paraId="23B4B751" w14:textId="27271A3B" w:rsidR="00151003" w:rsidRPr="004C12C9" w:rsidRDefault="00151003" w:rsidP="00AC2955">
            <w:pPr>
              <w:pStyle w:val="ICFTabletext"/>
              <w:rPr>
                <w:szCs w:val="22"/>
                <w:lang w:bidi="ar-SA"/>
              </w:rPr>
            </w:pPr>
            <w:r w:rsidRPr="004C12C9">
              <w:rPr>
                <w:szCs w:val="22"/>
                <w:lang w:bidi="ar-SA"/>
              </w:rPr>
              <w:t>Imports represented nearly 30</w:t>
            </w:r>
            <w:r w:rsidR="00BA188A" w:rsidRPr="004C12C9">
              <w:rPr>
                <w:szCs w:val="22"/>
                <w:lang w:bidi="ar-SA"/>
              </w:rPr>
              <w:t>%</w:t>
            </w:r>
            <w:r w:rsidRPr="004C12C9">
              <w:rPr>
                <w:szCs w:val="22"/>
                <w:lang w:bidi="ar-SA"/>
              </w:rPr>
              <w:t xml:space="preserve"> of supply in 2018.</w:t>
            </w:r>
          </w:p>
        </w:tc>
      </w:tr>
      <w:tr w:rsidR="00151003" w:rsidRPr="004C12C9" w14:paraId="4E404E72" w14:textId="77777777" w:rsidTr="00C03977">
        <w:trPr>
          <w:cantSplit/>
          <w:trHeight w:val="20"/>
        </w:trPr>
        <w:tc>
          <w:tcPr>
            <w:tcW w:w="1705" w:type="dxa"/>
            <w:noWrap/>
            <w:vAlign w:val="center"/>
            <w:hideMark/>
          </w:tcPr>
          <w:p w14:paraId="21568CD0" w14:textId="77777777" w:rsidR="00151003" w:rsidRPr="004C12C9" w:rsidRDefault="00151003" w:rsidP="00AC2955">
            <w:pPr>
              <w:pStyle w:val="ICFTabletext"/>
              <w:rPr>
                <w:lang w:bidi="ar-SA"/>
              </w:rPr>
            </w:pPr>
            <w:r w:rsidRPr="004C12C9">
              <w:rPr>
                <w:lang w:bidi="ar-SA"/>
              </w:rPr>
              <w:t>Asphalt</w:t>
            </w:r>
          </w:p>
        </w:tc>
        <w:tc>
          <w:tcPr>
            <w:tcW w:w="1440" w:type="dxa"/>
            <w:noWrap/>
            <w:vAlign w:val="center"/>
            <w:hideMark/>
          </w:tcPr>
          <w:p w14:paraId="1064DCE9" w14:textId="77777777" w:rsidR="00151003" w:rsidRPr="004C12C9" w:rsidRDefault="00151003" w:rsidP="00B90857">
            <w:pPr>
              <w:pStyle w:val="ICFTabletext"/>
              <w:jc w:val="center"/>
              <w:rPr>
                <w:szCs w:val="22"/>
                <w:lang w:bidi="ar-SA"/>
              </w:rPr>
            </w:pPr>
            <w:r w:rsidRPr="004C12C9">
              <w:rPr>
                <w:szCs w:val="22"/>
                <w:lang w:bidi="ar-SA"/>
              </w:rPr>
              <w:t>0%</w:t>
            </w:r>
          </w:p>
        </w:tc>
        <w:tc>
          <w:tcPr>
            <w:tcW w:w="2160" w:type="dxa"/>
            <w:vAlign w:val="center"/>
            <w:hideMark/>
          </w:tcPr>
          <w:p w14:paraId="087B85DA" w14:textId="43C32B5A" w:rsidR="00151003" w:rsidRPr="002D20AB" w:rsidRDefault="00151003" w:rsidP="00AC2955">
            <w:pPr>
              <w:pStyle w:val="ICFTabletext"/>
              <w:rPr>
                <w:rFonts w:asciiTheme="minorHAnsi" w:hAnsiTheme="minorHAnsi" w:cstheme="minorHAnsi"/>
                <w:szCs w:val="22"/>
                <w:lang w:val="fr-FR" w:bidi="ar-SA"/>
              </w:rPr>
            </w:pPr>
            <w:hyperlink r:id="rId20" w:history="1">
              <w:r w:rsidRPr="002D20AB">
                <w:rPr>
                  <w:rFonts w:asciiTheme="minorHAnsi" w:hAnsiTheme="minorHAnsi" w:cstheme="minorHAnsi"/>
                  <w:szCs w:val="22"/>
                  <w:lang w:val="fr-FR" w:bidi="ar-SA"/>
                </w:rPr>
                <w:t>National Asphalt Pavement Association (NAPA)</w:t>
              </w:r>
            </w:hyperlink>
            <w:r w:rsidR="003C3CA0">
              <w:rPr>
                <w:rFonts w:ascii="ZWAdobeF" w:hAnsi="ZWAdobeF" w:cs="ZWAdobeF"/>
                <w:sz w:val="2"/>
                <w:szCs w:val="2"/>
              </w:rPr>
              <w:t>17F</w:t>
            </w:r>
            <w:r w:rsidR="001B5148" w:rsidRPr="004C12C9">
              <w:rPr>
                <w:rStyle w:val="FootnoteReference"/>
                <w:szCs w:val="22"/>
                <w:lang w:bidi="ar-SA"/>
              </w:rPr>
              <w:footnoteReference w:id="19"/>
            </w:r>
          </w:p>
        </w:tc>
        <w:tc>
          <w:tcPr>
            <w:tcW w:w="4765" w:type="dxa"/>
            <w:vAlign w:val="center"/>
            <w:hideMark/>
          </w:tcPr>
          <w:p w14:paraId="05CAC04F" w14:textId="6F09C47E" w:rsidR="00151003" w:rsidRPr="004C12C9" w:rsidRDefault="00151003" w:rsidP="00AC2955">
            <w:pPr>
              <w:pStyle w:val="ICFTabletext"/>
              <w:rPr>
                <w:szCs w:val="22"/>
                <w:lang w:bidi="ar-SA"/>
              </w:rPr>
            </w:pPr>
            <w:r w:rsidRPr="004C12C9">
              <w:rPr>
                <w:szCs w:val="22"/>
                <w:lang w:bidi="ar-SA"/>
              </w:rPr>
              <w:t>Almost all (88</w:t>
            </w:r>
            <w:r w:rsidR="00E91E30" w:rsidRPr="004C12C9">
              <w:rPr>
                <w:szCs w:val="22"/>
                <w:lang w:bidi="ar-SA"/>
              </w:rPr>
              <w:t>%</w:t>
            </w:r>
            <w:r w:rsidRPr="004C12C9">
              <w:rPr>
                <w:szCs w:val="22"/>
                <w:lang w:bidi="ar-SA"/>
              </w:rPr>
              <w:t>) of asphalt binder used in the United States is from U.S. refineries and manufacturers. Note that asphalt pavement is only 5% asphalt binder, 95% is aggregate.</w:t>
            </w:r>
          </w:p>
        </w:tc>
      </w:tr>
      <w:tr w:rsidR="00151003" w:rsidRPr="004C12C9" w14:paraId="7BB4A955" w14:textId="77777777" w:rsidTr="00C03977">
        <w:trPr>
          <w:cantSplit/>
          <w:trHeight w:val="20"/>
        </w:trPr>
        <w:tc>
          <w:tcPr>
            <w:tcW w:w="1705" w:type="dxa"/>
            <w:noWrap/>
            <w:vAlign w:val="center"/>
            <w:hideMark/>
          </w:tcPr>
          <w:p w14:paraId="140E4AA7" w14:textId="77777777" w:rsidR="00151003" w:rsidRPr="004C12C9" w:rsidRDefault="00151003" w:rsidP="00AC2955">
            <w:pPr>
              <w:pStyle w:val="ICFTabletext"/>
              <w:rPr>
                <w:lang w:bidi="ar-SA"/>
              </w:rPr>
            </w:pPr>
            <w:r w:rsidRPr="004C12C9">
              <w:rPr>
                <w:lang w:bidi="ar-SA"/>
              </w:rPr>
              <w:lastRenderedPageBreak/>
              <w:t>Brick</w:t>
            </w:r>
          </w:p>
        </w:tc>
        <w:tc>
          <w:tcPr>
            <w:tcW w:w="1440" w:type="dxa"/>
            <w:noWrap/>
            <w:vAlign w:val="center"/>
            <w:hideMark/>
          </w:tcPr>
          <w:p w14:paraId="035296FA" w14:textId="77777777" w:rsidR="00151003" w:rsidRPr="004C12C9" w:rsidRDefault="00151003" w:rsidP="00B90857">
            <w:pPr>
              <w:pStyle w:val="ICFTabletext"/>
              <w:jc w:val="center"/>
              <w:rPr>
                <w:szCs w:val="22"/>
                <w:lang w:bidi="ar-SA"/>
              </w:rPr>
            </w:pPr>
            <w:r w:rsidRPr="004C12C9">
              <w:rPr>
                <w:szCs w:val="22"/>
                <w:lang w:bidi="ar-SA"/>
              </w:rPr>
              <w:t>16%</w:t>
            </w:r>
          </w:p>
        </w:tc>
        <w:tc>
          <w:tcPr>
            <w:tcW w:w="2160" w:type="dxa"/>
            <w:vAlign w:val="center"/>
            <w:hideMark/>
          </w:tcPr>
          <w:p w14:paraId="1276B20A" w14:textId="1081B58F" w:rsidR="00151003" w:rsidRPr="004C12C9" w:rsidRDefault="00E42B0B" w:rsidP="00AC2955">
            <w:pPr>
              <w:pStyle w:val="ICFTabletext"/>
              <w:rPr>
                <w:szCs w:val="22"/>
                <w:lang w:bidi="ar-SA"/>
              </w:rPr>
            </w:pPr>
            <w:r w:rsidRPr="004C12C9">
              <w:rPr>
                <w:szCs w:val="22"/>
                <w:lang w:bidi="ar-SA"/>
              </w:rPr>
              <w:t>NA</w:t>
            </w:r>
          </w:p>
        </w:tc>
        <w:tc>
          <w:tcPr>
            <w:tcW w:w="4765" w:type="dxa"/>
            <w:vAlign w:val="center"/>
            <w:hideMark/>
          </w:tcPr>
          <w:p w14:paraId="6E98EC78" w14:textId="0135C19A" w:rsidR="00151003" w:rsidRPr="004C12C9" w:rsidRDefault="00151003" w:rsidP="00AC2955">
            <w:pPr>
              <w:pStyle w:val="ICFTabletext"/>
              <w:rPr>
                <w:szCs w:val="22"/>
                <w:lang w:bidi="ar-SA"/>
              </w:rPr>
            </w:pPr>
            <w:r w:rsidRPr="004C12C9">
              <w:rPr>
                <w:szCs w:val="22"/>
                <w:lang w:bidi="ar-SA"/>
              </w:rPr>
              <w:t>Assumed as Generic 2022 Imports to GDP Ratio</w:t>
            </w:r>
            <w:r w:rsidR="00BA188A" w:rsidRPr="004C12C9">
              <w:rPr>
                <w:szCs w:val="22"/>
                <w:lang w:bidi="ar-SA"/>
              </w:rPr>
              <w:t>.</w:t>
            </w:r>
          </w:p>
        </w:tc>
      </w:tr>
      <w:tr w:rsidR="00151003" w:rsidRPr="004C12C9" w14:paraId="4EC17ADC" w14:textId="77777777" w:rsidTr="00C03977">
        <w:trPr>
          <w:cantSplit/>
          <w:trHeight w:val="20"/>
        </w:trPr>
        <w:tc>
          <w:tcPr>
            <w:tcW w:w="1705" w:type="dxa"/>
            <w:noWrap/>
            <w:vAlign w:val="center"/>
            <w:hideMark/>
          </w:tcPr>
          <w:p w14:paraId="5CD117E4" w14:textId="77777777" w:rsidR="00151003" w:rsidRPr="004C12C9" w:rsidRDefault="00151003" w:rsidP="00AC2955">
            <w:pPr>
              <w:pStyle w:val="ICFTabletext"/>
              <w:rPr>
                <w:lang w:bidi="ar-SA"/>
              </w:rPr>
            </w:pPr>
            <w:r w:rsidRPr="004C12C9">
              <w:rPr>
                <w:lang w:bidi="ar-SA"/>
              </w:rPr>
              <w:t>Concrete</w:t>
            </w:r>
          </w:p>
        </w:tc>
        <w:tc>
          <w:tcPr>
            <w:tcW w:w="1440" w:type="dxa"/>
            <w:noWrap/>
            <w:vAlign w:val="center"/>
            <w:hideMark/>
          </w:tcPr>
          <w:p w14:paraId="5C8E62F6" w14:textId="77777777" w:rsidR="00151003" w:rsidRPr="004C12C9" w:rsidRDefault="00151003" w:rsidP="00B90857">
            <w:pPr>
              <w:pStyle w:val="ICFTabletext"/>
              <w:jc w:val="center"/>
              <w:rPr>
                <w:szCs w:val="22"/>
                <w:lang w:bidi="ar-SA"/>
              </w:rPr>
            </w:pPr>
            <w:r w:rsidRPr="004C12C9">
              <w:rPr>
                <w:szCs w:val="22"/>
                <w:lang w:bidi="ar-SA"/>
              </w:rPr>
              <w:t>0%</w:t>
            </w:r>
          </w:p>
        </w:tc>
        <w:tc>
          <w:tcPr>
            <w:tcW w:w="2160" w:type="dxa"/>
            <w:noWrap/>
            <w:vAlign w:val="center"/>
            <w:hideMark/>
          </w:tcPr>
          <w:p w14:paraId="5D776F1A" w14:textId="77777777" w:rsidR="00151003" w:rsidRPr="004C12C9" w:rsidRDefault="00151003" w:rsidP="00AC2955">
            <w:pPr>
              <w:pStyle w:val="ICFTabletext"/>
              <w:rPr>
                <w:szCs w:val="22"/>
                <w:lang w:bidi="ar-SA"/>
              </w:rPr>
            </w:pPr>
            <w:r w:rsidRPr="004C12C9">
              <w:rPr>
                <w:szCs w:val="22"/>
                <w:lang w:bidi="ar-SA"/>
              </w:rPr>
              <w:t>SME</w:t>
            </w:r>
          </w:p>
        </w:tc>
        <w:tc>
          <w:tcPr>
            <w:tcW w:w="4765" w:type="dxa"/>
            <w:vAlign w:val="center"/>
            <w:hideMark/>
          </w:tcPr>
          <w:p w14:paraId="49EE1C53" w14:textId="34F2D1AC" w:rsidR="00151003" w:rsidRPr="004C12C9" w:rsidRDefault="00151003" w:rsidP="00AC2955">
            <w:pPr>
              <w:pStyle w:val="ICFTabletext"/>
              <w:rPr>
                <w:szCs w:val="22"/>
                <w:lang w:bidi="ar-SA"/>
              </w:rPr>
            </w:pPr>
            <w:r w:rsidRPr="004C12C9">
              <w:rPr>
                <w:szCs w:val="22"/>
                <w:lang w:bidi="ar-SA"/>
              </w:rPr>
              <w:t xml:space="preserve">Ready </w:t>
            </w:r>
            <w:r w:rsidR="00477961" w:rsidRPr="004C12C9">
              <w:rPr>
                <w:szCs w:val="22"/>
                <w:lang w:bidi="ar-SA"/>
              </w:rPr>
              <w:t>m</w:t>
            </w:r>
            <w:r w:rsidRPr="004C12C9">
              <w:rPr>
                <w:szCs w:val="22"/>
                <w:lang w:bidi="ar-SA"/>
              </w:rPr>
              <w:t xml:space="preserve">ix </w:t>
            </w:r>
            <w:r w:rsidR="00477961" w:rsidRPr="004C12C9">
              <w:rPr>
                <w:szCs w:val="22"/>
                <w:lang w:bidi="ar-SA"/>
              </w:rPr>
              <w:t>c</w:t>
            </w:r>
            <w:r w:rsidRPr="004C12C9">
              <w:rPr>
                <w:szCs w:val="22"/>
                <w:lang w:bidi="ar-SA"/>
              </w:rPr>
              <w:t>oncrete needs to be manufactured (mixed) within ~0.5-1</w:t>
            </w:r>
            <w:r w:rsidR="00477961" w:rsidRPr="004C12C9">
              <w:rPr>
                <w:szCs w:val="22"/>
                <w:lang w:bidi="ar-SA"/>
              </w:rPr>
              <w:t>-</w:t>
            </w:r>
            <w:r w:rsidRPr="004C12C9">
              <w:rPr>
                <w:szCs w:val="22"/>
                <w:lang w:bidi="ar-SA"/>
              </w:rPr>
              <w:t>hr drive of site</w:t>
            </w:r>
            <w:r w:rsidR="00477961" w:rsidRPr="004C12C9">
              <w:rPr>
                <w:szCs w:val="22"/>
                <w:lang w:bidi="ar-SA"/>
              </w:rPr>
              <w:t>.</w:t>
            </w:r>
          </w:p>
        </w:tc>
      </w:tr>
      <w:tr w:rsidR="00151003" w:rsidRPr="004C12C9" w14:paraId="484769BA" w14:textId="77777777" w:rsidTr="00C03977">
        <w:trPr>
          <w:cantSplit/>
          <w:trHeight w:val="20"/>
        </w:trPr>
        <w:tc>
          <w:tcPr>
            <w:tcW w:w="1705" w:type="dxa"/>
            <w:noWrap/>
            <w:vAlign w:val="center"/>
            <w:hideMark/>
          </w:tcPr>
          <w:p w14:paraId="6F933A89" w14:textId="77777777" w:rsidR="00151003" w:rsidRPr="004C12C9" w:rsidRDefault="00151003" w:rsidP="00AC2955">
            <w:pPr>
              <w:pStyle w:val="ICFTabletext"/>
              <w:rPr>
                <w:lang w:bidi="ar-SA"/>
              </w:rPr>
            </w:pPr>
            <w:r w:rsidRPr="004C12C9">
              <w:rPr>
                <w:lang w:bidi="ar-SA"/>
              </w:rPr>
              <w:t>Glass</w:t>
            </w:r>
          </w:p>
        </w:tc>
        <w:tc>
          <w:tcPr>
            <w:tcW w:w="1440" w:type="dxa"/>
            <w:noWrap/>
            <w:vAlign w:val="center"/>
            <w:hideMark/>
          </w:tcPr>
          <w:p w14:paraId="7E399A31" w14:textId="77777777" w:rsidR="00151003" w:rsidRPr="004C12C9" w:rsidRDefault="00151003" w:rsidP="00B90857">
            <w:pPr>
              <w:pStyle w:val="ICFTabletext"/>
              <w:jc w:val="center"/>
              <w:rPr>
                <w:szCs w:val="22"/>
                <w:lang w:bidi="ar-SA"/>
              </w:rPr>
            </w:pPr>
            <w:r w:rsidRPr="004C12C9">
              <w:rPr>
                <w:szCs w:val="22"/>
                <w:lang w:bidi="ar-SA"/>
              </w:rPr>
              <w:t>8%</w:t>
            </w:r>
          </w:p>
        </w:tc>
        <w:tc>
          <w:tcPr>
            <w:tcW w:w="2160" w:type="dxa"/>
            <w:vAlign w:val="center"/>
            <w:hideMark/>
          </w:tcPr>
          <w:p w14:paraId="02DD56E5" w14:textId="3162FA55" w:rsidR="00151003" w:rsidRPr="004C12C9" w:rsidRDefault="00151003" w:rsidP="00AC2955">
            <w:pPr>
              <w:pStyle w:val="ICFTabletext"/>
              <w:rPr>
                <w:rFonts w:asciiTheme="minorHAnsi" w:hAnsiTheme="minorHAnsi" w:cstheme="minorHAnsi"/>
                <w:color w:val="467886"/>
                <w:szCs w:val="22"/>
                <w:u w:val="single"/>
                <w:lang w:bidi="ar-SA"/>
              </w:rPr>
            </w:pPr>
            <w:hyperlink r:id="rId21" w:anchor=":~:text=The%20strain%20on%20domestic%20supply,to%20China's%20continued%20COVID%20lockdowns." w:history="1">
              <w:r w:rsidRPr="004C12C9">
                <w:rPr>
                  <w:rFonts w:asciiTheme="minorHAnsi" w:hAnsiTheme="minorHAnsi" w:cstheme="minorHAnsi"/>
                  <w:szCs w:val="22"/>
                  <w:lang w:bidi="ar-SA"/>
                </w:rPr>
                <w:t>World Glass Report 2022</w:t>
              </w:r>
            </w:hyperlink>
            <w:r w:rsidR="003C3CA0">
              <w:rPr>
                <w:rFonts w:ascii="ZWAdobeF" w:hAnsi="ZWAdobeF" w:cs="ZWAdobeF"/>
                <w:sz w:val="2"/>
                <w:szCs w:val="2"/>
              </w:rPr>
              <w:t>18F</w:t>
            </w:r>
            <w:r w:rsidR="00E42B30" w:rsidRPr="004C12C9">
              <w:rPr>
                <w:rStyle w:val="FootnoteReference"/>
                <w:szCs w:val="22"/>
                <w:lang w:bidi="ar-SA"/>
              </w:rPr>
              <w:footnoteReference w:id="20"/>
            </w:r>
          </w:p>
        </w:tc>
        <w:tc>
          <w:tcPr>
            <w:tcW w:w="4765" w:type="dxa"/>
            <w:vAlign w:val="center"/>
            <w:hideMark/>
          </w:tcPr>
          <w:p w14:paraId="005B43DF" w14:textId="33DB5BD7" w:rsidR="00151003" w:rsidRPr="004C12C9" w:rsidRDefault="00151003" w:rsidP="00AC2955">
            <w:pPr>
              <w:pStyle w:val="ICFTabletext"/>
              <w:rPr>
                <w:szCs w:val="22"/>
                <w:lang w:bidi="ar-SA"/>
              </w:rPr>
            </w:pPr>
            <w:r w:rsidRPr="004C12C9">
              <w:rPr>
                <w:szCs w:val="22"/>
                <w:lang w:bidi="ar-SA"/>
              </w:rPr>
              <w:t xml:space="preserve">In 2022, the </w:t>
            </w:r>
            <w:r w:rsidR="00593D35" w:rsidRPr="004C12C9">
              <w:rPr>
                <w:szCs w:val="22"/>
                <w:lang w:bidi="ar-SA"/>
              </w:rPr>
              <w:t>U</w:t>
            </w:r>
            <w:r w:rsidR="000B4CEA" w:rsidRPr="004C12C9">
              <w:rPr>
                <w:szCs w:val="22"/>
                <w:lang w:bidi="ar-SA"/>
              </w:rPr>
              <w:t>nited States</w:t>
            </w:r>
            <w:r w:rsidRPr="004C12C9">
              <w:rPr>
                <w:szCs w:val="22"/>
                <w:lang w:bidi="ar-SA"/>
              </w:rPr>
              <w:t xml:space="preserve"> imported $122 million in float glass</w:t>
            </w:r>
            <w:r w:rsidR="006E2FF9" w:rsidRPr="004C12C9">
              <w:rPr>
                <w:szCs w:val="22"/>
                <w:lang w:bidi="ar-SA"/>
              </w:rPr>
              <w:t>,</w:t>
            </w:r>
            <w:r w:rsidRPr="004C12C9">
              <w:rPr>
                <w:szCs w:val="22"/>
                <w:lang w:bidi="ar-SA"/>
              </w:rPr>
              <w:t xml:space="preserve"> which is about 8% of the total supply in North America. There is more uncertainty with this import assumption than steel.</w:t>
            </w:r>
          </w:p>
        </w:tc>
      </w:tr>
      <w:tr w:rsidR="00151003" w:rsidRPr="004C12C9" w14:paraId="5E2933D0" w14:textId="77777777" w:rsidTr="00C03977">
        <w:trPr>
          <w:cantSplit/>
          <w:trHeight w:val="20"/>
        </w:trPr>
        <w:tc>
          <w:tcPr>
            <w:tcW w:w="1705" w:type="dxa"/>
            <w:noWrap/>
            <w:vAlign w:val="center"/>
            <w:hideMark/>
          </w:tcPr>
          <w:p w14:paraId="76AFD961" w14:textId="77777777" w:rsidR="00151003" w:rsidRPr="004C12C9" w:rsidRDefault="00151003" w:rsidP="00AC2955">
            <w:pPr>
              <w:pStyle w:val="ICFTabletext"/>
              <w:rPr>
                <w:lang w:bidi="ar-SA"/>
              </w:rPr>
            </w:pPr>
            <w:r w:rsidRPr="004C12C9">
              <w:rPr>
                <w:lang w:bidi="ar-SA"/>
              </w:rPr>
              <w:t>Insulation</w:t>
            </w:r>
          </w:p>
        </w:tc>
        <w:tc>
          <w:tcPr>
            <w:tcW w:w="1440" w:type="dxa"/>
            <w:noWrap/>
            <w:vAlign w:val="center"/>
            <w:hideMark/>
          </w:tcPr>
          <w:p w14:paraId="533365DC" w14:textId="77777777" w:rsidR="00151003" w:rsidRPr="004C12C9" w:rsidRDefault="00151003" w:rsidP="00B90857">
            <w:pPr>
              <w:pStyle w:val="ICFTabletext"/>
              <w:jc w:val="center"/>
              <w:rPr>
                <w:szCs w:val="22"/>
                <w:lang w:bidi="ar-SA"/>
              </w:rPr>
            </w:pPr>
            <w:r w:rsidRPr="004C12C9">
              <w:rPr>
                <w:szCs w:val="22"/>
                <w:lang w:bidi="ar-SA"/>
              </w:rPr>
              <w:t>16%</w:t>
            </w:r>
          </w:p>
        </w:tc>
        <w:tc>
          <w:tcPr>
            <w:tcW w:w="2160" w:type="dxa"/>
            <w:vAlign w:val="center"/>
            <w:hideMark/>
          </w:tcPr>
          <w:p w14:paraId="75D77A11" w14:textId="71B294EB" w:rsidR="00151003" w:rsidRPr="004C12C9" w:rsidRDefault="00962D9B" w:rsidP="00AC2955">
            <w:pPr>
              <w:pStyle w:val="ICFTabletext"/>
              <w:rPr>
                <w:szCs w:val="22"/>
                <w:lang w:bidi="ar-SA"/>
              </w:rPr>
            </w:pPr>
            <w:r w:rsidRPr="004C12C9">
              <w:rPr>
                <w:szCs w:val="22"/>
                <w:lang w:bidi="ar-SA"/>
              </w:rPr>
              <w:t>NA</w:t>
            </w:r>
          </w:p>
        </w:tc>
        <w:tc>
          <w:tcPr>
            <w:tcW w:w="4765" w:type="dxa"/>
            <w:vAlign w:val="center"/>
            <w:hideMark/>
          </w:tcPr>
          <w:p w14:paraId="6672D383" w14:textId="0650E83F" w:rsidR="00151003" w:rsidRPr="004C12C9" w:rsidRDefault="00151003" w:rsidP="00AC2955">
            <w:pPr>
              <w:pStyle w:val="ICFTabletext"/>
              <w:rPr>
                <w:szCs w:val="22"/>
                <w:lang w:bidi="ar-SA"/>
              </w:rPr>
            </w:pPr>
            <w:r w:rsidRPr="004C12C9">
              <w:rPr>
                <w:rFonts w:eastAsia="MS Mincho"/>
                <w:szCs w:val="22"/>
                <w:lang w:eastAsia="ja-JP" w:bidi="ar-SA"/>
              </w:rPr>
              <w:t>Assumed as Generic 2022 Imports to GDP Ratio</w:t>
            </w:r>
            <w:r w:rsidR="00BA188A" w:rsidRPr="004C12C9">
              <w:rPr>
                <w:rFonts w:eastAsia="MS Mincho"/>
                <w:szCs w:val="22"/>
                <w:lang w:eastAsia="ja-JP" w:bidi="ar-SA"/>
              </w:rPr>
              <w:t>.</w:t>
            </w:r>
          </w:p>
        </w:tc>
      </w:tr>
      <w:tr w:rsidR="00151003" w:rsidRPr="004C12C9" w14:paraId="1E70A907" w14:textId="77777777" w:rsidTr="00C03977">
        <w:trPr>
          <w:cantSplit/>
          <w:trHeight w:val="20"/>
        </w:trPr>
        <w:tc>
          <w:tcPr>
            <w:tcW w:w="1705" w:type="dxa"/>
            <w:noWrap/>
            <w:vAlign w:val="center"/>
            <w:hideMark/>
          </w:tcPr>
          <w:p w14:paraId="6DB589A0" w14:textId="77777777" w:rsidR="00151003" w:rsidRPr="004C12C9" w:rsidRDefault="00151003" w:rsidP="00AC2955">
            <w:pPr>
              <w:pStyle w:val="ICFTabletext"/>
              <w:rPr>
                <w:lang w:bidi="ar-SA"/>
              </w:rPr>
            </w:pPr>
            <w:r w:rsidRPr="004C12C9">
              <w:rPr>
                <w:lang w:bidi="ar-SA"/>
              </w:rPr>
              <w:t>Steel</w:t>
            </w:r>
          </w:p>
        </w:tc>
        <w:tc>
          <w:tcPr>
            <w:tcW w:w="1440" w:type="dxa"/>
            <w:noWrap/>
            <w:vAlign w:val="center"/>
            <w:hideMark/>
          </w:tcPr>
          <w:p w14:paraId="686DC1DF" w14:textId="77777777" w:rsidR="00151003" w:rsidRPr="004C12C9" w:rsidRDefault="00151003" w:rsidP="00B90857">
            <w:pPr>
              <w:pStyle w:val="ICFTabletext"/>
              <w:jc w:val="center"/>
              <w:rPr>
                <w:szCs w:val="22"/>
                <w:lang w:bidi="ar-SA"/>
              </w:rPr>
            </w:pPr>
            <w:r w:rsidRPr="004C12C9">
              <w:rPr>
                <w:szCs w:val="22"/>
                <w:lang w:bidi="ar-SA"/>
              </w:rPr>
              <w:t>23%</w:t>
            </w:r>
          </w:p>
        </w:tc>
        <w:tc>
          <w:tcPr>
            <w:tcW w:w="2160" w:type="dxa"/>
            <w:vAlign w:val="center"/>
            <w:hideMark/>
          </w:tcPr>
          <w:p w14:paraId="55B386DD" w14:textId="3D2A522A" w:rsidR="00151003" w:rsidRPr="004C12C9" w:rsidRDefault="009C4897" w:rsidP="00AC2955">
            <w:pPr>
              <w:pStyle w:val="ICFTabletext"/>
              <w:rPr>
                <w:rFonts w:asciiTheme="minorHAnsi" w:hAnsiTheme="minorHAnsi" w:cstheme="minorHAnsi"/>
                <w:color w:val="467886"/>
                <w:szCs w:val="22"/>
                <w:u w:val="single"/>
                <w:lang w:bidi="ar-SA"/>
              </w:rPr>
            </w:pPr>
            <w:r w:rsidRPr="004C12C9">
              <w:rPr>
                <w:rFonts w:asciiTheme="minorHAnsi" w:eastAsia="MS Mincho" w:hAnsiTheme="minorHAnsi" w:cstheme="minorHAnsi"/>
                <w:szCs w:val="22"/>
                <w:lang w:eastAsia="ja-JP" w:bidi="ar-SA"/>
              </w:rPr>
              <w:t>International Trade Administration</w:t>
            </w:r>
            <w:r w:rsidR="003C3CA0">
              <w:rPr>
                <w:rFonts w:ascii="ZWAdobeF" w:eastAsia="MS Mincho" w:hAnsi="ZWAdobeF" w:cs="ZWAdobeF"/>
                <w:sz w:val="2"/>
                <w:szCs w:val="2"/>
                <w:lang w:eastAsia="ja-JP" w:bidi="ar-SA"/>
              </w:rPr>
              <w:t>19F</w:t>
            </w:r>
            <w:r w:rsidRPr="004C12C9">
              <w:rPr>
                <w:rStyle w:val="FootnoteReference"/>
                <w:rFonts w:asciiTheme="minorHAnsi" w:eastAsia="MS Mincho" w:hAnsiTheme="minorHAnsi" w:cstheme="minorHAnsi"/>
                <w:szCs w:val="22"/>
                <w:lang w:eastAsia="ja-JP" w:bidi="ar-SA"/>
              </w:rPr>
              <w:footnoteReference w:id="21"/>
            </w:r>
          </w:p>
        </w:tc>
        <w:tc>
          <w:tcPr>
            <w:tcW w:w="4765" w:type="dxa"/>
            <w:vAlign w:val="center"/>
            <w:hideMark/>
          </w:tcPr>
          <w:p w14:paraId="6349B9FA" w14:textId="4856746A" w:rsidR="00151003" w:rsidRPr="004C12C9" w:rsidRDefault="00151003" w:rsidP="00AC2955">
            <w:pPr>
              <w:pStyle w:val="ICFTabletext"/>
              <w:rPr>
                <w:szCs w:val="22"/>
                <w:lang w:bidi="ar-SA"/>
              </w:rPr>
            </w:pPr>
            <w:r w:rsidRPr="004C12C9">
              <w:rPr>
                <w:szCs w:val="22"/>
                <w:lang w:bidi="ar-SA"/>
              </w:rPr>
              <w:t xml:space="preserve">Import penetration for steel mill products, excluding semi-finished products as of March 2024 (data from </w:t>
            </w:r>
            <w:r w:rsidR="005F2B6F" w:rsidRPr="004C12C9">
              <w:rPr>
                <w:szCs w:val="22"/>
                <w:lang w:bidi="ar-SA"/>
              </w:rPr>
              <w:t>American Iron and Steel Institute</w:t>
            </w:r>
            <w:r w:rsidRPr="004C12C9">
              <w:rPr>
                <w:szCs w:val="22"/>
                <w:lang w:bidi="ar-SA"/>
              </w:rPr>
              <w:t>)</w:t>
            </w:r>
            <w:r w:rsidR="00DD3204" w:rsidRPr="004C12C9">
              <w:rPr>
                <w:szCs w:val="22"/>
                <w:lang w:bidi="ar-SA"/>
              </w:rPr>
              <w:t>.</w:t>
            </w:r>
          </w:p>
        </w:tc>
      </w:tr>
      <w:tr w:rsidR="00151003" w:rsidRPr="004C12C9" w14:paraId="6C192A4D" w14:textId="77777777" w:rsidTr="00C03977">
        <w:trPr>
          <w:cantSplit/>
          <w:trHeight w:val="20"/>
        </w:trPr>
        <w:tc>
          <w:tcPr>
            <w:tcW w:w="1705" w:type="dxa"/>
            <w:noWrap/>
            <w:vAlign w:val="center"/>
            <w:hideMark/>
          </w:tcPr>
          <w:p w14:paraId="63113906" w14:textId="77777777" w:rsidR="00151003" w:rsidRPr="004C12C9" w:rsidRDefault="00151003" w:rsidP="00AC2955">
            <w:pPr>
              <w:pStyle w:val="ICFTabletext"/>
              <w:rPr>
                <w:lang w:bidi="ar-SA"/>
              </w:rPr>
            </w:pPr>
            <w:r w:rsidRPr="004C12C9">
              <w:rPr>
                <w:lang w:bidi="ar-SA"/>
              </w:rPr>
              <w:t>Wood Products</w:t>
            </w:r>
          </w:p>
        </w:tc>
        <w:tc>
          <w:tcPr>
            <w:tcW w:w="1440" w:type="dxa"/>
            <w:noWrap/>
            <w:vAlign w:val="center"/>
            <w:hideMark/>
          </w:tcPr>
          <w:p w14:paraId="26C57FF6" w14:textId="77777777" w:rsidR="00151003" w:rsidRPr="004C12C9" w:rsidRDefault="00151003" w:rsidP="00B90857">
            <w:pPr>
              <w:pStyle w:val="ICFTabletext"/>
              <w:jc w:val="center"/>
              <w:rPr>
                <w:szCs w:val="22"/>
                <w:lang w:bidi="ar-SA"/>
              </w:rPr>
            </w:pPr>
            <w:r w:rsidRPr="004C12C9">
              <w:rPr>
                <w:szCs w:val="22"/>
                <w:lang w:bidi="ar-SA"/>
              </w:rPr>
              <w:t>16%</w:t>
            </w:r>
          </w:p>
        </w:tc>
        <w:tc>
          <w:tcPr>
            <w:tcW w:w="2160" w:type="dxa"/>
            <w:vAlign w:val="center"/>
          </w:tcPr>
          <w:p w14:paraId="01CABF9C" w14:textId="78DB6937" w:rsidR="00151003" w:rsidRPr="004C12C9" w:rsidRDefault="00962D9B" w:rsidP="00AC2955">
            <w:pPr>
              <w:pStyle w:val="ICFTabletext"/>
              <w:rPr>
                <w:szCs w:val="22"/>
                <w:lang w:bidi="ar-SA"/>
              </w:rPr>
            </w:pPr>
            <w:r w:rsidRPr="004C12C9">
              <w:rPr>
                <w:szCs w:val="22"/>
                <w:lang w:bidi="ar-SA"/>
              </w:rPr>
              <w:t>NA</w:t>
            </w:r>
          </w:p>
        </w:tc>
        <w:tc>
          <w:tcPr>
            <w:tcW w:w="4765" w:type="dxa"/>
            <w:vAlign w:val="center"/>
          </w:tcPr>
          <w:p w14:paraId="5A2582D6" w14:textId="68EA6E4F" w:rsidR="00151003" w:rsidRPr="004C12C9" w:rsidRDefault="00151003" w:rsidP="00AC2955">
            <w:pPr>
              <w:pStyle w:val="ICFTabletext"/>
              <w:rPr>
                <w:szCs w:val="22"/>
                <w:lang w:bidi="ar-SA"/>
              </w:rPr>
            </w:pPr>
            <w:r w:rsidRPr="004C12C9">
              <w:rPr>
                <w:rFonts w:eastAsia="MS Mincho"/>
                <w:szCs w:val="22"/>
                <w:lang w:eastAsia="ja-JP" w:bidi="ar-SA"/>
              </w:rPr>
              <w:t>Assumed as Generic 2022 Imports to GDP Ratio</w:t>
            </w:r>
            <w:r w:rsidR="00BA188A" w:rsidRPr="004C12C9">
              <w:rPr>
                <w:rFonts w:eastAsia="MS Mincho"/>
                <w:szCs w:val="22"/>
                <w:lang w:eastAsia="ja-JP" w:bidi="ar-SA"/>
              </w:rPr>
              <w:t>.</w:t>
            </w:r>
          </w:p>
        </w:tc>
      </w:tr>
    </w:tbl>
    <w:p w14:paraId="51B7E839" w14:textId="432F4E1A" w:rsidR="00C47770" w:rsidRPr="004C12C9" w:rsidRDefault="008A5719" w:rsidP="00E31E37">
      <w:pPr>
        <w:pStyle w:val="Heading4"/>
      </w:pPr>
      <w:r w:rsidRPr="004C12C9">
        <w:t>Limitations</w:t>
      </w:r>
    </w:p>
    <w:p w14:paraId="03053D6D" w14:textId="06C5518D" w:rsidR="00FC68C2" w:rsidRPr="004C12C9" w:rsidRDefault="00FC68C2" w:rsidP="00972CF9">
      <w:r w:rsidRPr="004C12C9">
        <w:t xml:space="preserve">Key limitations of the </w:t>
      </w:r>
      <w:r w:rsidR="00244EE1" w:rsidRPr="004C12C9">
        <w:t>methodology used to quantify emissions from material inputs include:</w:t>
      </w:r>
    </w:p>
    <w:p w14:paraId="6231B5A8" w14:textId="2F7C0DF0" w:rsidR="001B757D" w:rsidRPr="004C12C9" w:rsidRDefault="002E115D" w:rsidP="003B5F7F">
      <w:pPr>
        <w:pStyle w:val="ListParagraph"/>
        <w:numPr>
          <w:ilvl w:val="0"/>
          <w:numId w:val="11"/>
        </w:numPr>
      </w:pPr>
      <w:r w:rsidRPr="004C12C9">
        <w:t xml:space="preserve">The </w:t>
      </w:r>
      <w:r w:rsidR="006828B0" w:rsidRPr="004C12C9">
        <w:t>emission fact</w:t>
      </w:r>
      <w:r w:rsidR="009E4A39" w:rsidRPr="004C12C9">
        <w:t xml:space="preserve">ors </w:t>
      </w:r>
      <w:r w:rsidR="00B95773" w:rsidRPr="004C12C9">
        <w:t xml:space="preserve">for each material type </w:t>
      </w:r>
      <w:r w:rsidR="00193CAB" w:rsidRPr="004C12C9">
        <w:t>are</w:t>
      </w:r>
      <w:r w:rsidR="00B95773" w:rsidRPr="004C12C9">
        <w:t xml:space="preserve"> compiled </w:t>
      </w:r>
      <w:r w:rsidR="00ED43B9" w:rsidRPr="004C12C9">
        <w:t xml:space="preserve">using EPDs </w:t>
      </w:r>
      <w:r w:rsidR="00B95773" w:rsidRPr="004C12C9">
        <w:t>fro</w:t>
      </w:r>
      <w:r w:rsidR="00567E1C" w:rsidRPr="004C12C9">
        <w:t>m</w:t>
      </w:r>
      <w:r w:rsidR="00ED43B9" w:rsidRPr="004C12C9">
        <w:t xml:space="preserve"> EC3. The</w:t>
      </w:r>
      <w:r w:rsidR="00B51A55" w:rsidRPr="004C12C9">
        <w:t xml:space="preserve"> </w:t>
      </w:r>
      <w:r w:rsidR="00ED43B9" w:rsidRPr="004C12C9">
        <w:t xml:space="preserve">availability of EPDs </w:t>
      </w:r>
      <w:r w:rsidR="00E9532F" w:rsidRPr="004C12C9">
        <w:t xml:space="preserve">in EC3 </w:t>
      </w:r>
      <w:r w:rsidR="00ED43B9" w:rsidRPr="004C12C9">
        <w:t xml:space="preserve">for each material type affects the </w:t>
      </w:r>
      <w:r w:rsidR="00B51A55" w:rsidRPr="004C12C9">
        <w:t xml:space="preserve">relative </w:t>
      </w:r>
      <w:r w:rsidR="00E80567" w:rsidRPr="004C12C9">
        <w:t xml:space="preserve">certainty of the </w:t>
      </w:r>
      <w:r w:rsidR="00E9532F" w:rsidRPr="004C12C9">
        <w:t xml:space="preserve">emission factors used in the </w:t>
      </w:r>
      <w:r w:rsidR="007D3E2F" w:rsidRPr="004C12C9">
        <w:t>calculator</w:t>
      </w:r>
      <w:r w:rsidR="00E9532F" w:rsidRPr="004C12C9">
        <w:t xml:space="preserve">, as the </w:t>
      </w:r>
      <w:r w:rsidR="007D3E2F" w:rsidRPr="004C12C9">
        <w:t xml:space="preserve">calculator </w:t>
      </w:r>
      <w:r w:rsidR="00E9532F" w:rsidRPr="004C12C9">
        <w:t>applies the</w:t>
      </w:r>
      <w:r w:rsidR="00954A14" w:rsidRPr="004C12C9">
        <w:t xml:space="preserve"> average emission factor value for all EPDs that match the user's selected search criteria in EC3. Therefore, materials with a smaller sample size of EPDs, such as </w:t>
      </w:r>
      <w:r w:rsidR="00CA4A21" w:rsidRPr="004C12C9">
        <w:t xml:space="preserve">aluminum and glass, carry higher uncertainty. Additionally, as EPDs are </w:t>
      </w:r>
      <w:r w:rsidR="00D32D8E" w:rsidRPr="004C12C9">
        <w:t>self-reported</w:t>
      </w:r>
      <w:r w:rsidR="00CA4A21" w:rsidRPr="004C12C9">
        <w:t xml:space="preserve"> by </w:t>
      </w:r>
      <w:r w:rsidR="006A3F9A" w:rsidRPr="004C12C9">
        <w:t xml:space="preserve">manufacturers, they are likely to underestimate the actual average </w:t>
      </w:r>
      <w:r w:rsidR="00B7298F" w:rsidRPr="004C12C9">
        <w:t xml:space="preserve">material </w:t>
      </w:r>
      <w:r w:rsidR="006A3F9A" w:rsidRPr="004C12C9">
        <w:t>emissions intensit</w:t>
      </w:r>
      <w:r w:rsidR="00B7298F" w:rsidRPr="004C12C9">
        <w:t xml:space="preserve">ies </w:t>
      </w:r>
      <w:r w:rsidR="006A3F9A" w:rsidRPr="004C12C9">
        <w:t>in the market</w:t>
      </w:r>
      <w:r w:rsidR="00DE1494" w:rsidRPr="004C12C9">
        <w:t xml:space="preserve"> as</w:t>
      </w:r>
      <w:r w:rsidR="006A3F9A" w:rsidRPr="004C12C9">
        <w:t xml:space="preserve"> </w:t>
      </w:r>
      <w:r w:rsidR="00D32D8E" w:rsidRPr="004C12C9">
        <w:t xml:space="preserve">higher emitting </w:t>
      </w:r>
      <w:r w:rsidR="006A3F9A" w:rsidRPr="004C12C9">
        <w:t xml:space="preserve">manufacturers </w:t>
      </w:r>
      <w:r w:rsidR="00D32D8E" w:rsidRPr="004C12C9">
        <w:t>have no incentive to produce and report EPDs</w:t>
      </w:r>
      <w:r w:rsidR="00FB4FFB" w:rsidRPr="004C12C9">
        <w:t>.</w:t>
      </w:r>
    </w:p>
    <w:p w14:paraId="39667328" w14:textId="06B7B76B" w:rsidR="002216F9" w:rsidRPr="004C12C9" w:rsidRDefault="00A918F9" w:rsidP="003B5F7F">
      <w:pPr>
        <w:pStyle w:val="ListParagraph"/>
        <w:numPr>
          <w:ilvl w:val="0"/>
          <w:numId w:val="11"/>
        </w:numPr>
      </w:pPr>
      <w:r w:rsidRPr="004C12C9">
        <w:t xml:space="preserve">The </w:t>
      </w:r>
      <w:r w:rsidR="007D3E2F" w:rsidRPr="004C12C9">
        <w:t xml:space="preserve">calculator </w:t>
      </w:r>
      <w:r w:rsidRPr="004C12C9">
        <w:t xml:space="preserve">assumes that all imported materials originate from the largest importing country for each material and applies the emission factor </w:t>
      </w:r>
      <w:r w:rsidR="00BD7843" w:rsidRPr="004C12C9">
        <w:t>from</w:t>
      </w:r>
      <w:r w:rsidRPr="004C12C9">
        <w:t xml:space="preserve"> that country to all imports. This simplified assumption introduces uncertainty in real-world applications. For instance, </w:t>
      </w:r>
      <w:r w:rsidR="00551E8E" w:rsidRPr="004C12C9">
        <w:t>the</w:t>
      </w:r>
      <w:r w:rsidRPr="004C12C9">
        <w:t xml:space="preserve"> </w:t>
      </w:r>
      <w:r w:rsidR="007D3E2F" w:rsidRPr="004C12C9">
        <w:t xml:space="preserve">calculator </w:t>
      </w:r>
      <w:r w:rsidRPr="004C12C9">
        <w:t xml:space="preserve">assumes that all steel imports come from Canada, the largest steel importer to the </w:t>
      </w:r>
      <w:r w:rsidR="00551E8E" w:rsidRPr="004C12C9">
        <w:t>United States</w:t>
      </w:r>
      <w:r w:rsidRPr="004C12C9">
        <w:t xml:space="preserve">. However, if a development project in Minnesota sources all its steel from China, which has a more emissions-intensive manufacturing process, the </w:t>
      </w:r>
      <w:r w:rsidR="007D3E2F" w:rsidRPr="004C12C9">
        <w:t xml:space="preserve">calculator </w:t>
      </w:r>
      <w:r w:rsidRPr="004C12C9">
        <w:t>would underestimate the embodied emissions of the steel used in the project.</w:t>
      </w:r>
    </w:p>
    <w:p w14:paraId="160BE4B0" w14:textId="3F311B78" w:rsidR="005A361E" w:rsidRPr="004C12C9" w:rsidRDefault="006828B0" w:rsidP="003B5F7F">
      <w:pPr>
        <w:pStyle w:val="ListParagraph"/>
        <w:numPr>
          <w:ilvl w:val="0"/>
          <w:numId w:val="11"/>
        </w:numPr>
      </w:pPr>
      <w:r w:rsidRPr="004C12C9">
        <w:t>Simplified</w:t>
      </w:r>
      <w:r w:rsidR="00065A2D" w:rsidRPr="004C12C9">
        <w:t xml:space="preserve"> density </w:t>
      </w:r>
      <w:r w:rsidR="00FD0DEE" w:rsidRPr="004C12C9">
        <w:t>conversion factors</w:t>
      </w:r>
      <w:r w:rsidR="00065A2D" w:rsidRPr="004C12C9">
        <w:t xml:space="preserve"> </w:t>
      </w:r>
      <w:r w:rsidR="00193CAB" w:rsidRPr="004C12C9">
        <w:t>are</w:t>
      </w:r>
      <w:r w:rsidR="00065A2D" w:rsidRPr="004C12C9">
        <w:t xml:space="preserve"> required to calculate emissions for wood, concrete, and insulation</w:t>
      </w:r>
      <w:r w:rsidR="00FD0DEE" w:rsidRPr="004C12C9">
        <w:t xml:space="preserve">. These conversion factors carry </w:t>
      </w:r>
      <w:r w:rsidR="00B63C33" w:rsidRPr="004C12C9">
        <w:t>uncertainty, due to</w:t>
      </w:r>
      <w:r w:rsidR="00FD0DEE" w:rsidRPr="004C12C9">
        <w:t xml:space="preserve"> </w:t>
      </w:r>
      <w:r w:rsidR="000C72A9" w:rsidRPr="004C12C9">
        <w:t xml:space="preserve">the </w:t>
      </w:r>
      <w:r w:rsidR="00FD0DEE" w:rsidRPr="004C12C9">
        <w:t xml:space="preserve">wide range of </w:t>
      </w:r>
      <w:r w:rsidR="00B63C33" w:rsidRPr="004C12C9">
        <w:t>product-specific densities within the broader wood, concrete, and insulation material categories.</w:t>
      </w:r>
    </w:p>
    <w:p w14:paraId="4D50C712" w14:textId="51043818" w:rsidR="004A1D81" w:rsidRPr="004C12C9" w:rsidRDefault="00E66D8A" w:rsidP="003B5F7F">
      <w:pPr>
        <w:pStyle w:val="ListParagraph"/>
        <w:numPr>
          <w:ilvl w:val="0"/>
          <w:numId w:val="11"/>
        </w:numPr>
      </w:pPr>
      <w:r w:rsidRPr="004C12C9">
        <w:lastRenderedPageBreak/>
        <w:t xml:space="preserve">The material source defaults applied in the </w:t>
      </w:r>
      <w:r w:rsidR="007D3E2F" w:rsidRPr="004C12C9">
        <w:t>calculator</w:t>
      </w:r>
      <w:r w:rsidRPr="004C12C9">
        <w:t xml:space="preserve">, detailed in </w:t>
      </w:r>
      <w:r w:rsidR="00991962" w:rsidRPr="004C12C9">
        <w:fldChar w:fldCharType="begin" w:fldLock="1"/>
      </w:r>
      <w:r w:rsidR="00991962" w:rsidRPr="004C12C9">
        <w:instrText xml:space="preserve"> REF _Ref195713736 \h </w:instrText>
      </w:r>
      <w:r w:rsidR="00991962" w:rsidRPr="004C12C9">
        <w:fldChar w:fldCharType="separate"/>
      </w:r>
      <w:r w:rsidR="00127094" w:rsidRPr="004C12C9">
        <w:rPr>
          <w:rFonts w:eastAsia="MS Mincho"/>
          <w:lang w:eastAsia="ja-JP" w:bidi="ar-SA"/>
        </w:rPr>
        <w:t>Table 2</w:t>
      </w:r>
      <w:r w:rsidR="00127094" w:rsidRPr="004C12C9">
        <w:rPr>
          <w:rFonts w:eastAsia="MS Mincho"/>
          <w:lang w:eastAsia="ja-JP" w:bidi="ar-SA"/>
        </w:rPr>
        <w:noBreakHyphen/>
        <w:t>12</w:t>
      </w:r>
      <w:r w:rsidR="00991962" w:rsidRPr="004C12C9">
        <w:fldChar w:fldCharType="end"/>
      </w:r>
      <w:r w:rsidR="003319AD" w:rsidRPr="004C12C9">
        <w:t>,</w:t>
      </w:r>
      <w:r w:rsidRPr="004C12C9">
        <w:t xml:space="preserve"> also carry uncertainty. For some material types (specifically wood products, insulation, and brick), there </w:t>
      </w:r>
      <w:r w:rsidR="006421CC" w:rsidRPr="004C12C9">
        <w:t>is not enough</w:t>
      </w:r>
      <w:r w:rsidRPr="004C12C9">
        <w:t xml:space="preserve"> information available to develop a defensible assumption for the percent imported. </w:t>
      </w:r>
      <w:r w:rsidR="004A1D81" w:rsidRPr="004C12C9">
        <w:t>The default of 16</w:t>
      </w:r>
      <w:r w:rsidR="00B61341" w:rsidRPr="004C12C9">
        <w:t>%</w:t>
      </w:r>
      <w:r w:rsidR="004A1D81" w:rsidRPr="004C12C9">
        <w:t xml:space="preserve"> that is applied</w:t>
      </w:r>
      <w:r w:rsidR="00B85C6F" w:rsidRPr="004C12C9">
        <w:t xml:space="preserve"> may not be representative</w:t>
      </w:r>
      <w:r w:rsidR="008F284B" w:rsidRPr="004C12C9">
        <w:t xml:space="preserve"> of </w:t>
      </w:r>
      <w:r w:rsidR="006F65A8" w:rsidRPr="004C12C9">
        <w:t>import frequency for a given material.</w:t>
      </w:r>
    </w:p>
    <w:p w14:paraId="165BAE5B" w14:textId="59F7B0CB" w:rsidR="00FC5F6E" w:rsidRPr="004C12C9" w:rsidRDefault="00FC5F6E" w:rsidP="003763B5">
      <w:pPr>
        <w:pStyle w:val="Heading3"/>
      </w:pPr>
      <w:bookmarkStart w:id="57" w:name="_Toc219887767"/>
      <w:r w:rsidRPr="004C12C9">
        <w:t>Transportation of Material Inputs</w:t>
      </w:r>
      <w:bookmarkEnd w:id="57"/>
    </w:p>
    <w:p w14:paraId="19A7469D" w14:textId="27908CE8" w:rsidR="006F65A8" w:rsidRPr="004C12C9" w:rsidRDefault="00AE39F9" w:rsidP="006F65A8">
      <w:r w:rsidRPr="004C12C9">
        <w:t xml:space="preserve">Emissions result from the transportation of construction materials from the manufacturing facility to the project site (for use or installation) during the construction phase of the project. </w:t>
      </w:r>
      <w:r w:rsidR="006F65A8" w:rsidRPr="004C12C9">
        <w:t xml:space="preserve">The </w:t>
      </w:r>
      <w:r w:rsidR="007D3E2F" w:rsidRPr="004C12C9">
        <w:t xml:space="preserve">calculator </w:t>
      </w:r>
      <w:r w:rsidR="006F65A8" w:rsidRPr="004C12C9">
        <w:t xml:space="preserve">quantifies emissions </w:t>
      </w:r>
      <w:r w:rsidR="00E052DF" w:rsidRPr="004C12C9">
        <w:t xml:space="preserve">from the transportation of </w:t>
      </w:r>
      <w:r w:rsidR="006F65A8" w:rsidRPr="004C12C9">
        <w:t>select material types based on the quantity of material used during construction</w:t>
      </w:r>
      <w:r w:rsidR="00744EED" w:rsidRPr="004C12C9">
        <w:t xml:space="preserve">, the </w:t>
      </w:r>
      <w:r w:rsidR="00F56F7C" w:rsidRPr="004C12C9">
        <w:t xml:space="preserve">average </w:t>
      </w:r>
      <w:r w:rsidR="00744EED" w:rsidRPr="004C12C9">
        <w:t>distance traveled</w:t>
      </w:r>
      <w:r w:rsidR="00AA1A51" w:rsidRPr="004C12C9">
        <w:t xml:space="preserve"> from the source facility</w:t>
      </w:r>
      <w:r w:rsidR="0007505F" w:rsidRPr="004C12C9">
        <w:t xml:space="preserve"> by transportation mode</w:t>
      </w:r>
      <w:r w:rsidR="00F56F7C" w:rsidRPr="004C12C9">
        <w:t>,</w:t>
      </w:r>
      <w:r w:rsidR="006F65A8" w:rsidRPr="004C12C9">
        <w:t xml:space="preserve"> and a </w:t>
      </w:r>
      <w:r w:rsidR="00DC168C" w:rsidRPr="004C12C9">
        <w:t>mode</w:t>
      </w:r>
      <w:r w:rsidR="006F65A8" w:rsidRPr="004C12C9">
        <w:t xml:space="preserve">-specific emissions factor, as shown in </w:t>
      </w:r>
      <w:r w:rsidR="00AA1A51" w:rsidRPr="004C12C9">
        <w:fldChar w:fldCharType="begin" w:fldLock="1"/>
      </w:r>
      <w:r w:rsidR="00AA1A51" w:rsidRPr="004C12C9">
        <w:instrText xml:space="preserve"> REF _Ref194931315 \h </w:instrText>
      </w:r>
      <w:r w:rsidR="00626C0F" w:rsidRPr="004C12C9">
        <w:instrText xml:space="preserve"> \* MERGEFORMAT </w:instrText>
      </w:r>
      <w:r w:rsidR="00AA1A51" w:rsidRPr="004C12C9">
        <w:fldChar w:fldCharType="separate"/>
      </w:r>
      <w:r w:rsidR="00127094" w:rsidRPr="004C12C9">
        <w:t>Equation 2</w:t>
      </w:r>
      <w:r w:rsidR="00AA1A51" w:rsidRPr="004C12C9">
        <w:fldChar w:fldCharType="end"/>
      </w:r>
      <w:r w:rsidR="00AA1A51" w:rsidRPr="004C12C9">
        <w:t>.</w:t>
      </w:r>
    </w:p>
    <w:p w14:paraId="414CBFD0" w14:textId="55412E2F" w:rsidR="006F65A8" w:rsidRPr="004C12C9" w:rsidRDefault="006F65A8" w:rsidP="006F65A8">
      <w:pPr>
        <w:pStyle w:val="Caption"/>
      </w:pPr>
      <w:bookmarkStart w:id="58" w:name="_Ref194931315"/>
      <w:r w:rsidRPr="004C12C9">
        <w:t xml:space="preserve">Equation </w:t>
      </w:r>
      <w:r w:rsidR="00127094">
        <w:fldChar w:fldCharType="begin"/>
      </w:r>
      <w:r w:rsidR="00127094">
        <w:instrText xml:space="preserve"> SEQ Equation \* ARABIC </w:instrText>
      </w:r>
      <w:r w:rsidR="00127094">
        <w:fldChar w:fldCharType="separate"/>
      </w:r>
      <w:r w:rsidR="00C47624">
        <w:rPr>
          <w:noProof/>
        </w:rPr>
        <w:t>2</w:t>
      </w:r>
      <w:r w:rsidR="00127094">
        <w:fldChar w:fldCharType="end"/>
      </w:r>
      <w:bookmarkEnd w:id="58"/>
      <w:r w:rsidRPr="004C12C9">
        <w:t xml:space="preserve">. GHG Emissions from </w:t>
      </w:r>
      <w:r w:rsidR="00685E0D" w:rsidRPr="004C12C9">
        <w:t xml:space="preserve">Transportation of </w:t>
      </w:r>
      <w:r w:rsidRPr="004C12C9">
        <w:t>Material Inputs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1F49CC" w:rsidRPr="004C12C9" w14:paraId="6E91ABDF" w14:textId="77777777">
        <w:tc>
          <w:tcPr>
            <w:tcW w:w="10070" w:type="dxa"/>
            <w:gridSpan w:val="2"/>
            <w:shd w:val="clear" w:color="auto" w:fill="F2F2F2" w:themeFill="background1" w:themeFillShade="F2"/>
          </w:tcPr>
          <w:p w14:paraId="1BD8910E" w14:textId="0E4652A9" w:rsidR="001F49CC" w:rsidRPr="004C12C9" w:rsidRDefault="001F49CC" w:rsidP="001F49CC">
            <w:pPr>
              <w:pStyle w:val="Equation"/>
              <w:rPr>
                <w:noProof w:val="0"/>
              </w:rPr>
            </w:pPr>
            <m:oMathPara>
              <m:oMath>
                <m:r>
                  <w:rPr>
                    <w:noProof w:val="0"/>
                  </w:rPr>
                  <m:t xml:space="preserve">GHG emissions= </m:t>
                </m:r>
                <m:nary>
                  <m:naryPr>
                    <m:chr m:val="∑"/>
                    <m:limLoc m:val="undOvr"/>
                    <m:subHide m:val="1"/>
                    <m:supHide m:val="1"/>
                    <m:ctrlPr>
                      <w:rPr>
                        <w:noProof w:val="0"/>
                      </w:rPr>
                    </m:ctrlPr>
                  </m:naryPr>
                  <m:sub/>
                  <m:sup/>
                  <m:e>
                    <m:sSub>
                      <m:sSubPr>
                        <m:ctrlPr>
                          <w:rPr>
                            <w:noProof w:val="0"/>
                          </w:rPr>
                        </m:ctrlPr>
                      </m:sSubPr>
                      <m:e>
                        <m:r>
                          <w:rPr>
                            <w:noProof w:val="0"/>
                          </w:rPr>
                          <m:t>material quantity</m:t>
                        </m:r>
                      </m:e>
                      <m:sub>
                        <m:r>
                          <w:rPr>
                            <w:noProof w:val="0"/>
                          </w:rPr>
                          <m:t>t</m:t>
                        </m:r>
                      </m:sub>
                    </m:sSub>
                    <m:r>
                      <w:rPr>
                        <w:noProof w:val="0"/>
                      </w:rPr>
                      <m:t xml:space="preserve"> ×</m:t>
                    </m:r>
                    <m:sSub>
                      <m:sSubPr>
                        <m:ctrlPr>
                          <w:rPr>
                            <w:noProof w:val="0"/>
                          </w:rPr>
                        </m:ctrlPr>
                      </m:sSubPr>
                      <m:e>
                        <m:r>
                          <w:rPr>
                            <w:noProof w:val="0"/>
                          </w:rPr>
                          <m:t>distance</m:t>
                        </m:r>
                      </m:e>
                      <m:sub>
                        <m:r>
                          <w:rPr>
                            <w:noProof w:val="0"/>
                          </w:rPr>
                          <m:t>m,s</m:t>
                        </m:r>
                      </m:sub>
                    </m:sSub>
                    <m:r>
                      <w:rPr>
                        <w:noProof w:val="0"/>
                      </w:rPr>
                      <m:t xml:space="preserve"> ×</m:t>
                    </m:r>
                    <m:sSub>
                      <m:sSubPr>
                        <m:ctrlPr>
                          <w:rPr>
                            <w:noProof w:val="0"/>
                          </w:rPr>
                        </m:ctrlPr>
                      </m:sSubPr>
                      <m:e>
                        <m:r>
                          <w:rPr>
                            <w:noProof w:val="0"/>
                          </w:rPr>
                          <m:t>emission factor</m:t>
                        </m:r>
                      </m:e>
                      <m:sub>
                        <m:r>
                          <w:rPr>
                            <w:noProof w:val="0"/>
                          </w:rPr>
                          <m:t>m</m:t>
                        </m:r>
                      </m:sub>
                    </m:sSub>
                  </m:e>
                </m:nary>
              </m:oMath>
            </m:oMathPara>
          </w:p>
          <w:p w14:paraId="003AE5E1" w14:textId="77777777" w:rsidR="001F49CC" w:rsidRPr="004C12C9" w:rsidRDefault="001F49CC">
            <w:pPr>
              <w:rPr>
                <w:i/>
                <w:iCs/>
              </w:rPr>
            </w:pPr>
            <w:r w:rsidRPr="004C12C9">
              <w:rPr>
                <w:i/>
                <w:iCs/>
                <w:sz w:val="20"/>
                <w:szCs w:val="20"/>
              </w:rPr>
              <w:t xml:space="preserve">where, </w:t>
            </w:r>
          </w:p>
        </w:tc>
      </w:tr>
      <w:tr w:rsidR="001F49CC" w:rsidRPr="004C12C9" w14:paraId="65490E80" w14:textId="77777777" w:rsidTr="00720596">
        <w:tc>
          <w:tcPr>
            <w:tcW w:w="1800" w:type="dxa"/>
            <w:shd w:val="clear" w:color="auto" w:fill="F2F2F2" w:themeFill="background1" w:themeFillShade="F2"/>
          </w:tcPr>
          <w:p w14:paraId="4F4218AB" w14:textId="3ADDDAFC" w:rsidR="001F49CC" w:rsidRPr="004C12C9" w:rsidRDefault="001F49C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Material quantity Distance</w:t>
            </w:r>
          </w:p>
          <w:p w14:paraId="4EFABA00" w14:textId="77777777" w:rsidR="001F49CC" w:rsidRPr="004C12C9" w:rsidRDefault="001F49CC">
            <w:pPr>
              <w:pStyle w:val="Equation"/>
              <w:spacing w:before="0" w:after="0"/>
              <w:jc w:val="left"/>
              <w:rPr>
                <w:rFonts w:ascii="Calibri" w:eastAsia="Arial" w:hAnsi="Calibri"/>
                <w:bCs w:val="0"/>
                <w:i w:val="0"/>
                <w:noProof w:val="0"/>
                <w:color w:val="auto"/>
                <w:sz w:val="20"/>
                <w:szCs w:val="20"/>
              </w:rPr>
            </w:pPr>
          </w:p>
          <w:p w14:paraId="657B809F" w14:textId="0960E78E" w:rsidR="001F49CC" w:rsidRPr="004C12C9" w:rsidRDefault="001F49C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Emissions factor </w:t>
            </w:r>
          </w:p>
        </w:tc>
        <w:tc>
          <w:tcPr>
            <w:tcW w:w="8270" w:type="dxa"/>
            <w:shd w:val="clear" w:color="auto" w:fill="F2F2F2" w:themeFill="background1" w:themeFillShade="F2"/>
          </w:tcPr>
          <w:p w14:paraId="4E0250AB" w14:textId="6D2AA1F1" w:rsidR="001F49CC" w:rsidRPr="004C12C9" w:rsidRDefault="0072059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1F49CC" w:rsidRPr="004C12C9">
              <w:rPr>
                <w:rFonts w:ascii="Calibri" w:eastAsia="Arial" w:hAnsi="Calibri"/>
                <w:bCs w:val="0"/>
                <w:i w:val="0"/>
                <w:noProof w:val="0"/>
                <w:color w:val="auto"/>
                <w:sz w:val="20"/>
                <w:szCs w:val="20"/>
              </w:rPr>
              <w:t>Amount of material used as an input during construction by type, t (short tons)</w:t>
            </w:r>
          </w:p>
          <w:p w14:paraId="0233F41D" w14:textId="147991BA" w:rsidR="001F49CC" w:rsidRPr="004C12C9" w:rsidRDefault="00720596" w:rsidP="00720596">
            <w:pPr>
              <w:pStyle w:val="Equation"/>
              <w:spacing w:before="0" w:after="0"/>
              <w:ind w:left="165" w:hanging="18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1F49CC" w:rsidRPr="004C12C9">
              <w:rPr>
                <w:rFonts w:ascii="Calibri" w:eastAsia="Arial" w:hAnsi="Calibri"/>
                <w:bCs w:val="0"/>
                <w:i w:val="0"/>
                <w:noProof w:val="0"/>
                <w:color w:val="auto"/>
                <w:sz w:val="20"/>
                <w:szCs w:val="20"/>
              </w:rPr>
              <w:t>Distance the material product travels from the manufacturing location to the project site by transportation mode, m, and geographic source, s (miles)</w:t>
            </w:r>
          </w:p>
          <w:p w14:paraId="0CF4B5F8" w14:textId="04905655" w:rsidR="001F49CC" w:rsidRPr="004C12C9" w:rsidRDefault="00720596" w:rsidP="00720596">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1F49CC" w:rsidRPr="004C12C9">
              <w:rPr>
                <w:rFonts w:ascii="Calibri" w:eastAsia="Arial" w:hAnsi="Calibri"/>
                <w:bCs w:val="0"/>
                <w:i w:val="0"/>
                <w:noProof w:val="0"/>
                <w:color w:val="auto"/>
                <w:sz w:val="20"/>
                <w:szCs w:val="20"/>
              </w:rPr>
              <w:t>The emissions associated with the transportation of material quantity by transportation mode, m (kg CO</w:t>
            </w:r>
            <w:r w:rsidR="001F49CC" w:rsidRPr="004C12C9">
              <w:rPr>
                <w:rFonts w:ascii="Calibri" w:eastAsia="Arial" w:hAnsi="Calibri"/>
                <w:bCs w:val="0"/>
                <w:i w:val="0"/>
                <w:noProof w:val="0"/>
                <w:color w:val="auto"/>
                <w:sz w:val="20"/>
                <w:szCs w:val="20"/>
                <w:vertAlign w:val="subscript"/>
              </w:rPr>
              <w:t>2</w:t>
            </w:r>
            <w:r w:rsidR="001F49CC" w:rsidRPr="004C12C9">
              <w:rPr>
                <w:rFonts w:ascii="Calibri" w:eastAsia="Arial" w:hAnsi="Calibri"/>
                <w:bCs w:val="0"/>
                <w:i w:val="0"/>
                <w:noProof w:val="0"/>
                <w:color w:val="auto"/>
                <w:sz w:val="20"/>
                <w:szCs w:val="20"/>
              </w:rPr>
              <w:t>e/ton-mile)</w:t>
            </w:r>
          </w:p>
          <w:p w14:paraId="51D4A19E" w14:textId="57D6DA45" w:rsidR="005A5AEF" w:rsidRPr="004C12C9" w:rsidRDefault="005A5AEF">
            <w:pPr>
              <w:pStyle w:val="Equation"/>
              <w:spacing w:before="0" w:after="0"/>
              <w:jc w:val="left"/>
              <w:rPr>
                <w:rFonts w:ascii="Calibri" w:eastAsia="Arial" w:hAnsi="Calibri"/>
                <w:bCs w:val="0"/>
                <w:i w:val="0"/>
                <w:noProof w:val="0"/>
                <w:color w:val="auto"/>
                <w:sz w:val="20"/>
                <w:szCs w:val="20"/>
              </w:rPr>
            </w:pPr>
          </w:p>
        </w:tc>
      </w:tr>
    </w:tbl>
    <w:p w14:paraId="3B5B47D8" w14:textId="3AD34844" w:rsidR="0023170D" w:rsidRPr="004C12C9" w:rsidRDefault="0069042C" w:rsidP="00E31E37">
      <w:pPr>
        <w:pStyle w:val="Heading4"/>
      </w:pPr>
      <w:r w:rsidRPr="004C12C9">
        <w:t>Material Quantity</w:t>
      </w:r>
    </w:p>
    <w:p w14:paraId="67BB213D" w14:textId="6F7A6E6E" w:rsidR="00553D0A" w:rsidRPr="004C12C9" w:rsidRDefault="00553D0A" w:rsidP="00F85044">
      <w:r w:rsidRPr="004C12C9">
        <w:t xml:space="preserve">The material quantity by material type </w:t>
      </w:r>
      <w:r w:rsidR="005A67AE" w:rsidRPr="004C12C9">
        <w:t>is</w:t>
      </w:r>
      <w:r w:rsidRPr="004C12C9">
        <w:t xml:space="preserve"> based on values provided by users. The input quantities used to calculate emissions from the transportation of materials to the construction site are the same inputs used to calculate</w:t>
      </w:r>
      <w:r w:rsidR="006B08F0" w:rsidRPr="004C12C9">
        <w:t xml:space="preserve"> the material inputs</w:t>
      </w:r>
      <w:r w:rsidRPr="004C12C9">
        <w:t xml:space="preserve"> emissions </w:t>
      </w:r>
      <w:r w:rsidR="00ED1729" w:rsidRPr="004C12C9">
        <w:t xml:space="preserve">that are summarized </w:t>
      </w:r>
      <w:r w:rsidRPr="004C12C9">
        <w:t xml:space="preserve">in </w:t>
      </w:r>
      <w:r w:rsidR="00ED1729" w:rsidRPr="004C12C9">
        <w:t>S</w:t>
      </w:r>
      <w:r w:rsidR="00E17578" w:rsidRPr="004C12C9">
        <w:t>ection</w:t>
      </w:r>
      <w:r w:rsidR="00535D5F" w:rsidRPr="004C12C9">
        <w:t xml:space="preserve"> </w:t>
      </w:r>
      <w:r w:rsidR="00535D5F" w:rsidRPr="004C12C9">
        <w:fldChar w:fldCharType="begin" w:fldLock="1"/>
      </w:r>
      <w:r w:rsidR="00535D5F" w:rsidRPr="004C12C9">
        <w:instrText xml:space="preserve"> REF _Ref193891657 \r \h </w:instrText>
      </w:r>
      <w:r w:rsidR="00535D5F" w:rsidRPr="004C12C9">
        <w:fldChar w:fldCharType="separate"/>
      </w:r>
      <w:r w:rsidR="00127094" w:rsidRPr="004C12C9">
        <w:t>2.1</w:t>
      </w:r>
      <w:r w:rsidR="00535D5F" w:rsidRPr="004C12C9">
        <w:fldChar w:fldCharType="end"/>
      </w:r>
      <w:r w:rsidR="00535D5F" w:rsidRPr="004C12C9">
        <w:t>,</w:t>
      </w:r>
      <w:r w:rsidR="005035C2" w:rsidRPr="004C12C9">
        <w:t xml:space="preserve"> </w:t>
      </w:r>
      <w:r w:rsidR="005035C2" w:rsidRPr="004C12C9">
        <w:fldChar w:fldCharType="begin" w:fldLock="1"/>
      </w:r>
      <w:r w:rsidR="005035C2" w:rsidRPr="004C12C9">
        <w:instrText xml:space="preserve"> REF _Ref195386675 \h </w:instrText>
      </w:r>
      <w:r w:rsidR="005035C2" w:rsidRPr="004C12C9">
        <w:fldChar w:fldCharType="separate"/>
      </w:r>
      <w:r w:rsidR="00127094" w:rsidRPr="004C12C9">
        <w:t>Table 2</w:t>
      </w:r>
      <w:r w:rsidR="00127094" w:rsidRPr="004C12C9">
        <w:noBreakHyphen/>
        <w:t>1</w:t>
      </w:r>
      <w:r w:rsidR="005035C2" w:rsidRPr="004C12C9">
        <w:fldChar w:fldCharType="end"/>
      </w:r>
      <w:r w:rsidRPr="004C12C9">
        <w:t>.</w:t>
      </w:r>
    </w:p>
    <w:p w14:paraId="0ADBBD02" w14:textId="634B540B" w:rsidR="002A4B1C" w:rsidRPr="004C12C9" w:rsidRDefault="002A4B1C" w:rsidP="00E31E37">
      <w:pPr>
        <w:pStyle w:val="Heading4"/>
      </w:pPr>
      <w:r w:rsidRPr="004C12C9">
        <w:t>Distance Traveled</w:t>
      </w:r>
    </w:p>
    <w:p w14:paraId="6FE09C5D" w14:textId="1B9EF372" w:rsidR="00BE5B50" w:rsidRPr="004C12C9" w:rsidRDefault="0077249E" w:rsidP="00972CF9">
      <w:pPr>
        <w:rPr>
          <w:rFonts w:eastAsia="MS Mincho"/>
          <w:lang w:eastAsia="ja-JP" w:bidi="ar-SA"/>
        </w:rPr>
      </w:pPr>
      <w:r w:rsidRPr="004C12C9">
        <w:rPr>
          <w:rFonts w:eastAsia="MS Mincho"/>
          <w:lang w:eastAsia="ja-JP" w:bidi="ar-SA"/>
        </w:rPr>
        <w:t>Dat</w:t>
      </w:r>
      <w:r w:rsidR="00BE5B50" w:rsidRPr="004C12C9">
        <w:rPr>
          <w:rFonts w:eastAsia="MS Mincho"/>
          <w:lang w:eastAsia="ja-JP" w:bidi="ar-SA"/>
        </w:rPr>
        <w:t xml:space="preserve">a from the 2017 Census Commodity Flow Survey (CFS) on domestic shipments of goods to Minnesota by </w:t>
      </w:r>
      <w:r w:rsidR="008927E9" w:rsidRPr="004C12C9">
        <w:rPr>
          <w:rFonts w:eastAsia="MS Mincho"/>
          <w:lang w:eastAsia="ja-JP" w:bidi="ar-SA"/>
        </w:rPr>
        <w:t>North American Industry Classification System (</w:t>
      </w:r>
      <w:r w:rsidR="00BE5B50" w:rsidRPr="004C12C9">
        <w:rPr>
          <w:rFonts w:eastAsia="MS Mincho"/>
          <w:lang w:eastAsia="ja-JP" w:bidi="ar-SA"/>
        </w:rPr>
        <w:t>NAICS</w:t>
      </w:r>
      <w:r w:rsidR="008927E9" w:rsidRPr="004C12C9">
        <w:rPr>
          <w:rFonts w:eastAsia="MS Mincho"/>
          <w:lang w:eastAsia="ja-JP" w:bidi="ar-SA"/>
        </w:rPr>
        <w:t>)</w:t>
      </w:r>
      <w:r w:rsidR="00BE5B50" w:rsidRPr="004C12C9">
        <w:rPr>
          <w:rFonts w:eastAsia="MS Mincho"/>
          <w:lang w:eastAsia="ja-JP" w:bidi="ar-SA"/>
        </w:rPr>
        <w:t xml:space="preserve"> code category</w:t>
      </w:r>
      <w:r w:rsidRPr="004C12C9">
        <w:rPr>
          <w:rFonts w:eastAsia="MS Mincho"/>
          <w:lang w:eastAsia="ja-JP" w:bidi="ar-SA"/>
        </w:rPr>
        <w:t xml:space="preserve"> is used to develop assumptions on the average distance traveled by material type</w:t>
      </w:r>
      <w:r w:rsidR="00BE5B50" w:rsidRPr="004C12C9">
        <w:rPr>
          <w:rFonts w:eastAsia="MS Mincho"/>
          <w:lang w:eastAsia="ja-JP" w:bidi="ar-SA"/>
        </w:rPr>
        <w:t>.</w:t>
      </w:r>
      <w:r w:rsidR="003C3CA0">
        <w:rPr>
          <w:rFonts w:ascii="ZWAdobeF" w:eastAsia="MS Mincho" w:hAnsi="ZWAdobeF" w:cs="ZWAdobeF"/>
          <w:sz w:val="2"/>
          <w:szCs w:val="2"/>
          <w:lang w:eastAsia="ja-JP" w:bidi="ar-SA"/>
        </w:rPr>
        <w:t>20F</w:t>
      </w:r>
      <w:r w:rsidR="00BE5B50" w:rsidRPr="004C12C9">
        <w:rPr>
          <w:rFonts w:eastAsia="MS Mincho"/>
          <w:vertAlign w:val="superscript"/>
          <w:lang w:eastAsia="ja-JP" w:bidi="ar-SA"/>
        </w:rPr>
        <w:footnoteReference w:id="22"/>
      </w:r>
      <w:r w:rsidR="00BE5B50" w:rsidRPr="004C12C9">
        <w:rPr>
          <w:rFonts w:eastAsia="MS Mincho"/>
          <w:lang w:eastAsia="ja-JP" w:bidi="ar-SA"/>
        </w:rPr>
        <w:t xml:space="preserve"> As a first step, each material included in the </w:t>
      </w:r>
      <w:r w:rsidR="007D3E2F" w:rsidRPr="004C12C9">
        <w:t xml:space="preserve">calculator </w:t>
      </w:r>
      <w:r w:rsidRPr="004C12C9">
        <w:rPr>
          <w:rFonts w:eastAsia="MS Mincho"/>
          <w:lang w:eastAsia="ja-JP" w:bidi="ar-SA"/>
        </w:rPr>
        <w:t>is</w:t>
      </w:r>
      <w:r w:rsidR="00FE16C7" w:rsidRPr="004C12C9">
        <w:rPr>
          <w:rFonts w:eastAsia="MS Mincho"/>
          <w:lang w:eastAsia="ja-JP" w:bidi="ar-SA"/>
        </w:rPr>
        <w:t xml:space="preserve"> mapped </w:t>
      </w:r>
      <w:r w:rsidR="00BE5B50" w:rsidRPr="004C12C9">
        <w:rPr>
          <w:rFonts w:eastAsia="MS Mincho"/>
          <w:lang w:eastAsia="ja-JP" w:bidi="ar-SA"/>
        </w:rPr>
        <w:t xml:space="preserve">to the closest corresponding manufacturing NAICS code, as summarized below in </w:t>
      </w:r>
      <w:r w:rsidR="00BE5B50" w:rsidRPr="004C12C9">
        <w:rPr>
          <w:rFonts w:eastAsia="MS Mincho"/>
          <w:lang w:eastAsia="ja-JP" w:bidi="ar-SA"/>
        </w:rPr>
        <w:fldChar w:fldCharType="begin" w:fldLock="1"/>
      </w:r>
      <w:r w:rsidR="00BE5B50" w:rsidRPr="004C12C9">
        <w:rPr>
          <w:rFonts w:eastAsia="MS Mincho"/>
          <w:lang w:eastAsia="ja-JP" w:bidi="ar-SA"/>
        </w:rPr>
        <w:instrText xml:space="preserve"> REF _Ref184203479 \h  \* MERGEFORMAT </w:instrText>
      </w:r>
      <w:r w:rsidR="00BE5B50" w:rsidRPr="004C12C9">
        <w:rPr>
          <w:rFonts w:eastAsia="MS Mincho"/>
          <w:lang w:eastAsia="ja-JP" w:bidi="ar-SA"/>
        </w:rPr>
      </w:r>
      <w:r w:rsidR="00BE5B50"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13</w:t>
      </w:r>
      <w:r w:rsidR="00BE5B50" w:rsidRPr="004C12C9">
        <w:rPr>
          <w:rFonts w:eastAsia="MS Mincho"/>
          <w:lang w:eastAsia="ja-JP" w:bidi="ar-SA"/>
        </w:rPr>
        <w:fldChar w:fldCharType="end"/>
      </w:r>
      <w:r w:rsidR="00BE5B50" w:rsidRPr="004C12C9">
        <w:rPr>
          <w:rFonts w:eastAsia="MS Mincho"/>
          <w:lang w:eastAsia="ja-JP" w:bidi="ar-SA"/>
        </w:rPr>
        <w:t>.</w:t>
      </w:r>
    </w:p>
    <w:p w14:paraId="16DB946C" w14:textId="5B5E43C4" w:rsidR="00BE5B50" w:rsidRPr="004C12C9" w:rsidRDefault="00BE5B50" w:rsidP="0098131C">
      <w:pPr>
        <w:pStyle w:val="Caption"/>
        <w:rPr>
          <w:rFonts w:asciiTheme="minorHAnsi" w:eastAsia="MS Mincho" w:hAnsiTheme="minorHAnsi" w:cstheme="minorHAnsi"/>
          <w:b w:val="0"/>
          <w:lang w:eastAsia="ja-JP" w:bidi="ar-SA"/>
        </w:rPr>
      </w:pPr>
      <w:bookmarkStart w:id="59" w:name="_Ref184203479"/>
      <w:r w:rsidRPr="004C12C9">
        <w:rPr>
          <w:rFonts w:eastAsia="MS Mincho"/>
          <w:lang w:eastAsia="ja-JP" w:bidi="ar-SA"/>
        </w:rPr>
        <w:lastRenderedPageBreak/>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13</w:t>
      </w:r>
      <w:r w:rsidR="00F72B41">
        <w:rPr>
          <w:rFonts w:eastAsia="MS Mincho"/>
          <w:lang w:eastAsia="ja-JP" w:bidi="ar-SA"/>
        </w:rPr>
        <w:fldChar w:fldCharType="end"/>
      </w:r>
      <w:bookmarkEnd w:id="59"/>
      <w:r w:rsidRPr="004C12C9">
        <w:rPr>
          <w:rFonts w:eastAsia="MS Mincho"/>
          <w:lang w:eastAsia="ja-JP" w:bidi="ar-SA"/>
        </w:rPr>
        <w:t>. NAICS Codes Mapp</w:t>
      </w:r>
      <w:r w:rsidR="006418E2" w:rsidRPr="004C12C9">
        <w:rPr>
          <w:rFonts w:eastAsia="MS Mincho"/>
          <w:lang w:eastAsia="ja-JP" w:bidi="ar-SA"/>
        </w:rPr>
        <w:t>ed</w:t>
      </w:r>
      <w:r w:rsidRPr="004C12C9">
        <w:rPr>
          <w:rFonts w:eastAsia="MS Mincho"/>
          <w:lang w:eastAsia="ja-JP" w:bidi="ar-SA"/>
        </w:rPr>
        <w:t xml:space="preserve"> to Material Types</w:t>
      </w:r>
    </w:p>
    <w:tbl>
      <w:tblPr>
        <w:tblW w:w="388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18"/>
        <w:gridCol w:w="5506"/>
      </w:tblGrid>
      <w:tr w:rsidR="00BE5B50" w:rsidRPr="004C12C9" w14:paraId="574D1ED8" w14:textId="77777777" w:rsidTr="00A2561C">
        <w:trPr>
          <w:trHeight w:val="295"/>
        </w:trPr>
        <w:tc>
          <w:tcPr>
            <w:tcW w:w="2318" w:type="dxa"/>
            <w:shd w:val="clear" w:color="auto" w:fill="D9D9D9" w:themeFill="background1" w:themeFillShade="D9"/>
            <w:noWrap/>
            <w:vAlign w:val="center"/>
            <w:hideMark/>
          </w:tcPr>
          <w:p w14:paraId="00D9B7CC" w14:textId="77777777" w:rsidR="00BE5B50" w:rsidRPr="004C12C9" w:rsidRDefault="00BE5B50" w:rsidP="00A2561C">
            <w:pPr>
              <w:pStyle w:val="ICFTableHeading"/>
              <w:keepNext/>
              <w:rPr>
                <w:rFonts w:asciiTheme="minorHAnsi" w:hAnsiTheme="minorHAnsi" w:cstheme="minorHAnsi"/>
                <w:b w:val="0"/>
                <w:color w:val="FFFFFF"/>
                <w:sz w:val="20"/>
                <w:lang w:bidi="ar-SA"/>
              </w:rPr>
            </w:pPr>
            <w:r w:rsidRPr="004C12C9">
              <w:rPr>
                <w:lang w:bidi="ar-SA"/>
              </w:rPr>
              <w:t>Material Type</w:t>
            </w:r>
          </w:p>
        </w:tc>
        <w:tc>
          <w:tcPr>
            <w:tcW w:w="5507" w:type="dxa"/>
            <w:shd w:val="clear" w:color="auto" w:fill="D9D9D9" w:themeFill="background1" w:themeFillShade="D9"/>
            <w:vAlign w:val="center"/>
            <w:hideMark/>
          </w:tcPr>
          <w:p w14:paraId="3B6CC84E" w14:textId="77777777" w:rsidR="00BE5B50" w:rsidRPr="004C12C9" w:rsidRDefault="00BE5B50" w:rsidP="00A2561C">
            <w:pPr>
              <w:pStyle w:val="ICFTableHeading"/>
              <w:keepNext/>
              <w:rPr>
                <w:rFonts w:asciiTheme="minorHAnsi" w:hAnsiTheme="minorHAnsi" w:cstheme="minorHAnsi"/>
                <w:b w:val="0"/>
                <w:color w:val="FFFFFF"/>
                <w:sz w:val="20"/>
                <w:lang w:bidi="ar-SA"/>
              </w:rPr>
            </w:pPr>
            <w:r w:rsidRPr="004C12C9">
              <w:rPr>
                <w:lang w:bidi="ar-SA"/>
              </w:rPr>
              <w:t>NAICS Code Mapped</w:t>
            </w:r>
          </w:p>
        </w:tc>
      </w:tr>
      <w:tr w:rsidR="00BE5B50" w:rsidRPr="004C12C9" w14:paraId="6625D36F" w14:textId="77777777" w:rsidTr="00A2561C">
        <w:trPr>
          <w:trHeight w:val="20"/>
        </w:trPr>
        <w:tc>
          <w:tcPr>
            <w:tcW w:w="2318" w:type="dxa"/>
            <w:noWrap/>
            <w:vAlign w:val="center"/>
            <w:hideMark/>
          </w:tcPr>
          <w:p w14:paraId="44A526DA" w14:textId="77777777" w:rsidR="00BE5B50" w:rsidRPr="004C12C9" w:rsidRDefault="00BE5B50" w:rsidP="00F85044">
            <w:pPr>
              <w:pStyle w:val="ICFTabletext"/>
              <w:rPr>
                <w:lang w:bidi="ar-SA"/>
              </w:rPr>
            </w:pPr>
            <w:r w:rsidRPr="004C12C9">
              <w:rPr>
                <w:lang w:bidi="ar-SA"/>
              </w:rPr>
              <w:t>Aluminum</w:t>
            </w:r>
          </w:p>
        </w:tc>
        <w:tc>
          <w:tcPr>
            <w:tcW w:w="5507" w:type="dxa"/>
            <w:vAlign w:val="center"/>
            <w:hideMark/>
          </w:tcPr>
          <w:p w14:paraId="0ED03FA2" w14:textId="77777777" w:rsidR="00BE5B50" w:rsidRPr="004C12C9" w:rsidRDefault="00BE5B50" w:rsidP="00F85044">
            <w:pPr>
              <w:pStyle w:val="ICFTabletext"/>
              <w:rPr>
                <w:lang w:bidi="ar-SA"/>
              </w:rPr>
            </w:pPr>
            <w:r w:rsidRPr="004C12C9">
              <w:rPr>
                <w:lang w:bidi="ar-SA"/>
              </w:rPr>
              <w:t>331- Primary Metal Manufacturing</w:t>
            </w:r>
          </w:p>
        </w:tc>
      </w:tr>
      <w:tr w:rsidR="00BE5B50" w:rsidRPr="004C12C9" w14:paraId="12B6D37B" w14:textId="77777777" w:rsidTr="00A2561C">
        <w:trPr>
          <w:trHeight w:val="20"/>
        </w:trPr>
        <w:tc>
          <w:tcPr>
            <w:tcW w:w="2318" w:type="dxa"/>
            <w:noWrap/>
            <w:vAlign w:val="center"/>
          </w:tcPr>
          <w:p w14:paraId="542D4242" w14:textId="0DFDC51B" w:rsidR="00BE5B50" w:rsidRPr="004C12C9" w:rsidRDefault="00BE5B50" w:rsidP="00F85044">
            <w:pPr>
              <w:pStyle w:val="ICFTabletext"/>
              <w:rPr>
                <w:lang w:bidi="ar-SA"/>
              </w:rPr>
            </w:pPr>
            <w:r w:rsidRPr="004C12C9">
              <w:rPr>
                <w:lang w:bidi="ar-SA"/>
              </w:rPr>
              <w:t>Asphalt</w:t>
            </w:r>
            <w:r w:rsidR="00770B25" w:rsidRPr="004C12C9">
              <w:rPr>
                <w:vertAlign w:val="superscript"/>
                <w:lang w:bidi="ar-SA"/>
              </w:rPr>
              <w:t>a</w:t>
            </w:r>
          </w:p>
        </w:tc>
        <w:tc>
          <w:tcPr>
            <w:tcW w:w="5507" w:type="dxa"/>
            <w:vAlign w:val="center"/>
          </w:tcPr>
          <w:p w14:paraId="6753BE42" w14:textId="77777777" w:rsidR="00BE5B50" w:rsidRPr="004C12C9" w:rsidRDefault="00BE5B50" w:rsidP="00F85044">
            <w:pPr>
              <w:pStyle w:val="ICFTabletext"/>
              <w:rPr>
                <w:lang w:bidi="ar-SA"/>
              </w:rPr>
            </w:pPr>
            <w:r w:rsidRPr="004C12C9">
              <w:rPr>
                <w:lang w:bidi="ar-SA"/>
              </w:rPr>
              <w:t>NA</w:t>
            </w:r>
          </w:p>
        </w:tc>
      </w:tr>
      <w:tr w:rsidR="00BE5B50" w:rsidRPr="004C12C9" w14:paraId="5F4AD10F" w14:textId="77777777" w:rsidTr="00A2561C">
        <w:trPr>
          <w:trHeight w:val="20"/>
        </w:trPr>
        <w:tc>
          <w:tcPr>
            <w:tcW w:w="2318" w:type="dxa"/>
            <w:noWrap/>
            <w:vAlign w:val="center"/>
          </w:tcPr>
          <w:p w14:paraId="0ADBBF92" w14:textId="77777777" w:rsidR="00BE5B50" w:rsidRPr="004C12C9" w:rsidRDefault="00BE5B50" w:rsidP="00F85044">
            <w:pPr>
              <w:pStyle w:val="ICFTabletext"/>
              <w:rPr>
                <w:lang w:bidi="ar-SA"/>
              </w:rPr>
            </w:pPr>
            <w:r w:rsidRPr="004C12C9">
              <w:rPr>
                <w:lang w:bidi="ar-SA"/>
              </w:rPr>
              <w:t>Brick</w:t>
            </w:r>
          </w:p>
        </w:tc>
        <w:tc>
          <w:tcPr>
            <w:tcW w:w="5507" w:type="dxa"/>
            <w:vAlign w:val="center"/>
          </w:tcPr>
          <w:p w14:paraId="2B510C1F" w14:textId="77777777" w:rsidR="00BE5B50" w:rsidRPr="004C12C9" w:rsidRDefault="00BE5B50" w:rsidP="00F85044">
            <w:pPr>
              <w:pStyle w:val="ICFTabletext"/>
              <w:rPr>
                <w:lang w:bidi="ar-SA"/>
              </w:rPr>
            </w:pPr>
            <w:r w:rsidRPr="004C12C9">
              <w:rPr>
                <w:lang w:bidi="ar-SA"/>
              </w:rPr>
              <w:t>327- Nonmetallic Mineral Product Manufacturing</w:t>
            </w:r>
          </w:p>
        </w:tc>
      </w:tr>
      <w:tr w:rsidR="00BE5B50" w:rsidRPr="004C12C9" w14:paraId="424BD7F0" w14:textId="77777777" w:rsidTr="00A2561C">
        <w:trPr>
          <w:trHeight w:val="20"/>
        </w:trPr>
        <w:tc>
          <w:tcPr>
            <w:tcW w:w="2318" w:type="dxa"/>
            <w:noWrap/>
            <w:vAlign w:val="center"/>
          </w:tcPr>
          <w:p w14:paraId="54431772" w14:textId="76313C4A" w:rsidR="00BE5B50" w:rsidRPr="004C12C9" w:rsidRDefault="00BE5B50" w:rsidP="00F85044">
            <w:pPr>
              <w:pStyle w:val="ICFTabletext"/>
              <w:rPr>
                <w:lang w:bidi="ar-SA"/>
              </w:rPr>
            </w:pPr>
            <w:r w:rsidRPr="004C12C9">
              <w:rPr>
                <w:lang w:bidi="ar-SA"/>
              </w:rPr>
              <w:t>Concrete</w:t>
            </w:r>
            <w:r w:rsidR="00770B25" w:rsidRPr="004C12C9">
              <w:rPr>
                <w:vertAlign w:val="superscript"/>
                <w:lang w:bidi="ar-SA"/>
              </w:rPr>
              <w:t>a</w:t>
            </w:r>
          </w:p>
        </w:tc>
        <w:tc>
          <w:tcPr>
            <w:tcW w:w="5507" w:type="dxa"/>
            <w:vAlign w:val="center"/>
          </w:tcPr>
          <w:p w14:paraId="2CE758F1" w14:textId="77777777" w:rsidR="00BE5B50" w:rsidRPr="004C12C9" w:rsidRDefault="00BE5B50" w:rsidP="00F85044">
            <w:pPr>
              <w:pStyle w:val="ICFTabletext"/>
              <w:rPr>
                <w:lang w:bidi="ar-SA"/>
              </w:rPr>
            </w:pPr>
            <w:r w:rsidRPr="004C12C9">
              <w:rPr>
                <w:lang w:bidi="ar-SA"/>
              </w:rPr>
              <w:t>NA</w:t>
            </w:r>
          </w:p>
        </w:tc>
      </w:tr>
      <w:tr w:rsidR="00BE5B50" w:rsidRPr="004C12C9" w14:paraId="6BCCF916" w14:textId="77777777" w:rsidTr="00A2561C">
        <w:trPr>
          <w:trHeight w:val="20"/>
        </w:trPr>
        <w:tc>
          <w:tcPr>
            <w:tcW w:w="2318" w:type="dxa"/>
            <w:noWrap/>
            <w:vAlign w:val="center"/>
            <w:hideMark/>
          </w:tcPr>
          <w:p w14:paraId="72A7E97A" w14:textId="77777777" w:rsidR="00BE5B50" w:rsidRPr="004C12C9" w:rsidRDefault="00BE5B50" w:rsidP="00F85044">
            <w:pPr>
              <w:pStyle w:val="ICFTabletext"/>
              <w:rPr>
                <w:lang w:bidi="ar-SA"/>
              </w:rPr>
            </w:pPr>
            <w:r w:rsidRPr="004C12C9">
              <w:rPr>
                <w:lang w:bidi="ar-SA"/>
              </w:rPr>
              <w:t>Glass</w:t>
            </w:r>
          </w:p>
        </w:tc>
        <w:tc>
          <w:tcPr>
            <w:tcW w:w="5507" w:type="dxa"/>
            <w:vAlign w:val="center"/>
            <w:hideMark/>
          </w:tcPr>
          <w:p w14:paraId="2EB4DE9D" w14:textId="77777777" w:rsidR="00BE5B50" w:rsidRPr="004C12C9" w:rsidRDefault="00BE5B50" w:rsidP="00F85044">
            <w:pPr>
              <w:pStyle w:val="ICFTabletext"/>
              <w:rPr>
                <w:lang w:bidi="ar-SA"/>
              </w:rPr>
            </w:pPr>
            <w:r w:rsidRPr="004C12C9">
              <w:rPr>
                <w:lang w:bidi="ar-SA"/>
              </w:rPr>
              <w:t>327- Nonmetallic Mineral Product Manufacturing</w:t>
            </w:r>
          </w:p>
        </w:tc>
      </w:tr>
      <w:tr w:rsidR="00BE5B50" w:rsidRPr="004C12C9" w14:paraId="6A597868" w14:textId="77777777" w:rsidTr="00A2561C">
        <w:trPr>
          <w:trHeight w:val="20"/>
        </w:trPr>
        <w:tc>
          <w:tcPr>
            <w:tcW w:w="2318" w:type="dxa"/>
            <w:noWrap/>
            <w:vAlign w:val="center"/>
          </w:tcPr>
          <w:p w14:paraId="317CA8D8" w14:textId="77777777" w:rsidR="00BE5B50" w:rsidRPr="004C12C9" w:rsidRDefault="00BE5B50" w:rsidP="00F85044">
            <w:pPr>
              <w:pStyle w:val="ICFTabletext"/>
              <w:rPr>
                <w:lang w:bidi="ar-SA"/>
              </w:rPr>
            </w:pPr>
            <w:r w:rsidRPr="004C12C9">
              <w:rPr>
                <w:lang w:bidi="ar-SA"/>
              </w:rPr>
              <w:t>Insulation</w:t>
            </w:r>
          </w:p>
        </w:tc>
        <w:tc>
          <w:tcPr>
            <w:tcW w:w="5507" w:type="dxa"/>
            <w:vAlign w:val="center"/>
          </w:tcPr>
          <w:p w14:paraId="16663705" w14:textId="77777777" w:rsidR="00BE5B50" w:rsidRPr="004C12C9" w:rsidRDefault="00BE5B50" w:rsidP="00F85044">
            <w:pPr>
              <w:pStyle w:val="ICFTabletext"/>
              <w:rPr>
                <w:lang w:bidi="ar-SA"/>
              </w:rPr>
            </w:pPr>
            <w:r w:rsidRPr="004C12C9">
              <w:rPr>
                <w:lang w:bidi="ar-SA"/>
              </w:rPr>
              <w:t>327- Nonmetallic Mineral Product Manufacturing</w:t>
            </w:r>
          </w:p>
        </w:tc>
      </w:tr>
      <w:tr w:rsidR="00BE5B50" w:rsidRPr="004C12C9" w14:paraId="71264670" w14:textId="77777777" w:rsidTr="00A2561C">
        <w:trPr>
          <w:trHeight w:val="20"/>
        </w:trPr>
        <w:tc>
          <w:tcPr>
            <w:tcW w:w="2318" w:type="dxa"/>
            <w:noWrap/>
            <w:vAlign w:val="center"/>
            <w:hideMark/>
          </w:tcPr>
          <w:p w14:paraId="056D1376" w14:textId="77777777" w:rsidR="00BE5B50" w:rsidRPr="004C12C9" w:rsidRDefault="00BE5B50" w:rsidP="00F85044">
            <w:pPr>
              <w:pStyle w:val="ICFTabletext"/>
              <w:rPr>
                <w:lang w:bidi="ar-SA"/>
              </w:rPr>
            </w:pPr>
            <w:r w:rsidRPr="004C12C9">
              <w:rPr>
                <w:lang w:bidi="ar-SA"/>
              </w:rPr>
              <w:t>Steel</w:t>
            </w:r>
          </w:p>
        </w:tc>
        <w:tc>
          <w:tcPr>
            <w:tcW w:w="5507" w:type="dxa"/>
            <w:vAlign w:val="center"/>
            <w:hideMark/>
          </w:tcPr>
          <w:p w14:paraId="44905C00" w14:textId="77777777" w:rsidR="00BE5B50" w:rsidRPr="004C12C9" w:rsidRDefault="00BE5B50" w:rsidP="00F85044">
            <w:pPr>
              <w:pStyle w:val="ICFTabletext"/>
              <w:rPr>
                <w:lang w:bidi="ar-SA"/>
              </w:rPr>
            </w:pPr>
            <w:r w:rsidRPr="004C12C9">
              <w:rPr>
                <w:lang w:bidi="ar-SA"/>
              </w:rPr>
              <w:t>332- Fabricated Metal Product Manufacturing</w:t>
            </w:r>
          </w:p>
        </w:tc>
      </w:tr>
      <w:tr w:rsidR="00BE5B50" w:rsidRPr="004C12C9" w14:paraId="3119D22A" w14:textId="77777777" w:rsidTr="00A2561C">
        <w:trPr>
          <w:trHeight w:val="20"/>
        </w:trPr>
        <w:tc>
          <w:tcPr>
            <w:tcW w:w="2318" w:type="dxa"/>
            <w:noWrap/>
            <w:vAlign w:val="center"/>
            <w:hideMark/>
          </w:tcPr>
          <w:p w14:paraId="646919BE" w14:textId="77777777" w:rsidR="00BE5B50" w:rsidRPr="004C12C9" w:rsidRDefault="00BE5B50" w:rsidP="00F85044">
            <w:pPr>
              <w:pStyle w:val="ICFTabletext"/>
              <w:rPr>
                <w:lang w:bidi="ar-SA"/>
              </w:rPr>
            </w:pPr>
            <w:r w:rsidRPr="004C12C9">
              <w:rPr>
                <w:lang w:bidi="ar-SA"/>
              </w:rPr>
              <w:t>Wood Products</w:t>
            </w:r>
          </w:p>
        </w:tc>
        <w:tc>
          <w:tcPr>
            <w:tcW w:w="5507" w:type="dxa"/>
            <w:vAlign w:val="center"/>
            <w:hideMark/>
          </w:tcPr>
          <w:p w14:paraId="2F0D6CF5" w14:textId="77777777" w:rsidR="00BE5B50" w:rsidRPr="004C12C9" w:rsidRDefault="00BE5B50" w:rsidP="00F85044">
            <w:pPr>
              <w:pStyle w:val="ICFTabletext"/>
              <w:rPr>
                <w:lang w:bidi="ar-SA"/>
              </w:rPr>
            </w:pPr>
            <w:r w:rsidRPr="004C12C9">
              <w:rPr>
                <w:lang w:bidi="ar-SA"/>
              </w:rPr>
              <w:t>321- Wood Product Manufacturing</w:t>
            </w:r>
          </w:p>
        </w:tc>
      </w:tr>
    </w:tbl>
    <w:p w14:paraId="46A062F5" w14:textId="6CDDFD05" w:rsidR="00BE5B50" w:rsidRPr="004C12C9" w:rsidRDefault="00770B25" w:rsidP="00F85044">
      <w:pPr>
        <w:pStyle w:val="TableFooter"/>
        <w:rPr>
          <w:rFonts w:asciiTheme="minorHAnsi" w:eastAsia="MS Mincho" w:hAnsiTheme="minorHAnsi" w:cstheme="minorHAnsi"/>
          <w:lang w:eastAsia="ja-JP" w:bidi="ar-SA"/>
        </w:rPr>
      </w:pPr>
      <w:r w:rsidRPr="004C12C9">
        <w:rPr>
          <w:vertAlign w:val="superscript"/>
          <w:lang w:bidi="ar-SA"/>
        </w:rPr>
        <w:t>a</w:t>
      </w:r>
      <w:r w:rsidR="00DA4DBA" w:rsidRPr="004C12C9">
        <w:rPr>
          <w:vertAlign w:val="superscript"/>
          <w:lang w:bidi="ar-SA"/>
        </w:rPr>
        <w:t xml:space="preserve"> </w:t>
      </w:r>
      <w:r w:rsidR="00BE5B50" w:rsidRPr="004C12C9">
        <w:rPr>
          <w:rFonts w:eastAsia="MS Mincho"/>
          <w:lang w:eastAsia="ja-JP" w:bidi="ar-SA"/>
        </w:rPr>
        <w:t>CFS data were not used to develop assumptions for Asphalt and Concrete.</w:t>
      </w:r>
    </w:p>
    <w:p w14:paraId="120138B5" w14:textId="6256BF3A" w:rsidR="00BE5B50" w:rsidRPr="004C12C9" w:rsidRDefault="001D289E" w:rsidP="00972CF9">
      <w:pPr>
        <w:rPr>
          <w:rFonts w:eastAsia="MS Mincho"/>
          <w:lang w:eastAsia="ja-JP" w:bidi="ar-SA"/>
        </w:rPr>
      </w:pPr>
      <w:r w:rsidRPr="004C12C9">
        <w:rPr>
          <w:rFonts w:eastAsia="MS Mincho"/>
          <w:lang w:eastAsia="ja-JP" w:bidi="ar-SA"/>
        </w:rPr>
        <w:t>T</w:t>
      </w:r>
      <w:r w:rsidR="00BE5B50" w:rsidRPr="004C12C9">
        <w:rPr>
          <w:rFonts w:eastAsia="MS Mincho"/>
          <w:lang w:eastAsia="ja-JP" w:bidi="ar-SA"/>
        </w:rPr>
        <w:t xml:space="preserve">he CFS data </w:t>
      </w:r>
      <w:r w:rsidR="001249A4" w:rsidRPr="004C12C9">
        <w:rPr>
          <w:rFonts w:eastAsia="MS Mincho"/>
          <w:lang w:eastAsia="ja-JP" w:bidi="ar-SA"/>
        </w:rPr>
        <w:t>are</w:t>
      </w:r>
      <w:r w:rsidRPr="004C12C9">
        <w:rPr>
          <w:rFonts w:eastAsia="MS Mincho"/>
          <w:lang w:eastAsia="ja-JP" w:bidi="ar-SA"/>
        </w:rPr>
        <w:t xml:space="preserve"> then used </w:t>
      </w:r>
      <w:r w:rsidR="00BE5B50" w:rsidRPr="004C12C9">
        <w:rPr>
          <w:rFonts w:eastAsia="MS Mincho"/>
          <w:lang w:eastAsia="ja-JP" w:bidi="ar-SA"/>
        </w:rPr>
        <w:t>to calculate the average distance traveled within the United States per shipment to Minnesota for each NAICS code category</w:t>
      </w:r>
      <w:r w:rsidR="007F5E3D" w:rsidRPr="004C12C9">
        <w:rPr>
          <w:rFonts w:eastAsia="MS Mincho"/>
          <w:lang w:eastAsia="ja-JP" w:bidi="ar-SA"/>
        </w:rPr>
        <w:t xml:space="preserve"> (see </w:t>
      </w:r>
      <w:r w:rsidR="00BE5B50" w:rsidRPr="004C12C9">
        <w:rPr>
          <w:rFonts w:eastAsia="MS Mincho"/>
          <w:lang w:eastAsia="ja-JP" w:bidi="ar-SA"/>
        </w:rPr>
        <w:fldChar w:fldCharType="begin" w:fldLock="1"/>
      </w:r>
      <w:r w:rsidR="00BE5B50" w:rsidRPr="004C12C9">
        <w:rPr>
          <w:rFonts w:eastAsia="MS Mincho"/>
          <w:lang w:eastAsia="ja-JP" w:bidi="ar-SA"/>
        </w:rPr>
        <w:instrText xml:space="preserve"> REF _Ref185425988 \h  \* MERGEFORMAT </w:instrText>
      </w:r>
      <w:r w:rsidR="00BE5B50" w:rsidRPr="004C12C9">
        <w:rPr>
          <w:rFonts w:eastAsia="MS Mincho"/>
          <w:lang w:eastAsia="ja-JP" w:bidi="ar-SA"/>
        </w:rPr>
      </w:r>
      <w:r w:rsidR="00BE5B50"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14</w:t>
      </w:r>
      <w:r w:rsidR="00BE5B50" w:rsidRPr="004C12C9">
        <w:rPr>
          <w:rFonts w:eastAsia="MS Mincho"/>
          <w:lang w:eastAsia="ja-JP" w:bidi="ar-SA"/>
        </w:rPr>
        <w:fldChar w:fldCharType="end"/>
      </w:r>
      <w:r w:rsidR="007F5E3D" w:rsidRPr="004C12C9">
        <w:rPr>
          <w:rFonts w:eastAsia="MS Mincho"/>
          <w:lang w:eastAsia="ja-JP" w:bidi="ar-SA"/>
        </w:rPr>
        <w:t>)</w:t>
      </w:r>
      <w:r w:rsidR="00BE5B50" w:rsidRPr="004C12C9">
        <w:rPr>
          <w:rFonts w:eastAsia="MS Mincho"/>
          <w:lang w:eastAsia="ja-JP" w:bidi="ar-SA"/>
        </w:rPr>
        <w:t xml:space="preserve">. This </w:t>
      </w:r>
      <w:r w:rsidR="0077249E" w:rsidRPr="004C12C9">
        <w:rPr>
          <w:rFonts w:eastAsia="MS Mincho"/>
          <w:lang w:eastAsia="ja-JP" w:bidi="ar-SA"/>
        </w:rPr>
        <w:t>is</w:t>
      </w:r>
      <w:r w:rsidR="00BE5B50" w:rsidRPr="004C12C9">
        <w:rPr>
          <w:rFonts w:eastAsia="MS Mincho"/>
          <w:lang w:eastAsia="ja-JP" w:bidi="ar-SA"/>
        </w:rPr>
        <w:t xml:space="preserve"> calculated for each relevant NAICS code category by dividing the total number of miles traveled by the total number of shipments. For example, to calculate the average distance traveled of Steel (NAICS Code 331) shipped to Minnesota, the total miles of all 2017 steel shipments to Minnesota (</w:t>
      </w:r>
      <w:bookmarkStart w:id="60" w:name="_Hlk194995117"/>
      <w:r w:rsidR="00BD537E" w:rsidRPr="004C12C9">
        <w:rPr>
          <w:rFonts w:eastAsia="MS Mincho"/>
          <w:lang w:eastAsia="ja-JP" w:bidi="ar-SA"/>
        </w:rPr>
        <w:t>roughly</w:t>
      </w:r>
      <w:bookmarkEnd w:id="60"/>
      <w:r w:rsidR="00BD537E" w:rsidRPr="004C12C9">
        <w:rPr>
          <w:rFonts w:eastAsia="MS Mincho"/>
          <w:lang w:eastAsia="ja-JP" w:bidi="ar-SA"/>
        </w:rPr>
        <w:t xml:space="preserve"> </w:t>
      </w:r>
      <w:r w:rsidR="00BE5B50" w:rsidRPr="004C12C9">
        <w:rPr>
          <w:rFonts w:eastAsia="MS Mincho"/>
          <w:lang w:eastAsia="ja-JP" w:bidi="ar-SA"/>
        </w:rPr>
        <w:t xml:space="preserve">260 million) </w:t>
      </w:r>
      <w:r w:rsidR="0077249E" w:rsidRPr="004C12C9">
        <w:rPr>
          <w:rFonts w:eastAsia="MS Mincho"/>
          <w:lang w:eastAsia="ja-JP" w:bidi="ar-SA"/>
        </w:rPr>
        <w:t>is</w:t>
      </w:r>
      <w:r w:rsidR="007F5E3D" w:rsidRPr="004C12C9">
        <w:rPr>
          <w:rFonts w:eastAsia="MS Mincho"/>
          <w:lang w:eastAsia="ja-JP" w:bidi="ar-SA"/>
        </w:rPr>
        <w:t xml:space="preserve"> divided </w:t>
      </w:r>
      <w:r w:rsidR="00BE5B50" w:rsidRPr="004C12C9">
        <w:rPr>
          <w:rFonts w:eastAsia="MS Mincho"/>
          <w:lang w:eastAsia="ja-JP" w:bidi="ar-SA"/>
        </w:rPr>
        <w:t>by the total number of steel shipments to Minnesota (</w:t>
      </w:r>
      <w:r w:rsidR="00BD537E" w:rsidRPr="004C12C9">
        <w:rPr>
          <w:rFonts w:eastAsia="MS Mincho"/>
          <w:lang w:eastAsia="ja-JP" w:bidi="ar-SA"/>
        </w:rPr>
        <w:t xml:space="preserve">roughly </w:t>
      </w:r>
      <w:r w:rsidR="00BE5B50" w:rsidRPr="004C12C9">
        <w:rPr>
          <w:rFonts w:eastAsia="MS Mincho"/>
          <w:lang w:eastAsia="ja-JP" w:bidi="ar-SA"/>
        </w:rPr>
        <w:t>553</w:t>
      </w:r>
      <w:r w:rsidR="00C97085" w:rsidRPr="004C12C9">
        <w:rPr>
          <w:rFonts w:eastAsia="MS Mincho"/>
          <w:lang w:eastAsia="ja-JP" w:bidi="ar-SA"/>
        </w:rPr>
        <w:t>,</w:t>
      </w:r>
      <w:r w:rsidR="00BD537E" w:rsidRPr="004C12C9">
        <w:rPr>
          <w:rFonts w:eastAsia="MS Mincho"/>
          <w:lang w:eastAsia="ja-JP" w:bidi="ar-SA"/>
        </w:rPr>
        <w:t>000</w:t>
      </w:r>
      <w:r w:rsidR="00BE5B50" w:rsidRPr="004C12C9">
        <w:rPr>
          <w:rFonts w:eastAsia="MS Mincho"/>
          <w:lang w:eastAsia="ja-JP" w:bidi="ar-SA"/>
        </w:rPr>
        <w:t>)</w:t>
      </w:r>
      <w:r w:rsidR="00660202" w:rsidRPr="004C12C9">
        <w:rPr>
          <w:rFonts w:eastAsia="MS Mincho"/>
          <w:lang w:eastAsia="ja-JP" w:bidi="ar-SA"/>
        </w:rPr>
        <w:t xml:space="preserve">, resulting in </w:t>
      </w:r>
      <w:r w:rsidR="00BE5B50" w:rsidRPr="004C12C9">
        <w:rPr>
          <w:rFonts w:eastAsia="MS Mincho"/>
          <w:lang w:eastAsia="ja-JP" w:bidi="ar-SA"/>
        </w:rPr>
        <w:t>an average steel shipment distance of approximately 470 miles.</w:t>
      </w:r>
    </w:p>
    <w:p w14:paraId="53E93A37" w14:textId="0E9736A1" w:rsidR="00BE5B50" w:rsidRPr="004C12C9" w:rsidRDefault="00BE5B50" w:rsidP="00793F4A">
      <w:pPr>
        <w:pStyle w:val="Caption"/>
        <w:keepNext w:val="0"/>
        <w:rPr>
          <w:rFonts w:asciiTheme="minorHAnsi" w:eastAsia="MS Mincho" w:hAnsiTheme="minorHAnsi" w:cstheme="minorHAnsi"/>
          <w:b w:val="0"/>
          <w:lang w:eastAsia="ja-JP" w:bidi="ar-SA"/>
        </w:rPr>
      </w:pPr>
      <w:bookmarkStart w:id="61" w:name="_Ref185425988"/>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14</w:t>
      </w:r>
      <w:r w:rsidR="00F72B41">
        <w:rPr>
          <w:rFonts w:eastAsia="MS Mincho"/>
          <w:lang w:eastAsia="ja-JP" w:bidi="ar-SA"/>
        </w:rPr>
        <w:fldChar w:fldCharType="end"/>
      </w:r>
      <w:bookmarkEnd w:id="61"/>
      <w:r w:rsidRPr="004C12C9">
        <w:rPr>
          <w:rFonts w:eastAsia="MS Mincho"/>
          <w:lang w:eastAsia="ja-JP" w:bidi="ar-SA"/>
        </w:rPr>
        <w:t>. Average Distance Traveled by Materials Sourced Domestically</w:t>
      </w:r>
    </w:p>
    <w:tbl>
      <w:tblPr>
        <w:tblW w:w="357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15"/>
        <w:gridCol w:w="4779"/>
      </w:tblGrid>
      <w:tr w:rsidR="00BE5B50" w:rsidRPr="004C12C9" w14:paraId="1CC0D44F" w14:textId="77777777" w:rsidTr="00793F4A">
        <w:trPr>
          <w:trHeight w:val="20"/>
          <w:tblHeader/>
        </w:trPr>
        <w:tc>
          <w:tcPr>
            <w:tcW w:w="2415" w:type="dxa"/>
            <w:shd w:val="clear" w:color="auto" w:fill="D9D9D9" w:themeFill="background1" w:themeFillShade="D9"/>
            <w:noWrap/>
            <w:vAlign w:val="center"/>
            <w:hideMark/>
          </w:tcPr>
          <w:p w14:paraId="356B2E3E" w14:textId="77777777" w:rsidR="00BE5B50" w:rsidRPr="004C12C9" w:rsidRDefault="00BE5B50" w:rsidP="00793F4A">
            <w:pPr>
              <w:pStyle w:val="ICFTableHeading"/>
              <w:rPr>
                <w:lang w:bidi="ar-SA"/>
              </w:rPr>
            </w:pPr>
            <w:r w:rsidRPr="004C12C9">
              <w:rPr>
                <w:lang w:bidi="ar-SA"/>
              </w:rPr>
              <w:t>Material</w:t>
            </w:r>
          </w:p>
        </w:tc>
        <w:tc>
          <w:tcPr>
            <w:tcW w:w="4780" w:type="dxa"/>
            <w:shd w:val="clear" w:color="auto" w:fill="D9D9D9" w:themeFill="background1" w:themeFillShade="D9"/>
            <w:vAlign w:val="center"/>
            <w:hideMark/>
          </w:tcPr>
          <w:p w14:paraId="6BD9C754" w14:textId="77777777" w:rsidR="00BE5B50" w:rsidRPr="004C12C9" w:rsidRDefault="00BE5B50" w:rsidP="00793F4A">
            <w:pPr>
              <w:pStyle w:val="ICFTableHeading"/>
              <w:rPr>
                <w:lang w:bidi="ar-SA"/>
              </w:rPr>
            </w:pPr>
            <w:r w:rsidRPr="004C12C9">
              <w:rPr>
                <w:szCs w:val="22"/>
                <w:lang w:bidi="ar-SA"/>
              </w:rPr>
              <w:t xml:space="preserve">Distance Traveled: </w:t>
            </w:r>
            <w:r w:rsidRPr="004C12C9">
              <w:rPr>
                <w:lang w:bidi="ar-SA"/>
              </w:rPr>
              <w:t>Domestic Shipments (miles)</w:t>
            </w:r>
          </w:p>
        </w:tc>
      </w:tr>
      <w:tr w:rsidR="00BE5B50" w:rsidRPr="004C12C9" w14:paraId="72954FE5" w14:textId="77777777" w:rsidTr="006F0E62">
        <w:trPr>
          <w:trHeight w:val="80"/>
        </w:trPr>
        <w:tc>
          <w:tcPr>
            <w:tcW w:w="2415" w:type="dxa"/>
            <w:noWrap/>
            <w:vAlign w:val="center"/>
            <w:hideMark/>
          </w:tcPr>
          <w:p w14:paraId="2C9D98AB" w14:textId="77777777" w:rsidR="00BE5B50" w:rsidRPr="004C12C9" w:rsidRDefault="00BE5B50" w:rsidP="00793F4A">
            <w:pPr>
              <w:pStyle w:val="ICFTabletext"/>
              <w:rPr>
                <w:lang w:bidi="ar-SA"/>
              </w:rPr>
            </w:pPr>
            <w:r w:rsidRPr="004C12C9">
              <w:rPr>
                <w:lang w:bidi="ar-SA"/>
              </w:rPr>
              <w:t>Aluminum</w:t>
            </w:r>
          </w:p>
        </w:tc>
        <w:tc>
          <w:tcPr>
            <w:tcW w:w="4780" w:type="dxa"/>
            <w:noWrap/>
            <w:vAlign w:val="bottom"/>
          </w:tcPr>
          <w:p w14:paraId="34F693EA" w14:textId="77777777" w:rsidR="00BE5B50" w:rsidRPr="004C12C9" w:rsidRDefault="00BE5B50" w:rsidP="00793F4A">
            <w:pPr>
              <w:pStyle w:val="ICFTabletext"/>
              <w:jc w:val="center"/>
              <w:rPr>
                <w:lang w:bidi="ar-SA"/>
              </w:rPr>
            </w:pPr>
            <w:r w:rsidRPr="004C12C9">
              <w:rPr>
                <w:lang w:bidi="ar-SA"/>
              </w:rPr>
              <w:t>607</w:t>
            </w:r>
          </w:p>
        </w:tc>
      </w:tr>
      <w:tr w:rsidR="00BE5B50" w:rsidRPr="004C12C9" w14:paraId="07243792" w14:textId="77777777" w:rsidTr="006F0E62">
        <w:trPr>
          <w:trHeight w:val="20"/>
        </w:trPr>
        <w:tc>
          <w:tcPr>
            <w:tcW w:w="2415" w:type="dxa"/>
            <w:noWrap/>
            <w:vAlign w:val="center"/>
            <w:hideMark/>
          </w:tcPr>
          <w:p w14:paraId="652706DD" w14:textId="77777777" w:rsidR="00BE5B50" w:rsidRPr="004C12C9" w:rsidRDefault="00BE5B50" w:rsidP="00793F4A">
            <w:pPr>
              <w:pStyle w:val="ICFTabletext"/>
              <w:rPr>
                <w:lang w:bidi="ar-SA"/>
              </w:rPr>
            </w:pPr>
            <w:r w:rsidRPr="004C12C9">
              <w:rPr>
                <w:lang w:bidi="ar-SA"/>
              </w:rPr>
              <w:t>Asphalt</w:t>
            </w:r>
          </w:p>
        </w:tc>
        <w:tc>
          <w:tcPr>
            <w:tcW w:w="4780" w:type="dxa"/>
            <w:noWrap/>
            <w:vAlign w:val="bottom"/>
          </w:tcPr>
          <w:p w14:paraId="253F4419" w14:textId="4A34B504" w:rsidR="00BE5B50" w:rsidRPr="004C12C9" w:rsidRDefault="00BE5B50" w:rsidP="00793F4A">
            <w:pPr>
              <w:pStyle w:val="ICFTabletext"/>
              <w:jc w:val="center"/>
              <w:rPr>
                <w:lang w:bidi="ar-SA"/>
              </w:rPr>
            </w:pPr>
            <w:r w:rsidRPr="004C12C9">
              <w:rPr>
                <w:lang w:bidi="ar-SA"/>
              </w:rPr>
              <w:t>30</w:t>
            </w:r>
            <w:r w:rsidR="002F6AF3" w:rsidRPr="004C12C9">
              <w:rPr>
                <w:vertAlign w:val="superscript"/>
                <w:lang w:bidi="ar-SA"/>
              </w:rPr>
              <w:t>a</w:t>
            </w:r>
          </w:p>
        </w:tc>
      </w:tr>
      <w:tr w:rsidR="00BE5B50" w:rsidRPr="004C12C9" w14:paraId="2089D26C" w14:textId="77777777" w:rsidTr="006F0E62">
        <w:trPr>
          <w:trHeight w:val="20"/>
        </w:trPr>
        <w:tc>
          <w:tcPr>
            <w:tcW w:w="2415" w:type="dxa"/>
            <w:noWrap/>
            <w:vAlign w:val="center"/>
            <w:hideMark/>
          </w:tcPr>
          <w:p w14:paraId="13749044" w14:textId="77777777" w:rsidR="00BE5B50" w:rsidRPr="004C12C9" w:rsidRDefault="00BE5B50" w:rsidP="006F0E62">
            <w:pPr>
              <w:pStyle w:val="ICFTabletext"/>
              <w:keepNext/>
              <w:rPr>
                <w:lang w:bidi="ar-SA"/>
              </w:rPr>
            </w:pPr>
            <w:r w:rsidRPr="004C12C9">
              <w:rPr>
                <w:lang w:bidi="ar-SA"/>
              </w:rPr>
              <w:t>Brick</w:t>
            </w:r>
          </w:p>
        </w:tc>
        <w:tc>
          <w:tcPr>
            <w:tcW w:w="4780" w:type="dxa"/>
            <w:noWrap/>
            <w:vAlign w:val="bottom"/>
          </w:tcPr>
          <w:p w14:paraId="79CF4B54" w14:textId="77777777" w:rsidR="00BE5B50" w:rsidRPr="004C12C9" w:rsidRDefault="00BE5B50" w:rsidP="006F0E62">
            <w:pPr>
              <w:pStyle w:val="ICFTabletext"/>
              <w:keepNext/>
              <w:jc w:val="center"/>
              <w:rPr>
                <w:lang w:bidi="ar-SA"/>
              </w:rPr>
            </w:pPr>
            <w:r w:rsidRPr="004C12C9">
              <w:rPr>
                <w:lang w:bidi="ar-SA"/>
              </w:rPr>
              <w:t>196</w:t>
            </w:r>
          </w:p>
        </w:tc>
      </w:tr>
      <w:tr w:rsidR="00BE5B50" w:rsidRPr="004C12C9" w14:paraId="4BA6C92A" w14:textId="77777777" w:rsidTr="006F0E62">
        <w:trPr>
          <w:trHeight w:val="20"/>
        </w:trPr>
        <w:tc>
          <w:tcPr>
            <w:tcW w:w="2415" w:type="dxa"/>
            <w:noWrap/>
            <w:vAlign w:val="center"/>
          </w:tcPr>
          <w:p w14:paraId="625A4B47" w14:textId="77777777" w:rsidR="00BE5B50" w:rsidRPr="004C12C9" w:rsidRDefault="00BE5B50" w:rsidP="006F0E62">
            <w:pPr>
              <w:pStyle w:val="ICFTabletext"/>
              <w:keepNext/>
              <w:rPr>
                <w:lang w:bidi="ar-SA"/>
              </w:rPr>
            </w:pPr>
            <w:r w:rsidRPr="004C12C9">
              <w:rPr>
                <w:lang w:bidi="ar-SA"/>
              </w:rPr>
              <w:t>Concrete</w:t>
            </w:r>
          </w:p>
        </w:tc>
        <w:tc>
          <w:tcPr>
            <w:tcW w:w="4780" w:type="dxa"/>
            <w:noWrap/>
            <w:vAlign w:val="bottom"/>
          </w:tcPr>
          <w:p w14:paraId="3D06DF06" w14:textId="2CFE9038" w:rsidR="00BE5B50" w:rsidRPr="004C12C9" w:rsidRDefault="00BE5B50" w:rsidP="006F0E62">
            <w:pPr>
              <w:pStyle w:val="ICFTabletext"/>
              <w:keepNext/>
              <w:jc w:val="center"/>
              <w:rPr>
                <w:lang w:bidi="ar-SA"/>
              </w:rPr>
            </w:pPr>
            <w:r w:rsidRPr="004C12C9">
              <w:rPr>
                <w:lang w:bidi="ar-SA"/>
              </w:rPr>
              <w:t>30</w:t>
            </w:r>
            <w:r w:rsidR="002F6AF3" w:rsidRPr="004C12C9">
              <w:rPr>
                <w:vertAlign w:val="superscript"/>
                <w:lang w:bidi="ar-SA"/>
              </w:rPr>
              <w:t>b</w:t>
            </w:r>
          </w:p>
        </w:tc>
      </w:tr>
      <w:tr w:rsidR="00BE5B50" w:rsidRPr="004C12C9" w14:paraId="205BA354" w14:textId="77777777" w:rsidTr="006F0E62">
        <w:trPr>
          <w:trHeight w:val="20"/>
        </w:trPr>
        <w:tc>
          <w:tcPr>
            <w:tcW w:w="2415" w:type="dxa"/>
            <w:noWrap/>
            <w:vAlign w:val="center"/>
          </w:tcPr>
          <w:p w14:paraId="58801DE2" w14:textId="77777777" w:rsidR="00BE5B50" w:rsidRPr="004C12C9" w:rsidRDefault="00BE5B50" w:rsidP="006F0E62">
            <w:pPr>
              <w:pStyle w:val="ICFTabletext"/>
              <w:keepNext/>
              <w:rPr>
                <w:lang w:bidi="ar-SA"/>
              </w:rPr>
            </w:pPr>
            <w:r w:rsidRPr="004C12C9">
              <w:rPr>
                <w:lang w:bidi="ar-SA"/>
              </w:rPr>
              <w:t>Glass</w:t>
            </w:r>
          </w:p>
        </w:tc>
        <w:tc>
          <w:tcPr>
            <w:tcW w:w="4780" w:type="dxa"/>
            <w:noWrap/>
            <w:vAlign w:val="bottom"/>
          </w:tcPr>
          <w:p w14:paraId="460747D5" w14:textId="77777777" w:rsidR="00BE5B50" w:rsidRPr="004C12C9" w:rsidRDefault="00BE5B50" w:rsidP="006F0E62">
            <w:pPr>
              <w:pStyle w:val="ICFTabletext"/>
              <w:keepNext/>
              <w:jc w:val="center"/>
              <w:rPr>
                <w:lang w:bidi="ar-SA"/>
              </w:rPr>
            </w:pPr>
            <w:r w:rsidRPr="004C12C9">
              <w:rPr>
                <w:lang w:bidi="ar-SA"/>
              </w:rPr>
              <w:t>196</w:t>
            </w:r>
          </w:p>
        </w:tc>
      </w:tr>
      <w:tr w:rsidR="00BE5B50" w:rsidRPr="004C12C9" w14:paraId="47CEB066" w14:textId="77777777" w:rsidTr="006F0E62">
        <w:trPr>
          <w:trHeight w:val="20"/>
        </w:trPr>
        <w:tc>
          <w:tcPr>
            <w:tcW w:w="2415" w:type="dxa"/>
            <w:noWrap/>
            <w:vAlign w:val="center"/>
            <w:hideMark/>
          </w:tcPr>
          <w:p w14:paraId="76958509" w14:textId="77777777" w:rsidR="00BE5B50" w:rsidRPr="004C12C9" w:rsidRDefault="00BE5B50" w:rsidP="006F0E62">
            <w:pPr>
              <w:pStyle w:val="ICFTabletext"/>
              <w:keepNext/>
              <w:rPr>
                <w:lang w:bidi="ar-SA"/>
              </w:rPr>
            </w:pPr>
            <w:r w:rsidRPr="004C12C9">
              <w:rPr>
                <w:lang w:bidi="ar-SA"/>
              </w:rPr>
              <w:t>Insulation</w:t>
            </w:r>
          </w:p>
        </w:tc>
        <w:tc>
          <w:tcPr>
            <w:tcW w:w="4780" w:type="dxa"/>
            <w:noWrap/>
            <w:vAlign w:val="bottom"/>
          </w:tcPr>
          <w:p w14:paraId="611D9AF6" w14:textId="77777777" w:rsidR="00BE5B50" w:rsidRPr="004C12C9" w:rsidRDefault="00BE5B50" w:rsidP="006F0E62">
            <w:pPr>
              <w:pStyle w:val="ICFTabletext"/>
              <w:keepNext/>
              <w:jc w:val="center"/>
              <w:rPr>
                <w:lang w:bidi="ar-SA"/>
              </w:rPr>
            </w:pPr>
            <w:r w:rsidRPr="004C12C9">
              <w:rPr>
                <w:lang w:bidi="ar-SA"/>
              </w:rPr>
              <w:t>196</w:t>
            </w:r>
          </w:p>
        </w:tc>
      </w:tr>
      <w:tr w:rsidR="00BE5B50" w:rsidRPr="004C12C9" w14:paraId="60B50519" w14:textId="77777777" w:rsidTr="006F0E62">
        <w:trPr>
          <w:trHeight w:val="20"/>
        </w:trPr>
        <w:tc>
          <w:tcPr>
            <w:tcW w:w="2415" w:type="dxa"/>
            <w:noWrap/>
            <w:vAlign w:val="center"/>
            <w:hideMark/>
          </w:tcPr>
          <w:p w14:paraId="5F521B82" w14:textId="77777777" w:rsidR="00BE5B50" w:rsidRPr="004C12C9" w:rsidRDefault="00BE5B50" w:rsidP="006F0E62">
            <w:pPr>
              <w:pStyle w:val="ICFTabletext"/>
              <w:keepNext/>
              <w:rPr>
                <w:lang w:bidi="ar-SA"/>
              </w:rPr>
            </w:pPr>
            <w:r w:rsidRPr="004C12C9">
              <w:rPr>
                <w:lang w:bidi="ar-SA"/>
              </w:rPr>
              <w:t>Steel</w:t>
            </w:r>
          </w:p>
        </w:tc>
        <w:tc>
          <w:tcPr>
            <w:tcW w:w="4780" w:type="dxa"/>
            <w:noWrap/>
            <w:vAlign w:val="bottom"/>
          </w:tcPr>
          <w:p w14:paraId="6BF63DFD" w14:textId="77777777" w:rsidR="00BE5B50" w:rsidRPr="004C12C9" w:rsidRDefault="00BE5B50" w:rsidP="006F0E62">
            <w:pPr>
              <w:pStyle w:val="ICFTabletext"/>
              <w:keepNext/>
              <w:jc w:val="center"/>
              <w:rPr>
                <w:lang w:bidi="ar-SA"/>
              </w:rPr>
            </w:pPr>
            <w:r w:rsidRPr="004C12C9">
              <w:rPr>
                <w:lang w:bidi="ar-SA"/>
              </w:rPr>
              <w:t>470</w:t>
            </w:r>
          </w:p>
        </w:tc>
      </w:tr>
      <w:tr w:rsidR="00BE5B50" w:rsidRPr="004C12C9" w14:paraId="64CDAD3F" w14:textId="77777777" w:rsidTr="006F0E62">
        <w:trPr>
          <w:trHeight w:val="20"/>
        </w:trPr>
        <w:tc>
          <w:tcPr>
            <w:tcW w:w="2415" w:type="dxa"/>
            <w:vAlign w:val="center"/>
            <w:hideMark/>
          </w:tcPr>
          <w:p w14:paraId="1B918965" w14:textId="77777777" w:rsidR="00BE5B50" w:rsidRPr="004C12C9" w:rsidRDefault="00BE5B50" w:rsidP="006F0E62">
            <w:pPr>
              <w:pStyle w:val="ICFTabletext"/>
              <w:keepNext/>
              <w:rPr>
                <w:lang w:bidi="ar-SA"/>
              </w:rPr>
            </w:pPr>
            <w:r w:rsidRPr="004C12C9">
              <w:rPr>
                <w:lang w:bidi="ar-SA"/>
              </w:rPr>
              <w:t>Wood Products</w:t>
            </w:r>
          </w:p>
        </w:tc>
        <w:tc>
          <w:tcPr>
            <w:tcW w:w="4780" w:type="dxa"/>
            <w:noWrap/>
            <w:vAlign w:val="bottom"/>
          </w:tcPr>
          <w:p w14:paraId="39509E17" w14:textId="77777777" w:rsidR="00BE5B50" w:rsidRPr="004C12C9" w:rsidRDefault="00BE5B50" w:rsidP="006F0E62">
            <w:pPr>
              <w:pStyle w:val="ICFTabletext"/>
              <w:keepNext/>
              <w:jc w:val="center"/>
              <w:rPr>
                <w:lang w:bidi="ar-SA"/>
              </w:rPr>
            </w:pPr>
            <w:r w:rsidRPr="004C12C9">
              <w:rPr>
                <w:lang w:bidi="ar-SA"/>
              </w:rPr>
              <w:t>381</w:t>
            </w:r>
          </w:p>
        </w:tc>
      </w:tr>
    </w:tbl>
    <w:p w14:paraId="417C425F" w14:textId="3BEE1C41" w:rsidR="00BE5B50" w:rsidRPr="004C12C9" w:rsidRDefault="002F6AF3" w:rsidP="00F85044">
      <w:pPr>
        <w:pStyle w:val="TableFooter"/>
        <w:rPr>
          <w:rFonts w:asciiTheme="minorHAnsi" w:eastAsia="MS Mincho" w:hAnsiTheme="minorHAnsi" w:cstheme="minorHAnsi"/>
          <w:lang w:eastAsia="ja-JP" w:bidi="ar-SA"/>
        </w:rPr>
      </w:pPr>
      <w:r w:rsidRPr="004C12C9">
        <w:rPr>
          <w:rFonts w:eastAsia="MS Mincho"/>
          <w:vertAlign w:val="superscript"/>
          <w:lang w:eastAsia="ja-JP" w:bidi="ar-SA"/>
        </w:rPr>
        <w:t>a</w:t>
      </w:r>
      <w:r w:rsidR="00BE5B50" w:rsidRPr="004C12C9">
        <w:rPr>
          <w:rFonts w:eastAsia="MS Mincho"/>
          <w:lang w:eastAsia="ja-JP" w:bidi="ar-SA"/>
        </w:rPr>
        <w:t xml:space="preserve"> </w:t>
      </w:r>
      <w:r w:rsidR="00E37C28" w:rsidRPr="004C12C9">
        <w:rPr>
          <w:rFonts w:eastAsia="MS Mincho"/>
          <w:lang w:eastAsia="ja-JP" w:bidi="ar-SA"/>
        </w:rPr>
        <w:t>This is a c</w:t>
      </w:r>
      <w:r w:rsidR="00BE5B50" w:rsidRPr="004C12C9">
        <w:rPr>
          <w:rFonts w:eastAsia="MS Mincho"/>
          <w:lang w:eastAsia="ja-JP" w:bidi="ar-SA"/>
        </w:rPr>
        <w:t>onservative estimate based on industry constraints for Asphalt to be delivered within 30 miles of the paving site.</w:t>
      </w:r>
      <w:r w:rsidR="003C3CA0">
        <w:rPr>
          <w:rFonts w:ascii="ZWAdobeF" w:eastAsia="MS Mincho" w:hAnsi="ZWAdobeF" w:cs="ZWAdobeF"/>
          <w:sz w:val="2"/>
          <w:szCs w:val="2"/>
          <w:lang w:eastAsia="ja-JP" w:bidi="ar-SA"/>
        </w:rPr>
        <w:t>21F</w:t>
      </w:r>
      <w:r w:rsidR="00BE5B50" w:rsidRPr="004C12C9">
        <w:rPr>
          <w:rFonts w:asciiTheme="minorHAnsi" w:eastAsia="MS Mincho" w:hAnsiTheme="minorHAnsi" w:cstheme="minorHAnsi"/>
          <w:vertAlign w:val="superscript"/>
          <w:lang w:eastAsia="ja-JP" w:bidi="ar-SA"/>
        </w:rPr>
        <w:footnoteReference w:id="23"/>
      </w:r>
    </w:p>
    <w:p w14:paraId="570B1359" w14:textId="60A72092" w:rsidR="00BE5B50" w:rsidRPr="004C12C9" w:rsidRDefault="002F6AF3" w:rsidP="00F85044">
      <w:pPr>
        <w:pStyle w:val="TableFooter"/>
        <w:rPr>
          <w:rFonts w:eastAsia="MS Mincho"/>
          <w:sz w:val="24"/>
          <w:szCs w:val="24"/>
          <w:lang w:eastAsia="ja-JP" w:bidi="ar-SA"/>
        </w:rPr>
      </w:pPr>
      <w:r w:rsidRPr="004C12C9">
        <w:rPr>
          <w:rFonts w:eastAsia="MS Mincho"/>
          <w:vertAlign w:val="superscript"/>
          <w:lang w:eastAsia="ja-JP" w:bidi="ar-SA"/>
        </w:rPr>
        <w:t>b</w:t>
      </w:r>
      <w:r w:rsidR="00BE5B50" w:rsidRPr="004C12C9">
        <w:rPr>
          <w:rFonts w:eastAsia="MS Mincho"/>
          <w:lang w:eastAsia="ja-JP" w:bidi="ar-SA"/>
        </w:rPr>
        <w:t xml:space="preserve"> </w:t>
      </w:r>
      <w:r w:rsidR="00E37C28" w:rsidRPr="004C12C9">
        <w:rPr>
          <w:rFonts w:eastAsia="MS Mincho"/>
          <w:lang w:eastAsia="ja-JP" w:bidi="ar-SA"/>
        </w:rPr>
        <w:t>This is a conservative</w:t>
      </w:r>
      <w:r w:rsidR="00BE5B50" w:rsidRPr="004C12C9">
        <w:rPr>
          <w:rFonts w:eastAsia="MS Mincho"/>
          <w:lang w:eastAsia="ja-JP" w:bidi="ar-SA"/>
        </w:rPr>
        <w:t xml:space="preserve"> estimate based on industry constraint for </w:t>
      </w:r>
      <w:r w:rsidR="00E37C28" w:rsidRPr="004C12C9">
        <w:rPr>
          <w:rFonts w:eastAsia="MS Mincho"/>
          <w:lang w:eastAsia="ja-JP" w:bidi="ar-SA"/>
        </w:rPr>
        <w:t>r</w:t>
      </w:r>
      <w:r w:rsidR="00BE5B50" w:rsidRPr="004C12C9">
        <w:rPr>
          <w:rFonts w:eastAsia="MS Mincho"/>
          <w:lang w:eastAsia="ja-JP" w:bidi="ar-SA"/>
        </w:rPr>
        <w:t xml:space="preserve">eady </w:t>
      </w:r>
      <w:r w:rsidR="00E37C28" w:rsidRPr="004C12C9">
        <w:rPr>
          <w:rFonts w:eastAsia="MS Mincho"/>
          <w:lang w:eastAsia="ja-JP" w:bidi="ar-SA"/>
        </w:rPr>
        <w:t>m</w:t>
      </w:r>
      <w:r w:rsidR="00BE5B50" w:rsidRPr="004C12C9">
        <w:rPr>
          <w:rFonts w:eastAsia="MS Mincho"/>
          <w:lang w:eastAsia="ja-JP" w:bidi="ar-SA"/>
        </w:rPr>
        <w:t xml:space="preserve">ix </w:t>
      </w:r>
      <w:r w:rsidR="00E37C28" w:rsidRPr="004C12C9">
        <w:rPr>
          <w:rFonts w:eastAsia="MS Mincho"/>
          <w:lang w:eastAsia="ja-JP" w:bidi="ar-SA"/>
        </w:rPr>
        <w:t>c</w:t>
      </w:r>
      <w:r w:rsidR="00BE5B50" w:rsidRPr="004C12C9">
        <w:rPr>
          <w:rFonts w:eastAsia="MS Mincho"/>
          <w:lang w:eastAsia="ja-JP" w:bidi="ar-SA"/>
        </w:rPr>
        <w:t>oncrete to be delivered within a 30-60 minute drive of the project site. This 30-mile distance assumes a 45-minute drive at an average speed of 40</w:t>
      </w:r>
      <w:r w:rsidR="00E37C28" w:rsidRPr="004C12C9">
        <w:rPr>
          <w:rFonts w:eastAsia="MS Mincho"/>
          <w:lang w:eastAsia="ja-JP" w:bidi="ar-SA"/>
        </w:rPr>
        <w:t xml:space="preserve"> </w:t>
      </w:r>
      <w:r w:rsidR="00BE5B50" w:rsidRPr="004C12C9">
        <w:rPr>
          <w:rFonts w:eastAsia="MS Mincho"/>
          <w:lang w:eastAsia="ja-JP" w:bidi="ar-SA"/>
        </w:rPr>
        <w:t>mph.</w:t>
      </w:r>
    </w:p>
    <w:p w14:paraId="5EF21931" w14:textId="38BEBA29" w:rsidR="00BE5B50" w:rsidRPr="004C12C9" w:rsidRDefault="00BE5B50" w:rsidP="00972CF9">
      <w:pPr>
        <w:rPr>
          <w:rFonts w:eastAsia="MS Mincho"/>
          <w:lang w:eastAsia="ja-JP" w:bidi="ar-SA"/>
        </w:rPr>
      </w:pPr>
      <w:r w:rsidRPr="004C12C9">
        <w:rPr>
          <w:rFonts w:eastAsia="MS Mincho"/>
          <w:lang w:eastAsia="ja-JP" w:bidi="ar-SA"/>
        </w:rPr>
        <w:lastRenderedPageBreak/>
        <w:t xml:space="preserve">For imported materials, the distance traveled </w:t>
      </w:r>
      <w:r w:rsidR="0077249E" w:rsidRPr="004C12C9">
        <w:rPr>
          <w:rFonts w:eastAsia="MS Mincho"/>
          <w:lang w:eastAsia="ja-JP" w:bidi="ar-SA"/>
        </w:rPr>
        <w:t>is</w:t>
      </w:r>
      <w:r w:rsidRPr="004C12C9">
        <w:rPr>
          <w:rFonts w:eastAsia="MS Mincho"/>
          <w:lang w:eastAsia="ja-JP" w:bidi="ar-SA"/>
        </w:rPr>
        <w:t xml:space="preserve"> derived by assuming that imports travel from the largest metro area in the largest import country for each material type. For Glass and Brick</w:t>
      </w:r>
      <w:r w:rsidR="00E37C28" w:rsidRPr="004C12C9">
        <w:rPr>
          <w:rFonts w:eastAsia="MS Mincho"/>
          <w:lang w:eastAsia="ja-JP" w:bidi="ar-SA"/>
        </w:rPr>
        <w:t xml:space="preserve"> materials</w:t>
      </w:r>
      <w:r w:rsidRPr="004C12C9">
        <w:rPr>
          <w:rFonts w:eastAsia="MS Mincho"/>
          <w:lang w:eastAsia="ja-JP" w:bidi="ar-SA"/>
        </w:rPr>
        <w:t xml:space="preserve">, which are sourced from outside of North America, </w:t>
      </w:r>
      <w:r w:rsidR="00C6636E" w:rsidRPr="004C12C9">
        <w:rPr>
          <w:rFonts w:eastAsia="MS Mincho"/>
          <w:lang w:eastAsia="ja-JP" w:bidi="ar-SA"/>
        </w:rPr>
        <w:t>it is</w:t>
      </w:r>
      <w:r w:rsidRPr="004C12C9">
        <w:rPr>
          <w:rFonts w:eastAsia="MS Mincho"/>
          <w:lang w:eastAsia="ja-JP" w:bidi="ar-SA"/>
        </w:rPr>
        <w:t xml:space="preserve"> assume</w:t>
      </w:r>
      <w:r w:rsidR="00C6636E" w:rsidRPr="004C12C9">
        <w:rPr>
          <w:rFonts w:eastAsia="MS Mincho"/>
          <w:lang w:eastAsia="ja-JP" w:bidi="ar-SA"/>
        </w:rPr>
        <w:t>d that</w:t>
      </w:r>
      <w:r w:rsidRPr="004C12C9">
        <w:rPr>
          <w:rFonts w:eastAsia="MS Mincho"/>
          <w:lang w:eastAsia="ja-JP" w:bidi="ar-SA"/>
        </w:rPr>
        <w:t xml:space="preserve"> the materials are shipped via water transport to the port of Newark, N</w:t>
      </w:r>
      <w:r w:rsidR="00F47B33" w:rsidRPr="004C12C9">
        <w:rPr>
          <w:rFonts w:eastAsia="MS Mincho"/>
          <w:lang w:eastAsia="ja-JP" w:bidi="ar-SA"/>
        </w:rPr>
        <w:t>ew Jersey</w:t>
      </w:r>
      <w:r w:rsidRPr="004C12C9">
        <w:rPr>
          <w:rFonts w:eastAsia="MS Mincho"/>
          <w:lang w:eastAsia="ja-JP" w:bidi="ar-SA"/>
        </w:rPr>
        <w:t xml:space="preserve"> and then transported from Newark to Minneapolis. The water shipping distance </w:t>
      </w:r>
      <w:r w:rsidR="0033556F" w:rsidRPr="004C12C9">
        <w:rPr>
          <w:rFonts w:eastAsia="MS Mincho"/>
          <w:lang w:eastAsia="ja-JP" w:bidi="ar-SA"/>
        </w:rPr>
        <w:t>is</w:t>
      </w:r>
      <w:r w:rsidRPr="004C12C9">
        <w:rPr>
          <w:rFonts w:eastAsia="MS Mincho"/>
          <w:lang w:eastAsia="ja-JP" w:bidi="ar-SA"/>
        </w:rPr>
        <w:t xml:space="preserve"> calculated using </w:t>
      </w:r>
      <w:hyperlink r:id="rId22" w:history="1">
        <w:r w:rsidRPr="004C12C9">
          <w:rPr>
            <w:rFonts w:eastAsia="MS Mincho"/>
            <w:lang w:eastAsia="ja-JP" w:bidi="ar-SA"/>
          </w:rPr>
          <w:t>travelmath.com</w:t>
        </w:r>
      </w:hyperlink>
      <w:r w:rsidR="003C3CA0">
        <w:rPr>
          <w:rFonts w:ascii="ZWAdobeF" w:hAnsi="ZWAdobeF" w:cs="ZWAdobeF"/>
          <w:sz w:val="2"/>
          <w:szCs w:val="2"/>
        </w:rPr>
        <w:t>22F</w:t>
      </w:r>
      <w:r w:rsidR="0029327C" w:rsidRPr="004C12C9">
        <w:rPr>
          <w:rStyle w:val="FootnoteReference"/>
          <w:lang w:bidi="ar-SA"/>
        </w:rPr>
        <w:footnoteReference w:id="24"/>
      </w:r>
      <w:r w:rsidRPr="004C12C9">
        <w:rPr>
          <w:rFonts w:eastAsia="MS Mincho"/>
          <w:lang w:eastAsia="ja-JP" w:bidi="ar-SA"/>
        </w:rPr>
        <w:t xml:space="preserve"> </w:t>
      </w:r>
      <w:r w:rsidR="00804321" w:rsidRPr="004C12C9">
        <w:rPr>
          <w:rFonts w:eastAsia="MS Mincho"/>
          <w:lang w:eastAsia="ja-JP" w:bidi="ar-SA"/>
        </w:rPr>
        <w:t>to determine</w:t>
      </w:r>
      <w:r w:rsidRPr="004C12C9">
        <w:rPr>
          <w:rFonts w:eastAsia="MS Mincho"/>
          <w:lang w:eastAsia="ja-JP" w:bidi="ar-SA"/>
        </w:rPr>
        <w:t xml:space="preserve"> the total non-land distance of the imported good. All other imported materials are </w:t>
      </w:r>
      <w:r w:rsidR="009A00FC" w:rsidRPr="004C12C9">
        <w:rPr>
          <w:rFonts w:eastAsia="MS Mincho"/>
          <w:lang w:eastAsia="ja-JP" w:bidi="ar-SA"/>
        </w:rPr>
        <w:t xml:space="preserve">assumed to be </w:t>
      </w:r>
      <w:r w:rsidRPr="004C12C9">
        <w:rPr>
          <w:rFonts w:eastAsia="MS Mincho"/>
          <w:lang w:eastAsia="ja-JP" w:bidi="ar-SA"/>
        </w:rPr>
        <w:t xml:space="preserve">sourced from Canada and their import distance is calculated as the distance from Toronto to Minneapolis. </w:t>
      </w:r>
      <w:r w:rsidRPr="004C12C9">
        <w:rPr>
          <w:rFonts w:eastAsia="MS Mincho"/>
          <w:lang w:eastAsia="ja-JP" w:bidi="ar-SA"/>
        </w:rPr>
        <w:fldChar w:fldCharType="begin" w:fldLock="1"/>
      </w:r>
      <w:r w:rsidRPr="004C12C9">
        <w:rPr>
          <w:rFonts w:eastAsia="MS Mincho"/>
          <w:lang w:eastAsia="ja-JP" w:bidi="ar-SA"/>
        </w:rPr>
        <w:instrText xml:space="preserve"> REF _Ref185412979 \h  \* MERGEFORMAT </w:instrText>
      </w:r>
      <w:r w:rsidRPr="004C12C9">
        <w:rPr>
          <w:rFonts w:eastAsia="MS Mincho"/>
          <w:lang w:eastAsia="ja-JP" w:bidi="ar-SA"/>
        </w:rPr>
      </w:r>
      <w:r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15</w:t>
      </w:r>
      <w:r w:rsidRPr="004C12C9">
        <w:rPr>
          <w:rFonts w:eastAsia="MS Mincho"/>
          <w:lang w:eastAsia="ja-JP" w:bidi="ar-SA"/>
        </w:rPr>
        <w:fldChar w:fldCharType="end"/>
      </w:r>
      <w:r w:rsidRPr="004C12C9">
        <w:rPr>
          <w:rFonts w:eastAsia="MS Mincho"/>
          <w:lang w:eastAsia="ja-JP" w:bidi="ar-SA"/>
        </w:rPr>
        <w:t xml:space="preserve"> shows the top importing country, the largest metro area, and the assumed total import distances for each material.</w:t>
      </w:r>
    </w:p>
    <w:p w14:paraId="08BD612B" w14:textId="6DE2A737" w:rsidR="00BE5B50" w:rsidRPr="004C12C9" w:rsidRDefault="00BE5B50" w:rsidP="00057D1D">
      <w:pPr>
        <w:pStyle w:val="Caption"/>
        <w:rPr>
          <w:rFonts w:asciiTheme="minorHAnsi" w:eastAsia="MS Mincho" w:hAnsiTheme="minorHAnsi" w:cstheme="minorHAnsi"/>
          <w:b w:val="0"/>
          <w:lang w:eastAsia="ja-JP" w:bidi="ar-SA"/>
        </w:rPr>
      </w:pPr>
      <w:bookmarkStart w:id="62" w:name="_Ref185412979"/>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15</w:t>
      </w:r>
      <w:r w:rsidR="00F72B41">
        <w:rPr>
          <w:rFonts w:eastAsia="MS Mincho"/>
          <w:lang w:eastAsia="ja-JP" w:bidi="ar-SA"/>
        </w:rPr>
        <w:fldChar w:fldCharType="end"/>
      </w:r>
      <w:bookmarkEnd w:id="62"/>
      <w:r w:rsidRPr="004C12C9">
        <w:rPr>
          <w:rFonts w:eastAsia="MS Mincho"/>
          <w:lang w:eastAsia="ja-JP" w:bidi="ar-SA"/>
        </w:rPr>
        <w:t xml:space="preserve">. Import Transportation Assumptions </w:t>
      </w:r>
      <w:r w:rsidR="00511C3F" w:rsidRPr="004C12C9">
        <w:rPr>
          <w:rFonts w:eastAsia="MS Mincho"/>
          <w:lang w:eastAsia="ja-JP" w:bidi="ar-SA"/>
        </w:rPr>
        <w:t>and Distances</w:t>
      </w:r>
    </w:p>
    <w:tbl>
      <w:tblPr>
        <w:tblW w:w="5005" w:type="pct"/>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4"/>
        <w:gridCol w:w="1781"/>
        <w:gridCol w:w="1800"/>
        <w:gridCol w:w="2340"/>
        <w:gridCol w:w="2425"/>
      </w:tblGrid>
      <w:tr w:rsidR="002D6F74" w:rsidRPr="004C12C9" w14:paraId="6599E4F0" w14:textId="77777777" w:rsidTr="00DE4681">
        <w:trPr>
          <w:trHeight w:val="20"/>
        </w:trPr>
        <w:tc>
          <w:tcPr>
            <w:tcW w:w="1734" w:type="dxa"/>
            <w:shd w:val="clear" w:color="auto" w:fill="D9D9D9" w:themeFill="background1" w:themeFillShade="D9"/>
            <w:noWrap/>
            <w:vAlign w:val="center"/>
            <w:hideMark/>
          </w:tcPr>
          <w:p w14:paraId="64456577" w14:textId="77777777" w:rsidR="00BE5B50" w:rsidRPr="004C12C9" w:rsidRDefault="00BE5B50" w:rsidP="00057D1D">
            <w:pPr>
              <w:pStyle w:val="ICFTableHeading"/>
              <w:rPr>
                <w:lang w:bidi="ar-SA"/>
              </w:rPr>
            </w:pPr>
            <w:r w:rsidRPr="004C12C9">
              <w:rPr>
                <w:lang w:bidi="ar-SA"/>
              </w:rPr>
              <w:t>Material</w:t>
            </w:r>
          </w:p>
        </w:tc>
        <w:tc>
          <w:tcPr>
            <w:tcW w:w="1781" w:type="dxa"/>
            <w:shd w:val="clear" w:color="auto" w:fill="D9D9D9" w:themeFill="background1" w:themeFillShade="D9"/>
            <w:noWrap/>
            <w:vAlign w:val="center"/>
            <w:hideMark/>
          </w:tcPr>
          <w:p w14:paraId="555284EF" w14:textId="77777777" w:rsidR="00BE5B50" w:rsidRPr="004C12C9" w:rsidRDefault="00BE5B50" w:rsidP="00057D1D">
            <w:pPr>
              <w:pStyle w:val="ICFTableHeading"/>
              <w:rPr>
                <w:lang w:bidi="ar-SA"/>
              </w:rPr>
            </w:pPr>
            <w:r w:rsidRPr="004C12C9">
              <w:rPr>
                <w:lang w:bidi="ar-SA"/>
              </w:rPr>
              <w:t>Top Importing Country</w:t>
            </w:r>
          </w:p>
        </w:tc>
        <w:tc>
          <w:tcPr>
            <w:tcW w:w="1800" w:type="dxa"/>
            <w:shd w:val="clear" w:color="auto" w:fill="D9D9D9" w:themeFill="background1" w:themeFillShade="D9"/>
            <w:noWrap/>
            <w:vAlign w:val="center"/>
            <w:hideMark/>
          </w:tcPr>
          <w:p w14:paraId="59C2A495" w14:textId="77777777" w:rsidR="00BE5B50" w:rsidRPr="004C12C9" w:rsidRDefault="00BE5B50" w:rsidP="00057D1D">
            <w:pPr>
              <w:pStyle w:val="ICFTableHeading"/>
              <w:rPr>
                <w:lang w:bidi="ar-SA"/>
              </w:rPr>
            </w:pPr>
            <w:r w:rsidRPr="004C12C9">
              <w:rPr>
                <w:lang w:bidi="ar-SA"/>
              </w:rPr>
              <w:t>Large Metro Area</w:t>
            </w:r>
          </w:p>
        </w:tc>
        <w:tc>
          <w:tcPr>
            <w:tcW w:w="2340" w:type="dxa"/>
            <w:shd w:val="clear" w:color="auto" w:fill="D9D9D9" w:themeFill="background1" w:themeFillShade="D9"/>
            <w:noWrap/>
            <w:vAlign w:val="center"/>
            <w:hideMark/>
          </w:tcPr>
          <w:p w14:paraId="1B30C737" w14:textId="77777777" w:rsidR="00BE5B50" w:rsidRPr="004C12C9" w:rsidRDefault="00BE5B50" w:rsidP="00057D1D">
            <w:pPr>
              <w:pStyle w:val="ICFTableHeading"/>
              <w:rPr>
                <w:lang w:bidi="ar-SA"/>
              </w:rPr>
            </w:pPr>
            <w:r w:rsidRPr="004C12C9">
              <w:rPr>
                <w:lang w:bidi="ar-SA"/>
              </w:rPr>
              <w:t>Land Distance to Minneapolis</w:t>
            </w:r>
          </w:p>
        </w:tc>
        <w:tc>
          <w:tcPr>
            <w:tcW w:w="2425" w:type="dxa"/>
            <w:shd w:val="clear" w:color="auto" w:fill="D9D9D9" w:themeFill="background1" w:themeFillShade="D9"/>
            <w:vAlign w:val="center"/>
            <w:hideMark/>
          </w:tcPr>
          <w:p w14:paraId="39574FB7" w14:textId="77777777" w:rsidR="00BE5B50" w:rsidRPr="004C12C9" w:rsidRDefault="00BE5B50" w:rsidP="00057D1D">
            <w:pPr>
              <w:pStyle w:val="ICFTableHeading"/>
              <w:rPr>
                <w:lang w:bidi="ar-SA"/>
              </w:rPr>
            </w:pPr>
            <w:r w:rsidRPr="004C12C9">
              <w:rPr>
                <w:lang w:bidi="ar-SA"/>
              </w:rPr>
              <w:t>Non-Land Distance to Newark, NJ Port</w:t>
            </w:r>
          </w:p>
        </w:tc>
      </w:tr>
      <w:tr w:rsidR="002D6F74" w:rsidRPr="004C12C9" w14:paraId="4BFFB730" w14:textId="77777777" w:rsidTr="00DE4681">
        <w:trPr>
          <w:trHeight w:val="233"/>
        </w:trPr>
        <w:tc>
          <w:tcPr>
            <w:tcW w:w="1734" w:type="dxa"/>
            <w:noWrap/>
            <w:vAlign w:val="bottom"/>
            <w:hideMark/>
          </w:tcPr>
          <w:p w14:paraId="5BF0B3A3" w14:textId="77777777" w:rsidR="00BE5B50" w:rsidRPr="004C12C9" w:rsidRDefault="00BE5B50" w:rsidP="00057D1D">
            <w:pPr>
              <w:pStyle w:val="ICFTabletext"/>
              <w:rPr>
                <w:lang w:bidi="ar-SA"/>
              </w:rPr>
            </w:pPr>
            <w:r w:rsidRPr="004C12C9">
              <w:rPr>
                <w:lang w:bidi="ar-SA"/>
              </w:rPr>
              <w:t>Aluminum</w:t>
            </w:r>
          </w:p>
        </w:tc>
        <w:tc>
          <w:tcPr>
            <w:tcW w:w="1781" w:type="dxa"/>
            <w:noWrap/>
            <w:vAlign w:val="bottom"/>
            <w:hideMark/>
          </w:tcPr>
          <w:p w14:paraId="3C2855FF" w14:textId="77777777" w:rsidR="00BE5B50" w:rsidRPr="004C12C9" w:rsidRDefault="00BE5B50" w:rsidP="00057D1D">
            <w:pPr>
              <w:pStyle w:val="ICFTabletext"/>
              <w:rPr>
                <w:lang w:bidi="ar-SA"/>
              </w:rPr>
            </w:pPr>
            <w:r w:rsidRPr="004C12C9">
              <w:rPr>
                <w:lang w:bidi="ar-SA"/>
              </w:rPr>
              <w:t>Canada</w:t>
            </w:r>
          </w:p>
        </w:tc>
        <w:tc>
          <w:tcPr>
            <w:tcW w:w="1800" w:type="dxa"/>
            <w:noWrap/>
            <w:vAlign w:val="bottom"/>
            <w:hideMark/>
          </w:tcPr>
          <w:p w14:paraId="7277F30C" w14:textId="77777777" w:rsidR="00BE5B50" w:rsidRPr="004C12C9" w:rsidRDefault="00BE5B50" w:rsidP="00057D1D">
            <w:pPr>
              <w:pStyle w:val="ICFTabletext"/>
              <w:rPr>
                <w:lang w:bidi="ar-SA"/>
              </w:rPr>
            </w:pPr>
            <w:r w:rsidRPr="004C12C9">
              <w:rPr>
                <w:lang w:bidi="ar-SA"/>
              </w:rPr>
              <w:t>Toronto</w:t>
            </w:r>
          </w:p>
        </w:tc>
        <w:tc>
          <w:tcPr>
            <w:tcW w:w="2340" w:type="dxa"/>
            <w:noWrap/>
            <w:vAlign w:val="center"/>
            <w:hideMark/>
          </w:tcPr>
          <w:p w14:paraId="7EB40446" w14:textId="77777777" w:rsidR="00BE5B50" w:rsidRPr="004C12C9" w:rsidRDefault="00BE5B50" w:rsidP="00DE4681">
            <w:pPr>
              <w:pStyle w:val="ICFTabletext"/>
              <w:jc w:val="center"/>
              <w:rPr>
                <w:lang w:bidi="ar-SA"/>
              </w:rPr>
            </w:pPr>
            <w:r w:rsidRPr="004C12C9">
              <w:rPr>
                <w:lang w:bidi="ar-SA"/>
              </w:rPr>
              <w:t>927</w:t>
            </w:r>
          </w:p>
        </w:tc>
        <w:tc>
          <w:tcPr>
            <w:tcW w:w="2425" w:type="dxa"/>
            <w:noWrap/>
            <w:vAlign w:val="center"/>
            <w:hideMark/>
          </w:tcPr>
          <w:p w14:paraId="5B14E771" w14:textId="77777777" w:rsidR="00BE5B50" w:rsidRPr="004C12C9" w:rsidRDefault="00BE5B50" w:rsidP="00DE4681">
            <w:pPr>
              <w:pStyle w:val="ICFTabletext"/>
              <w:jc w:val="center"/>
              <w:rPr>
                <w:lang w:bidi="ar-SA"/>
              </w:rPr>
            </w:pPr>
            <w:r w:rsidRPr="004C12C9">
              <w:rPr>
                <w:lang w:bidi="ar-SA"/>
              </w:rPr>
              <w:t>NA</w:t>
            </w:r>
          </w:p>
        </w:tc>
      </w:tr>
      <w:tr w:rsidR="002D6F74" w:rsidRPr="004C12C9" w14:paraId="26F9E076" w14:textId="77777777" w:rsidTr="00DE4681">
        <w:trPr>
          <w:trHeight w:val="233"/>
        </w:trPr>
        <w:tc>
          <w:tcPr>
            <w:tcW w:w="1734" w:type="dxa"/>
            <w:noWrap/>
            <w:vAlign w:val="bottom"/>
          </w:tcPr>
          <w:p w14:paraId="2C237DD0" w14:textId="4CD5A0CA" w:rsidR="00BE5B50" w:rsidRPr="004C12C9" w:rsidRDefault="00BE5B50" w:rsidP="00057D1D">
            <w:pPr>
              <w:pStyle w:val="ICFTabletext"/>
              <w:rPr>
                <w:lang w:bidi="ar-SA"/>
              </w:rPr>
            </w:pPr>
            <w:r w:rsidRPr="004C12C9">
              <w:rPr>
                <w:lang w:bidi="ar-SA"/>
              </w:rPr>
              <w:t>Asphalt</w:t>
            </w:r>
            <w:r w:rsidR="00887EA5" w:rsidRPr="004C12C9">
              <w:rPr>
                <w:vertAlign w:val="superscript"/>
                <w:lang w:bidi="ar-SA"/>
              </w:rPr>
              <w:t>a</w:t>
            </w:r>
          </w:p>
        </w:tc>
        <w:tc>
          <w:tcPr>
            <w:tcW w:w="1781" w:type="dxa"/>
            <w:noWrap/>
            <w:vAlign w:val="bottom"/>
          </w:tcPr>
          <w:p w14:paraId="689E5214" w14:textId="77777777" w:rsidR="00BE5B50" w:rsidRPr="004C12C9" w:rsidRDefault="00BE5B50" w:rsidP="00057D1D">
            <w:pPr>
              <w:pStyle w:val="ICFTabletext"/>
              <w:rPr>
                <w:lang w:bidi="ar-SA"/>
              </w:rPr>
            </w:pPr>
            <w:r w:rsidRPr="004C12C9">
              <w:rPr>
                <w:lang w:bidi="ar-SA"/>
              </w:rPr>
              <w:t>NA</w:t>
            </w:r>
          </w:p>
        </w:tc>
        <w:tc>
          <w:tcPr>
            <w:tcW w:w="1800" w:type="dxa"/>
            <w:noWrap/>
            <w:vAlign w:val="bottom"/>
          </w:tcPr>
          <w:p w14:paraId="1CBFA7FA" w14:textId="77777777" w:rsidR="00BE5B50" w:rsidRPr="004C12C9" w:rsidRDefault="00BE5B50" w:rsidP="00057D1D">
            <w:pPr>
              <w:pStyle w:val="ICFTabletext"/>
              <w:rPr>
                <w:lang w:bidi="ar-SA"/>
              </w:rPr>
            </w:pPr>
            <w:r w:rsidRPr="004C12C9">
              <w:rPr>
                <w:lang w:bidi="ar-SA"/>
              </w:rPr>
              <w:t>NA</w:t>
            </w:r>
          </w:p>
        </w:tc>
        <w:tc>
          <w:tcPr>
            <w:tcW w:w="2340" w:type="dxa"/>
            <w:noWrap/>
            <w:vAlign w:val="center"/>
          </w:tcPr>
          <w:p w14:paraId="7F9BEC12" w14:textId="77777777" w:rsidR="00BE5B50" w:rsidRPr="004C12C9" w:rsidRDefault="00BE5B50" w:rsidP="00DE4681">
            <w:pPr>
              <w:pStyle w:val="ICFTabletext"/>
              <w:jc w:val="center"/>
              <w:rPr>
                <w:lang w:bidi="ar-SA"/>
              </w:rPr>
            </w:pPr>
            <w:r w:rsidRPr="004C12C9">
              <w:rPr>
                <w:lang w:bidi="ar-SA"/>
              </w:rPr>
              <w:t>NA</w:t>
            </w:r>
          </w:p>
        </w:tc>
        <w:tc>
          <w:tcPr>
            <w:tcW w:w="2425" w:type="dxa"/>
            <w:noWrap/>
            <w:vAlign w:val="center"/>
          </w:tcPr>
          <w:p w14:paraId="1BBC6EF8" w14:textId="77777777" w:rsidR="00BE5B50" w:rsidRPr="004C12C9" w:rsidRDefault="00BE5B50" w:rsidP="00DE4681">
            <w:pPr>
              <w:pStyle w:val="ICFTabletext"/>
              <w:jc w:val="center"/>
              <w:rPr>
                <w:lang w:bidi="ar-SA"/>
              </w:rPr>
            </w:pPr>
            <w:r w:rsidRPr="004C12C9">
              <w:rPr>
                <w:lang w:bidi="ar-SA"/>
              </w:rPr>
              <w:t>NA</w:t>
            </w:r>
          </w:p>
        </w:tc>
      </w:tr>
      <w:tr w:rsidR="002D6F74" w:rsidRPr="004C12C9" w14:paraId="6AEA6C11" w14:textId="77777777" w:rsidTr="00DE4681">
        <w:trPr>
          <w:trHeight w:val="233"/>
        </w:trPr>
        <w:tc>
          <w:tcPr>
            <w:tcW w:w="1734" w:type="dxa"/>
            <w:noWrap/>
            <w:vAlign w:val="bottom"/>
          </w:tcPr>
          <w:p w14:paraId="5B24C377" w14:textId="77777777" w:rsidR="00BE5B50" w:rsidRPr="004C12C9" w:rsidRDefault="00BE5B50" w:rsidP="00057D1D">
            <w:pPr>
              <w:pStyle w:val="ICFTabletext"/>
              <w:rPr>
                <w:lang w:bidi="ar-SA"/>
              </w:rPr>
            </w:pPr>
            <w:r w:rsidRPr="004C12C9">
              <w:rPr>
                <w:lang w:bidi="ar-SA"/>
              </w:rPr>
              <w:t>Brick</w:t>
            </w:r>
          </w:p>
        </w:tc>
        <w:tc>
          <w:tcPr>
            <w:tcW w:w="1781" w:type="dxa"/>
            <w:noWrap/>
            <w:vAlign w:val="bottom"/>
          </w:tcPr>
          <w:p w14:paraId="2C6B99B4" w14:textId="77777777" w:rsidR="00BE5B50" w:rsidRPr="004C12C9" w:rsidRDefault="00BE5B50" w:rsidP="00057D1D">
            <w:pPr>
              <w:pStyle w:val="ICFTabletext"/>
              <w:rPr>
                <w:lang w:bidi="ar-SA"/>
              </w:rPr>
            </w:pPr>
            <w:r w:rsidRPr="004C12C9">
              <w:rPr>
                <w:lang w:bidi="ar-SA"/>
              </w:rPr>
              <w:t>China</w:t>
            </w:r>
          </w:p>
        </w:tc>
        <w:tc>
          <w:tcPr>
            <w:tcW w:w="1800" w:type="dxa"/>
            <w:noWrap/>
            <w:vAlign w:val="bottom"/>
          </w:tcPr>
          <w:p w14:paraId="36F45054" w14:textId="77777777" w:rsidR="00BE5B50" w:rsidRPr="004C12C9" w:rsidRDefault="00BE5B50" w:rsidP="00057D1D">
            <w:pPr>
              <w:pStyle w:val="ICFTabletext"/>
              <w:rPr>
                <w:lang w:bidi="ar-SA"/>
              </w:rPr>
            </w:pPr>
            <w:r w:rsidRPr="004C12C9">
              <w:rPr>
                <w:lang w:bidi="ar-SA"/>
              </w:rPr>
              <w:t>Shanghai</w:t>
            </w:r>
          </w:p>
        </w:tc>
        <w:tc>
          <w:tcPr>
            <w:tcW w:w="2340" w:type="dxa"/>
            <w:noWrap/>
            <w:vAlign w:val="center"/>
          </w:tcPr>
          <w:p w14:paraId="55BA7A5C" w14:textId="77777777" w:rsidR="00BE5B50" w:rsidRPr="004C12C9" w:rsidRDefault="00BE5B50" w:rsidP="00DE4681">
            <w:pPr>
              <w:pStyle w:val="ICFTabletext"/>
              <w:jc w:val="center"/>
              <w:rPr>
                <w:lang w:bidi="ar-SA"/>
              </w:rPr>
            </w:pPr>
            <w:r w:rsidRPr="004C12C9">
              <w:rPr>
                <w:lang w:bidi="ar-SA"/>
              </w:rPr>
              <w:t>1,196</w:t>
            </w:r>
          </w:p>
        </w:tc>
        <w:tc>
          <w:tcPr>
            <w:tcW w:w="2425" w:type="dxa"/>
            <w:noWrap/>
            <w:vAlign w:val="center"/>
          </w:tcPr>
          <w:p w14:paraId="6DF4FF13" w14:textId="77777777" w:rsidR="00BE5B50" w:rsidRPr="004C12C9" w:rsidRDefault="00BE5B50" w:rsidP="00DE4681">
            <w:pPr>
              <w:pStyle w:val="ICFTabletext"/>
              <w:jc w:val="center"/>
              <w:rPr>
                <w:lang w:bidi="ar-SA"/>
              </w:rPr>
            </w:pPr>
            <w:r w:rsidRPr="004C12C9">
              <w:rPr>
                <w:lang w:bidi="ar-SA"/>
              </w:rPr>
              <w:t>7,379</w:t>
            </w:r>
          </w:p>
        </w:tc>
      </w:tr>
      <w:tr w:rsidR="002D6F74" w:rsidRPr="004C12C9" w14:paraId="0B44901C" w14:textId="77777777" w:rsidTr="00DE4681">
        <w:trPr>
          <w:trHeight w:val="233"/>
        </w:trPr>
        <w:tc>
          <w:tcPr>
            <w:tcW w:w="1734" w:type="dxa"/>
            <w:noWrap/>
            <w:vAlign w:val="bottom"/>
          </w:tcPr>
          <w:p w14:paraId="3E40C53B" w14:textId="3A863C9A" w:rsidR="00BE5B50" w:rsidRPr="004C12C9" w:rsidRDefault="00BE5B50" w:rsidP="00057D1D">
            <w:pPr>
              <w:pStyle w:val="ICFTabletext"/>
              <w:rPr>
                <w:lang w:bidi="ar-SA"/>
              </w:rPr>
            </w:pPr>
            <w:r w:rsidRPr="004C12C9">
              <w:rPr>
                <w:lang w:bidi="ar-SA"/>
              </w:rPr>
              <w:t>Concrete</w:t>
            </w:r>
            <w:r w:rsidR="00887EA5" w:rsidRPr="004C12C9">
              <w:rPr>
                <w:vertAlign w:val="superscript"/>
                <w:lang w:bidi="ar-SA"/>
              </w:rPr>
              <w:t>a</w:t>
            </w:r>
          </w:p>
        </w:tc>
        <w:tc>
          <w:tcPr>
            <w:tcW w:w="1781" w:type="dxa"/>
            <w:noWrap/>
            <w:vAlign w:val="bottom"/>
          </w:tcPr>
          <w:p w14:paraId="55DB486A" w14:textId="77777777" w:rsidR="00BE5B50" w:rsidRPr="004C12C9" w:rsidRDefault="00BE5B50" w:rsidP="00057D1D">
            <w:pPr>
              <w:pStyle w:val="ICFTabletext"/>
              <w:rPr>
                <w:lang w:bidi="ar-SA"/>
              </w:rPr>
            </w:pPr>
            <w:r w:rsidRPr="004C12C9">
              <w:rPr>
                <w:lang w:bidi="ar-SA"/>
              </w:rPr>
              <w:t>NA</w:t>
            </w:r>
          </w:p>
        </w:tc>
        <w:tc>
          <w:tcPr>
            <w:tcW w:w="1800" w:type="dxa"/>
            <w:noWrap/>
            <w:vAlign w:val="bottom"/>
          </w:tcPr>
          <w:p w14:paraId="5875FE7F" w14:textId="77777777" w:rsidR="00BE5B50" w:rsidRPr="004C12C9" w:rsidRDefault="00BE5B50" w:rsidP="00057D1D">
            <w:pPr>
              <w:pStyle w:val="ICFTabletext"/>
              <w:rPr>
                <w:lang w:bidi="ar-SA"/>
              </w:rPr>
            </w:pPr>
            <w:r w:rsidRPr="004C12C9">
              <w:rPr>
                <w:lang w:bidi="ar-SA"/>
              </w:rPr>
              <w:t>NA</w:t>
            </w:r>
          </w:p>
        </w:tc>
        <w:tc>
          <w:tcPr>
            <w:tcW w:w="2340" w:type="dxa"/>
            <w:noWrap/>
            <w:vAlign w:val="center"/>
          </w:tcPr>
          <w:p w14:paraId="41B12EDF" w14:textId="77777777" w:rsidR="00BE5B50" w:rsidRPr="004C12C9" w:rsidRDefault="00BE5B50" w:rsidP="00DE4681">
            <w:pPr>
              <w:pStyle w:val="ICFTabletext"/>
              <w:jc w:val="center"/>
              <w:rPr>
                <w:lang w:bidi="ar-SA"/>
              </w:rPr>
            </w:pPr>
            <w:r w:rsidRPr="004C12C9">
              <w:rPr>
                <w:lang w:bidi="ar-SA"/>
              </w:rPr>
              <w:t>NA</w:t>
            </w:r>
          </w:p>
        </w:tc>
        <w:tc>
          <w:tcPr>
            <w:tcW w:w="2425" w:type="dxa"/>
            <w:noWrap/>
            <w:vAlign w:val="center"/>
          </w:tcPr>
          <w:p w14:paraId="455FE798" w14:textId="77777777" w:rsidR="00BE5B50" w:rsidRPr="004C12C9" w:rsidRDefault="00BE5B50" w:rsidP="00DE4681">
            <w:pPr>
              <w:pStyle w:val="ICFTabletext"/>
              <w:jc w:val="center"/>
              <w:rPr>
                <w:lang w:bidi="ar-SA"/>
              </w:rPr>
            </w:pPr>
            <w:r w:rsidRPr="004C12C9">
              <w:rPr>
                <w:lang w:bidi="ar-SA"/>
              </w:rPr>
              <w:t>NA</w:t>
            </w:r>
          </w:p>
        </w:tc>
      </w:tr>
      <w:tr w:rsidR="002D6F74" w:rsidRPr="004C12C9" w14:paraId="257F4DEC" w14:textId="77777777" w:rsidTr="00DE4681">
        <w:trPr>
          <w:trHeight w:val="20"/>
        </w:trPr>
        <w:tc>
          <w:tcPr>
            <w:tcW w:w="1734" w:type="dxa"/>
            <w:noWrap/>
            <w:vAlign w:val="bottom"/>
            <w:hideMark/>
          </w:tcPr>
          <w:p w14:paraId="60592623" w14:textId="77777777" w:rsidR="00BE5B50" w:rsidRPr="004C12C9" w:rsidRDefault="00BE5B50" w:rsidP="00057D1D">
            <w:pPr>
              <w:pStyle w:val="ICFTabletext"/>
              <w:rPr>
                <w:lang w:bidi="ar-SA"/>
              </w:rPr>
            </w:pPr>
            <w:r w:rsidRPr="004C12C9">
              <w:rPr>
                <w:lang w:bidi="ar-SA"/>
              </w:rPr>
              <w:t>Glass</w:t>
            </w:r>
          </w:p>
        </w:tc>
        <w:tc>
          <w:tcPr>
            <w:tcW w:w="1781" w:type="dxa"/>
            <w:noWrap/>
            <w:vAlign w:val="bottom"/>
            <w:hideMark/>
          </w:tcPr>
          <w:p w14:paraId="5718EDBF" w14:textId="77777777" w:rsidR="00BE5B50" w:rsidRPr="004C12C9" w:rsidRDefault="00BE5B50" w:rsidP="00057D1D">
            <w:pPr>
              <w:pStyle w:val="ICFTabletext"/>
              <w:rPr>
                <w:lang w:bidi="ar-SA"/>
              </w:rPr>
            </w:pPr>
            <w:r w:rsidRPr="004C12C9">
              <w:rPr>
                <w:lang w:bidi="ar-SA"/>
              </w:rPr>
              <w:t>Belgium</w:t>
            </w:r>
          </w:p>
        </w:tc>
        <w:tc>
          <w:tcPr>
            <w:tcW w:w="1800" w:type="dxa"/>
            <w:noWrap/>
            <w:vAlign w:val="bottom"/>
            <w:hideMark/>
          </w:tcPr>
          <w:p w14:paraId="72659AD7" w14:textId="77777777" w:rsidR="00BE5B50" w:rsidRPr="004C12C9" w:rsidRDefault="00BE5B50" w:rsidP="00057D1D">
            <w:pPr>
              <w:pStyle w:val="ICFTabletext"/>
              <w:rPr>
                <w:lang w:bidi="ar-SA"/>
              </w:rPr>
            </w:pPr>
            <w:r w:rsidRPr="004C12C9">
              <w:rPr>
                <w:lang w:bidi="ar-SA"/>
              </w:rPr>
              <w:t>Brussels</w:t>
            </w:r>
          </w:p>
        </w:tc>
        <w:tc>
          <w:tcPr>
            <w:tcW w:w="2340" w:type="dxa"/>
            <w:noWrap/>
            <w:vAlign w:val="center"/>
            <w:hideMark/>
          </w:tcPr>
          <w:p w14:paraId="3EF21DDF" w14:textId="77777777" w:rsidR="00BE5B50" w:rsidRPr="004C12C9" w:rsidRDefault="00BE5B50" w:rsidP="00DE4681">
            <w:pPr>
              <w:pStyle w:val="ICFTabletext"/>
              <w:jc w:val="center"/>
              <w:rPr>
                <w:lang w:bidi="ar-SA"/>
              </w:rPr>
            </w:pPr>
            <w:r w:rsidRPr="004C12C9">
              <w:rPr>
                <w:lang w:bidi="ar-SA"/>
              </w:rPr>
              <w:t>1,196</w:t>
            </w:r>
          </w:p>
        </w:tc>
        <w:tc>
          <w:tcPr>
            <w:tcW w:w="2425" w:type="dxa"/>
            <w:noWrap/>
            <w:vAlign w:val="center"/>
            <w:hideMark/>
          </w:tcPr>
          <w:p w14:paraId="6970BFE9" w14:textId="77777777" w:rsidR="00BE5B50" w:rsidRPr="004C12C9" w:rsidRDefault="00BE5B50" w:rsidP="00DE4681">
            <w:pPr>
              <w:pStyle w:val="ICFTabletext"/>
              <w:jc w:val="center"/>
              <w:rPr>
                <w:lang w:bidi="ar-SA"/>
              </w:rPr>
            </w:pPr>
            <w:r w:rsidRPr="004C12C9">
              <w:rPr>
                <w:lang w:bidi="ar-SA"/>
              </w:rPr>
              <w:t>3,674</w:t>
            </w:r>
          </w:p>
        </w:tc>
      </w:tr>
      <w:tr w:rsidR="002D6F74" w:rsidRPr="004C12C9" w14:paraId="1D53B2AB" w14:textId="77777777" w:rsidTr="00DE4681">
        <w:trPr>
          <w:trHeight w:val="20"/>
        </w:trPr>
        <w:tc>
          <w:tcPr>
            <w:tcW w:w="1734" w:type="dxa"/>
            <w:noWrap/>
            <w:vAlign w:val="bottom"/>
          </w:tcPr>
          <w:p w14:paraId="1FDD2F60" w14:textId="77777777" w:rsidR="00BE5B50" w:rsidRPr="004C12C9" w:rsidRDefault="00BE5B50" w:rsidP="00057D1D">
            <w:pPr>
              <w:pStyle w:val="ICFTabletext"/>
              <w:rPr>
                <w:lang w:bidi="ar-SA"/>
              </w:rPr>
            </w:pPr>
            <w:r w:rsidRPr="004C12C9">
              <w:rPr>
                <w:lang w:bidi="ar-SA"/>
              </w:rPr>
              <w:t>Insulation</w:t>
            </w:r>
          </w:p>
        </w:tc>
        <w:tc>
          <w:tcPr>
            <w:tcW w:w="1781" w:type="dxa"/>
            <w:noWrap/>
            <w:vAlign w:val="bottom"/>
          </w:tcPr>
          <w:p w14:paraId="036F4B26" w14:textId="77777777" w:rsidR="00BE5B50" w:rsidRPr="004C12C9" w:rsidRDefault="00BE5B50" w:rsidP="00057D1D">
            <w:pPr>
              <w:pStyle w:val="ICFTabletext"/>
              <w:rPr>
                <w:lang w:bidi="ar-SA"/>
              </w:rPr>
            </w:pPr>
            <w:r w:rsidRPr="004C12C9">
              <w:rPr>
                <w:lang w:bidi="ar-SA"/>
              </w:rPr>
              <w:t>Canada</w:t>
            </w:r>
          </w:p>
        </w:tc>
        <w:tc>
          <w:tcPr>
            <w:tcW w:w="1800" w:type="dxa"/>
            <w:noWrap/>
            <w:vAlign w:val="bottom"/>
          </w:tcPr>
          <w:p w14:paraId="5FA2990A" w14:textId="77777777" w:rsidR="00BE5B50" w:rsidRPr="004C12C9" w:rsidRDefault="00BE5B50" w:rsidP="00057D1D">
            <w:pPr>
              <w:pStyle w:val="ICFTabletext"/>
              <w:rPr>
                <w:lang w:bidi="ar-SA"/>
              </w:rPr>
            </w:pPr>
            <w:r w:rsidRPr="004C12C9">
              <w:rPr>
                <w:lang w:bidi="ar-SA"/>
              </w:rPr>
              <w:t>Toronto</w:t>
            </w:r>
          </w:p>
        </w:tc>
        <w:tc>
          <w:tcPr>
            <w:tcW w:w="2340" w:type="dxa"/>
            <w:noWrap/>
            <w:vAlign w:val="center"/>
          </w:tcPr>
          <w:p w14:paraId="7BD60339" w14:textId="77777777" w:rsidR="00BE5B50" w:rsidRPr="004C12C9" w:rsidRDefault="00BE5B50" w:rsidP="00DE4681">
            <w:pPr>
              <w:pStyle w:val="ICFTabletext"/>
              <w:jc w:val="center"/>
              <w:rPr>
                <w:lang w:bidi="ar-SA"/>
              </w:rPr>
            </w:pPr>
            <w:r w:rsidRPr="004C12C9">
              <w:rPr>
                <w:lang w:bidi="ar-SA"/>
              </w:rPr>
              <w:t>927</w:t>
            </w:r>
          </w:p>
        </w:tc>
        <w:tc>
          <w:tcPr>
            <w:tcW w:w="2425" w:type="dxa"/>
            <w:noWrap/>
            <w:vAlign w:val="center"/>
          </w:tcPr>
          <w:p w14:paraId="5C46A5CE" w14:textId="77777777" w:rsidR="00BE5B50" w:rsidRPr="004C12C9" w:rsidRDefault="00BE5B50" w:rsidP="00DE4681">
            <w:pPr>
              <w:pStyle w:val="ICFTabletext"/>
              <w:jc w:val="center"/>
              <w:rPr>
                <w:lang w:bidi="ar-SA"/>
              </w:rPr>
            </w:pPr>
            <w:r w:rsidRPr="004C12C9">
              <w:rPr>
                <w:lang w:bidi="ar-SA"/>
              </w:rPr>
              <w:t>NA</w:t>
            </w:r>
          </w:p>
        </w:tc>
      </w:tr>
      <w:tr w:rsidR="002D6F74" w:rsidRPr="004C12C9" w14:paraId="37763CAD" w14:textId="77777777" w:rsidTr="00DE4681">
        <w:trPr>
          <w:trHeight w:val="20"/>
        </w:trPr>
        <w:tc>
          <w:tcPr>
            <w:tcW w:w="1734" w:type="dxa"/>
            <w:noWrap/>
            <w:vAlign w:val="bottom"/>
          </w:tcPr>
          <w:p w14:paraId="2EFA1400" w14:textId="77777777" w:rsidR="00BE5B50" w:rsidRPr="004C12C9" w:rsidRDefault="00BE5B50" w:rsidP="00057D1D">
            <w:pPr>
              <w:pStyle w:val="ICFTabletext"/>
              <w:rPr>
                <w:lang w:bidi="ar-SA"/>
              </w:rPr>
            </w:pPr>
            <w:r w:rsidRPr="004C12C9">
              <w:rPr>
                <w:lang w:bidi="ar-SA"/>
              </w:rPr>
              <w:t>Steel</w:t>
            </w:r>
          </w:p>
        </w:tc>
        <w:tc>
          <w:tcPr>
            <w:tcW w:w="1781" w:type="dxa"/>
            <w:noWrap/>
            <w:vAlign w:val="bottom"/>
          </w:tcPr>
          <w:p w14:paraId="4ADE2196" w14:textId="77777777" w:rsidR="00BE5B50" w:rsidRPr="004C12C9" w:rsidRDefault="00BE5B50" w:rsidP="00057D1D">
            <w:pPr>
              <w:pStyle w:val="ICFTabletext"/>
              <w:rPr>
                <w:lang w:bidi="ar-SA"/>
              </w:rPr>
            </w:pPr>
            <w:r w:rsidRPr="004C12C9">
              <w:rPr>
                <w:lang w:bidi="ar-SA"/>
              </w:rPr>
              <w:t>Canda</w:t>
            </w:r>
          </w:p>
        </w:tc>
        <w:tc>
          <w:tcPr>
            <w:tcW w:w="1800" w:type="dxa"/>
            <w:noWrap/>
            <w:vAlign w:val="bottom"/>
          </w:tcPr>
          <w:p w14:paraId="46BB4C50" w14:textId="77777777" w:rsidR="00BE5B50" w:rsidRPr="004C12C9" w:rsidRDefault="00BE5B50" w:rsidP="00057D1D">
            <w:pPr>
              <w:pStyle w:val="ICFTabletext"/>
              <w:rPr>
                <w:lang w:bidi="ar-SA"/>
              </w:rPr>
            </w:pPr>
            <w:r w:rsidRPr="004C12C9">
              <w:rPr>
                <w:lang w:bidi="ar-SA"/>
              </w:rPr>
              <w:t>Toronto</w:t>
            </w:r>
          </w:p>
        </w:tc>
        <w:tc>
          <w:tcPr>
            <w:tcW w:w="2340" w:type="dxa"/>
            <w:noWrap/>
            <w:vAlign w:val="center"/>
          </w:tcPr>
          <w:p w14:paraId="1A6B6438" w14:textId="77777777" w:rsidR="00BE5B50" w:rsidRPr="004C12C9" w:rsidRDefault="00BE5B50" w:rsidP="00DE4681">
            <w:pPr>
              <w:pStyle w:val="ICFTabletext"/>
              <w:jc w:val="center"/>
              <w:rPr>
                <w:lang w:bidi="ar-SA"/>
              </w:rPr>
            </w:pPr>
            <w:r w:rsidRPr="004C12C9">
              <w:rPr>
                <w:lang w:bidi="ar-SA"/>
              </w:rPr>
              <w:t>927</w:t>
            </w:r>
          </w:p>
        </w:tc>
        <w:tc>
          <w:tcPr>
            <w:tcW w:w="2425" w:type="dxa"/>
            <w:noWrap/>
            <w:vAlign w:val="center"/>
          </w:tcPr>
          <w:p w14:paraId="24F072F1" w14:textId="77777777" w:rsidR="00BE5B50" w:rsidRPr="004C12C9" w:rsidRDefault="00BE5B50" w:rsidP="00DE4681">
            <w:pPr>
              <w:pStyle w:val="ICFTabletext"/>
              <w:jc w:val="center"/>
              <w:rPr>
                <w:lang w:bidi="ar-SA"/>
              </w:rPr>
            </w:pPr>
            <w:r w:rsidRPr="004C12C9">
              <w:rPr>
                <w:lang w:bidi="ar-SA"/>
              </w:rPr>
              <w:t>NA</w:t>
            </w:r>
          </w:p>
        </w:tc>
      </w:tr>
      <w:tr w:rsidR="002D6F74" w:rsidRPr="004C12C9" w14:paraId="78BFFF53" w14:textId="77777777" w:rsidTr="00DE4681">
        <w:trPr>
          <w:trHeight w:val="20"/>
        </w:trPr>
        <w:tc>
          <w:tcPr>
            <w:tcW w:w="1734" w:type="dxa"/>
            <w:noWrap/>
            <w:vAlign w:val="bottom"/>
          </w:tcPr>
          <w:p w14:paraId="4E028A5E" w14:textId="77777777" w:rsidR="00BE5B50" w:rsidRPr="004C12C9" w:rsidRDefault="00BE5B50" w:rsidP="00057D1D">
            <w:pPr>
              <w:pStyle w:val="ICFTabletext"/>
              <w:rPr>
                <w:lang w:bidi="ar-SA"/>
              </w:rPr>
            </w:pPr>
            <w:r w:rsidRPr="004C12C9">
              <w:rPr>
                <w:lang w:bidi="ar-SA"/>
              </w:rPr>
              <w:t>Wood Products</w:t>
            </w:r>
          </w:p>
        </w:tc>
        <w:tc>
          <w:tcPr>
            <w:tcW w:w="1781" w:type="dxa"/>
            <w:noWrap/>
            <w:vAlign w:val="bottom"/>
          </w:tcPr>
          <w:p w14:paraId="528329F7" w14:textId="77777777" w:rsidR="00BE5B50" w:rsidRPr="004C12C9" w:rsidRDefault="00BE5B50" w:rsidP="00057D1D">
            <w:pPr>
              <w:pStyle w:val="ICFTabletext"/>
              <w:rPr>
                <w:lang w:bidi="ar-SA"/>
              </w:rPr>
            </w:pPr>
            <w:r w:rsidRPr="004C12C9">
              <w:rPr>
                <w:lang w:bidi="ar-SA"/>
              </w:rPr>
              <w:t>Canada</w:t>
            </w:r>
          </w:p>
        </w:tc>
        <w:tc>
          <w:tcPr>
            <w:tcW w:w="1800" w:type="dxa"/>
            <w:noWrap/>
            <w:vAlign w:val="bottom"/>
          </w:tcPr>
          <w:p w14:paraId="0CEDBF33" w14:textId="77777777" w:rsidR="00BE5B50" w:rsidRPr="004C12C9" w:rsidRDefault="00BE5B50" w:rsidP="00057D1D">
            <w:pPr>
              <w:pStyle w:val="ICFTabletext"/>
              <w:rPr>
                <w:lang w:bidi="ar-SA"/>
              </w:rPr>
            </w:pPr>
            <w:r w:rsidRPr="004C12C9">
              <w:rPr>
                <w:lang w:bidi="ar-SA"/>
              </w:rPr>
              <w:t>Toronto</w:t>
            </w:r>
          </w:p>
        </w:tc>
        <w:tc>
          <w:tcPr>
            <w:tcW w:w="2340" w:type="dxa"/>
            <w:noWrap/>
            <w:vAlign w:val="center"/>
          </w:tcPr>
          <w:p w14:paraId="17CCD289" w14:textId="77777777" w:rsidR="00BE5B50" w:rsidRPr="004C12C9" w:rsidRDefault="00BE5B50" w:rsidP="00DE4681">
            <w:pPr>
              <w:pStyle w:val="ICFTabletext"/>
              <w:jc w:val="center"/>
              <w:rPr>
                <w:lang w:bidi="ar-SA"/>
              </w:rPr>
            </w:pPr>
            <w:r w:rsidRPr="004C12C9">
              <w:rPr>
                <w:lang w:bidi="ar-SA"/>
              </w:rPr>
              <w:t>927</w:t>
            </w:r>
          </w:p>
        </w:tc>
        <w:tc>
          <w:tcPr>
            <w:tcW w:w="2425" w:type="dxa"/>
            <w:noWrap/>
            <w:vAlign w:val="center"/>
          </w:tcPr>
          <w:p w14:paraId="27B57E6E" w14:textId="77777777" w:rsidR="00BE5B50" w:rsidRPr="004C12C9" w:rsidRDefault="00BE5B50" w:rsidP="00DE4681">
            <w:pPr>
              <w:pStyle w:val="ICFTabletext"/>
              <w:jc w:val="center"/>
              <w:rPr>
                <w:lang w:bidi="ar-SA"/>
              </w:rPr>
            </w:pPr>
            <w:r w:rsidRPr="004C12C9">
              <w:rPr>
                <w:lang w:bidi="ar-SA"/>
              </w:rPr>
              <w:t>NA</w:t>
            </w:r>
          </w:p>
        </w:tc>
      </w:tr>
    </w:tbl>
    <w:p w14:paraId="38810569" w14:textId="11D3B818" w:rsidR="00887EA5" w:rsidRPr="004C12C9" w:rsidRDefault="00887EA5" w:rsidP="00354494">
      <w:pPr>
        <w:pStyle w:val="footnote"/>
        <w:rPr>
          <w:rFonts w:eastAsia="MS Mincho"/>
          <w:lang w:eastAsia="ja-JP" w:bidi="ar-SA"/>
        </w:rPr>
      </w:pPr>
      <w:r w:rsidRPr="004C12C9">
        <w:rPr>
          <w:vertAlign w:val="superscript"/>
          <w:lang w:bidi="ar-SA"/>
        </w:rPr>
        <w:t>a</w:t>
      </w:r>
      <w:r w:rsidRPr="004C12C9">
        <w:rPr>
          <w:rFonts w:eastAsia="MS Mincho"/>
          <w:vertAlign w:val="superscript"/>
          <w:lang w:bidi="ar-SA"/>
        </w:rPr>
        <w:t xml:space="preserve"> </w:t>
      </w:r>
      <w:r w:rsidRPr="004C12C9">
        <w:rPr>
          <w:rFonts w:eastAsia="MS Mincho"/>
          <w:lang w:eastAsia="ja-JP" w:bidi="ar-SA"/>
        </w:rPr>
        <w:t>No imports for concrete and asphalt are assumed as these materials are typically sourced close to the construction site.</w:t>
      </w:r>
    </w:p>
    <w:p w14:paraId="079E8B88" w14:textId="44FDF2E0" w:rsidR="00BE5B50" w:rsidRPr="004C12C9" w:rsidRDefault="00AE1625" w:rsidP="00972CF9">
      <w:pPr>
        <w:rPr>
          <w:rFonts w:eastAsia="MS Mincho"/>
          <w:lang w:eastAsia="ja-JP" w:bidi="ar-SA"/>
        </w:rPr>
      </w:pPr>
      <w:r w:rsidRPr="004C12C9">
        <w:rPr>
          <w:rFonts w:eastAsia="MS Mincho"/>
          <w:lang w:eastAsia="ja-JP" w:bidi="ar-SA"/>
        </w:rPr>
        <w:t xml:space="preserve">The total average distance traveled by imports to Minnesota by material type </w:t>
      </w:r>
      <w:r w:rsidR="0033556F" w:rsidRPr="004C12C9">
        <w:rPr>
          <w:rFonts w:eastAsia="MS Mincho"/>
          <w:lang w:eastAsia="ja-JP" w:bidi="ar-SA"/>
        </w:rPr>
        <w:t>is</w:t>
      </w:r>
      <w:r w:rsidRPr="004C12C9">
        <w:rPr>
          <w:rFonts w:eastAsia="MS Mincho"/>
          <w:lang w:eastAsia="ja-JP" w:bidi="ar-SA"/>
        </w:rPr>
        <w:t xml:space="preserve"> then calculated b</w:t>
      </w:r>
      <w:r w:rsidR="00BE5B50" w:rsidRPr="004C12C9">
        <w:rPr>
          <w:rFonts w:eastAsia="MS Mincho"/>
          <w:lang w:eastAsia="ja-JP" w:bidi="ar-SA"/>
        </w:rPr>
        <w:t xml:space="preserve">ased on the assumptions shown in </w:t>
      </w:r>
      <w:r w:rsidR="00BE5B50" w:rsidRPr="004C12C9">
        <w:rPr>
          <w:rFonts w:eastAsia="MS Mincho"/>
          <w:lang w:eastAsia="ja-JP" w:bidi="ar-SA"/>
        </w:rPr>
        <w:fldChar w:fldCharType="begin" w:fldLock="1"/>
      </w:r>
      <w:r w:rsidR="00BE5B50" w:rsidRPr="004C12C9">
        <w:rPr>
          <w:rFonts w:eastAsia="MS Mincho"/>
          <w:lang w:eastAsia="ja-JP" w:bidi="ar-SA"/>
        </w:rPr>
        <w:instrText xml:space="preserve"> REF _Ref185412979 \h  \* MERGEFORMAT </w:instrText>
      </w:r>
      <w:r w:rsidR="00BE5B50" w:rsidRPr="004C12C9">
        <w:rPr>
          <w:rFonts w:eastAsia="MS Mincho"/>
          <w:lang w:eastAsia="ja-JP" w:bidi="ar-SA"/>
        </w:rPr>
      </w:r>
      <w:r w:rsidR="00BE5B50"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15</w:t>
      </w:r>
      <w:r w:rsidR="00BE5B50" w:rsidRPr="004C12C9">
        <w:rPr>
          <w:rFonts w:eastAsia="MS Mincho"/>
          <w:lang w:eastAsia="ja-JP" w:bidi="ar-SA"/>
        </w:rPr>
        <w:fldChar w:fldCharType="end"/>
      </w:r>
      <w:r w:rsidR="00BE5B50" w:rsidRPr="004C12C9">
        <w:rPr>
          <w:rFonts w:eastAsia="MS Mincho"/>
          <w:lang w:eastAsia="ja-JP" w:bidi="ar-SA"/>
        </w:rPr>
        <w:t xml:space="preserve">. These distances are summarized in </w:t>
      </w:r>
      <w:r w:rsidR="00BE5B50" w:rsidRPr="004C12C9">
        <w:rPr>
          <w:rFonts w:eastAsia="MS Mincho"/>
          <w:lang w:eastAsia="ja-JP" w:bidi="ar-SA"/>
        </w:rPr>
        <w:fldChar w:fldCharType="begin" w:fldLock="1"/>
      </w:r>
      <w:r w:rsidR="00BE5B50" w:rsidRPr="004C12C9">
        <w:rPr>
          <w:rFonts w:eastAsia="MS Mincho"/>
          <w:lang w:eastAsia="ja-JP" w:bidi="ar-SA"/>
        </w:rPr>
        <w:instrText xml:space="preserve"> REF _Ref185428393 \h  \* MERGEFORMAT </w:instrText>
      </w:r>
      <w:r w:rsidR="00BE5B50" w:rsidRPr="004C12C9">
        <w:rPr>
          <w:rFonts w:eastAsia="MS Mincho"/>
          <w:lang w:eastAsia="ja-JP" w:bidi="ar-SA"/>
        </w:rPr>
      </w:r>
      <w:r w:rsidR="00BE5B50" w:rsidRPr="004C12C9">
        <w:rPr>
          <w:rFonts w:eastAsia="MS Mincho"/>
          <w:lang w:eastAsia="ja-JP" w:bidi="ar-SA"/>
        </w:rPr>
        <w:fldChar w:fldCharType="separate"/>
      </w:r>
      <w:r w:rsidR="00127094" w:rsidRPr="004C12C9">
        <w:rPr>
          <w:rFonts w:eastAsia="MS Mincho"/>
          <w:lang w:eastAsia="ja-JP" w:bidi="ar-SA"/>
        </w:rPr>
        <w:t>Table 2</w:t>
      </w:r>
      <w:r w:rsidR="00127094" w:rsidRPr="004C12C9">
        <w:rPr>
          <w:rFonts w:eastAsia="MS Mincho"/>
          <w:lang w:eastAsia="ja-JP" w:bidi="ar-SA"/>
        </w:rPr>
        <w:noBreakHyphen/>
        <w:t>16</w:t>
      </w:r>
      <w:r w:rsidR="00BE5B50" w:rsidRPr="004C12C9">
        <w:rPr>
          <w:rFonts w:eastAsia="MS Mincho"/>
          <w:lang w:eastAsia="ja-JP" w:bidi="ar-SA"/>
        </w:rPr>
        <w:fldChar w:fldCharType="end"/>
      </w:r>
      <w:r w:rsidR="00BE5B50" w:rsidRPr="004C12C9">
        <w:rPr>
          <w:rFonts w:eastAsia="MS Mincho"/>
          <w:lang w:eastAsia="ja-JP" w:bidi="ar-SA"/>
        </w:rPr>
        <w:t xml:space="preserve"> below.</w:t>
      </w:r>
    </w:p>
    <w:p w14:paraId="685BA15E" w14:textId="0EB1C774" w:rsidR="00BE5B50" w:rsidRPr="004C12C9" w:rsidRDefault="00BE5B50" w:rsidP="00057D1D">
      <w:pPr>
        <w:pStyle w:val="Caption"/>
        <w:rPr>
          <w:rFonts w:asciiTheme="minorHAnsi" w:eastAsia="MS Mincho" w:hAnsiTheme="minorHAnsi" w:cstheme="minorHAnsi"/>
          <w:b w:val="0"/>
          <w:lang w:eastAsia="ja-JP" w:bidi="ar-SA"/>
        </w:rPr>
      </w:pPr>
      <w:bookmarkStart w:id="63" w:name="_Ref185428393"/>
      <w:r w:rsidRPr="004C12C9">
        <w:rPr>
          <w:rFonts w:eastAsia="MS Mincho"/>
          <w:lang w:eastAsia="ja-JP" w:bidi="ar-SA"/>
        </w:rPr>
        <w:t xml:space="preserve">Table </w:t>
      </w:r>
      <w:r w:rsidR="00F72B41">
        <w:rPr>
          <w:rFonts w:eastAsia="MS Mincho"/>
          <w:lang w:eastAsia="ja-JP" w:bidi="ar-SA"/>
        </w:rPr>
        <w:fldChar w:fldCharType="begin"/>
      </w:r>
      <w:r w:rsidR="00F72B41">
        <w:rPr>
          <w:rFonts w:eastAsia="MS Mincho"/>
          <w:lang w:eastAsia="ja-JP" w:bidi="ar-SA"/>
        </w:rPr>
        <w:instrText xml:space="preserve"> STYLEREF 2 \s </w:instrText>
      </w:r>
      <w:r w:rsidR="00F72B41">
        <w:rPr>
          <w:rFonts w:eastAsia="MS Mincho"/>
          <w:lang w:eastAsia="ja-JP" w:bidi="ar-SA"/>
        </w:rPr>
        <w:fldChar w:fldCharType="separate"/>
      </w:r>
      <w:r w:rsidR="00F72B41">
        <w:rPr>
          <w:rFonts w:eastAsia="MS Mincho"/>
          <w:noProof/>
          <w:lang w:eastAsia="ja-JP" w:bidi="ar-SA"/>
        </w:rPr>
        <w:t>2</w:t>
      </w:r>
      <w:r w:rsidR="00F72B41">
        <w:rPr>
          <w:rFonts w:eastAsia="MS Mincho"/>
          <w:lang w:eastAsia="ja-JP" w:bidi="ar-SA"/>
        </w:rPr>
        <w:fldChar w:fldCharType="end"/>
      </w:r>
      <w:r w:rsidR="00F72B41">
        <w:rPr>
          <w:rFonts w:eastAsia="MS Mincho"/>
          <w:lang w:eastAsia="ja-JP" w:bidi="ar-SA"/>
        </w:rPr>
        <w:noBreakHyphen/>
      </w:r>
      <w:r w:rsidR="00F72B41">
        <w:rPr>
          <w:rFonts w:eastAsia="MS Mincho"/>
          <w:lang w:eastAsia="ja-JP" w:bidi="ar-SA"/>
        </w:rPr>
        <w:fldChar w:fldCharType="begin"/>
      </w:r>
      <w:r w:rsidR="00F72B41">
        <w:rPr>
          <w:rFonts w:eastAsia="MS Mincho"/>
          <w:lang w:eastAsia="ja-JP" w:bidi="ar-SA"/>
        </w:rPr>
        <w:instrText xml:space="preserve"> SEQ Table \* ARABIC \s 2 </w:instrText>
      </w:r>
      <w:r w:rsidR="00F72B41">
        <w:rPr>
          <w:rFonts w:eastAsia="MS Mincho"/>
          <w:lang w:eastAsia="ja-JP" w:bidi="ar-SA"/>
        </w:rPr>
        <w:fldChar w:fldCharType="separate"/>
      </w:r>
      <w:r w:rsidR="00F72B41">
        <w:rPr>
          <w:rFonts w:eastAsia="MS Mincho"/>
          <w:noProof/>
          <w:lang w:eastAsia="ja-JP" w:bidi="ar-SA"/>
        </w:rPr>
        <w:t>16</w:t>
      </w:r>
      <w:r w:rsidR="00F72B41">
        <w:rPr>
          <w:rFonts w:eastAsia="MS Mincho"/>
          <w:lang w:eastAsia="ja-JP" w:bidi="ar-SA"/>
        </w:rPr>
        <w:fldChar w:fldCharType="end"/>
      </w:r>
      <w:bookmarkEnd w:id="63"/>
      <w:r w:rsidRPr="004C12C9">
        <w:rPr>
          <w:rFonts w:eastAsia="MS Mincho"/>
          <w:lang w:eastAsia="ja-JP" w:bidi="ar-SA"/>
        </w:rPr>
        <w:t>. Average Distance Traveled by Materials Imported</w:t>
      </w:r>
    </w:p>
    <w:tbl>
      <w:tblPr>
        <w:tblW w:w="294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16"/>
        <w:gridCol w:w="3519"/>
      </w:tblGrid>
      <w:tr w:rsidR="00BE5B50" w:rsidRPr="004C12C9" w14:paraId="386E1383" w14:textId="77777777" w:rsidTr="001A1CEA">
        <w:trPr>
          <w:trHeight w:val="233"/>
        </w:trPr>
        <w:tc>
          <w:tcPr>
            <w:tcW w:w="2416" w:type="dxa"/>
            <w:shd w:val="clear" w:color="auto" w:fill="D9D9D9" w:themeFill="background1" w:themeFillShade="D9"/>
            <w:noWrap/>
            <w:vAlign w:val="center"/>
            <w:hideMark/>
          </w:tcPr>
          <w:p w14:paraId="1E4A7F7F" w14:textId="77777777" w:rsidR="00BE5B50" w:rsidRPr="004C12C9" w:rsidRDefault="00BE5B50" w:rsidP="00057D1D">
            <w:pPr>
              <w:pStyle w:val="ICFTableHeading"/>
              <w:rPr>
                <w:lang w:bidi="ar-SA"/>
              </w:rPr>
            </w:pPr>
            <w:r w:rsidRPr="004C12C9">
              <w:rPr>
                <w:lang w:bidi="ar-SA"/>
              </w:rPr>
              <w:t>Material</w:t>
            </w:r>
          </w:p>
        </w:tc>
        <w:tc>
          <w:tcPr>
            <w:tcW w:w="3519" w:type="dxa"/>
            <w:shd w:val="clear" w:color="auto" w:fill="D9D9D9" w:themeFill="background1" w:themeFillShade="D9"/>
            <w:vAlign w:val="center"/>
          </w:tcPr>
          <w:p w14:paraId="2B09F7A4" w14:textId="77777777" w:rsidR="00BE5B50" w:rsidRPr="004C12C9" w:rsidRDefault="00BE5B50" w:rsidP="00057D1D">
            <w:pPr>
              <w:pStyle w:val="ICFTableHeading"/>
              <w:rPr>
                <w:lang w:bidi="ar-SA"/>
              </w:rPr>
            </w:pPr>
            <w:r w:rsidRPr="004C12C9">
              <w:rPr>
                <w:lang w:bidi="ar-SA"/>
              </w:rPr>
              <w:t>Distance Traveled: Imports (miles)</w:t>
            </w:r>
          </w:p>
        </w:tc>
      </w:tr>
      <w:tr w:rsidR="00BE5B50" w:rsidRPr="004C12C9" w14:paraId="3BED3545" w14:textId="77777777" w:rsidTr="00AE1625">
        <w:trPr>
          <w:trHeight w:val="80"/>
        </w:trPr>
        <w:tc>
          <w:tcPr>
            <w:tcW w:w="2416" w:type="dxa"/>
            <w:noWrap/>
            <w:vAlign w:val="center"/>
            <w:hideMark/>
          </w:tcPr>
          <w:p w14:paraId="71EF669F" w14:textId="77777777" w:rsidR="00BE5B50" w:rsidRPr="004C12C9" w:rsidRDefault="00BE5B50" w:rsidP="006D3094">
            <w:pPr>
              <w:pStyle w:val="ICFTabletext"/>
              <w:spacing w:before="50" w:after="50"/>
              <w:rPr>
                <w:lang w:bidi="ar-SA"/>
              </w:rPr>
            </w:pPr>
            <w:r w:rsidRPr="004C12C9">
              <w:rPr>
                <w:lang w:bidi="ar-SA"/>
              </w:rPr>
              <w:t>Aluminum</w:t>
            </w:r>
          </w:p>
        </w:tc>
        <w:tc>
          <w:tcPr>
            <w:tcW w:w="3519" w:type="dxa"/>
          </w:tcPr>
          <w:p w14:paraId="0840E065" w14:textId="77777777" w:rsidR="00BE5B50" w:rsidRPr="004C12C9" w:rsidRDefault="00BE5B50" w:rsidP="006D3094">
            <w:pPr>
              <w:pStyle w:val="ICFTabletext"/>
              <w:spacing w:before="50" w:after="50"/>
              <w:jc w:val="center"/>
              <w:rPr>
                <w:lang w:bidi="ar-SA"/>
              </w:rPr>
            </w:pPr>
            <w:r w:rsidRPr="004C12C9">
              <w:rPr>
                <w:lang w:bidi="ar-SA"/>
              </w:rPr>
              <w:t>927</w:t>
            </w:r>
          </w:p>
        </w:tc>
      </w:tr>
      <w:tr w:rsidR="00BE5B50" w:rsidRPr="004C12C9" w14:paraId="55FE2001" w14:textId="77777777" w:rsidTr="00AE1625">
        <w:trPr>
          <w:trHeight w:val="20"/>
        </w:trPr>
        <w:tc>
          <w:tcPr>
            <w:tcW w:w="2416" w:type="dxa"/>
            <w:noWrap/>
            <w:vAlign w:val="center"/>
            <w:hideMark/>
          </w:tcPr>
          <w:p w14:paraId="162162D9" w14:textId="0A4ACF6F" w:rsidR="00BE5B50" w:rsidRPr="004C12C9" w:rsidRDefault="00BE5B50" w:rsidP="006D3094">
            <w:pPr>
              <w:pStyle w:val="ICFTabletext"/>
              <w:spacing w:before="50" w:after="50"/>
              <w:rPr>
                <w:lang w:bidi="ar-SA"/>
              </w:rPr>
            </w:pPr>
            <w:r w:rsidRPr="004C12C9">
              <w:rPr>
                <w:lang w:bidi="ar-SA"/>
              </w:rPr>
              <w:t>Asphalt</w:t>
            </w:r>
          </w:p>
        </w:tc>
        <w:tc>
          <w:tcPr>
            <w:tcW w:w="3519" w:type="dxa"/>
          </w:tcPr>
          <w:p w14:paraId="19D9DCF3" w14:textId="77777777" w:rsidR="00BE5B50" w:rsidRPr="004C12C9" w:rsidRDefault="00BE5B50" w:rsidP="006D3094">
            <w:pPr>
              <w:pStyle w:val="ICFTabletext"/>
              <w:spacing w:before="50" w:after="50"/>
              <w:jc w:val="center"/>
              <w:rPr>
                <w:lang w:bidi="ar-SA"/>
              </w:rPr>
            </w:pPr>
            <w:r w:rsidRPr="004C12C9">
              <w:rPr>
                <w:lang w:bidi="ar-SA"/>
              </w:rPr>
              <w:t>NA</w:t>
            </w:r>
          </w:p>
        </w:tc>
      </w:tr>
      <w:tr w:rsidR="00BE5B50" w:rsidRPr="004C12C9" w14:paraId="655E4097" w14:textId="77777777" w:rsidTr="00AE1625">
        <w:trPr>
          <w:trHeight w:val="20"/>
        </w:trPr>
        <w:tc>
          <w:tcPr>
            <w:tcW w:w="2416" w:type="dxa"/>
            <w:noWrap/>
            <w:vAlign w:val="center"/>
            <w:hideMark/>
          </w:tcPr>
          <w:p w14:paraId="111EBC61" w14:textId="77777777" w:rsidR="00BE5B50" w:rsidRPr="004C12C9" w:rsidRDefault="00BE5B50" w:rsidP="006D3094">
            <w:pPr>
              <w:pStyle w:val="ICFTabletext"/>
              <w:spacing w:before="50" w:after="50"/>
              <w:rPr>
                <w:lang w:bidi="ar-SA"/>
              </w:rPr>
            </w:pPr>
            <w:r w:rsidRPr="004C12C9">
              <w:rPr>
                <w:lang w:bidi="ar-SA"/>
              </w:rPr>
              <w:t>Brick</w:t>
            </w:r>
          </w:p>
        </w:tc>
        <w:tc>
          <w:tcPr>
            <w:tcW w:w="3519" w:type="dxa"/>
          </w:tcPr>
          <w:p w14:paraId="632D8BEF" w14:textId="77777777" w:rsidR="00BE5B50" w:rsidRPr="004C12C9" w:rsidRDefault="00BE5B50" w:rsidP="006D3094">
            <w:pPr>
              <w:pStyle w:val="ICFTabletext"/>
              <w:spacing w:before="50" w:after="50"/>
              <w:jc w:val="center"/>
              <w:rPr>
                <w:lang w:bidi="ar-SA"/>
              </w:rPr>
            </w:pPr>
            <w:r w:rsidRPr="004C12C9">
              <w:rPr>
                <w:lang w:bidi="ar-SA"/>
              </w:rPr>
              <w:t>8,575</w:t>
            </w:r>
          </w:p>
        </w:tc>
      </w:tr>
      <w:tr w:rsidR="00BE5B50" w:rsidRPr="004C12C9" w14:paraId="21E6BA0B" w14:textId="77777777" w:rsidTr="00AE1625">
        <w:trPr>
          <w:trHeight w:val="20"/>
        </w:trPr>
        <w:tc>
          <w:tcPr>
            <w:tcW w:w="2416" w:type="dxa"/>
            <w:noWrap/>
            <w:vAlign w:val="center"/>
          </w:tcPr>
          <w:p w14:paraId="6BE0C8DB" w14:textId="73048F04" w:rsidR="00BE5B50" w:rsidRPr="004C12C9" w:rsidRDefault="00BE5B50" w:rsidP="006D3094">
            <w:pPr>
              <w:pStyle w:val="ICFTabletext"/>
              <w:spacing w:before="50" w:after="50"/>
              <w:rPr>
                <w:lang w:bidi="ar-SA"/>
              </w:rPr>
            </w:pPr>
            <w:r w:rsidRPr="004C12C9">
              <w:rPr>
                <w:lang w:bidi="ar-SA"/>
              </w:rPr>
              <w:t>Concrete</w:t>
            </w:r>
          </w:p>
        </w:tc>
        <w:tc>
          <w:tcPr>
            <w:tcW w:w="3519" w:type="dxa"/>
          </w:tcPr>
          <w:p w14:paraId="298657E5" w14:textId="77777777" w:rsidR="00BE5B50" w:rsidRPr="004C12C9" w:rsidRDefault="00BE5B50" w:rsidP="006D3094">
            <w:pPr>
              <w:pStyle w:val="ICFTabletext"/>
              <w:spacing w:before="50" w:after="50"/>
              <w:jc w:val="center"/>
              <w:rPr>
                <w:lang w:bidi="ar-SA"/>
              </w:rPr>
            </w:pPr>
            <w:r w:rsidRPr="004C12C9">
              <w:rPr>
                <w:lang w:bidi="ar-SA"/>
              </w:rPr>
              <w:t>NA</w:t>
            </w:r>
          </w:p>
        </w:tc>
      </w:tr>
      <w:tr w:rsidR="00BE5B50" w:rsidRPr="004C12C9" w14:paraId="534B3950" w14:textId="77777777" w:rsidTr="00AE1625">
        <w:trPr>
          <w:trHeight w:val="20"/>
        </w:trPr>
        <w:tc>
          <w:tcPr>
            <w:tcW w:w="2416" w:type="dxa"/>
            <w:noWrap/>
            <w:vAlign w:val="center"/>
          </w:tcPr>
          <w:p w14:paraId="2B7C0746" w14:textId="77777777" w:rsidR="00BE5B50" w:rsidRPr="004C12C9" w:rsidRDefault="00BE5B50" w:rsidP="006D3094">
            <w:pPr>
              <w:pStyle w:val="ICFTabletext"/>
              <w:spacing w:before="50" w:after="50"/>
              <w:rPr>
                <w:lang w:bidi="ar-SA"/>
              </w:rPr>
            </w:pPr>
            <w:r w:rsidRPr="004C12C9">
              <w:rPr>
                <w:lang w:bidi="ar-SA"/>
              </w:rPr>
              <w:t>Glass</w:t>
            </w:r>
          </w:p>
        </w:tc>
        <w:tc>
          <w:tcPr>
            <w:tcW w:w="3519" w:type="dxa"/>
          </w:tcPr>
          <w:p w14:paraId="502FC2A6" w14:textId="77777777" w:rsidR="00BE5B50" w:rsidRPr="004C12C9" w:rsidRDefault="00BE5B50" w:rsidP="006D3094">
            <w:pPr>
              <w:pStyle w:val="ICFTabletext"/>
              <w:spacing w:before="50" w:after="50"/>
              <w:jc w:val="center"/>
              <w:rPr>
                <w:lang w:bidi="ar-SA"/>
              </w:rPr>
            </w:pPr>
            <w:r w:rsidRPr="004C12C9">
              <w:rPr>
                <w:lang w:bidi="ar-SA"/>
              </w:rPr>
              <w:t>4,870</w:t>
            </w:r>
          </w:p>
        </w:tc>
      </w:tr>
      <w:tr w:rsidR="00BE5B50" w:rsidRPr="004C12C9" w14:paraId="5172C650" w14:textId="77777777" w:rsidTr="00AE1625">
        <w:trPr>
          <w:trHeight w:val="20"/>
        </w:trPr>
        <w:tc>
          <w:tcPr>
            <w:tcW w:w="2416" w:type="dxa"/>
            <w:noWrap/>
            <w:vAlign w:val="center"/>
            <w:hideMark/>
          </w:tcPr>
          <w:p w14:paraId="07E29832" w14:textId="77777777" w:rsidR="00BE5B50" w:rsidRPr="004C12C9" w:rsidRDefault="00BE5B50" w:rsidP="006D3094">
            <w:pPr>
              <w:pStyle w:val="ICFTabletext"/>
              <w:spacing w:before="50" w:after="50"/>
              <w:rPr>
                <w:lang w:bidi="ar-SA"/>
              </w:rPr>
            </w:pPr>
            <w:r w:rsidRPr="004C12C9">
              <w:rPr>
                <w:lang w:bidi="ar-SA"/>
              </w:rPr>
              <w:t>Insulation</w:t>
            </w:r>
          </w:p>
        </w:tc>
        <w:tc>
          <w:tcPr>
            <w:tcW w:w="3519" w:type="dxa"/>
          </w:tcPr>
          <w:p w14:paraId="1AF55962" w14:textId="77777777" w:rsidR="00BE5B50" w:rsidRPr="004C12C9" w:rsidRDefault="00BE5B50" w:rsidP="006D3094">
            <w:pPr>
              <w:pStyle w:val="ICFTabletext"/>
              <w:spacing w:before="50" w:after="50"/>
              <w:jc w:val="center"/>
              <w:rPr>
                <w:lang w:bidi="ar-SA"/>
              </w:rPr>
            </w:pPr>
            <w:r w:rsidRPr="004C12C9">
              <w:rPr>
                <w:lang w:bidi="ar-SA"/>
              </w:rPr>
              <w:t>927</w:t>
            </w:r>
          </w:p>
        </w:tc>
      </w:tr>
      <w:tr w:rsidR="00BE5B50" w:rsidRPr="004C12C9" w14:paraId="2859FA85" w14:textId="77777777" w:rsidTr="00AE1625">
        <w:trPr>
          <w:trHeight w:val="20"/>
        </w:trPr>
        <w:tc>
          <w:tcPr>
            <w:tcW w:w="2416" w:type="dxa"/>
            <w:noWrap/>
            <w:vAlign w:val="center"/>
            <w:hideMark/>
          </w:tcPr>
          <w:p w14:paraId="3B2ED05E" w14:textId="77777777" w:rsidR="00BE5B50" w:rsidRPr="004C12C9" w:rsidRDefault="00BE5B50" w:rsidP="006D3094">
            <w:pPr>
              <w:pStyle w:val="ICFTabletext"/>
              <w:spacing w:before="50" w:after="50"/>
              <w:rPr>
                <w:lang w:bidi="ar-SA"/>
              </w:rPr>
            </w:pPr>
            <w:r w:rsidRPr="004C12C9">
              <w:rPr>
                <w:lang w:bidi="ar-SA"/>
              </w:rPr>
              <w:t>Steel</w:t>
            </w:r>
          </w:p>
        </w:tc>
        <w:tc>
          <w:tcPr>
            <w:tcW w:w="3519" w:type="dxa"/>
          </w:tcPr>
          <w:p w14:paraId="0DFC6FCE" w14:textId="77777777" w:rsidR="00BE5B50" w:rsidRPr="004C12C9" w:rsidRDefault="00BE5B50" w:rsidP="006D3094">
            <w:pPr>
              <w:pStyle w:val="ICFTabletext"/>
              <w:spacing w:before="50" w:after="50"/>
              <w:jc w:val="center"/>
              <w:rPr>
                <w:lang w:bidi="ar-SA"/>
              </w:rPr>
            </w:pPr>
            <w:r w:rsidRPr="004C12C9">
              <w:rPr>
                <w:lang w:bidi="ar-SA"/>
              </w:rPr>
              <w:t>927</w:t>
            </w:r>
          </w:p>
        </w:tc>
      </w:tr>
      <w:tr w:rsidR="00BE5B50" w:rsidRPr="004C12C9" w14:paraId="4161DF8C" w14:textId="77777777" w:rsidTr="00AE1625">
        <w:trPr>
          <w:trHeight w:val="20"/>
        </w:trPr>
        <w:tc>
          <w:tcPr>
            <w:tcW w:w="2416" w:type="dxa"/>
            <w:vAlign w:val="center"/>
            <w:hideMark/>
          </w:tcPr>
          <w:p w14:paraId="1EEC7B23" w14:textId="77777777" w:rsidR="00BE5B50" w:rsidRPr="004C12C9" w:rsidRDefault="00BE5B50" w:rsidP="006D3094">
            <w:pPr>
              <w:pStyle w:val="ICFTabletext"/>
              <w:spacing w:before="50" w:after="50"/>
              <w:rPr>
                <w:lang w:bidi="ar-SA"/>
              </w:rPr>
            </w:pPr>
            <w:r w:rsidRPr="004C12C9">
              <w:rPr>
                <w:lang w:bidi="ar-SA"/>
              </w:rPr>
              <w:t>Wood Products</w:t>
            </w:r>
          </w:p>
        </w:tc>
        <w:tc>
          <w:tcPr>
            <w:tcW w:w="3519" w:type="dxa"/>
          </w:tcPr>
          <w:p w14:paraId="713CB7BE" w14:textId="77777777" w:rsidR="00BE5B50" w:rsidRPr="004C12C9" w:rsidRDefault="00BE5B50" w:rsidP="006D3094">
            <w:pPr>
              <w:pStyle w:val="ICFTabletext"/>
              <w:spacing w:before="50" w:after="50"/>
              <w:jc w:val="center"/>
              <w:rPr>
                <w:lang w:bidi="ar-SA"/>
              </w:rPr>
            </w:pPr>
            <w:r w:rsidRPr="004C12C9">
              <w:rPr>
                <w:lang w:bidi="ar-SA"/>
              </w:rPr>
              <w:t>927</w:t>
            </w:r>
          </w:p>
        </w:tc>
      </w:tr>
    </w:tbl>
    <w:p w14:paraId="5A8FDF92" w14:textId="55FCE50D" w:rsidR="002A4B1C" w:rsidRPr="004C12C9" w:rsidRDefault="00E5259D" w:rsidP="00E31E37">
      <w:pPr>
        <w:pStyle w:val="Heading4"/>
      </w:pPr>
      <w:r w:rsidRPr="004C12C9">
        <w:lastRenderedPageBreak/>
        <w:t>Mode Distribution</w:t>
      </w:r>
    </w:p>
    <w:p w14:paraId="5E9489AA" w14:textId="4B20410E" w:rsidR="006761BD" w:rsidRPr="004C12C9" w:rsidRDefault="004D629C" w:rsidP="00972CF9">
      <w:r w:rsidRPr="004C12C9">
        <w:t>T</w:t>
      </w:r>
      <w:r w:rsidR="006761BD" w:rsidRPr="004C12C9">
        <w:t xml:space="preserve">he CFS data </w:t>
      </w:r>
      <w:r w:rsidR="001249A4" w:rsidRPr="004C12C9">
        <w:t>are</w:t>
      </w:r>
      <w:r w:rsidRPr="004C12C9">
        <w:t xml:space="preserve"> used </w:t>
      </w:r>
      <w:r w:rsidR="006761BD" w:rsidRPr="004C12C9">
        <w:t xml:space="preserve">to determine the breakout of miles by mode for domestically sourced materials. The mode distribution for each material type </w:t>
      </w:r>
      <w:r w:rsidR="00136515" w:rsidRPr="004C12C9">
        <w:t>i</w:t>
      </w:r>
      <w:r w:rsidR="006761BD" w:rsidRPr="004C12C9">
        <w:t>s calculated by dividing the total number of miles traveled by mode by the total number of miles traveled for each relevant NAICS code category. For material imports</w:t>
      </w:r>
      <w:r w:rsidR="004B5016" w:rsidRPr="004C12C9">
        <w:t xml:space="preserve"> for which</w:t>
      </w:r>
      <w:r w:rsidR="006761BD" w:rsidRPr="004C12C9">
        <w:t xml:space="preserve"> the top import country is in North America (i.e., Steel, Wood Products, Aluminum, and Insulation), the </w:t>
      </w:r>
      <w:r w:rsidR="007D3E2F" w:rsidRPr="004C12C9">
        <w:t xml:space="preserve">calculator </w:t>
      </w:r>
      <w:r w:rsidR="004C5D9D" w:rsidRPr="004C12C9">
        <w:t>a</w:t>
      </w:r>
      <w:r w:rsidR="006761BD" w:rsidRPr="004C12C9">
        <w:t>ppl</w:t>
      </w:r>
      <w:r w:rsidR="004C5D9D" w:rsidRPr="004C12C9">
        <w:t>ies</w:t>
      </w:r>
      <w:r w:rsidR="006761BD" w:rsidRPr="004C12C9">
        <w:t xml:space="preserve"> the domestic mode distribution assumptions developed using the CFS data. For Brick and Glass, where the top import country is outside of North America, the </w:t>
      </w:r>
      <w:r w:rsidR="007D3E2F" w:rsidRPr="004C12C9">
        <w:t xml:space="preserve">calculator </w:t>
      </w:r>
      <w:r w:rsidR="006761BD" w:rsidRPr="004C12C9">
        <w:t xml:space="preserve">assumes that the material is shipped via water transport </w:t>
      </w:r>
      <w:r w:rsidR="00AC7F93" w:rsidRPr="004C12C9">
        <w:t xml:space="preserve">from outside North America </w:t>
      </w:r>
      <w:r w:rsidR="006761BD" w:rsidRPr="004C12C9">
        <w:t>to Newark. For the domestic portion of the trip</w:t>
      </w:r>
      <w:r w:rsidR="00AC7F93" w:rsidRPr="004C12C9">
        <w:t xml:space="preserve"> (i.e., New</w:t>
      </w:r>
      <w:r w:rsidR="00094B11" w:rsidRPr="004C12C9">
        <w:t>ark to Minneapolis)</w:t>
      </w:r>
      <w:r w:rsidR="006761BD" w:rsidRPr="004C12C9">
        <w:t xml:space="preserve">, the </w:t>
      </w:r>
      <w:r w:rsidR="007D3E2F" w:rsidRPr="004C12C9">
        <w:t xml:space="preserve">calculator </w:t>
      </w:r>
      <w:r w:rsidR="006761BD" w:rsidRPr="004C12C9">
        <w:t xml:space="preserve">applies the domestic mode distribution assumptions developed using the CFS data. The resulting mode distributions for each material type are summarized in </w:t>
      </w:r>
      <w:r w:rsidR="006761BD" w:rsidRPr="004C12C9">
        <w:fldChar w:fldCharType="begin" w:fldLock="1"/>
      </w:r>
      <w:r w:rsidR="006761BD" w:rsidRPr="004C12C9">
        <w:instrText xml:space="preserve"> REF _Ref185413317 \h  \* MERGEFORMAT </w:instrText>
      </w:r>
      <w:r w:rsidR="006761BD" w:rsidRPr="004C12C9">
        <w:fldChar w:fldCharType="separate"/>
      </w:r>
      <w:r w:rsidR="00127094" w:rsidRPr="004C12C9">
        <w:t>Table 2</w:t>
      </w:r>
      <w:r w:rsidR="00127094" w:rsidRPr="004C12C9">
        <w:noBreakHyphen/>
        <w:t>17</w:t>
      </w:r>
      <w:r w:rsidR="006761BD" w:rsidRPr="004C12C9">
        <w:fldChar w:fldCharType="end"/>
      </w:r>
      <w:r w:rsidR="006761BD" w:rsidRPr="004C12C9">
        <w:t>.</w:t>
      </w:r>
    </w:p>
    <w:p w14:paraId="03722B42" w14:textId="40504BF0" w:rsidR="006761BD" w:rsidRPr="004C12C9" w:rsidRDefault="006761BD" w:rsidP="00972CF9">
      <w:pPr>
        <w:pStyle w:val="Caption"/>
      </w:pPr>
      <w:bookmarkStart w:id="64" w:name="_Ref185413317"/>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17</w:t>
      </w:r>
      <w:r w:rsidR="00F72B41">
        <w:fldChar w:fldCharType="end"/>
      </w:r>
      <w:bookmarkEnd w:id="64"/>
      <w:r w:rsidRPr="004C12C9">
        <w:t>. Mode Breakout Assumptions by Material Type and Source</w:t>
      </w:r>
    </w:p>
    <w:tbl>
      <w:tblPr>
        <w:tblW w:w="49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35"/>
        <w:gridCol w:w="1019"/>
        <w:gridCol w:w="1019"/>
        <w:gridCol w:w="1019"/>
        <w:gridCol w:w="1020"/>
        <w:gridCol w:w="1019"/>
        <w:gridCol w:w="1019"/>
        <w:gridCol w:w="1019"/>
        <w:gridCol w:w="1020"/>
      </w:tblGrid>
      <w:tr w:rsidR="00FC15CC" w:rsidRPr="004C12C9" w14:paraId="0E2A5DC3" w14:textId="77777777" w:rsidTr="00057D1D">
        <w:trPr>
          <w:trHeight w:val="20"/>
        </w:trPr>
        <w:tc>
          <w:tcPr>
            <w:tcW w:w="1610" w:type="dxa"/>
            <w:vMerge w:val="restart"/>
            <w:shd w:val="clear" w:color="auto" w:fill="D9D9D9" w:themeFill="background1" w:themeFillShade="D9"/>
            <w:noWrap/>
            <w:vAlign w:val="center"/>
            <w:hideMark/>
          </w:tcPr>
          <w:p w14:paraId="41A7B691"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Material</w:t>
            </w:r>
          </w:p>
        </w:tc>
        <w:tc>
          <w:tcPr>
            <w:tcW w:w="3781" w:type="dxa"/>
            <w:gridSpan w:val="4"/>
            <w:shd w:val="clear" w:color="auto" w:fill="D9D9D9" w:themeFill="background1" w:themeFillShade="D9"/>
            <w:vAlign w:val="center"/>
            <w:hideMark/>
          </w:tcPr>
          <w:p w14:paraId="5A13A553"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Domestically Sourced</w:t>
            </w:r>
          </w:p>
        </w:tc>
        <w:tc>
          <w:tcPr>
            <w:tcW w:w="3781" w:type="dxa"/>
            <w:gridSpan w:val="4"/>
            <w:shd w:val="clear" w:color="auto" w:fill="D9D9D9" w:themeFill="background1" w:themeFillShade="D9"/>
            <w:vAlign w:val="center"/>
          </w:tcPr>
          <w:p w14:paraId="3EBA5A63"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Imports</w:t>
            </w:r>
          </w:p>
        </w:tc>
      </w:tr>
      <w:tr w:rsidR="00FC15CC" w:rsidRPr="004C12C9" w14:paraId="6C80AC74" w14:textId="77777777" w:rsidTr="00057D1D">
        <w:trPr>
          <w:trHeight w:val="20"/>
        </w:trPr>
        <w:tc>
          <w:tcPr>
            <w:tcW w:w="1610" w:type="dxa"/>
            <w:vMerge/>
            <w:shd w:val="clear" w:color="auto" w:fill="D9D9D9" w:themeFill="background1" w:themeFillShade="D9"/>
            <w:noWrap/>
            <w:vAlign w:val="center"/>
          </w:tcPr>
          <w:p w14:paraId="0A5BB47F" w14:textId="77777777" w:rsidR="00FC15CC" w:rsidRPr="004C12C9" w:rsidRDefault="00FC15CC" w:rsidP="00D155E4">
            <w:pPr>
              <w:pStyle w:val="ICFTableHeading"/>
              <w:spacing w:before="50" w:after="50"/>
              <w:rPr>
                <w:lang w:bidi="ar-SA"/>
              </w:rPr>
            </w:pPr>
          </w:p>
        </w:tc>
        <w:tc>
          <w:tcPr>
            <w:tcW w:w="945" w:type="dxa"/>
            <w:shd w:val="clear" w:color="auto" w:fill="D9D9D9" w:themeFill="background1" w:themeFillShade="D9"/>
            <w:vAlign w:val="bottom"/>
          </w:tcPr>
          <w:p w14:paraId="7B281784"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Truck</w:t>
            </w:r>
          </w:p>
        </w:tc>
        <w:tc>
          <w:tcPr>
            <w:tcW w:w="945" w:type="dxa"/>
            <w:shd w:val="clear" w:color="auto" w:fill="D9D9D9" w:themeFill="background1" w:themeFillShade="D9"/>
            <w:vAlign w:val="bottom"/>
          </w:tcPr>
          <w:p w14:paraId="4C1B29AC"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Air</w:t>
            </w:r>
          </w:p>
        </w:tc>
        <w:tc>
          <w:tcPr>
            <w:tcW w:w="945" w:type="dxa"/>
            <w:shd w:val="clear" w:color="auto" w:fill="D9D9D9" w:themeFill="background1" w:themeFillShade="D9"/>
            <w:vAlign w:val="bottom"/>
          </w:tcPr>
          <w:p w14:paraId="491A9C1A"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Rail</w:t>
            </w:r>
          </w:p>
        </w:tc>
        <w:tc>
          <w:tcPr>
            <w:tcW w:w="946" w:type="dxa"/>
            <w:shd w:val="clear" w:color="auto" w:fill="D9D9D9" w:themeFill="background1" w:themeFillShade="D9"/>
            <w:vAlign w:val="bottom"/>
          </w:tcPr>
          <w:p w14:paraId="1CE36B83"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Water</w:t>
            </w:r>
          </w:p>
        </w:tc>
        <w:tc>
          <w:tcPr>
            <w:tcW w:w="945" w:type="dxa"/>
            <w:shd w:val="clear" w:color="auto" w:fill="D9D9D9" w:themeFill="background1" w:themeFillShade="D9"/>
            <w:vAlign w:val="bottom"/>
          </w:tcPr>
          <w:p w14:paraId="5BA040CD"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Truck</w:t>
            </w:r>
          </w:p>
        </w:tc>
        <w:tc>
          <w:tcPr>
            <w:tcW w:w="945" w:type="dxa"/>
            <w:shd w:val="clear" w:color="auto" w:fill="D9D9D9" w:themeFill="background1" w:themeFillShade="D9"/>
            <w:vAlign w:val="bottom"/>
          </w:tcPr>
          <w:p w14:paraId="2DE2EBDD"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Air</w:t>
            </w:r>
          </w:p>
        </w:tc>
        <w:tc>
          <w:tcPr>
            <w:tcW w:w="945" w:type="dxa"/>
            <w:shd w:val="clear" w:color="auto" w:fill="D9D9D9" w:themeFill="background1" w:themeFillShade="D9"/>
            <w:vAlign w:val="bottom"/>
          </w:tcPr>
          <w:p w14:paraId="757F4CA2"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Rail</w:t>
            </w:r>
          </w:p>
        </w:tc>
        <w:tc>
          <w:tcPr>
            <w:tcW w:w="946" w:type="dxa"/>
            <w:shd w:val="clear" w:color="auto" w:fill="D9D9D9" w:themeFill="background1" w:themeFillShade="D9"/>
            <w:vAlign w:val="bottom"/>
          </w:tcPr>
          <w:p w14:paraId="2FABCA67" w14:textId="77777777" w:rsidR="00FC15CC" w:rsidRPr="004C12C9" w:rsidRDefault="00FC15CC" w:rsidP="00D155E4">
            <w:pPr>
              <w:pStyle w:val="ICFTableHeading"/>
              <w:spacing w:before="50" w:after="50"/>
              <w:rPr>
                <w:rFonts w:asciiTheme="minorHAnsi" w:hAnsiTheme="minorHAnsi" w:cstheme="minorHAnsi"/>
                <w:b w:val="0"/>
                <w:color w:val="FFFFFF"/>
                <w:sz w:val="20"/>
                <w:lang w:bidi="ar-SA"/>
              </w:rPr>
            </w:pPr>
            <w:r w:rsidRPr="004C12C9">
              <w:rPr>
                <w:lang w:bidi="ar-SA"/>
              </w:rPr>
              <w:t>Water</w:t>
            </w:r>
          </w:p>
        </w:tc>
      </w:tr>
      <w:tr w:rsidR="00FC15CC" w:rsidRPr="004C12C9" w14:paraId="22D5F8F8" w14:textId="77777777" w:rsidTr="00057D1D">
        <w:trPr>
          <w:trHeight w:val="80"/>
        </w:trPr>
        <w:tc>
          <w:tcPr>
            <w:tcW w:w="1610" w:type="dxa"/>
            <w:noWrap/>
            <w:vAlign w:val="center"/>
            <w:hideMark/>
          </w:tcPr>
          <w:p w14:paraId="1F64D295" w14:textId="77777777" w:rsidR="00FC15CC" w:rsidRPr="004C12C9" w:rsidRDefault="00FC15CC" w:rsidP="00057D1D">
            <w:pPr>
              <w:pStyle w:val="ICFTabletext"/>
              <w:rPr>
                <w:lang w:bidi="ar-SA"/>
              </w:rPr>
            </w:pPr>
            <w:r w:rsidRPr="004C12C9">
              <w:rPr>
                <w:lang w:bidi="ar-SA"/>
              </w:rPr>
              <w:t>Aluminum</w:t>
            </w:r>
          </w:p>
        </w:tc>
        <w:tc>
          <w:tcPr>
            <w:tcW w:w="945" w:type="dxa"/>
            <w:noWrap/>
            <w:vAlign w:val="bottom"/>
          </w:tcPr>
          <w:p w14:paraId="79EF5C17" w14:textId="77777777" w:rsidR="00FC15CC" w:rsidRPr="004C12C9" w:rsidRDefault="00FC15CC" w:rsidP="00057D1D">
            <w:pPr>
              <w:pStyle w:val="ICFTabletext"/>
              <w:jc w:val="center"/>
              <w:rPr>
                <w:lang w:bidi="ar-SA"/>
              </w:rPr>
            </w:pPr>
            <w:r w:rsidRPr="004C12C9">
              <w:rPr>
                <w:lang w:bidi="ar-SA"/>
              </w:rPr>
              <w:t>94.7%</w:t>
            </w:r>
          </w:p>
        </w:tc>
        <w:tc>
          <w:tcPr>
            <w:tcW w:w="945" w:type="dxa"/>
          </w:tcPr>
          <w:p w14:paraId="6EACE6DF" w14:textId="77777777" w:rsidR="00FC15CC" w:rsidRPr="004C12C9" w:rsidRDefault="00FC15CC" w:rsidP="00057D1D">
            <w:pPr>
              <w:pStyle w:val="ICFTabletext"/>
              <w:jc w:val="center"/>
              <w:rPr>
                <w:lang w:bidi="ar-SA"/>
              </w:rPr>
            </w:pPr>
            <w:r w:rsidRPr="004C12C9">
              <w:rPr>
                <w:lang w:bidi="ar-SA"/>
              </w:rPr>
              <w:t>3.9%</w:t>
            </w:r>
          </w:p>
        </w:tc>
        <w:tc>
          <w:tcPr>
            <w:tcW w:w="945" w:type="dxa"/>
          </w:tcPr>
          <w:p w14:paraId="7A21F76A" w14:textId="77777777" w:rsidR="00FC15CC" w:rsidRPr="004C12C9" w:rsidRDefault="00FC15CC" w:rsidP="00057D1D">
            <w:pPr>
              <w:pStyle w:val="ICFTabletext"/>
              <w:jc w:val="center"/>
              <w:rPr>
                <w:lang w:bidi="ar-SA"/>
              </w:rPr>
            </w:pPr>
            <w:r w:rsidRPr="004C12C9">
              <w:rPr>
                <w:lang w:bidi="ar-SA"/>
              </w:rPr>
              <w:t>1.4%</w:t>
            </w:r>
          </w:p>
        </w:tc>
        <w:tc>
          <w:tcPr>
            <w:tcW w:w="946" w:type="dxa"/>
          </w:tcPr>
          <w:p w14:paraId="041D87D6" w14:textId="77777777" w:rsidR="00FC15CC" w:rsidRPr="004C12C9" w:rsidRDefault="00FC15CC" w:rsidP="00057D1D">
            <w:pPr>
              <w:pStyle w:val="ICFTabletext"/>
              <w:jc w:val="center"/>
              <w:rPr>
                <w:lang w:bidi="ar-SA"/>
              </w:rPr>
            </w:pPr>
            <w:r w:rsidRPr="004C12C9">
              <w:rPr>
                <w:lang w:bidi="ar-SA"/>
              </w:rPr>
              <w:t>0%</w:t>
            </w:r>
          </w:p>
        </w:tc>
        <w:tc>
          <w:tcPr>
            <w:tcW w:w="945" w:type="dxa"/>
            <w:vAlign w:val="bottom"/>
          </w:tcPr>
          <w:p w14:paraId="7BF0C6A0" w14:textId="77777777" w:rsidR="00FC15CC" w:rsidRPr="004C12C9" w:rsidRDefault="00FC15CC" w:rsidP="00057D1D">
            <w:pPr>
              <w:pStyle w:val="ICFTabletext"/>
              <w:jc w:val="center"/>
              <w:rPr>
                <w:lang w:bidi="ar-SA"/>
              </w:rPr>
            </w:pPr>
            <w:r w:rsidRPr="004C12C9">
              <w:rPr>
                <w:lang w:bidi="ar-SA"/>
              </w:rPr>
              <w:t>94.7%</w:t>
            </w:r>
          </w:p>
        </w:tc>
        <w:tc>
          <w:tcPr>
            <w:tcW w:w="945" w:type="dxa"/>
          </w:tcPr>
          <w:p w14:paraId="5F00D691" w14:textId="77777777" w:rsidR="00FC15CC" w:rsidRPr="004C12C9" w:rsidRDefault="00FC15CC" w:rsidP="00057D1D">
            <w:pPr>
              <w:pStyle w:val="ICFTabletext"/>
              <w:jc w:val="center"/>
              <w:rPr>
                <w:lang w:bidi="ar-SA"/>
              </w:rPr>
            </w:pPr>
            <w:r w:rsidRPr="004C12C9">
              <w:rPr>
                <w:lang w:bidi="ar-SA"/>
              </w:rPr>
              <w:t>3.9%</w:t>
            </w:r>
          </w:p>
        </w:tc>
        <w:tc>
          <w:tcPr>
            <w:tcW w:w="945" w:type="dxa"/>
          </w:tcPr>
          <w:p w14:paraId="3E346EFD" w14:textId="77777777" w:rsidR="00FC15CC" w:rsidRPr="004C12C9" w:rsidRDefault="00FC15CC" w:rsidP="00057D1D">
            <w:pPr>
              <w:pStyle w:val="ICFTabletext"/>
              <w:jc w:val="center"/>
              <w:rPr>
                <w:lang w:bidi="ar-SA"/>
              </w:rPr>
            </w:pPr>
            <w:r w:rsidRPr="004C12C9">
              <w:rPr>
                <w:lang w:bidi="ar-SA"/>
              </w:rPr>
              <w:t>1.4%</w:t>
            </w:r>
          </w:p>
        </w:tc>
        <w:tc>
          <w:tcPr>
            <w:tcW w:w="946" w:type="dxa"/>
          </w:tcPr>
          <w:p w14:paraId="7C92B27A" w14:textId="77777777" w:rsidR="00FC15CC" w:rsidRPr="004C12C9" w:rsidRDefault="00FC15CC" w:rsidP="00057D1D">
            <w:pPr>
              <w:pStyle w:val="ICFTabletext"/>
              <w:jc w:val="center"/>
              <w:rPr>
                <w:lang w:bidi="ar-SA"/>
              </w:rPr>
            </w:pPr>
            <w:r w:rsidRPr="004C12C9">
              <w:rPr>
                <w:lang w:bidi="ar-SA"/>
              </w:rPr>
              <w:t>0%</w:t>
            </w:r>
          </w:p>
        </w:tc>
      </w:tr>
      <w:tr w:rsidR="00FC15CC" w:rsidRPr="004C12C9" w14:paraId="5444A8CD" w14:textId="77777777" w:rsidTr="00057D1D">
        <w:trPr>
          <w:trHeight w:val="20"/>
        </w:trPr>
        <w:tc>
          <w:tcPr>
            <w:tcW w:w="1610" w:type="dxa"/>
            <w:noWrap/>
            <w:vAlign w:val="center"/>
            <w:hideMark/>
          </w:tcPr>
          <w:p w14:paraId="05BD054F" w14:textId="77777777" w:rsidR="00FC15CC" w:rsidRPr="004C12C9" w:rsidRDefault="00FC15CC" w:rsidP="00057D1D">
            <w:pPr>
              <w:pStyle w:val="ICFTabletext"/>
              <w:rPr>
                <w:lang w:bidi="ar-SA"/>
              </w:rPr>
            </w:pPr>
            <w:r w:rsidRPr="004C12C9">
              <w:rPr>
                <w:lang w:bidi="ar-SA"/>
              </w:rPr>
              <w:t>Asphalt</w:t>
            </w:r>
          </w:p>
        </w:tc>
        <w:tc>
          <w:tcPr>
            <w:tcW w:w="945" w:type="dxa"/>
            <w:noWrap/>
            <w:vAlign w:val="bottom"/>
          </w:tcPr>
          <w:p w14:paraId="3F81588E" w14:textId="77777777" w:rsidR="00FC15CC" w:rsidRPr="004C12C9" w:rsidRDefault="00FC15CC" w:rsidP="00057D1D">
            <w:pPr>
              <w:pStyle w:val="ICFTabletext"/>
              <w:jc w:val="center"/>
              <w:rPr>
                <w:lang w:bidi="ar-SA"/>
              </w:rPr>
            </w:pPr>
            <w:r w:rsidRPr="004C12C9">
              <w:rPr>
                <w:lang w:bidi="ar-SA"/>
              </w:rPr>
              <w:t>100%</w:t>
            </w:r>
          </w:p>
        </w:tc>
        <w:tc>
          <w:tcPr>
            <w:tcW w:w="945" w:type="dxa"/>
          </w:tcPr>
          <w:p w14:paraId="602F038B" w14:textId="77777777" w:rsidR="00FC15CC" w:rsidRPr="004C12C9" w:rsidRDefault="00FC15CC" w:rsidP="00057D1D">
            <w:pPr>
              <w:pStyle w:val="ICFTabletext"/>
              <w:jc w:val="center"/>
              <w:rPr>
                <w:lang w:bidi="ar-SA"/>
              </w:rPr>
            </w:pPr>
            <w:r w:rsidRPr="004C12C9">
              <w:rPr>
                <w:lang w:bidi="ar-SA"/>
              </w:rPr>
              <w:t>0%</w:t>
            </w:r>
          </w:p>
        </w:tc>
        <w:tc>
          <w:tcPr>
            <w:tcW w:w="945" w:type="dxa"/>
          </w:tcPr>
          <w:p w14:paraId="06A7E209" w14:textId="77777777" w:rsidR="00FC15CC" w:rsidRPr="004C12C9" w:rsidRDefault="00FC15CC" w:rsidP="00057D1D">
            <w:pPr>
              <w:pStyle w:val="ICFTabletext"/>
              <w:jc w:val="center"/>
              <w:rPr>
                <w:lang w:bidi="ar-SA"/>
              </w:rPr>
            </w:pPr>
            <w:r w:rsidRPr="004C12C9">
              <w:rPr>
                <w:lang w:bidi="ar-SA"/>
              </w:rPr>
              <w:t>0%</w:t>
            </w:r>
          </w:p>
        </w:tc>
        <w:tc>
          <w:tcPr>
            <w:tcW w:w="946" w:type="dxa"/>
          </w:tcPr>
          <w:p w14:paraId="71973461" w14:textId="77777777" w:rsidR="00FC15CC" w:rsidRPr="004C12C9" w:rsidRDefault="00FC15CC" w:rsidP="00057D1D">
            <w:pPr>
              <w:pStyle w:val="ICFTabletext"/>
              <w:jc w:val="center"/>
              <w:rPr>
                <w:lang w:bidi="ar-SA"/>
              </w:rPr>
            </w:pPr>
            <w:r w:rsidRPr="004C12C9">
              <w:rPr>
                <w:lang w:bidi="ar-SA"/>
              </w:rPr>
              <w:t>0%</w:t>
            </w:r>
          </w:p>
        </w:tc>
        <w:tc>
          <w:tcPr>
            <w:tcW w:w="945" w:type="dxa"/>
          </w:tcPr>
          <w:p w14:paraId="50C16785" w14:textId="77777777" w:rsidR="00FC15CC" w:rsidRPr="004C12C9" w:rsidRDefault="00FC15CC" w:rsidP="00057D1D">
            <w:pPr>
              <w:pStyle w:val="ICFTabletext"/>
              <w:jc w:val="center"/>
              <w:rPr>
                <w:lang w:bidi="ar-SA"/>
              </w:rPr>
            </w:pPr>
            <w:r w:rsidRPr="004C12C9">
              <w:rPr>
                <w:lang w:bidi="ar-SA"/>
              </w:rPr>
              <w:t>NA</w:t>
            </w:r>
          </w:p>
        </w:tc>
        <w:tc>
          <w:tcPr>
            <w:tcW w:w="945" w:type="dxa"/>
          </w:tcPr>
          <w:p w14:paraId="26AD43F1" w14:textId="77777777" w:rsidR="00FC15CC" w:rsidRPr="004C12C9" w:rsidRDefault="00FC15CC" w:rsidP="00057D1D">
            <w:pPr>
              <w:pStyle w:val="ICFTabletext"/>
              <w:jc w:val="center"/>
              <w:rPr>
                <w:lang w:bidi="ar-SA"/>
              </w:rPr>
            </w:pPr>
            <w:r w:rsidRPr="004C12C9">
              <w:rPr>
                <w:lang w:bidi="ar-SA"/>
              </w:rPr>
              <w:t>NA</w:t>
            </w:r>
          </w:p>
        </w:tc>
        <w:tc>
          <w:tcPr>
            <w:tcW w:w="945" w:type="dxa"/>
          </w:tcPr>
          <w:p w14:paraId="60143A3C" w14:textId="77777777" w:rsidR="00FC15CC" w:rsidRPr="004C12C9" w:rsidRDefault="00FC15CC" w:rsidP="00057D1D">
            <w:pPr>
              <w:pStyle w:val="ICFTabletext"/>
              <w:jc w:val="center"/>
              <w:rPr>
                <w:lang w:bidi="ar-SA"/>
              </w:rPr>
            </w:pPr>
            <w:r w:rsidRPr="004C12C9">
              <w:rPr>
                <w:lang w:bidi="ar-SA"/>
              </w:rPr>
              <w:t>NA</w:t>
            </w:r>
          </w:p>
        </w:tc>
        <w:tc>
          <w:tcPr>
            <w:tcW w:w="946" w:type="dxa"/>
          </w:tcPr>
          <w:p w14:paraId="030AE6CB" w14:textId="77777777" w:rsidR="00FC15CC" w:rsidRPr="004C12C9" w:rsidRDefault="00FC15CC" w:rsidP="00057D1D">
            <w:pPr>
              <w:pStyle w:val="ICFTabletext"/>
              <w:jc w:val="center"/>
              <w:rPr>
                <w:lang w:bidi="ar-SA"/>
              </w:rPr>
            </w:pPr>
            <w:r w:rsidRPr="004C12C9">
              <w:rPr>
                <w:lang w:bidi="ar-SA"/>
              </w:rPr>
              <w:t>NA</w:t>
            </w:r>
          </w:p>
        </w:tc>
      </w:tr>
      <w:tr w:rsidR="00FC15CC" w:rsidRPr="004C12C9" w14:paraId="64A582EF" w14:textId="77777777" w:rsidTr="00057D1D">
        <w:trPr>
          <w:trHeight w:val="20"/>
        </w:trPr>
        <w:tc>
          <w:tcPr>
            <w:tcW w:w="1610" w:type="dxa"/>
            <w:noWrap/>
            <w:vAlign w:val="center"/>
            <w:hideMark/>
          </w:tcPr>
          <w:p w14:paraId="690C9D02" w14:textId="77777777" w:rsidR="00FC15CC" w:rsidRPr="004C12C9" w:rsidRDefault="00FC15CC" w:rsidP="00057D1D">
            <w:pPr>
              <w:pStyle w:val="ICFTabletext"/>
              <w:rPr>
                <w:lang w:bidi="ar-SA"/>
              </w:rPr>
            </w:pPr>
            <w:r w:rsidRPr="004C12C9">
              <w:rPr>
                <w:lang w:bidi="ar-SA"/>
              </w:rPr>
              <w:t>Brick</w:t>
            </w:r>
          </w:p>
        </w:tc>
        <w:tc>
          <w:tcPr>
            <w:tcW w:w="945" w:type="dxa"/>
            <w:noWrap/>
            <w:vAlign w:val="bottom"/>
          </w:tcPr>
          <w:p w14:paraId="23F05315" w14:textId="77777777" w:rsidR="00FC15CC" w:rsidRPr="004C12C9" w:rsidRDefault="00FC15CC" w:rsidP="00057D1D">
            <w:pPr>
              <w:pStyle w:val="ICFTabletext"/>
              <w:jc w:val="center"/>
              <w:rPr>
                <w:lang w:bidi="ar-SA"/>
              </w:rPr>
            </w:pPr>
            <w:r w:rsidRPr="004C12C9">
              <w:rPr>
                <w:lang w:bidi="ar-SA"/>
              </w:rPr>
              <w:t>98.4%</w:t>
            </w:r>
          </w:p>
        </w:tc>
        <w:tc>
          <w:tcPr>
            <w:tcW w:w="945" w:type="dxa"/>
          </w:tcPr>
          <w:p w14:paraId="55B0220C" w14:textId="77777777" w:rsidR="00FC15CC" w:rsidRPr="004C12C9" w:rsidRDefault="00FC15CC" w:rsidP="00057D1D">
            <w:pPr>
              <w:pStyle w:val="ICFTabletext"/>
              <w:jc w:val="center"/>
              <w:rPr>
                <w:lang w:bidi="ar-SA"/>
              </w:rPr>
            </w:pPr>
            <w:r w:rsidRPr="004C12C9">
              <w:rPr>
                <w:lang w:bidi="ar-SA"/>
              </w:rPr>
              <w:t>0%</w:t>
            </w:r>
          </w:p>
        </w:tc>
        <w:tc>
          <w:tcPr>
            <w:tcW w:w="945" w:type="dxa"/>
          </w:tcPr>
          <w:p w14:paraId="611702E5" w14:textId="77777777" w:rsidR="00FC15CC" w:rsidRPr="004C12C9" w:rsidRDefault="00FC15CC" w:rsidP="00057D1D">
            <w:pPr>
              <w:pStyle w:val="ICFTabletext"/>
              <w:jc w:val="center"/>
              <w:rPr>
                <w:lang w:bidi="ar-SA"/>
              </w:rPr>
            </w:pPr>
            <w:r w:rsidRPr="004C12C9">
              <w:rPr>
                <w:lang w:bidi="ar-SA"/>
              </w:rPr>
              <w:t>1.6%</w:t>
            </w:r>
          </w:p>
        </w:tc>
        <w:tc>
          <w:tcPr>
            <w:tcW w:w="946" w:type="dxa"/>
          </w:tcPr>
          <w:p w14:paraId="4AD6F18B" w14:textId="77777777" w:rsidR="00FC15CC" w:rsidRPr="004C12C9" w:rsidRDefault="00FC15CC" w:rsidP="00057D1D">
            <w:pPr>
              <w:pStyle w:val="ICFTabletext"/>
              <w:jc w:val="center"/>
              <w:rPr>
                <w:lang w:bidi="ar-SA"/>
              </w:rPr>
            </w:pPr>
            <w:r w:rsidRPr="004C12C9">
              <w:rPr>
                <w:lang w:bidi="ar-SA"/>
              </w:rPr>
              <w:t>0%</w:t>
            </w:r>
          </w:p>
        </w:tc>
        <w:tc>
          <w:tcPr>
            <w:tcW w:w="945" w:type="dxa"/>
          </w:tcPr>
          <w:p w14:paraId="32FD3FFB" w14:textId="77777777" w:rsidR="00FC15CC" w:rsidRPr="004C12C9" w:rsidRDefault="00FC15CC" w:rsidP="00057D1D">
            <w:pPr>
              <w:pStyle w:val="ICFTabletext"/>
              <w:jc w:val="center"/>
              <w:rPr>
                <w:lang w:bidi="ar-SA"/>
              </w:rPr>
            </w:pPr>
            <w:r w:rsidRPr="004C12C9">
              <w:rPr>
                <w:lang w:bidi="ar-SA"/>
              </w:rPr>
              <w:t>13.7%</w:t>
            </w:r>
          </w:p>
        </w:tc>
        <w:tc>
          <w:tcPr>
            <w:tcW w:w="945" w:type="dxa"/>
          </w:tcPr>
          <w:p w14:paraId="388C5BE6" w14:textId="77777777" w:rsidR="00FC15CC" w:rsidRPr="004C12C9" w:rsidRDefault="00FC15CC" w:rsidP="00057D1D">
            <w:pPr>
              <w:pStyle w:val="ICFTabletext"/>
              <w:jc w:val="center"/>
              <w:rPr>
                <w:lang w:bidi="ar-SA"/>
              </w:rPr>
            </w:pPr>
            <w:r w:rsidRPr="004C12C9">
              <w:rPr>
                <w:lang w:bidi="ar-SA"/>
              </w:rPr>
              <w:t>0%</w:t>
            </w:r>
          </w:p>
        </w:tc>
        <w:tc>
          <w:tcPr>
            <w:tcW w:w="945" w:type="dxa"/>
          </w:tcPr>
          <w:p w14:paraId="7BAE469D" w14:textId="77777777" w:rsidR="00FC15CC" w:rsidRPr="004C12C9" w:rsidRDefault="00FC15CC" w:rsidP="00057D1D">
            <w:pPr>
              <w:pStyle w:val="ICFTabletext"/>
              <w:jc w:val="center"/>
              <w:rPr>
                <w:lang w:bidi="ar-SA"/>
              </w:rPr>
            </w:pPr>
            <w:r w:rsidRPr="004C12C9">
              <w:rPr>
                <w:lang w:bidi="ar-SA"/>
              </w:rPr>
              <w:t>0.2%</w:t>
            </w:r>
          </w:p>
        </w:tc>
        <w:tc>
          <w:tcPr>
            <w:tcW w:w="946" w:type="dxa"/>
          </w:tcPr>
          <w:p w14:paraId="67D800D9" w14:textId="77777777" w:rsidR="00FC15CC" w:rsidRPr="004C12C9" w:rsidRDefault="00FC15CC" w:rsidP="00057D1D">
            <w:pPr>
              <w:pStyle w:val="ICFTabletext"/>
              <w:jc w:val="center"/>
              <w:rPr>
                <w:lang w:bidi="ar-SA"/>
              </w:rPr>
            </w:pPr>
            <w:r w:rsidRPr="004C12C9">
              <w:rPr>
                <w:lang w:bidi="ar-SA"/>
              </w:rPr>
              <w:t>86.1%</w:t>
            </w:r>
          </w:p>
        </w:tc>
      </w:tr>
      <w:tr w:rsidR="00FC15CC" w:rsidRPr="004C12C9" w14:paraId="648B8A3A" w14:textId="77777777" w:rsidTr="00057D1D">
        <w:trPr>
          <w:trHeight w:val="20"/>
        </w:trPr>
        <w:tc>
          <w:tcPr>
            <w:tcW w:w="1610" w:type="dxa"/>
            <w:noWrap/>
            <w:vAlign w:val="center"/>
          </w:tcPr>
          <w:p w14:paraId="3C9CFF90" w14:textId="77777777" w:rsidR="00FC15CC" w:rsidRPr="004C12C9" w:rsidRDefault="00FC15CC" w:rsidP="00057D1D">
            <w:pPr>
              <w:pStyle w:val="ICFTabletext"/>
              <w:rPr>
                <w:lang w:bidi="ar-SA"/>
              </w:rPr>
            </w:pPr>
            <w:r w:rsidRPr="004C12C9">
              <w:rPr>
                <w:lang w:bidi="ar-SA"/>
              </w:rPr>
              <w:t>Concrete</w:t>
            </w:r>
          </w:p>
        </w:tc>
        <w:tc>
          <w:tcPr>
            <w:tcW w:w="945" w:type="dxa"/>
            <w:noWrap/>
            <w:vAlign w:val="bottom"/>
          </w:tcPr>
          <w:p w14:paraId="6E051100" w14:textId="77777777" w:rsidR="00FC15CC" w:rsidRPr="004C12C9" w:rsidRDefault="00FC15CC" w:rsidP="00057D1D">
            <w:pPr>
              <w:pStyle w:val="ICFTabletext"/>
              <w:jc w:val="center"/>
              <w:rPr>
                <w:lang w:bidi="ar-SA"/>
              </w:rPr>
            </w:pPr>
            <w:r w:rsidRPr="004C12C9">
              <w:rPr>
                <w:lang w:bidi="ar-SA"/>
              </w:rPr>
              <w:t>100%</w:t>
            </w:r>
          </w:p>
        </w:tc>
        <w:tc>
          <w:tcPr>
            <w:tcW w:w="945" w:type="dxa"/>
          </w:tcPr>
          <w:p w14:paraId="536A1719" w14:textId="77777777" w:rsidR="00FC15CC" w:rsidRPr="004C12C9" w:rsidRDefault="00FC15CC" w:rsidP="00057D1D">
            <w:pPr>
              <w:pStyle w:val="ICFTabletext"/>
              <w:jc w:val="center"/>
              <w:rPr>
                <w:lang w:bidi="ar-SA"/>
              </w:rPr>
            </w:pPr>
            <w:r w:rsidRPr="004C12C9">
              <w:rPr>
                <w:lang w:bidi="ar-SA"/>
              </w:rPr>
              <w:t>0%</w:t>
            </w:r>
          </w:p>
        </w:tc>
        <w:tc>
          <w:tcPr>
            <w:tcW w:w="945" w:type="dxa"/>
          </w:tcPr>
          <w:p w14:paraId="2804FBB7" w14:textId="77777777" w:rsidR="00FC15CC" w:rsidRPr="004C12C9" w:rsidRDefault="00FC15CC" w:rsidP="00057D1D">
            <w:pPr>
              <w:pStyle w:val="ICFTabletext"/>
              <w:jc w:val="center"/>
              <w:rPr>
                <w:lang w:bidi="ar-SA"/>
              </w:rPr>
            </w:pPr>
            <w:r w:rsidRPr="004C12C9">
              <w:rPr>
                <w:lang w:bidi="ar-SA"/>
              </w:rPr>
              <w:t>0%</w:t>
            </w:r>
          </w:p>
        </w:tc>
        <w:tc>
          <w:tcPr>
            <w:tcW w:w="946" w:type="dxa"/>
          </w:tcPr>
          <w:p w14:paraId="623968F4" w14:textId="77777777" w:rsidR="00FC15CC" w:rsidRPr="004C12C9" w:rsidRDefault="00FC15CC" w:rsidP="00057D1D">
            <w:pPr>
              <w:pStyle w:val="ICFTabletext"/>
              <w:jc w:val="center"/>
              <w:rPr>
                <w:lang w:bidi="ar-SA"/>
              </w:rPr>
            </w:pPr>
            <w:r w:rsidRPr="004C12C9">
              <w:rPr>
                <w:lang w:bidi="ar-SA"/>
              </w:rPr>
              <w:t>0%</w:t>
            </w:r>
          </w:p>
        </w:tc>
        <w:tc>
          <w:tcPr>
            <w:tcW w:w="945" w:type="dxa"/>
          </w:tcPr>
          <w:p w14:paraId="4F7C51CD" w14:textId="77777777" w:rsidR="00FC15CC" w:rsidRPr="004C12C9" w:rsidRDefault="00FC15CC" w:rsidP="00057D1D">
            <w:pPr>
              <w:pStyle w:val="ICFTabletext"/>
              <w:jc w:val="center"/>
              <w:rPr>
                <w:lang w:bidi="ar-SA"/>
              </w:rPr>
            </w:pPr>
            <w:r w:rsidRPr="004C12C9">
              <w:rPr>
                <w:lang w:bidi="ar-SA"/>
              </w:rPr>
              <w:t>NA</w:t>
            </w:r>
          </w:p>
        </w:tc>
        <w:tc>
          <w:tcPr>
            <w:tcW w:w="945" w:type="dxa"/>
          </w:tcPr>
          <w:p w14:paraId="6F5AF44B" w14:textId="77777777" w:rsidR="00FC15CC" w:rsidRPr="004C12C9" w:rsidRDefault="00FC15CC" w:rsidP="00057D1D">
            <w:pPr>
              <w:pStyle w:val="ICFTabletext"/>
              <w:jc w:val="center"/>
              <w:rPr>
                <w:lang w:bidi="ar-SA"/>
              </w:rPr>
            </w:pPr>
            <w:r w:rsidRPr="004C12C9">
              <w:rPr>
                <w:lang w:bidi="ar-SA"/>
              </w:rPr>
              <w:t>NA</w:t>
            </w:r>
          </w:p>
        </w:tc>
        <w:tc>
          <w:tcPr>
            <w:tcW w:w="945" w:type="dxa"/>
          </w:tcPr>
          <w:p w14:paraId="0F5AE4C0" w14:textId="77777777" w:rsidR="00FC15CC" w:rsidRPr="004C12C9" w:rsidRDefault="00FC15CC" w:rsidP="00057D1D">
            <w:pPr>
              <w:pStyle w:val="ICFTabletext"/>
              <w:jc w:val="center"/>
              <w:rPr>
                <w:lang w:bidi="ar-SA"/>
              </w:rPr>
            </w:pPr>
            <w:r w:rsidRPr="004C12C9">
              <w:rPr>
                <w:lang w:bidi="ar-SA"/>
              </w:rPr>
              <w:t>NA</w:t>
            </w:r>
          </w:p>
        </w:tc>
        <w:tc>
          <w:tcPr>
            <w:tcW w:w="946" w:type="dxa"/>
          </w:tcPr>
          <w:p w14:paraId="2D0644D6" w14:textId="77777777" w:rsidR="00FC15CC" w:rsidRPr="004C12C9" w:rsidRDefault="00FC15CC" w:rsidP="00057D1D">
            <w:pPr>
              <w:pStyle w:val="ICFTabletext"/>
              <w:jc w:val="center"/>
              <w:rPr>
                <w:lang w:bidi="ar-SA"/>
              </w:rPr>
            </w:pPr>
            <w:r w:rsidRPr="004C12C9">
              <w:rPr>
                <w:lang w:bidi="ar-SA"/>
              </w:rPr>
              <w:t>NA</w:t>
            </w:r>
          </w:p>
        </w:tc>
      </w:tr>
      <w:tr w:rsidR="00FC15CC" w:rsidRPr="004C12C9" w14:paraId="41B01733" w14:textId="77777777" w:rsidTr="00057D1D">
        <w:trPr>
          <w:trHeight w:val="20"/>
        </w:trPr>
        <w:tc>
          <w:tcPr>
            <w:tcW w:w="1610" w:type="dxa"/>
            <w:noWrap/>
            <w:vAlign w:val="center"/>
          </w:tcPr>
          <w:p w14:paraId="5842ADA8" w14:textId="77777777" w:rsidR="00FC15CC" w:rsidRPr="004C12C9" w:rsidRDefault="00FC15CC" w:rsidP="00057D1D">
            <w:pPr>
              <w:pStyle w:val="ICFTabletext"/>
              <w:rPr>
                <w:lang w:bidi="ar-SA"/>
              </w:rPr>
            </w:pPr>
            <w:r w:rsidRPr="004C12C9">
              <w:rPr>
                <w:lang w:bidi="ar-SA"/>
              </w:rPr>
              <w:t>Glass</w:t>
            </w:r>
          </w:p>
        </w:tc>
        <w:tc>
          <w:tcPr>
            <w:tcW w:w="945" w:type="dxa"/>
            <w:noWrap/>
            <w:vAlign w:val="bottom"/>
          </w:tcPr>
          <w:p w14:paraId="110CF707" w14:textId="77777777" w:rsidR="00FC15CC" w:rsidRPr="004C12C9" w:rsidRDefault="00FC15CC" w:rsidP="00057D1D">
            <w:pPr>
              <w:pStyle w:val="ICFTabletext"/>
              <w:jc w:val="center"/>
              <w:rPr>
                <w:lang w:bidi="ar-SA"/>
              </w:rPr>
            </w:pPr>
            <w:r w:rsidRPr="004C12C9">
              <w:rPr>
                <w:lang w:bidi="ar-SA"/>
              </w:rPr>
              <w:t>98.4%</w:t>
            </w:r>
          </w:p>
        </w:tc>
        <w:tc>
          <w:tcPr>
            <w:tcW w:w="945" w:type="dxa"/>
          </w:tcPr>
          <w:p w14:paraId="396D77B9" w14:textId="77777777" w:rsidR="00FC15CC" w:rsidRPr="004C12C9" w:rsidRDefault="00FC15CC" w:rsidP="00057D1D">
            <w:pPr>
              <w:pStyle w:val="ICFTabletext"/>
              <w:jc w:val="center"/>
              <w:rPr>
                <w:lang w:bidi="ar-SA"/>
              </w:rPr>
            </w:pPr>
            <w:r w:rsidRPr="004C12C9">
              <w:rPr>
                <w:lang w:bidi="ar-SA"/>
              </w:rPr>
              <w:t>0%</w:t>
            </w:r>
          </w:p>
        </w:tc>
        <w:tc>
          <w:tcPr>
            <w:tcW w:w="945" w:type="dxa"/>
          </w:tcPr>
          <w:p w14:paraId="3796C62E" w14:textId="77777777" w:rsidR="00FC15CC" w:rsidRPr="004C12C9" w:rsidRDefault="00FC15CC" w:rsidP="00057D1D">
            <w:pPr>
              <w:pStyle w:val="ICFTabletext"/>
              <w:jc w:val="center"/>
              <w:rPr>
                <w:lang w:bidi="ar-SA"/>
              </w:rPr>
            </w:pPr>
            <w:r w:rsidRPr="004C12C9">
              <w:rPr>
                <w:lang w:bidi="ar-SA"/>
              </w:rPr>
              <w:t>1.6%</w:t>
            </w:r>
          </w:p>
        </w:tc>
        <w:tc>
          <w:tcPr>
            <w:tcW w:w="946" w:type="dxa"/>
          </w:tcPr>
          <w:p w14:paraId="2E3DA19D" w14:textId="77777777" w:rsidR="00FC15CC" w:rsidRPr="004C12C9" w:rsidRDefault="00FC15CC" w:rsidP="00057D1D">
            <w:pPr>
              <w:pStyle w:val="ICFTabletext"/>
              <w:jc w:val="center"/>
              <w:rPr>
                <w:lang w:bidi="ar-SA"/>
              </w:rPr>
            </w:pPr>
            <w:r w:rsidRPr="004C12C9">
              <w:rPr>
                <w:lang w:bidi="ar-SA"/>
              </w:rPr>
              <w:t>0%</w:t>
            </w:r>
          </w:p>
        </w:tc>
        <w:tc>
          <w:tcPr>
            <w:tcW w:w="945" w:type="dxa"/>
          </w:tcPr>
          <w:p w14:paraId="0D6DC1C8" w14:textId="77777777" w:rsidR="00FC15CC" w:rsidRPr="004C12C9" w:rsidRDefault="00FC15CC" w:rsidP="00057D1D">
            <w:pPr>
              <w:pStyle w:val="ICFTabletext"/>
              <w:jc w:val="center"/>
              <w:rPr>
                <w:lang w:bidi="ar-SA"/>
              </w:rPr>
            </w:pPr>
            <w:r w:rsidRPr="004C12C9">
              <w:rPr>
                <w:lang w:bidi="ar-SA"/>
              </w:rPr>
              <w:t>24.2%</w:t>
            </w:r>
          </w:p>
        </w:tc>
        <w:tc>
          <w:tcPr>
            <w:tcW w:w="945" w:type="dxa"/>
          </w:tcPr>
          <w:p w14:paraId="46AFBC8B" w14:textId="77777777" w:rsidR="00FC15CC" w:rsidRPr="004C12C9" w:rsidRDefault="00FC15CC" w:rsidP="00057D1D">
            <w:pPr>
              <w:pStyle w:val="ICFTabletext"/>
              <w:jc w:val="center"/>
              <w:rPr>
                <w:lang w:bidi="ar-SA"/>
              </w:rPr>
            </w:pPr>
            <w:r w:rsidRPr="004C12C9">
              <w:rPr>
                <w:lang w:bidi="ar-SA"/>
              </w:rPr>
              <w:t>0%</w:t>
            </w:r>
          </w:p>
        </w:tc>
        <w:tc>
          <w:tcPr>
            <w:tcW w:w="945" w:type="dxa"/>
          </w:tcPr>
          <w:p w14:paraId="5EE104C0" w14:textId="77777777" w:rsidR="00FC15CC" w:rsidRPr="004C12C9" w:rsidRDefault="00FC15CC" w:rsidP="00057D1D">
            <w:pPr>
              <w:pStyle w:val="ICFTabletext"/>
              <w:jc w:val="center"/>
              <w:rPr>
                <w:lang w:bidi="ar-SA"/>
              </w:rPr>
            </w:pPr>
            <w:r w:rsidRPr="004C12C9">
              <w:rPr>
                <w:lang w:bidi="ar-SA"/>
              </w:rPr>
              <w:t>0.4%</w:t>
            </w:r>
          </w:p>
        </w:tc>
        <w:tc>
          <w:tcPr>
            <w:tcW w:w="946" w:type="dxa"/>
          </w:tcPr>
          <w:p w14:paraId="798014EF" w14:textId="77777777" w:rsidR="00FC15CC" w:rsidRPr="004C12C9" w:rsidRDefault="00FC15CC" w:rsidP="00057D1D">
            <w:pPr>
              <w:pStyle w:val="ICFTabletext"/>
              <w:jc w:val="center"/>
              <w:rPr>
                <w:lang w:bidi="ar-SA"/>
              </w:rPr>
            </w:pPr>
            <w:r w:rsidRPr="004C12C9">
              <w:rPr>
                <w:lang w:bidi="ar-SA"/>
              </w:rPr>
              <w:t>75.4%</w:t>
            </w:r>
          </w:p>
        </w:tc>
      </w:tr>
      <w:tr w:rsidR="00FC15CC" w:rsidRPr="004C12C9" w14:paraId="5FCAA4E2" w14:textId="77777777" w:rsidTr="00057D1D">
        <w:trPr>
          <w:trHeight w:val="20"/>
        </w:trPr>
        <w:tc>
          <w:tcPr>
            <w:tcW w:w="1610" w:type="dxa"/>
            <w:noWrap/>
            <w:vAlign w:val="center"/>
            <w:hideMark/>
          </w:tcPr>
          <w:p w14:paraId="1B76DB78" w14:textId="77777777" w:rsidR="00FC15CC" w:rsidRPr="004C12C9" w:rsidRDefault="00FC15CC" w:rsidP="00057D1D">
            <w:pPr>
              <w:pStyle w:val="ICFTabletext"/>
              <w:rPr>
                <w:lang w:bidi="ar-SA"/>
              </w:rPr>
            </w:pPr>
            <w:r w:rsidRPr="004C12C9">
              <w:rPr>
                <w:lang w:bidi="ar-SA"/>
              </w:rPr>
              <w:t>Insulation</w:t>
            </w:r>
          </w:p>
        </w:tc>
        <w:tc>
          <w:tcPr>
            <w:tcW w:w="945" w:type="dxa"/>
            <w:noWrap/>
            <w:vAlign w:val="bottom"/>
          </w:tcPr>
          <w:p w14:paraId="39CE3933" w14:textId="77777777" w:rsidR="00FC15CC" w:rsidRPr="004C12C9" w:rsidRDefault="00FC15CC" w:rsidP="00057D1D">
            <w:pPr>
              <w:pStyle w:val="ICFTabletext"/>
              <w:jc w:val="center"/>
              <w:rPr>
                <w:lang w:bidi="ar-SA"/>
              </w:rPr>
            </w:pPr>
            <w:r w:rsidRPr="004C12C9">
              <w:rPr>
                <w:lang w:bidi="ar-SA"/>
              </w:rPr>
              <w:t>98.4%</w:t>
            </w:r>
          </w:p>
        </w:tc>
        <w:tc>
          <w:tcPr>
            <w:tcW w:w="945" w:type="dxa"/>
          </w:tcPr>
          <w:p w14:paraId="3775329E" w14:textId="77777777" w:rsidR="00FC15CC" w:rsidRPr="004C12C9" w:rsidRDefault="00FC15CC" w:rsidP="00057D1D">
            <w:pPr>
              <w:pStyle w:val="ICFTabletext"/>
              <w:jc w:val="center"/>
              <w:rPr>
                <w:lang w:bidi="ar-SA"/>
              </w:rPr>
            </w:pPr>
            <w:r w:rsidRPr="004C12C9">
              <w:rPr>
                <w:lang w:bidi="ar-SA"/>
              </w:rPr>
              <w:t>0%</w:t>
            </w:r>
          </w:p>
        </w:tc>
        <w:tc>
          <w:tcPr>
            <w:tcW w:w="945" w:type="dxa"/>
          </w:tcPr>
          <w:p w14:paraId="2623B01E" w14:textId="77777777" w:rsidR="00FC15CC" w:rsidRPr="004C12C9" w:rsidRDefault="00FC15CC" w:rsidP="00057D1D">
            <w:pPr>
              <w:pStyle w:val="ICFTabletext"/>
              <w:jc w:val="center"/>
              <w:rPr>
                <w:lang w:bidi="ar-SA"/>
              </w:rPr>
            </w:pPr>
            <w:r w:rsidRPr="004C12C9">
              <w:rPr>
                <w:lang w:bidi="ar-SA"/>
              </w:rPr>
              <w:t>1.6%</w:t>
            </w:r>
          </w:p>
        </w:tc>
        <w:tc>
          <w:tcPr>
            <w:tcW w:w="946" w:type="dxa"/>
          </w:tcPr>
          <w:p w14:paraId="422824C6" w14:textId="77777777" w:rsidR="00FC15CC" w:rsidRPr="004C12C9" w:rsidRDefault="00FC15CC" w:rsidP="00057D1D">
            <w:pPr>
              <w:pStyle w:val="ICFTabletext"/>
              <w:jc w:val="center"/>
              <w:rPr>
                <w:lang w:bidi="ar-SA"/>
              </w:rPr>
            </w:pPr>
            <w:r w:rsidRPr="004C12C9">
              <w:rPr>
                <w:lang w:bidi="ar-SA"/>
              </w:rPr>
              <w:t>0%</w:t>
            </w:r>
          </w:p>
        </w:tc>
        <w:tc>
          <w:tcPr>
            <w:tcW w:w="945" w:type="dxa"/>
            <w:vAlign w:val="bottom"/>
          </w:tcPr>
          <w:p w14:paraId="19178A69" w14:textId="77777777" w:rsidR="00FC15CC" w:rsidRPr="004C12C9" w:rsidRDefault="00FC15CC" w:rsidP="00057D1D">
            <w:pPr>
              <w:pStyle w:val="ICFTabletext"/>
              <w:jc w:val="center"/>
              <w:rPr>
                <w:lang w:bidi="ar-SA"/>
              </w:rPr>
            </w:pPr>
            <w:r w:rsidRPr="004C12C9">
              <w:rPr>
                <w:lang w:bidi="ar-SA"/>
              </w:rPr>
              <w:t>98.4%</w:t>
            </w:r>
          </w:p>
        </w:tc>
        <w:tc>
          <w:tcPr>
            <w:tcW w:w="945" w:type="dxa"/>
          </w:tcPr>
          <w:p w14:paraId="3725A6C0" w14:textId="77777777" w:rsidR="00FC15CC" w:rsidRPr="004C12C9" w:rsidRDefault="00FC15CC" w:rsidP="00057D1D">
            <w:pPr>
              <w:pStyle w:val="ICFTabletext"/>
              <w:jc w:val="center"/>
              <w:rPr>
                <w:lang w:bidi="ar-SA"/>
              </w:rPr>
            </w:pPr>
            <w:r w:rsidRPr="004C12C9">
              <w:rPr>
                <w:lang w:bidi="ar-SA"/>
              </w:rPr>
              <w:t>0%</w:t>
            </w:r>
          </w:p>
        </w:tc>
        <w:tc>
          <w:tcPr>
            <w:tcW w:w="945" w:type="dxa"/>
          </w:tcPr>
          <w:p w14:paraId="3A7AEDF7" w14:textId="77777777" w:rsidR="00FC15CC" w:rsidRPr="004C12C9" w:rsidRDefault="00FC15CC" w:rsidP="00057D1D">
            <w:pPr>
              <w:pStyle w:val="ICFTabletext"/>
              <w:jc w:val="center"/>
              <w:rPr>
                <w:lang w:bidi="ar-SA"/>
              </w:rPr>
            </w:pPr>
            <w:r w:rsidRPr="004C12C9">
              <w:rPr>
                <w:lang w:bidi="ar-SA"/>
              </w:rPr>
              <w:t>1.6%</w:t>
            </w:r>
          </w:p>
        </w:tc>
        <w:tc>
          <w:tcPr>
            <w:tcW w:w="946" w:type="dxa"/>
          </w:tcPr>
          <w:p w14:paraId="1907EAE2" w14:textId="77777777" w:rsidR="00FC15CC" w:rsidRPr="004C12C9" w:rsidRDefault="00FC15CC" w:rsidP="00057D1D">
            <w:pPr>
              <w:pStyle w:val="ICFTabletext"/>
              <w:jc w:val="center"/>
              <w:rPr>
                <w:lang w:bidi="ar-SA"/>
              </w:rPr>
            </w:pPr>
            <w:r w:rsidRPr="004C12C9">
              <w:rPr>
                <w:lang w:bidi="ar-SA"/>
              </w:rPr>
              <w:t>0%</w:t>
            </w:r>
          </w:p>
        </w:tc>
      </w:tr>
      <w:tr w:rsidR="00FC15CC" w:rsidRPr="004C12C9" w14:paraId="42A85633" w14:textId="77777777" w:rsidTr="00057D1D">
        <w:trPr>
          <w:trHeight w:val="20"/>
        </w:trPr>
        <w:tc>
          <w:tcPr>
            <w:tcW w:w="1610" w:type="dxa"/>
            <w:noWrap/>
            <w:vAlign w:val="center"/>
            <w:hideMark/>
          </w:tcPr>
          <w:p w14:paraId="7C24688F" w14:textId="77777777" w:rsidR="00FC15CC" w:rsidRPr="004C12C9" w:rsidRDefault="00FC15CC" w:rsidP="00057D1D">
            <w:pPr>
              <w:pStyle w:val="ICFTabletext"/>
              <w:rPr>
                <w:lang w:bidi="ar-SA"/>
              </w:rPr>
            </w:pPr>
            <w:r w:rsidRPr="004C12C9">
              <w:rPr>
                <w:lang w:bidi="ar-SA"/>
              </w:rPr>
              <w:t>Steel</w:t>
            </w:r>
          </w:p>
        </w:tc>
        <w:tc>
          <w:tcPr>
            <w:tcW w:w="945" w:type="dxa"/>
            <w:noWrap/>
            <w:vAlign w:val="bottom"/>
          </w:tcPr>
          <w:p w14:paraId="1BCC3CD3" w14:textId="77777777" w:rsidR="00FC15CC" w:rsidRPr="004C12C9" w:rsidRDefault="00FC15CC" w:rsidP="00057D1D">
            <w:pPr>
              <w:pStyle w:val="ICFTabletext"/>
              <w:jc w:val="center"/>
              <w:rPr>
                <w:lang w:bidi="ar-SA"/>
              </w:rPr>
            </w:pPr>
            <w:r w:rsidRPr="004C12C9">
              <w:rPr>
                <w:lang w:bidi="ar-SA"/>
              </w:rPr>
              <w:t>98%</w:t>
            </w:r>
          </w:p>
        </w:tc>
        <w:tc>
          <w:tcPr>
            <w:tcW w:w="945" w:type="dxa"/>
          </w:tcPr>
          <w:p w14:paraId="05461C55" w14:textId="77777777" w:rsidR="00FC15CC" w:rsidRPr="004C12C9" w:rsidRDefault="00FC15CC" w:rsidP="00057D1D">
            <w:pPr>
              <w:pStyle w:val="ICFTabletext"/>
              <w:jc w:val="center"/>
              <w:rPr>
                <w:lang w:bidi="ar-SA"/>
              </w:rPr>
            </w:pPr>
            <w:r w:rsidRPr="004C12C9">
              <w:rPr>
                <w:lang w:bidi="ar-SA"/>
              </w:rPr>
              <w:t>1.8%</w:t>
            </w:r>
          </w:p>
        </w:tc>
        <w:tc>
          <w:tcPr>
            <w:tcW w:w="945" w:type="dxa"/>
          </w:tcPr>
          <w:p w14:paraId="6DB9ACC3" w14:textId="77777777" w:rsidR="00FC15CC" w:rsidRPr="004C12C9" w:rsidRDefault="00FC15CC" w:rsidP="00057D1D">
            <w:pPr>
              <w:pStyle w:val="ICFTabletext"/>
              <w:jc w:val="center"/>
              <w:rPr>
                <w:lang w:bidi="ar-SA"/>
              </w:rPr>
            </w:pPr>
            <w:r w:rsidRPr="004C12C9">
              <w:rPr>
                <w:lang w:bidi="ar-SA"/>
              </w:rPr>
              <w:t>0.2%</w:t>
            </w:r>
          </w:p>
        </w:tc>
        <w:tc>
          <w:tcPr>
            <w:tcW w:w="946" w:type="dxa"/>
          </w:tcPr>
          <w:p w14:paraId="0725A469" w14:textId="77777777" w:rsidR="00FC15CC" w:rsidRPr="004C12C9" w:rsidRDefault="00FC15CC" w:rsidP="00057D1D">
            <w:pPr>
              <w:pStyle w:val="ICFTabletext"/>
              <w:jc w:val="center"/>
              <w:rPr>
                <w:lang w:bidi="ar-SA"/>
              </w:rPr>
            </w:pPr>
            <w:r w:rsidRPr="004C12C9">
              <w:rPr>
                <w:lang w:bidi="ar-SA"/>
              </w:rPr>
              <w:t>0%</w:t>
            </w:r>
          </w:p>
        </w:tc>
        <w:tc>
          <w:tcPr>
            <w:tcW w:w="945" w:type="dxa"/>
            <w:vAlign w:val="bottom"/>
          </w:tcPr>
          <w:p w14:paraId="4A211574" w14:textId="77777777" w:rsidR="00FC15CC" w:rsidRPr="004C12C9" w:rsidRDefault="00FC15CC" w:rsidP="00057D1D">
            <w:pPr>
              <w:pStyle w:val="ICFTabletext"/>
              <w:jc w:val="center"/>
              <w:rPr>
                <w:lang w:bidi="ar-SA"/>
              </w:rPr>
            </w:pPr>
            <w:r w:rsidRPr="004C12C9">
              <w:rPr>
                <w:lang w:bidi="ar-SA"/>
              </w:rPr>
              <w:t>98%</w:t>
            </w:r>
          </w:p>
        </w:tc>
        <w:tc>
          <w:tcPr>
            <w:tcW w:w="945" w:type="dxa"/>
          </w:tcPr>
          <w:p w14:paraId="7240DDA7" w14:textId="77777777" w:rsidR="00FC15CC" w:rsidRPr="004C12C9" w:rsidRDefault="00FC15CC" w:rsidP="00057D1D">
            <w:pPr>
              <w:pStyle w:val="ICFTabletext"/>
              <w:jc w:val="center"/>
              <w:rPr>
                <w:lang w:bidi="ar-SA"/>
              </w:rPr>
            </w:pPr>
            <w:r w:rsidRPr="004C12C9">
              <w:rPr>
                <w:lang w:bidi="ar-SA"/>
              </w:rPr>
              <w:t>1.8%</w:t>
            </w:r>
          </w:p>
        </w:tc>
        <w:tc>
          <w:tcPr>
            <w:tcW w:w="945" w:type="dxa"/>
          </w:tcPr>
          <w:p w14:paraId="3D8439B1" w14:textId="77777777" w:rsidR="00FC15CC" w:rsidRPr="004C12C9" w:rsidRDefault="00FC15CC" w:rsidP="00057D1D">
            <w:pPr>
              <w:pStyle w:val="ICFTabletext"/>
              <w:jc w:val="center"/>
              <w:rPr>
                <w:lang w:bidi="ar-SA"/>
              </w:rPr>
            </w:pPr>
            <w:r w:rsidRPr="004C12C9">
              <w:rPr>
                <w:lang w:bidi="ar-SA"/>
              </w:rPr>
              <w:t>0.2%</w:t>
            </w:r>
          </w:p>
        </w:tc>
        <w:tc>
          <w:tcPr>
            <w:tcW w:w="946" w:type="dxa"/>
          </w:tcPr>
          <w:p w14:paraId="14A6160B" w14:textId="77777777" w:rsidR="00FC15CC" w:rsidRPr="004C12C9" w:rsidRDefault="00FC15CC" w:rsidP="00057D1D">
            <w:pPr>
              <w:pStyle w:val="ICFTabletext"/>
              <w:jc w:val="center"/>
              <w:rPr>
                <w:lang w:bidi="ar-SA"/>
              </w:rPr>
            </w:pPr>
            <w:r w:rsidRPr="004C12C9">
              <w:rPr>
                <w:lang w:bidi="ar-SA"/>
              </w:rPr>
              <w:t>0%</w:t>
            </w:r>
          </w:p>
        </w:tc>
      </w:tr>
      <w:tr w:rsidR="00FC15CC" w:rsidRPr="004C12C9" w14:paraId="53261D5C" w14:textId="77777777" w:rsidTr="00E63229">
        <w:trPr>
          <w:trHeight w:val="70"/>
        </w:trPr>
        <w:tc>
          <w:tcPr>
            <w:tcW w:w="1610" w:type="dxa"/>
            <w:vAlign w:val="center"/>
            <w:hideMark/>
          </w:tcPr>
          <w:p w14:paraId="4EFFB0D4" w14:textId="77777777" w:rsidR="00FC15CC" w:rsidRPr="004C12C9" w:rsidRDefault="00FC15CC" w:rsidP="00057D1D">
            <w:pPr>
              <w:pStyle w:val="ICFTabletext"/>
              <w:rPr>
                <w:lang w:bidi="ar-SA"/>
              </w:rPr>
            </w:pPr>
            <w:r w:rsidRPr="004C12C9">
              <w:rPr>
                <w:lang w:bidi="ar-SA"/>
              </w:rPr>
              <w:t>Wood Products</w:t>
            </w:r>
          </w:p>
        </w:tc>
        <w:tc>
          <w:tcPr>
            <w:tcW w:w="945" w:type="dxa"/>
            <w:noWrap/>
          </w:tcPr>
          <w:p w14:paraId="422F87BD" w14:textId="77777777" w:rsidR="00FC15CC" w:rsidRPr="004C12C9" w:rsidRDefault="00FC15CC" w:rsidP="00057D1D">
            <w:pPr>
              <w:pStyle w:val="ICFTabletext"/>
              <w:jc w:val="center"/>
              <w:rPr>
                <w:lang w:bidi="ar-SA"/>
              </w:rPr>
            </w:pPr>
            <w:r w:rsidRPr="004C12C9">
              <w:rPr>
                <w:lang w:bidi="ar-SA"/>
              </w:rPr>
              <w:t>95.6%</w:t>
            </w:r>
          </w:p>
        </w:tc>
        <w:tc>
          <w:tcPr>
            <w:tcW w:w="945" w:type="dxa"/>
          </w:tcPr>
          <w:p w14:paraId="34772584" w14:textId="77777777" w:rsidR="00FC15CC" w:rsidRPr="004C12C9" w:rsidRDefault="00FC15CC" w:rsidP="00057D1D">
            <w:pPr>
              <w:pStyle w:val="ICFTabletext"/>
              <w:jc w:val="center"/>
              <w:rPr>
                <w:lang w:bidi="ar-SA"/>
              </w:rPr>
            </w:pPr>
            <w:r w:rsidRPr="004C12C9">
              <w:rPr>
                <w:lang w:bidi="ar-SA"/>
              </w:rPr>
              <w:t>0%</w:t>
            </w:r>
          </w:p>
        </w:tc>
        <w:tc>
          <w:tcPr>
            <w:tcW w:w="945" w:type="dxa"/>
          </w:tcPr>
          <w:p w14:paraId="59E71A35" w14:textId="77777777" w:rsidR="00FC15CC" w:rsidRPr="004C12C9" w:rsidRDefault="00FC15CC" w:rsidP="00057D1D">
            <w:pPr>
              <w:pStyle w:val="ICFTabletext"/>
              <w:jc w:val="center"/>
              <w:rPr>
                <w:lang w:bidi="ar-SA"/>
              </w:rPr>
            </w:pPr>
            <w:r w:rsidRPr="004C12C9">
              <w:rPr>
                <w:lang w:bidi="ar-SA"/>
              </w:rPr>
              <w:t>4.4%</w:t>
            </w:r>
          </w:p>
        </w:tc>
        <w:tc>
          <w:tcPr>
            <w:tcW w:w="946" w:type="dxa"/>
          </w:tcPr>
          <w:p w14:paraId="11E55A9E" w14:textId="77777777" w:rsidR="00FC15CC" w:rsidRPr="004C12C9" w:rsidRDefault="00FC15CC" w:rsidP="00057D1D">
            <w:pPr>
              <w:pStyle w:val="ICFTabletext"/>
              <w:jc w:val="center"/>
              <w:rPr>
                <w:lang w:bidi="ar-SA"/>
              </w:rPr>
            </w:pPr>
            <w:r w:rsidRPr="004C12C9">
              <w:rPr>
                <w:lang w:bidi="ar-SA"/>
              </w:rPr>
              <w:t>0%</w:t>
            </w:r>
          </w:p>
        </w:tc>
        <w:tc>
          <w:tcPr>
            <w:tcW w:w="945" w:type="dxa"/>
          </w:tcPr>
          <w:p w14:paraId="26D22070" w14:textId="77777777" w:rsidR="00FC15CC" w:rsidRPr="004C12C9" w:rsidRDefault="00FC15CC" w:rsidP="00057D1D">
            <w:pPr>
              <w:pStyle w:val="ICFTabletext"/>
              <w:jc w:val="center"/>
              <w:rPr>
                <w:lang w:bidi="ar-SA"/>
              </w:rPr>
            </w:pPr>
            <w:r w:rsidRPr="004C12C9">
              <w:rPr>
                <w:lang w:bidi="ar-SA"/>
              </w:rPr>
              <w:t>95.6%</w:t>
            </w:r>
          </w:p>
        </w:tc>
        <w:tc>
          <w:tcPr>
            <w:tcW w:w="945" w:type="dxa"/>
          </w:tcPr>
          <w:p w14:paraId="663335A3" w14:textId="77777777" w:rsidR="00FC15CC" w:rsidRPr="004C12C9" w:rsidRDefault="00FC15CC" w:rsidP="00057D1D">
            <w:pPr>
              <w:pStyle w:val="ICFTabletext"/>
              <w:jc w:val="center"/>
              <w:rPr>
                <w:lang w:bidi="ar-SA"/>
              </w:rPr>
            </w:pPr>
            <w:r w:rsidRPr="004C12C9">
              <w:rPr>
                <w:lang w:bidi="ar-SA"/>
              </w:rPr>
              <w:t>0%</w:t>
            </w:r>
          </w:p>
        </w:tc>
        <w:tc>
          <w:tcPr>
            <w:tcW w:w="945" w:type="dxa"/>
          </w:tcPr>
          <w:p w14:paraId="559D9CF5" w14:textId="77777777" w:rsidR="00FC15CC" w:rsidRPr="004C12C9" w:rsidRDefault="00FC15CC" w:rsidP="00057D1D">
            <w:pPr>
              <w:pStyle w:val="ICFTabletext"/>
              <w:jc w:val="center"/>
              <w:rPr>
                <w:lang w:bidi="ar-SA"/>
              </w:rPr>
            </w:pPr>
            <w:r w:rsidRPr="004C12C9">
              <w:rPr>
                <w:lang w:bidi="ar-SA"/>
              </w:rPr>
              <w:t>4.4%</w:t>
            </w:r>
          </w:p>
        </w:tc>
        <w:tc>
          <w:tcPr>
            <w:tcW w:w="946" w:type="dxa"/>
          </w:tcPr>
          <w:p w14:paraId="1A9B4EAE" w14:textId="77777777" w:rsidR="00FC15CC" w:rsidRPr="004C12C9" w:rsidRDefault="00FC15CC" w:rsidP="00057D1D">
            <w:pPr>
              <w:pStyle w:val="ICFTabletext"/>
              <w:jc w:val="center"/>
              <w:rPr>
                <w:lang w:bidi="ar-SA"/>
              </w:rPr>
            </w:pPr>
            <w:r w:rsidRPr="004C12C9">
              <w:rPr>
                <w:lang w:bidi="ar-SA"/>
              </w:rPr>
              <w:t>0%</w:t>
            </w:r>
          </w:p>
        </w:tc>
      </w:tr>
    </w:tbl>
    <w:p w14:paraId="615BB262" w14:textId="55820FA6" w:rsidR="00FC567C" w:rsidRPr="004C12C9" w:rsidRDefault="00FC567C" w:rsidP="00FC567C">
      <w:r w:rsidRPr="004C12C9">
        <w:t xml:space="preserve">The resulting </w:t>
      </w:r>
      <w:r w:rsidR="00625514" w:rsidRPr="004C12C9">
        <w:t>d</w:t>
      </w:r>
      <w:r w:rsidRPr="004C12C9">
        <w:t xml:space="preserve">istances </w:t>
      </w:r>
      <w:r w:rsidR="003C0280" w:rsidRPr="004C12C9">
        <w:t xml:space="preserve">by </w:t>
      </w:r>
      <w:r w:rsidR="00DB0067" w:rsidRPr="004C12C9">
        <w:t>mode for domestically sourced and imported materials</w:t>
      </w:r>
      <w:r w:rsidR="00625514" w:rsidRPr="004C12C9">
        <w:t xml:space="preserve"> by material type</w:t>
      </w:r>
      <w:r w:rsidR="00DB0067" w:rsidRPr="004C12C9">
        <w:t xml:space="preserve"> are summarized in</w:t>
      </w:r>
      <w:r w:rsidR="00BE16E2" w:rsidRPr="004C12C9">
        <w:t xml:space="preserve"> </w:t>
      </w:r>
      <w:r w:rsidR="00BE16E2" w:rsidRPr="004C12C9">
        <w:fldChar w:fldCharType="begin" w:fldLock="1"/>
      </w:r>
      <w:r w:rsidR="00BE16E2" w:rsidRPr="004C12C9">
        <w:instrText xml:space="preserve"> REF _Ref194996103 \h </w:instrText>
      </w:r>
      <w:r w:rsidR="00BE16E2" w:rsidRPr="004C12C9">
        <w:fldChar w:fldCharType="separate"/>
      </w:r>
      <w:r w:rsidR="00127094" w:rsidRPr="004C12C9">
        <w:t>Table 2</w:t>
      </w:r>
      <w:r w:rsidR="00127094" w:rsidRPr="004C12C9">
        <w:noBreakHyphen/>
        <w:t>18</w:t>
      </w:r>
      <w:r w:rsidR="00BE16E2" w:rsidRPr="004C12C9">
        <w:fldChar w:fldCharType="end"/>
      </w:r>
      <w:r w:rsidR="00DB0067" w:rsidRPr="004C12C9">
        <w:t xml:space="preserve">. </w:t>
      </w:r>
      <w:r w:rsidR="00DE04AC" w:rsidRPr="004C12C9">
        <w:t xml:space="preserve">If the source of the material is unknown, </w:t>
      </w:r>
      <w:r w:rsidR="00625514" w:rsidRPr="004C12C9">
        <w:t xml:space="preserve">the distances are weighted </w:t>
      </w:r>
      <w:r w:rsidR="00644009" w:rsidRPr="004C12C9">
        <w:t xml:space="preserve">based on the material source defaults </w:t>
      </w:r>
      <w:r w:rsidR="00535D5F" w:rsidRPr="004C12C9">
        <w:t xml:space="preserve">summarized in Section </w:t>
      </w:r>
      <w:r w:rsidR="00535D5F" w:rsidRPr="004C12C9">
        <w:fldChar w:fldCharType="begin" w:fldLock="1"/>
      </w:r>
      <w:r w:rsidR="00535D5F" w:rsidRPr="004C12C9">
        <w:instrText xml:space="preserve"> REF _Ref193891657 \r \h </w:instrText>
      </w:r>
      <w:r w:rsidR="00535D5F" w:rsidRPr="004C12C9">
        <w:fldChar w:fldCharType="separate"/>
      </w:r>
      <w:r w:rsidR="00127094" w:rsidRPr="004C12C9">
        <w:t>2.1</w:t>
      </w:r>
      <w:r w:rsidR="00535D5F" w:rsidRPr="004C12C9">
        <w:fldChar w:fldCharType="end"/>
      </w:r>
      <w:r w:rsidR="00535D5F" w:rsidRPr="004C12C9">
        <w:t xml:space="preserve">, </w:t>
      </w:r>
      <w:r w:rsidR="00535D5F" w:rsidRPr="004C12C9">
        <w:fldChar w:fldCharType="begin" w:fldLock="1"/>
      </w:r>
      <w:r w:rsidR="00535D5F" w:rsidRPr="004C12C9">
        <w:instrText xml:space="preserve"> REF _Ref182987062 \h </w:instrText>
      </w:r>
      <w:r w:rsidR="00535D5F" w:rsidRPr="004C12C9">
        <w:fldChar w:fldCharType="separate"/>
      </w:r>
      <w:r w:rsidR="00127094" w:rsidRPr="004C12C9">
        <w:rPr>
          <w:rFonts w:eastAsia="MS Mincho"/>
          <w:lang w:eastAsia="ja-JP" w:bidi="ar-SA"/>
        </w:rPr>
        <w:t>Table 2</w:t>
      </w:r>
      <w:r w:rsidR="00127094" w:rsidRPr="004C12C9">
        <w:rPr>
          <w:rFonts w:eastAsia="MS Mincho"/>
          <w:lang w:eastAsia="ja-JP" w:bidi="ar-SA"/>
        </w:rPr>
        <w:noBreakHyphen/>
        <w:t>12</w:t>
      </w:r>
      <w:r w:rsidR="00535D5F" w:rsidRPr="004C12C9">
        <w:fldChar w:fldCharType="end"/>
      </w:r>
      <w:r w:rsidR="00535D5F" w:rsidRPr="004C12C9">
        <w:t>.</w:t>
      </w:r>
    </w:p>
    <w:p w14:paraId="4DCE8137" w14:textId="1C560AD5" w:rsidR="00BE16E2" w:rsidRPr="004C12C9" w:rsidRDefault="00BE16E2" w:rsidP="00BE16E2">
      <w:pPr>
        <w:pStyle w:val="Caption"/>
      </w:pPr>
      <w:bookmarkStart w:id="65" w:name="_Ref194996103"/>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18</w:t>
      </w:r>
      <w:r w:rsidR="00F72B41">
        <w:fldChar w:fldCharType="end"/>
      </w:r>
      <w:bookmarkEnd w:id="65"/>
      <w:r w:rsidRPr="004C12C9">
        <w:t xml:space="preserve">. </w:t>
      </w:r>
      <w:r w:rsidR="00741B9D" w:rsidRPr="004C12C9">
        <w:t xml:space="preserve">Distance Traveled </w:t>
      </w:r>
      <w:r w:rsidRPr="004C12C9">
        <w:t>Assumptions by Material Type and Source</w:t>
      </w:r>
    </w:p>
    <w:tbl>
      <w:tblPr>
        <w:tblW w:w="49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35"/>
        <w:gridCol w:w="1019"/>
        <w:gridCol w:w="1019"/>
        <w:gridCol w:w="1019"/>
        <w:gridCol w:w="1020"/>
        <w:gridCol w:w="1019"/>
        <w:gridCol w:w="1019"/>
        <w:gridCol w:w="1019"/>
        <w:gridCol w:w="1020"/>
      </w:tblGrid>
      <w:tr w:rsidR="00BE16E2" w:rsidRPr="004C12C9" w14:paraId="295C4663" w14:textId="77777777" w:rsidTr="00E63229">
        <w:trPr>
          <w:trHeight w:val="20"/>
          <w:tblHeader/>
        </w:trPr>
        <w:tc>
          <w:tcPr>
            <w:tcW w:w="1735" w:type="dxa"/>
            <w:vMerge w:val="restart"/>
            <w:shd w:val="clear" w:color="auto" w:fill="D9D9D9" w:themeFill="background1" w:themeFillShade="D9"/>
            <w:noWrap/>
            <w:vAlign w:val="center"/>
            <w:hideMark/>
          </w:tcPr>
          <w:p w14:paraId="063FEB4F" w14:textId="77777777" w:rsidR="00BE16E2" w:rsidRPr="004C12C9" w:rsidRDefault="00BE16E2">
            <w:pPr>
              <w:pStyle w:val="ICFTableHeading"/>
              <w:rPr>
                <w:lang w:bidi="ar-SA"/>
              </w:rPr>
            </w:pPr>
            <w:r w:rsidRPr="004C12C9">
              <w:rPr>
                <w:lang w:bidi="ar-SA"/>
              </w:rPr>
              <w:t>Material</w:t>
            </w:r>
          </w:p>
        </w:tc>
        <w:tc>
          <w:tcPr>
            <w:tcW w:w="4077" w:type="dxa"/>
            <w:gridSpan w:val="4"/>
            <w:shd w:val="clear" w:color="auto" w:fill="D9D9D9" w:themeFill="background1" w:themeFillShade="D9"/>
            <w:vAlign w:val="center"/>
            <w:hideMark/>
          </w:tcPr>
          <w:p w14:paraId="5D32F563" w14:textId="52A3CE90" w:rsidR="00BE16E2" w:rsidRPr="004C12C9" w:rsidRDefault="00BE16E2">
            <w:pPr>
              <w:pStyle w:val="ICFTableHeading"/>
              <w:rPr>
                <w:lang w:bidi="ar-SA"/>
              </w:rPr>
            </w:pPr>
            <w:r w:rsidRPr="004C12C9">
              <w:rPr>
                <w:lang w:bidi="ar-SA"/>
              </w:rPr>
              <w:t>Domestically Sourced</w:t>
            </w:r>
            <w:r w:rsidR="006F28C1" w:rsidRPr="004C12C9">
              <w:rPr>
                <w:lang w:bidi="ar-SA"/>
              </w:rPr>
              <w:t xml:space="preserve"> (miles)</w:t>
            </w:r>
          </w:p>
        </w:tc>
        <w:tc>
          <w:tcPr>
            <w:tcW w:w="4077" w:type="dxa"/>
            <w:gridSpan w:val="4"/>
            <w:shd w:val="clear" w:color="auto" w:fill="D9D9D9" w:themeFill="background1" w:themeFillShade="D9"/>
            <w:vAlign w:val="center"/>
          </w:tcPr>
          <w:p w14:paraId="06FCBFF1" w14:textId="64FB6868" w:rsidR="00BE16E2" w:rsidRPr="004C12C9" w:rsidRDefault="00BE16E2">
            <w:pPr>
              <w:pStyle w:val="ICFTableHeading"/>
              <w:rPr>
                <w:lang w:bidi="ar-SA"/>
              </w:rPr>
            </w:pPr>
            <w:r w:rsidRPr="004C12C9">
              <w:rPr>
                <w:lang w:bidi="ar-SA"/>
              </w:rPr>
              <w:t>Imports</w:t>
            </w:r>
            <w:r w:rsidR="006F28C1" w:rsidRPr="004C12C9">
              <w:rPr>
                <w:lang w:bidi="ar-SA"/>
              </w:rPr>
              <w:t xml:space="preserve"> (miles)</w:t>
            </w:r>
          </w:p>
        </w:tc>
      </w:tr>
      <w:tr w:rsidR="00BE16E2" w:rsidRPr="004C12C9" w14:paraId="36A7A377" w14:textId="77777777" w:rsidTr="00E63229">
        <w:trPr>
          <w:trHeight w:val="20"/>
          <w:tblHeader/>
        </w:trPr>
        <w:tc>
          <w:tcPr>
            <w:tcW w:w="1735" w:type="dxa"/>
            <w:vMerge/>
            <w:shd w:val="clear" w:color="auto" w:fill="D9D9D9" w:themeFill="background1" w:themeFillShade="D9"/>
            <w:noWrap/>
            <w:vAlign w:val="center"/>
          </w:tcPr>
          <w:p w14:paraId="54050287" w14:textId="77777777" w:rsidR="00BE16E2" w:rsidRPr="004C12C9" w:rsidRDefault="00BE16E2">
            <w:pPr>
              <w:pStyle w:val="ICFTableHeading"/>
              <w:rPr>
                <w:lang w:bidi="ar-SA"/>
              </w:rPr>
            </w:pPr>
          </w:p>
        </w:tc>
        <w:tc>
          <w:tcPr>
            <w:tcW w:w="1019" w:type="dxa"/>
            <w:shd w:val="clear" w:color="auto" w:fill="D9D9D9" w:themeFill="background1" w:themeFillShade="D9"/>
            <w:vAlign w:val="bottom"/>
          </w:tcPr>
          <w:p w14:paraId="5F3EE895" w14:textId="77777777" w:rsidR="00BE16E2" w:rsidRPr="004C12C9" w:rsidRDefault="00BE16E2">
            <w:pPr>
              <w:pStyle w:val="ICFTableHeading"/>
              <w:rPr>
                <w:lang w:bidi="ar-SA"/>
              </w:rPr>
            </w:pPr>
            <w:r w:rsidRPr="004C12C9">
              <w:rPr>
                <w:lang w:bidi="ar-SA"/>
              </w:rPr>
              <w:t>Truck</w:t>
            </w:r>
          </w:p>
        </w:tc>
        <w:tc>
          <w:tcPr>
            <w:tcW w:w="1019" w:type="dxa"/>
            <w:shd w:val="clear" w:color="auto" w:fill="D9D9D9" w:themeFill="background1" w:themeFillShade="D9"/>
            <w:vAlign w:val="bottom"/>
          </w:tcPr>
          <w:p w14:paraId="0B6D796B" w14:textId="77777777" w:rsidR="00BE16E2" w:rsidRPr="004C12C9" w:rsidRDefault="00BE16E2">
            <w:pPr>
              <w:pStyle w:val="ICFTableHeading"/>
              <w:rPr>
                <w:lang w:bidi="ar-SA"/>
              </w:rPr>
            </w:pPr>
            <w:r w:rsidRPr="004C12C9">
              <w:rPr>
                <w:lang w:bidi="ar-SA"/>
              </w:rPr>
              <w:t>Air</w:t>
            </w:r>
          </w:p>
        </w:tc>
        <w:tc>
          <w:tcPr>
            <w:tcW w:w="1019" w:type="dxa"/>
            <w:shd w:val="clear" w:color="auto" w:fill="D9D9D9" w:themeFill="background1" w:themeFillShade="D9"/>
            <w:vAlign w:val="bottom"/>
          </w:tcPr>
          <w:p w14:paraId="01D7B6D2" w14:textId="77777777" w:rsidR="00BE16E2" w:rsidRPr="004C12C9" w:rsidRDefault="00BE16E2">
            <w:pPr>
              <w:pStyle w:val="ICFTableHeading"/>
              <w:rPr>
                <w:lang w:bidi="ar-SA"/>
              </w:rPr>
            </w:pPr>
            <w:r w:rsidRPr="004C12C9">
              <w:rPr>
                <w:lang w:bidi="ar-SA"/>
              </w:rPr>
              <w:t>Rail</w:t>
            </w:r>
          </w:p>
        </w:tc>
        <w:tc>
          <w:tcPr>
            <w:tcW w:w="1020" w:type="dxa"/>
            <w:shd w:val="clear" w:color="auto" w:fill="D9D9D9" w:themeFill="background1" w:themeFillShade="D9"/>
            <w:vAlign w:val="bottom"/>
          </w:tcPr>
          <w:p w14:paraId="4B8D4B90" w14:textId="77777777" w:rsidR="00BE16E2" w:rsidRPr="004C12C9" w:rsidRDefault="00BE16E2">
            <w:pPr>
              <w:pStyle w:val="ICFTableHeading"/>
              <w:rPr>
                <w:lang w:bidi="ar-SA"/>
              </w:rPr>
            </w:pPr>
            <w:r w:rsidRPr="004C12C9">
              <w:rPr>
                <w:lang w:bidi="ar-SA"/>
              </w:rPr>
              <w:t>Water</w:t>
            </w:r>
          </w:p>
        </w:tc>
        <w:tc>
          <w:tcPr>
            <w:tcW w:w="1019" w:type="dxa"/>
            <w:shd w:val="clear" w:color="auto" w:fill="D9D9D9" w:themeFill="background1" w:themeFillShade="D9"/>
            <w:vAlign w:val="bottom"/>
          </w:tcPr>
          <w:p w14:paraId="0698B2C7" w14:textId="77777777" w:rsidR="00BE16E2" w:rsidRPr="004C12C9" w:rsidRDefault="00BE16E2">
            <w:pPr>
              <w:pStyle w:val="ICFTableHeading"/>
              <w:rPr>
                <w:lang w:bidi="ar-SA"/>
              </w:rPr>
            </w:pPr>
            <w:r w:rsidRPr="004C12C9">
              <w:rPr>
                <w:lang w:bidi="ar-SA"/>
              </w:rPr>
              <w:t>Truck</w:t>
            </w:r>
          </w:p>
        </w:tc>
        <w:tc>
          <w:tcPr>
            <w:tcW w:w="1019" w:type="dxa"/>
            <w:shd w:val="clear" w:color="auto" w:fill="D9D9D9" w:themeFill="background1" w:themeFillShade="D9"/>
            <w:vAlign w:val="bottom"/>
          </w:tcPr>
          <w:p w14:paraId="2B0F3025" w14:textId="77777777" w:rsidR="00BE16E2" w:rsidRPr="004C12C9" w:rsidRDefault="00BE16E2">
            <w:pPr>
              <w:pStyle w:val="ICFTableHeading"/>
              <w:rPr>
                <w:lang w:bidi="ar-SA"/>
              </w:rPr>
            </w:pPr>
            <w:r w:rsidRPr="004C12C9">
              <w:rPr>
                <w:lang w:bidi="ar-SA"/>
              </w:rPr>
              <w:t>Air</w:t>
            </w:r>
          </w:p>
        </w:tc>
        <w:tc>
          <w:tcPr>
            <w:tcW w:w="1019" w:type="dxa"/>
            <w:shd w:val="clear" w:color="auto" w:fill="D9D9D9" w:themeFill="background1" w:themeFillShade="D9"/>
            <w:vAlign w:val="bottom"/>
          </w:tcPr>
          <w:p w14:paraId="00B6C999" w14:textId="77777777" w:rsidR="00BE16E2" w:rsidRPr="004C12C9" w:rsidRDefault="00BE16E2">
            <w:pPr>
              <w:pStyle w:val="ICFTableHeading"/>
              <w:rPr>
                <w:lang w:bidi="ar-SA"/>
              </w:rPr>
            </w:pPr>
            <w:r w:rsidRPr="004C12C9">
              <w:rPr>
                <w:lang w:bidi="ar-SA"/>
              </w:rPr>
              <w:t>Rail</w:t>
            </w:r>
          </w:p>
        </w:tc>
        <w:tc>
          <w:tcPr>
            <w:tcW w:w="1020" w:type="dxa"/>
            <w:shd w:val="clear" w:color="auto" w:fill="D9D9D9" w:themeFill="background1" w:themeFillShade="D9"/>
            <w:vAlign w:val="bottom"/>
          </w:tcPr>
          <w:p w14:paraId="7F609100" w14:textId="77777777" w:rsidR="00BE16E2" w:rsidRPr="004C12C9" w:rsidRDefault="00BE16E2">
            <w:pPr>
              <w:pStyle w:val="ICFTableHeading"/>
              <w:rPr>
                <w:lang w:bidi="ar-SA"/>
              </w:rPr>
            </w:pPr>
            <w:r w:rsidRPr="004C12C9">
              <w:rPr>
                <w:lang w:bidi="ar-SA"/>
              </w:rPr>
              <w:t>Water</w:t>
            </w:r>
          </w:p>
        </w:tc>
      </w:tr>
      <w:tr w:rsidR="00741B9D" w:rsidRPr="004C12C9" w14:paraId="4A7C0A98" w14:textId="77777777">
        <w:trPr>
          <w:trHeight w:val="80"/>
        </w:trPr>
        <w:tc>
          <w:tcPr>
            <w:tcW w:w="1735" w:type="dxa"/>
            <w:noWrap/>
            <w:vAlign w:val="center"/>
            <w:hideMark/>
          </w:tcPr>
          <w:p w14:paraId="5836D1FD" w14:textId="77777777" w:rsidR="00741B9D" w:rsidRPr="004C12C9" w:rsidRDefault="00741B9D" w:rsidP="00741B9D">
            <w:pPr>
              <w:pStyle w:val="ICFTabletext"/>
              <w:rPr>
                <w:lang w:bidi="ar-SA"/>
              </w:rPr>
            </w:pPr>
            <w:r w:rsidRPr="004C12C9">
              <w:rPr>
                <w:lang w:bidi="ar-SA"/>
              </w:rPr>
              <w:t>Aluminum</w:t>
            </w:r>
          </w:p>
        </w:tc>
        <w:tc>
          <w:tcPr>
            <w:tcW w:w="1019" w:type="dxa"/>
            <w:noWrap/>
            <w:vAlign w:val="center"/>
          </w:tcPr>
          <w:p w14:paraId="4A22B4DF" w14:textId="7E6D641F" w:rsidR="00741B9D" w:rsidRPr="004C12C9" w:rsidRDefault="00741B9D" w:rsidP="006F28C1">
            <w:pPr>
              <w:pStyle w:val="ICFTabletext"/>
              <w:jc w:val="center"/>
              <w:rPr>
                <w:lang w:bidi="ar-SA"/>
              </w:rPr>
            </w:pPr>
            <w:r w:rsidRPr="004C12C9">
              <w:t>574.8</w:t>
            </w:r>
          </w:p>
        </w:tc>
        <w:tc>
          <w:tcPr>
            <w:tcW w:w="1019" w:type="dxa"/>
            <w:vAlign w:val="center"/>
          </w:tcPr>
          <w:p w14:paraId="3081A04F" w14:textId="6C0213D1" w:rsidR="00741B9D" w:rsidRPr="004C12C9" w:rsidRDefault="00741B9D" w:rsidP="006F28C1">
            <w:pPr>
              <w:pStyle w:val="ICFTabletext"/>
              <w:jc w:val="center"/>
              <w:rPr>
                <w:lang w:bidi="ar-SA"/>
              </w:rPr>
            </w:pPr>
            <w:r w:rsidRPr="004C12C9">
              <w:t>23.8</w:t>
            </w:r>
          </w:p>
        </w:tc>
        <w:tc>
          <w:tcPr>
            <w:tcW w:w="1019" w:type="dxa"/>
            <w:vAlign w:val="center"/>
          </w:tcPr>
          <w:p w14:paraId="77EFD39B" w14:textId="41C5B8B8" w:rsidR="00741B9D" w:rsidRPr="004C12C9" w:rsidRDefault="00741B9D" w:rsidP="006F28C1">
            <w:pPr>
              <w:pStyle w:val="ICFTabletext"/>
              <w:jc w:val="center"/>
              <w:rPr>
                <w:lang w:bidi="ar-SA"/>
              </w:rPr>
            </w:pPr>
            <w:r w:rsidRPr="004C12C9">
              <w:t>8.5</w:t>
            </w:r>
          </w:p>
        </w:tc>
        <w:tc>
          <w:tcPr>
            <w:tcW w:w="1020" w:type="dxa"/>
            <w:vAlign w:val="center"/>
          </w:tcPr>
          <w:p w14:paraId="4695EA81" w14:textId="7BC87B19" w:rsidR="00741B9D" w:rsidRPr="004C12C9" w:rsidRDefault="00741B9D" w:rsidP="006F28C1">
            <w:pPr>
              <w:pStyle w:val="ICFTabletext"/>
              <w:jc w:val="center"/>
              <w:rPr>
                <w:lang w:bidi="ar-SA"/>
              </w:rPr>
            </w:pPr>
            <w:r w:rsidRPr="004C12C9">
              <w:t>0.0</w:t>
            </w:r>
          </w:p>
        </w:tc>
        <w:tc>
          <w:tcPr>
            <w:tcW w:w="1019" w:type="dxa"/>
            <w:vAlign w:val="center"/>
          </w:tcPr>
          <w:p w14:paraId="005220D2" w14:textId="1CE3DFC5" w:rsidR="00741B9D" w:rsidRPr="004C12C9" w:rsidRDefault="00741B9D" w:rsidP="006F28C1">
            <w:pPr>
              <w:pStyle w:val="ICFTabletext"/>
              <w:jc w:val="center"/>
              <w:rPr>
                <w:lang w:bidi="ar-SA"/>
              </w:rPr>
            </w:pPr>
            <w:r w:rsidRPr="004C12C9">
              <w:t>877.7</w:t>
            </w:r>
          </w:p>
        </w:tc>
        <w:tc>
          <w:tcPr>
            <w:tcW w:w="1019" w:type="dxa"/>
            <w:vAlign w:val="center"/>
          </w:tcPr>
          <w:p w14:paraId="69C1D67A" w14:textId="720D195D" w:rsidR="00741B9D" w:rsidRPr="004C12C9" w:rsidRDefault="00741B9D" w:rsidP="006F28C1">
            <w:pPr>
              <w:pStyle w:val="ICFTabletext"/>
              <w:jc w:val="center"/>
              <w:rPr>
                <w:lang w:bidi="ar-SA"/>
              </w:rPr>
            </w:pPr>
            <w:r w:rsidRPr="004C12C9">
              <w:t>36.3</w:t>
            </w:r>
          </w:p>
        </w:tc>
        <w:tc>
          <w:tcPr>
            <w:tcW w:w="1019" w:type="dxa"/>
            <w:vAlign w:val="center"/>
          </w:tcPr>
          <w:p w14:paraId="4C4DFD62" w14:textId="24E1C946" w:rsidR="00741B9D" w:rsidRPr="004C12C9" w:rsidRDefault="00741B9D" w:rsidP="006F28C1">
            <w:pPr>
              <w:pStyle w:val="ICFTabletext"/>
              <w:jc w:val="center"/>
              <w:rPr>
                <w:lang w:bidi="ar-SA"/>
              </w:rPr>
            </w:pPr>
            <w:r w:rsidRPr="004C12C9">
              <w:t>13.0</w:t>
            </w:r>
          </w:p>
        </w:tc>
        <w:tc>
          <w:tcPr>
            <w:tcW w:w="1020" w:type="dxa"/>
            <w:vAlign w:val="center"/>
          </w:tcPr>
          <w:p w14:paraId="66FE7283" w14:textId="6DD7B1F9" w:rsidR="00741B9D" w:rsidRPr="004C12C9" w:rsidRDefault="00741B9D" w:rsidP="006F28C1">
            <w:pPr>
              <w:pStyle w:val="ICFTabletext"/>
              <w:jc w:val="center"/>
              <w:rPr>
                <w:lang w:bidi="ar-SA"/>
              </w:rPr>
            </w:pPr>
            <w:r w:rsidRPr="004C12C9">
              <w:t>0.0</w:t>
            </w:r>
          </w:p>
        </w:tc>
      </w:tr>
      <w:tr w:rsidR="00741B9D" w:rsidRPr="004C12C9" w14:paraId="449DDBF7" w14:textId="77777777">
        <w:trPr>
          <w:trHeight w:val="20"/>
        </w:trPr>
        <w:tc>
          <w:tcPr>
            <w:tcW w:w="1735" w:type="dxa"/>
            <w:noWrap/>
            <w:vAlign w:val="center"/>
            <w:hideMark/>
          </w:tcPr>
          <w:p w14:paraId="13AF3E7D" w14:textId="77777777" w:rsidR="00741B9D" w:rsidRPr="004C12C9" w:rsidRDefault="00741B9D" w:rsidP="00741B9D">
            <w:pPr>
              <w:pStyle w:val="ICFTabletext"/>
              <w:rPr>
                <w:lang w:bidi="ar-SA"/>
              </w:rPr>
            </w:pPr>
            <w:r w:rsidRPr="004C12C9">
              <w:rPr>
                <w:lang w:bidi="ar-SA"/>
              </w:rPr>
              <w:t>Asphalt</w:t>
            </w:r>
          </w:p>
        </w:tc>
        <w:tc>
          <w:tcPr>
            <w:tcW w:w="1019" w:type="dxa"/>
            <w:noWrap/>
            <w:vAlign w:val="center"/>
          </w:tcPr>
          <w:p w14:paraId="44FD1003" w14:textId="45A701C8" w:rsidR="00741B9D" w:rsidRPr="004C12C9" w:rsidRDefault="00741B9D" w:rsidP="006F28C1">
            <w:pPr>
              <w:pStyle w:val="ICFTabletext"/>
              <w:jc w:val="center"/>
              <w:rPr>
                <w:lang w:bidi="ar-SA"/>
              </w:rPr>
            </w:pPr>
            <w:r w:rsidRPr="004C12C9">
              <w:t>30.0</w:t>
            </w:r>
          </w:p>
        </w:tc>
        <w:tc>
          <w:tcPr>
            <w:tcW w:w="1019" w:type="dxa"/>
            <w:vAlign w:val="center"/>
          </w:tcPr>
          <w:p w14:paraId="3B5C0B52" w14:textId="26BF2712" w:rsidR="00741B9D" w:rsidRPr="004C12C9" w:rsidRDefault="00741B9D" w:rsidP="006F28C1">
            <w:pPr>
              <w:pStyle w:val="ICFTabletext"/>
              <w:jc w:val="center"/>
              <w:rPr>
                <w:lang w:bidi="ar-SA"/>
              </w:rPr>
            </w:pPr>
            <w:r w:rsidRPr="004C12C9">
              <w:t>0.0</w:t>
            </w:r>
          </w:p>
        </w:tc>
        <w:tc>
          <w:tcPr>
            <w:tcW w:w="1019" w:type="dxa"/>
            <w:vAlign w:val="center"/>
          </w:tcPr>
          <w:p w14:paraId="552B2686" w14:textId="594C44D5" w:rsidR="00741B9D" w:rsidRPr="004C12C9" w:rsidRDefault="00741B9D" w:rsidP="006F28C1">
            <w:pPr>
              <w:pStyle w:val="ICFTabletext"/>
              <w:jc w:val="center"/>
              <w:rPr>
                <w:lang w:bidi="ar-SA"/>
              </w:rPr>
            </w:pPr>
            <w:r w:rsidRPr="004C12C9">
              <w:t>0.0</w:t>
            </w:r>
          </w:p>
        </w:tc>
        <w:tc>
          <w:tcPr>
            <w:tcW w:w="1020" w:type="dxa"/>
            <w:vAlign w:val="center"/>
          </w:tcPr>
          <w:p w14:paraId="7371C56F" w14:textId="55275B67" w:rsidR="00741B9D" w:rsidRPr="004C12C9" w:rsidRDefault="00741B9D" w:rsidP="006F28C1">
            <w:pPr>
              <w:pStyle w:val="ICFTabletext"/>
              <w:jc w:val="center"/>
              <w:rPr>
                <w:lang w:bidi="ar-SA"/>
              </w:rPr>
            </w:pPr>
            <w:r w:rsidRPr="004C12C9">
              <w:t>0.0</w:t>
            </w:r>
          </w:p>
        </w:tc>
        <w:tc>
          <w:tcPr>
            <w:tcW w:w="1019" w:type="dxa"/>
            <w:vAlign w:val="center"/>
          </w:tcPr>
          <w:p w14:paraId="6EB01C99" w14:textId="6D0C572A" w:rsidR="00741B9D" w:rsidRPr="004C12C9" w:rsidRDefault="00741B9D" w:rsidP="006F28C1">
            <w:pPr>
              <w:pStyle w:val="ICFTabletext"/>
              <w:jc w:val="center"/>
              <w:rPr>
                <w:lang w:bidi="ar-SA"/>
              </w:rPr>
            </w:pPr>
            <w:r w:rsidRPr="004C12C9">
              <w:t>0.0</w:t>
            </w:r>
          </w:p>
        </w:tc>
        <w:tc>
          <w:tcPr>
            <w:tcW w:w="1019" w:type="dxa"/>
            <w:vAlign w:val="center"/>
          </w:tcPr>
          <w:p w14:paraId="7545FB5C" w14:textId="7B9302E3" w:rsidR="00741B9D" w:rsidRPr="004C12C9" w:rsidRDefault="00741B9D" w:rsidP="006F28C1">
            <w:pPr>
              <w:pStyle w:val="ICFTabletext"/>
              <w:jc w:val="center"/>
              <w:rPr>
                <w:lang w:bidi="ar-SA"/>
              </w:rPr>
            </w:pPr>
            <w:r w:rsidRPr="004C12C9">
              <w:t>0.0</w:t>
            </w:r>
          </w:p>
        </w:tc>
        <w:tc>
          <w:tcPr>
            <w:tcW w:w="1019" w:type="dxa"/>
            <w:vAlign w:val="center"/>
          </w:tcPr>
          <w:p w14:paraId="18C8FA46" w14:textId="04F35707" w:rsidR="00741B9D" w:rsidRPr="004C12C9" w:rsidRDefault="00741B9D" w:rsidP="006F28C1">
            <w:pPr>
              <w:pStyle w:val="ICFTabletext"/>
              <w:jc w:val="center"/>
              <w:rPr>
                <w:lang w:bidi="ar-SA"/>
              </w:rPr>
            </w:pPr>
            <w:r w:rsidRPr="004C12C9">
              <w:t>0.0</w:t>
            </w:r>
          </w:p>
        </w:tc>
        <w:tc>
          <w:tcPr>
            <w:tcW w:w="1020" w:type="dxa"/>
            <w:vAlign w:val="center"/>
          </w:tcPr>
          <w:p w14:paraId="71362106" w14:textId="06D37E6B" w:rsidR="00741B9D" w:rsidRPr="004C12C9" w:rsidRDefault="00741B9D" w:rsidP="006F28C1">
            <w:pPr>
              <w:pStyle w:val="ICFTabletext"/>
              <w:jc w:val="center"/>
              <w:rPr>
                <w:lang w:bidi="ar-SA"/>
              </w:rPr>
            </w:pPr>
            <w:r w:rsidRPr="004C12C9">
              <w:t>0.0</w:t>
            </w:r>
          </w:p>
        </w:tc>
      </w:tr>
      <w:tr w:rsidR="00741B9D" w:rsidRPr="004C12C9" w14:paraId="5DAF8245" w14:textId="77777777">
        <w:trPr>
          <w:trHeight w:val="20"/>
        </w:trPr>
        <w:tc>
          <w:tcPr>
            <w:tcW w:w="1735" w:type="dxa"/>
            <w:noWrap/>
            <w:vAlign w:val="center"/>
            <w:hideMark/>
          </w:tcPr>
          <w:p w14:paraId="770C6513" w14:textId="77777777" w:rsidR="00741B9D" w:rsidRPr="004C12C9" w:rsidRDefault="00741B9D" w:rsidP="00741B9D">
            <w:pPr>
              <w:pStyle w:val="ICFTabletext"/>
              <w:rPr>
                <w:lang w:bidi="ar-SA"/>
              </w:rPr>
            </w:pPr>
            <w:r w:rsidRPr="004C12C9">
              <w:rPr>
                <w:lang w:bidi="ar-SA"/>
              </w:rPr>
              <w:t>Brick</w:t>
            </w:r>
          </w:p>
        </w:tc>
        <w:tc>
          <w:tcPr>
            <w:tcW w:w="1019" w:type="dxa"/>
            <w:noWrap/>
            <w:vAlign w:val="center"/>
          </w:tcPr>
          <w:p w14:paraId="318E7BA5" w14:textId="32FC2DB3" w:rsidR="00741B9D" w:rsidRPr="004C12C9" w:rsidRDefault="00741B9D" w:rsidP="006F28C1">
            <w:pPr>
              <w:pStyle w:val="ICFTabletext"/>
              <w:jc w:val="center"/>
              <w:rPr>
                <w:lang w:bidi="ar-SA"/>
              </w:rPr>
            </w:pPr>
            <w:r w:rsidRPr="004C12C9">
              <w:t>192.4</w:t>
            </w:r>
          </w:p>
        </w:tc>
        <w:tc>
          <w:tcPr>
            <w:tcW w:w="1019" w:type="dxa"/>
            <w:vAlign w:val="center"/>
          </w:tcPr>
          <w:p w14:paraId="422A3897" w14:textId="0E4AB7FB" w:rsidR="00741B9D" w:rsidRPr="004C12C9" w:rsidRDefault="00741B9D" w:rsidP="006F28C1">
            <w:pPr>
              <w:pStyle w:val="ICFTabletext"/>
              <w:jc w:val="center"/>
              <w:rPr>
                <w:lang w:bidi="ar-SA"/>
              </w:rPr>
            </w:pPr>
            <w:r w:rsidRPr="004C12C9">
              <w:t>0.0</w:t>
            </w:r>
          </w:p>
        </w:tc>
        <w:tc>
          <w:tcPr>
            <w:tcW w:w="1019" w:type="dxa"/>
            <w:vAlign w:val="center"/>
          </w:tcPr>
          <w:p w14:paraId="68C9D5EA" w14:textId="5DF97EFC" w:rsidR="00741B9D" w:rsidRPr="004C12C9" w:rsidRDefault="00741B9D" w:rsidP="006F28C1">
            <w:pPr>
              <w:pStyle w:val="ICFTabletext"/>
              <w:jc w:val="center"/>
              <w:rPr>
                <w:lang w:bidi="ar-SA"/>
              </w:rPr>
            </w:pPr>
            <w:r w:rsidRPr="004C12C9">
              <w:t>3.2</w:t>
            </w:r>
          </w:p>
        </w:tc>
        <w:tc>
          <w:tcPr>
            <w:tcW w:w="1020" w:type="dxa"/>
            <w:vAlign w:val="center"/>
          </w:tcPr>
          <w:p w14:paraId="222062C7" w14:textId="61EA58DB" w:rsidR="00741B9D" w:rsidRPr="004C12C9" w:rsidRDefault="00741B9D" w:rsidP="006F28C1">
            <w:pPr>
              <w:pStyle w:val="ICFTabletext"/>
              <w:jc w:val="center"/>
              <w:rPr>
                <w:lang w:bidi="ar-SA"/>
              </w:rPr>
            </w:pPr>
            <w:r w:rsidRPr="004C12C9">
              <w:t>0.0</w:t>
            </w:r>
          </w:p>
        </w:tc>
        <w:tc>
          <w:tcPr>
            <w:tcW w:w="1019" w:type="dxa"/>
            <w:vAlign w:val="center"/>
          </w:tcPr>
          <w:p w14:paraId="4F7A2DEE" w14:textId="0D78D4DB" w:rsidR="00741B9D" w:rsidRPr="004C12C9" w:rsidRDefault="00741B9D" w:rsidP="006F28C1">
            <w:pPr>
              <w:pStyle w:val="ICFTabletext"/>
              <w:jc w:val="center"/>
              <w:rPr>
                <w:lang w:bidi="ar-SA"/>
              </w:rPr>
            </w:pPr>
            <w:r w:rsidRPr="004C12C9">
              <w:t>1,176.7</w:t>
            </w:r>
          </w:p>
        </w:tc>
        <w:tc>
          <w:tcPr>
            <w:tcW w:w="1019" w:type="dxa"/>
            <w:vAlign w:val="center"/>
          </w:tcPr>
          <w:p w14:paraId="1D40E1CC" w14:textId="51E2B347" w:rsidR="00741B9D" w:rsidRPr="004C12C9" w:rsidRDefault="00741B9D" w:rsidP="006F28C1">
            <w:pPr>
              <w:pStyle w:val="ICFTabletext"/>
              <w:jc w:val="center"/>
              <w:rPr>
                <w:lang w:bidi="ar-SA"/>
              </w:rPr>
            </w:pPr>
            <w:r w:rsidRPr="004C12C9">
              <w:t>0.0</w:t>
            </w:r>
          </w:p>
        </w:tc>
        <w:tc>
          <w:tcPr>
            <w:tcW w:w="1019" w:type="dxa"/>
            <w:vAlign w:val="center"/>
          </w:tcPr>
          <w:p w14:paraId="5D231CE2" w14:textId="065E5DCB" w:rsidR="00741B9D" w:rsidRPr="004C12C9" w:rsidRDefault="00741B9D" w:rsidP="006F28C1">
            <w:pPr>
              <w:pStyle w:val="ICFTabletext"/>
              <w:jc w:val="center"/>
              <w:rPr>
                <w:lang w:bidi="ar-SA"/>
              </w:rPr>
            </w:pPr>
            <w:r w:rsidRPr="004C12C9">
              <w:t>19.3</w:t>
            </w:r>
          </w:p>
        </w:tc>
        <w:tc>
          <w:tcPr>
            <w:tcW w:w="1020" w:type="dxa"/>
            <w:vAlign w:val="center"/>
          </w:tcPr>
          <w:p w14:paraId="2717F8C6" w14:textId="7AA58424" w:rsidR="00741B9D" w:rsidRPr="004C12C9" w:rsidRDefault="00741B9D" w:rsidP="006F28C1">
            <w:pPr>
              <w:pStyle w:val="ICFTabletext"/>
              <w:jc w:val="center"/>
              <w:rPr>
                <w:lang w:bidi="ar-SA"/>
              </w:rPr>
            </w:pPr>
            <w:r w:rsidRPr="004C12C9">
              <w:t>7,379.0</w:t>
            </w:r>
          </w:p>
        </w:tc>
      </w:tr>
      <w:tr w:rsidR="00741B9D" w:rsidRPr="004C12C9" w14:paraId="4D3ADEAE" w14:textId="77777777">
        <w:trPr>
          <w:trHeight w:val="20"/>
        </w:trPr>
        <w:tc>
          <w:tcPr>
            <w:tcW w:w="1735" w:type="dxa"/>
            <w:noWrap/>
            <w:vAlign w:val="center"/>
          </w:tcPr>
          <w:p w14:paraId="31256FB4" w14:textId="77777777" w:rsidR="00741B9D" w:rsidRPr="004C12C9" w:rsidRDefault="00741B9D" w:rsidP="00741B9D">
            <w:pPr>
              <w:pStyle w:val="ICFTabletext"/>
              <w:rPr>
                <w:lang w:bidi="ar-SA"/>
              </w:rPr>
            </w:pPr>
            <w:r w:rsidRPr="004C12C9">
              <w:rPr>
                <w:lang w:bidi="ar-SA"/>
              </w:rPr>
              <w:t>Concrete</w:t>
            </w:r>
          </w:p>
        </w:tc>
        <w:tc>
          <w:tcPr>
            <w:tcW w:w="1019" w:type="dxa"/>
            <w:noWrap/>
            <w:vAlign w:val="center"/>
          </w:tcPr>
          <w:p w14:paraId="043B0FAE" w14:textId="0F71EFEA" w:rsidR="00741B9D" w:rsidRPr="004C12C9" w:rsidRDefault="00741B9D" w:rsidP="006F28C1">
            <w:pPr>
              <w:pStyle w:val="ICFTabletext"/>
              <w:jc w:val="center"/>
              <w:rPr>
                <w:lang w:bidi="ar-SA"/>
              </w:rPr>
            </w:pPr>
            <w:r w:rsidRPr="004C12C9">
              <w:t>30.0</w:t>
            </w:r>
          </w:p>
        </w:tc>
        <w:tc>
          <w:tcPr>
            <w:tcW w:w="1019" w:type="dxa"/>
            <w:vAlign w:val="center"/>
          </w:tcPr>
          <w:p w14:paraId="68D53E08" w14:textId="6380D4E0" w:rsidR="00741B9D" w:rsidRPr="004C12C9" w:rsidRDefault="00741B9D" w:rsidP="006F28C1">
            <w:pPr>
              <w:pStyle w:val="ICFTabletext"/>
              <w:jc w:val="center"/>
              <w:rPr>
                <w:lang w:bidi="ar-SA"/>
              </w:rPr>
            </w:pPr>
            <w:r w:rsidRPr="004C12C9">
              <w:t>0.0</w:t>
            </w:r>
          </w:p>
        </w:tc>
        <w:tc>
          <w:tcPr>
            <w:tcW w:w="1019" w:type="dxa"/>
            <w:vAlign w:val="center"/>
          </w:tcPr>
          <w:p w14:paraId="57B99F1B" w14:textId="4789810F" w:rsidR="00741B9D" w:rsidRPr="004C12C9" w:rsidRDefault="00741B9D" w:rsidP="006F28C1">
            <w:pPr>
              <w:pStyle w:val="ICFTabletext"/>
              <w:jc w:val="center"/>
              <w:rPr>
                <w:lang w:bidi="ar-SA"/>
              </w:rPr>
            </w:pPr>
            <w:r w:rsidRPr="004C12C9">
              <w:t>0.0</w:t>
            </w:r>
          </w:p>
        </w:tc>
        <w:tc>
          <w:tcPr>
            <w:tcW w:w="1020" w:type="dxa"/>
            <w:vAlign w:val="center"/>
          </w:tcPr>
          <w:p w14:paraId="0719C5B9" w14:textId="765FAC9C" w:rsidR="00741B9D" w:rsidRPr="004C12C9" w:rsidRDefault="00741B9D" w:rsidP="006F28C1">
            <w:pPr>
              <w:pStyle w:val="ICFTabletext"/>
              <w:jc w:val="center"/>
              <w:rPr>
                <w:lang w:bidi="ar-SA"/>
              </w:rPr>
            </w:pPr>
            <w:r w:rsidRPr="004C12C9">
              <w:t>0.0</w:t>
            </w:r>
          </w:p>
        </w:tc>
        <w:tc>
          <w:tcPr>
            <w:tcW w:w="1019" w:type="dxa"/>
            <w:vAlign w:val="center"/>
          </w:tcPr>
          <w:p w14:paraId="02C307CD" w14:textId="6F8A8CEE" w:rsidR="00741B9D" w:rsidRPr="004C12C9" w:rsidRDefault="00741B9D" w:rsidP="006F28C1">
            <w:pPr>
              <w:pStyle w:val="ICFTabletext"/>
              <w:jc w:val="center"/>
              <w:rPr>
                <w:lang w:bidi="ar-SA"/>
              </w:rPr>
            </w:pPr>
            <w:r w:rsidRPr="004C12C9">
              <w:t>0.0</w:t>
            </w:r>
          </w:p>
        </w:tc>
        <w:tc>
          <w:tcPr>
            <w:tcW w:w="1019" w:type="dxa"/>
            <w:vAlign w:val="center"/>
          </w:tcPr>
          <w:p w14:paraId="0F0F02CA" w14:textId="01048B88" w:rsidR="00741B9D" w:rsidRPr="004C12C9" w:rsidRDefault="00741B9D" w:rsidP="006F28C1">
            <w:pPr>
              <w:pStyle w:val="ICFTabletext"/>
              <w:jc w:val="center"/>
              <w:rPr>
                <w:lang w:bidi="ar-SA"/>
              </w:rPr>
            </w:pPr>
            <w:r w:rsidRPr="004C12C9">
              <w:t>0.0</w:t>
            </w:r>
          </w:p>
        </w:tc>
        <w:tc>
          <w:tcPr>
            <w:tcW w:w="1019" w:type="dxa"/>
            <w:vAlign w:val="center"/>
          </w:tcPr>
          <w:p w14:paraId="4DEAC584" w14:textId="6D40FBB3" w:rsidR="00741B9D" w:rsidRPr="004C12C9" w:rsidRDefault="00741B9D" w:rsidP="006F28C1">
            <w:pPr>
              <w:pStyle w:val="ICFTabletext"/>
              <w:jc w:val="center"/>
              <w:rPr>
                <w:lang w:bidi="ar-SA"/>
              </w:rPr>
            </w:pPr>
            <w:r w:rsidRPr="004C12C9">
              <w:t>0.0</w:t>
            </w:r>
          </w:p>
        </w:tc>
        <w:tc>
          <w:tcPr>
            <w:tcW w:w="1020" w:type="dxa"/>
            <w:vAlign w:val="center"/>
          </w:tcPr>
          <w:p w14:paraId="42A84A65" w14:textId="3ACB5EE7" w:rsidR="00741B9D" w:rsidRPr="004C12C9" w:rsidRDefault="00741B9D" w:rsidP="006F28C1">
            <w:pPr>
              <w:pStyle w:val="ICFTabletext"/>
              <w:jc w:val="center"/>
              <w:rPr>
                <w:lang w:bidi="ar-SA"/>
              </w:rPr>
            </w:pPr>
            <w:r w:rsidRPr="004C12C9">
              <w:t>0.0</w:t>
            </w:r>
          </w:p>
        </w:tc>
      </w:tr>
      <w:tr w:rsidR="00741B9D" w:rsidRPr="004C12C9" w14:paraId="0BA04226" w14:textId="77777777">
        <w:trPr>
          <w:trHeight w:val="20"/>
        </w:trPr>
        <w:tc>
          <w:tcPr>
            <w:tcW w:w="1735" w:type="dxa"/>
            <w:noWrap/>
            <w:vAlign w:val="center"/>
          </w:tcPr>
          <w:p w14:paraId="667D98D1" w14:textId="77777777" w:rsidR="00741B9D" w:rsidRPr="004C12C9" w:rsidRDefault="00741B9D" w:rsidP="00741B9D">
            <w:pPr>
              <w:pStyle w:val="ICFTabletext"/>
              <w:rPr>
                <w:lang w:bidi="ar-SA"/>
              </w:rPr>
            </w:pPr>
            <w:r w:rsidRPr="004C12C9">
              <w:rPr>
                <w:lang w:bidi="ar-SA"/>
              </w:rPr>
              <w:t>Glass</w:t>
            </w:r>
          </w:p>
        </w:tc>
        <w:tc>
          <w:tcPr>
            <w:tcW w:w="1019" w:type="dxa"/>
            <w:noWrap/>
            <w:vAlign w:val="center"/>
          </w:tcPr>
          <w:p w14:paraId="7B5C816F" w14:textId="210DAD37" w:rsidR="00741B9D" w:rsidRPr="004C12C9" w:rsidRDefault="00741B9D" w:rsidP="006F28C1">
            <w:pPr>
              <w:pStyle w:val="ICFTabletext"/>
              <w:jc w:val="center"/>
              <w:rPr>
                <w:lang w:bidi="ar-SA"/>
              </w:rPr>
            </w:pPr>
            <w:r w:rsidRPr="004C12C9">
              <w:t>192.4</w:t>
            </w:r>
          </w:p>
        </w:tc>
        <w:tc>
          <w:tcPr>
            <w:tcW w:w="1019" w:type="dxa"/>
            <w:vAlign w:val="center"/>
          </w:tcPr>
          <w:p w14:paraId="26DE74AA" w14:textId="60737428" w:rsidR="00741B9D" w:rsidRPr="004C12C9" w:rsidRDefault="00741B9D" w:rsidP="006F28C1">
            <w:pPr>
              <w:pStyle w:val="ICFTabletext"/>
              <w:jc w:val="center"/>
              <w:rPr>
                <w:lang w:bidi="ar-SA"/>
              </w:rPr>
            </w:pPr>
            <w:r w:rsidRPr="004C12C9">
              <w:t>0.0</w:t>
            </w:r>
          </w:p>
        </w:tc>
        <w:tc>
          <w:tcPr>
            <w:tcW w:w="1019" w:type="dxa"/>
            <w:vAlign w:val="center"/>
          </w:tcPr>
          <w:p w14:paraId="3F2E629E" w14:textId="0128EB6E" w:rsidR="00741B9D" w:rsidRPr="004C12C9" w:rsidRDefault="00741B9D" w:rsidP="006F28C1">
            <w:pPr>
              <w:pStyle w:val="ICFTabletext"/>
              <w:jc w:val="center"/>
              <w:rPr>
                <w:lang w:bidi="ar-SA"/>
              </w:rPr>
            </w:pPr>
            <w:r w:rsidRPr="004C12C9">
              <w:t>3.2</w:t>
            </w:r>
          </w:p>
        </w:tc>
        <w:tc>
          <w:tcPr>
            <w:tcW w:w="1020" w:type="dxa"/>
            <w:vAlign w:val="center"/>
          </w:tcPr>
          <w:p w14:paraId="718A1E76" w14:textId="4F6DE1D2" w:rsidR="00741B9D" w:rsidRPr="004C12C9" w:rsidRDefault="00741B9D" w:rsidP="006F28C1">
            <w:pPr>
              <w:pStyle w:val="ICFTabletext"/>
              <w:jc w:val="center"/>
              <w:rPr>
                <w:lang w:bidi="ar-SA"/>
              </w:rPr>
            </w:pPr>
            <w:r w:rsidRPr="004C12C9">
              <w:t>0.0</w:t>
            </w:r>
          </w:p>
        </w:tc>
        <w:tc>
          <w:tcPr>
            <w:tcW w:w="1019" w:type="dxa"/>
            <w:vAlign w:val="center"/>
          </w:tcPr>
          <w:p w14:paraId="5ABF979E" w14:textId="314D6938" w:rsidR="00741B9D" w:rsidRPr="004C12C9" w:rsidRDefault="00741B9D" w:rsidP="006F28C1">
            <w:pPr>
              <w:pStyle w:val="ICFTabletext"/>
              <w:jc w:val="center"/>
              <w:rPr>
                <w:lang w:bidi="ar-SA"/>
              </w:rPr>
            </w:pPr>
            <w:r w:rsidRPr="004C12C9">
              <w:t>1,176.7</w:t>
            </w:r>
          </w:p>
        </w:tc>
        <w:tc>
          <w:tcPr>
            <w:tcW w:w="1019" w:type="dxa"/>
            <w:vAlign w:val="center"/>
          </w:tcPr>
          <w:p w14:paraId="032860E5" w14:textId="266980A1" w:rsidR="00741B9D" w:rsidRPr="004C12C9" w:rsidRDefault="00741B9D" w:rsidP="006F28C1">
            <w:pPr>
              <w:pStyle w:val="ICFTabletext"/>
              <w:jc w:val="center"/>
              <w:rPr>
                <w:lang w:bidi="ar-SA"/>
              </w:rPr>
            </w:pPr>
            <w:r w:rsidRPr="004C12C9">
              <w:t>0.0</w:t>
            </w:r>
          </w:p>
        </w:tc>
        <w:tc>
          <w:tcPr>
            <w:tcW w:w="1019" w:type="dxa"/>
            <w:vAlign w:val="center"/>
          </w:tcPr>
          <w:p w14:paraId="3F19D229" w14:textId="710502C0" w:rsidR="00741B9D" w:rsidRPr="004C12C9" w:rsidRDefault="00741B9D" w:rsidP="006F28C1">
            <w:pPr>
              <w:pStyle w:val="ICFTabletext"/>
              <w:jc w:val="center"/>
              <w:rPr>
                <w:lang w:bidi="ar-SA"/>
              </w:rPr>
            </w:pPr>
            <w:r w:rsidRPr="004C12C9">
              <w:t>19.3</w:t>
            </w:r>
          </w:p>
        </w:tc>
        <w:tc>
          <w:tcPr>
            <w:tcW w:w="1020" w:type="dxa"/>
            <w:vAlign w:val="center"/>
          </w:tcPr>
          <w:p w14:paraId="5CA045BD" w14:textId="27048748" w:rsidR="00741B9D" w:rsidRPr="004C12C9" w:rsidRDefault="00741B9D" w:rsidP="006F28C1">
            <w:pPr>
              <w:pStyle w:val="ICFTabletext"/>
              <w:jc w:val="center"/>
              <w:rPr>
                <w:lang w:bidi="ar-SA"/>
              </w:rPr>
            </w:pPr>
            <w:r w:rsidRPr="004C12C9">
              <w:t>3,674.0</w:t>
            </w:r>
          </w:p>
        </w:tc>
      </w:tr>
      <w:tr w:rsidR="00741B9D" w:rsidRPr="004C12C9" w14:paraId="3E2C92B8" w14:textId="77777777">
        <w:trPr>
          <w:trHeight w:val="20"/>
        </w:trPr>
        <w:tc>
          <w:tcPr>
            <w:tcW w:w="1735" w:type="dxa"/>
            <w:noWrap/>
            <w:vAlign w:val="center"/>
            <w:hideMark/>
          </w:tcPr>
          <w:p w14:paraId="1E166128" w14:textId="77777777" w:rsidR="00741B9D" w:rsidRPr="004C12C9" w:rsidRDefault="00741B9D" w:rsidP="00741B9D">
            <w:pPr>
              <w:pStyle w:val="ICFTabletext"/>
              <w:rPr>
                <w:lang w:bidi="ar-SA"/>
              </w:rPr>
            </w:pPr>
            <w:r w:rsidRPr="004C12C9">
              <w:rPr>
                <w:lang w:bidi="ar-SA"/>
              </w:rPr>
              <w:t>Insulation</w:t>
            </w:r>
          </w:p>
        </w:tc>
        <w:tc>
          <w:tcPr>
            <w:tcW w:w="1019" w:type="dxa"/>
            <w:noWrap/>
            <w:vAlign w:val="center"/>
          </w:tcPr>
          <w:p w14:paraId="5B99FB98" w14:textId="24BADC37" w:rsidR="00741B9D" w:rsidRPr="004C12C9" w:rsidRDefault="00741B9D" w:rsidP="006F28C1">
            <w:pPr>
              <w:pStyle w:val="ICFTabletext"/>
              <w:jc w:val="center"/>
              <w:rPr>
                <w:lang w:bidi="ar-SA"/>
              </w:rPr>
            </w:pPr>
            <w:r w:rsidRPr="004C12C9">
              <w:t>192.4</w:t>
            </w:r>
          </w:p>
        </w:tc>
        <w:tc>
          <w:tcPr>
            <w:tcW w:w="1019" w:type="dxa"/>
            <w:vAlign w:val="center"/>
          </w:tcPr>
          <w:p w14:paraId="3D55DBAC" w14:textId="483C1A1E" w:rsidR="00741B9D" w:rsidRPr="004C12C9" w:rsidRDefault="00741B9D" w:rsidP="006F28C1">
            <w:pPr>
              <w:pStyle w:val="ICFTabletext"/>
              <w:jc w:val="center"/>
              <w:rPr>
                <w:lang w:bidi="ar-SA"/>
              </w:rPr>
            </w:pPr>
            <w:r w:rsidRPr="004C12C9">
              <w:t>0.0</w:t>
            </w:r>
          </w:p>
        </w:tc>
        <w:tc>
          <w:tcPr>
            <w:tcW w:w="1019" w:type="dxa"/>
            <w:vAlign w:val="center"/>
          </w:tcPr>
          <w:p w14:paraId="21D92D14" w14:textId="19DC794F" w:rsidR="00741B9D" w:rsidRPr="004C12C9" w:rsidRDefault="00741B9D" w:rsidP="006F28C1">
            <w:pPr>
              <w:pStyle w:val="ICFTabletext"/>
              <w:jc w:val="center"/>
              <w:rPr>
                <w:lang w:bidi="ar-SA"/>
              </w:rPr>
            </w:pPr>
            <w:r w:rsidRPr="004C12C9">
              <w:t>3.2</w:t>
            </w:r>
          </w:p>
        </w:tc>
        <w:tc>
          <w:tcPr>
            <w:tcW w:w="1020" w:type="dxa"/>
            <w:vAlign w:val="center"/>
          </w:tcPr>
          <w:p w14:paraId="23A318B5" w14:textId="457D0696" w:rsidR="00741B9D" w:rsidRPr="004C12C9" w:rsidRDefault="00741B9D" w:rsidP="006F28C1">
            <w:pPr>
              <w:pStyle w:val="ICFTabletext"/>
              <w:jc w:val="center"/>
              <w:rPr>
                <w:lang w:bidi="ar-SA"/>
              </w:rPr>
            </w:pPr>
            <w:r w:rsidRPr="004C12C9">
              <w:t>0.0</w:t>
            </w:r>
          </w:p>
        </w:tc>
        <w:tc>
          <w:tcPr>
            <w:tcW w:w="1019" w:type="dxa"/>
            <w:vAlign w:val="center"/>
          </w:tcPr>
          <w:p w14:paraId="42F79352" w14:textId="01CA4C69" w:rsidR="00741B9D" w:rsidRPr="004C12C9" w:rsidRDefault="00741B9D" w:rsidP="006F28C1">
            <w:pPr>
              <w:pStyle w:val="ICFTabletext"/>
              <w:jc w:val="center"/>
              <w:rPr>
                <w:lang w:bidi="ar-SA"/>
              </w:rPr>
            </w:pPr>
            <w:r w:rsidRPr="004C12C9">
              <w:t>912.0</w:t>
            </w:r>
          </w:p>
        </w:tc>
        <w:tc>
          <w:tcPr>
            <w:tcW w:w="1019" w:type="dxa"/>
            <w:vAlign w:val="center"/>
          </w:tcPr>
          <w:p w14:paraId="2EDB9A24" w14:textId="38785803" w:rsidR="00741B9D" w:rsidRPr="004C12C9" w:rsidRDefault="00741B9D" w:rsidP="006F28C1">
            <w:pPr>
              <w:pStyle w:val="ICFTabletext"/>
              <w:jc w:val="center"/>
              <w:rPr>
                <w:lang w:bidi="ar-SA"/>
              </w:rPr>
            </w:pPr>
            <w:r w:rsidRPr="004C12C9">
              <w:t>0.0</w:t>
            </w:r>
          </w:p>
        </w:tc>
        <w:tc>
          <w:tcPr>
            <w:tcW w:w="1019" w:type="dxa"/>
            <w:vAlign w:val="center"/>
          </w:tcPr>
          <w:p w14:paraId="39B51964" w14:textId="68478259" w:rsidR="00741B9D" w:rsidRPr="004C12C9" w:rsidRDefault="00741B9D" w:rsidP="006F28C1">
            <w:pPr>
              <w:pStyle w:val="ICFTabletext"/>
              <w:jc w:val="center"/>
              <w:rPr>
                <w:lang w:bidi="ar-SA"/>
              </w:rPr>
            </w:pPr>
            <w:r w:rsidRPr="004C12C9">
              <w:t>15.0</w:t>
            </w:r>
          </w:p>
        </w:tc>
        <w:tc>
          <w:tcPr>
            <w:tcW w:w="1020" w:type="dxa"/>
            <w:vAlign w:val="center"/>
          </w:tcPr>
          <w:p w14:paraId="739BE1A6" w14:textId="73C693F1" w:rsidR="00741B9D" w:rsidRPr="004C12C9" w:rsidRDefault="00741B9D" w:rsidP="006F28C1">
            <w:pPr>
              <w:pStyle w:val="ICFTabletext"/>
              <w:jc w:val="center"/>
              <w:rPr>
                <w:lang w:bidi="ar-SA"/>
              </w:rPr>
            </w:pPr>
            <w:r w:rsidRPr="004C12C9">
              <w:t>0.0</w:t>
            </w:r>
          </w:p>
        </w:tc>
      </w:tr>
      <w:tr w:rsidR="00741B9D" w:rsidRPr="004C12C9" w14:paraId="2EE270A4" w14:textId="77777777">
        <w:trPr>
          <w:trHeight w:val="20"/>
        </w:trPr>
        <w:tc>
          <w:tcPr>
            <w:tcW w:w="1735" w:type="dxa"/>
            <w:noWrap/>
            <w:vAlign w:val="center"/>
            <w:hideMark/>
          </w:tcPr>
          <w:p w14:paraId="4F056898" w14:textId="77777777" w:rsidR="00741B9D" w:rsidRPr="004C12C9" w:rsidRDefault="00741B9D" w:rsidP="00741B9D">
            <w:pPr>
              <w:pStyle w:val="ICFTabletext"/>
              <w:rPr>
                <w:lang w:bidi="ar-SA"/>
              </w:rPr>
            </w:pPr>
            <w:r w:rsidRPr="004C12C9">
              <w:rPr>
                <w:lang w:bidi="ar-SA"/>
              </w:rPr>
              <w:lastRenderedPageBreak/>
              <w:t>Steel</w:t>
            </w:r>
          </w:p>
        </w:tc>
        <w:tc>
          <w:tcPr>
            <w:tcW w:w="1019" w:type="dxa"/>
            <w:noWrap/>
            <w:vAlign w:val="center"/>
          </w:tcPr>
          <w:p w14:paraId="1D8A8190" w14:textId="2F9EFD87" w:rsidR="00741B9D" w:rsidRPr="004C12C9" w:rsidRDefault="00741B9D" w:rsidP="006F28C1">
            <w:pPr>
              <w:pStyle w:val="ICFTabletext"/>
              <w:jc w:val="center"/>
              <w:rPr>
                <w:lang w:bidi="ar-SA"/>
              </w:rPr>
            </w:pPr>
            <w:r w:rsidRPr="004C12C9">
              <w:t>192.4</w:t>
            </w:r>
          </w:p>
        </w:tc>
        <w:tc>
          <w:tcPr>
            <w:tcW w:w="1019" w:type="dxa"/>
            <w:vAlign w:val="center"/>
          </w:tcPr>
          <w:p w14:paraId="65992BD4" w14:textId="44C2C6D7" w:rsidR="00741B9D" w:rsidRPr="004C12C9" w:rsidRDefault="00741B9D" w:rsidP="006F28C1">
            <w:pPr>
              <w:pStyle w:val="ICFTabletext"/>
              <w:jc w:val="center"/>
              <w:rPr>
                <w:lang w:bidi="ar-SA"/>
              </w:rPr>
            </w:pPr>
            <w:r w:rsidRPr="004C12C9">
              <w:t>0.0</w:t>
            </w:r>
          </w:p>
        </w:tc>
        <w:tc>
          <w:tcPr>
            <w:tcW w:w="1019" w:type="dxa"/>
            <w:vAlign w:val="center"/>
          </w:tcPr>
          <w:p w14:paraId="40335EE6" w14:textId="3A2694D5" w:rsidR="00741B9D" w:rsidRPr="004C12C9" w:rsidRDefault="00741B9D" w:rsidP="006F28C1">
            <w:pPr>
              <w:pStyle w:val="ICFTabletext"/>
              <w:jc w:val="center"/>
              <w:rPr>
                <w:lang w:bidi="ar-SA"/>
              </w:rPr>
            </w:pPr>
            <w:r w:rsidRPr="004C12C9">
              <w:t>3.2</w:t>
            </w:r>
          </w:p>
        </w:tc>
        <w:tc>
          <w:tcPr>
            <w:tcW w:w="1020" w:type="dxa"/>
            <w:vAlign w:val="center"/>
          </w:tcPr>
          <w:p w14:paraId="0DCC7333" w14:textId="68728567" w:rsidR="00741B9D" w:rsidRPr="004C12C9" w:rsidRDefault="00741B9D" w:rsidP="006F28C1">
            <w:pPr>
              <w:pStyle w:val="ICFTabletext"/>
              <w:jc w:val="center"/>
              <w:rPr>
                <w:lang w:bidi="ar-SA"/>
              </w:rPr>
            </w:pPr>
            <w:r w:rsidRPr="004C12C9">
              <w:t>0.0</w:t>
            </w:r>
          </w:p>
        </w:tc>
        <w:tc>
          <w:tcPr>
            <w:tcW w:w="1019" w:type="dxa"/>
            <w:vAlign w:val="center"/>
          </w:tcPr>
          <w:p w14:paraId="776C369A" w14:textId="48E1FB10" w:rsidR="00741B9D" w:rsidRPr="004C12C9" w:rsidRDefault="00741B9D" w:rsidP="006F28C1">
            <w:pPr>
              <w:pStyle w:val="ICFTabletext"/>
              <w:jc w:val="center"/>
              <w:rPr>
                <w:lang w:bidi="ar-SA"/>
              </w:rPr>
            </w:pPr>
            <w:r w:rsidRPr="004C12C9">
              <w:t>912.0</w:t>
            </w:r>
          </w:p>
        </w:tc>
        <w:tc>
          <w:tcPr>
            <w:tcW w:w="1019" w:type="dxa"/>
            <w:vAlign w:val="center"/>
          </w:tcPr>
          <w:p w14:paraId="0D77B24D" w14:textId="7BD540EB" w:rsidR="00741B9D" w:rsidRPr="004C12C9" w:rsidRDefault="00741B9D" w:rsidP="006F28C1">
            <w:pPr>
              <w:pStyle w:val="ICFTabletext"/>
              <w:jc w:val="center"/>
              <w:rPr>
                <w:lang w:bidi="ar-SA"/>
              </w:rPr>
            </w:pPr>
            <w:r w:rsidRPr="004C12C9">
              <w:t>0.0</w:t>
            </w:r>
          </w:p>
        </w:tc>
        <w:tc>
          <w:tcPr>
            <w:tcW w:w="1019" w:type="dxa"/>
            <w:vAlign w:val="center"/>
          </w:tcPr>
          <w:p w14:paraId="43FFED4B" w14:textId="1A608140" w:rsidR="00741B9D" w:rsidRPr="004C12C9" w:rsidRDefault="00741B9D" w:rsidP="006F28C1">
            <w:pPr>
              <w:pStyle w:val="ICFTabletext"/>
              <w:jc w:val="center"/>
              <w:rPr>
                <w:lang w:bidi="ar-SA"/>
              </w:rPr>
            </w:pPr>
            <w:r w:rsidRPr="004C12C9">
              <w:t>15.0</w:t>
            </w:r>
          </w:p>
        </w:tc>
        <w:tc>
          <w:tcPr>
            <w:tcW w:w="1020" w:type="dxa"/>
            <w:vAlign w:val="center"/>
          </w:tcPr>
          <w:p w14:paraId="4C3F2E5D" w14:textId="24268CFF" w:rsidR="00741B9D" w:rsidRPr="004C12C9" w:rsidRDefault="00741B9D" w:rsidP="006F28C1">
            <w:pPr>
              <w:pStyle w:val="ICFTabletext"/>
              <w:jc w:val="center"/>
              <w:rPr>
                <w:lang w:bidi="ar-SA"/>
              </w:rPr>
            </w:pPr>
            <w:r w:rsidRPr="004C12C9">
              <w:t>0.0</w:t>
            </w:r>
          </w:p>
        </w:tc>
      </w:tr>
      <w:tr w:rsidR="00741B9D" w:rsidRPr="004C12C9" w14:paraId="1D90FA3C" w14:textId="77777777">
        <w:trPr>
          <w:trHeight w:val="20"/>
        </w:trPr>
        <w:tc>
          <w:tcPr>
            <w:tcW w:w="1735" w:type="dxa"/>
            <w:vAlign w:val="center"/>
            <w:hideMark/>
          </w:tcPr>
          <w:p w14:paraId="400808AA" w14:textId="77777777" w:rsidR="00741B9D" w:rsidRPr="004C12C9" w:rsidRDefault="00741B9D" w:rsidP="00741B9D">
            <w:pPr>
              <w:pStyle w:val="ICFTabletext"/>
              <w:rPr>
                <w:lang w:bidi="ar-SA"/>
              </w:rPr>
            </w:pPr>
            <w:r w:rsidRPr="004C12C9">
              <w:rPr>
                <w:lang w:bidi="ar-SA"/>
              </w:rPr>
              <w:t>Wood Products</w:t>
            </w:r>
          </w:p>
        </w:tc>
        <w:tc>
          <w:tcPr>
            <w:tcW w:w="1019" w:type="dxa"/>
            <w:noWrap/>
            <w:vAlign w:val="center"/>
          </w:tcPr>
          <w:p w14:paraId="0F41275F" w14:textId="0170EBD4" w:rsidR="00741B9D" w:rsidRPr="004C12C9" w:rsidRDefault="00741B9D" w:rsidP="006F28C1">
            <w:pPr>
              <w:pStyle w:val="ICFTabletext"/>
              <w:jc w:val="center"/>
              <w:rPr>
                <w:lang w:bidi="ar-SA"/>
              </w:rPr>
            </w:pPr>
            <w:r w:rsidRPr="004C12C9">
              <w:t>461.0</w:t>
            </w:r>
          </w:p>
        </w:tc>
        <w:tc>
          <w:tcPr>
            <w:tcW w:w="1019" w:type="dxa"/>
            <w:vAlign w:val="center"/>
          </w:tcPr>
          <w:p w14:paraId="5190112C" w14:textId="7F530D0E" w:rsidR="00741B9D" w:rsidRPr="004C12C9" w:rsidRDefault="00741B9D" w:rsidP="006F28C1">
            <w:pPr>
              <w:pStyle w:val="ICFTabletext"/>
              <w:jc w:val="center"/>
              <w:rPr>
                <w:lang w:bidi="ar-SA"/>
              </w:rPr>
            </w:pPr>
            <w:r w:rsidRPr="004C12C9">
              <w:t>8.4</w:t>
            </w:r>
          </w:p>
        </w:tc>
        <w:tc>
          <w:tcPr>
            <w:tcW w:w="1019" w:type="dxa"/>
            <w:vAlign w:val="center"/>
          </w:tcPr>
          <w:p w14:paraId="1EEF9E87" w14:textId="75287925" w:rsidR="00741B9D" w:rsidRPr="004C12C9" w:rsidRDefault="00741B9D" w:rsidP="006F28C1">
            <w:pPr>
              <w:pStyle w:val="ICFTabletext"/>
              <w:jc w:val="center"/>
              <w:rPr>
                <w:lang w:bidi="ar-SA"/>
              </w:rPr>
            </w:pPr>
            <w:r w:rsidRPr="004C12C9">
              <w:t>1.0</w:t>
            </w:r>
          </w:p>
        </w:tc>
        <w:tc>
          <w:tcPr>
            <w:tcW w:w="1020" w:type="dxa"/>
            <w:vAlign w:val="center"/>
          </w:tcPr>
          <w:p w14:paraId="69A156D7" w14:textId="0C74A340" w:rsidR="00741B9D" w:rsidRPr="004C12C9" w:rsidRDefault="00741B9D" w:rsidP="006F28C1">
            <w:pPr>
              <w:pStyle w:val="ICFTabletext"/>
              <w:jc w:val="center"/>
              <w:rPr>
                <w:lang w:bidi="ar-SA"/>
              </w:rPr>
            </w:pPr>
            <w:r w:rsidRPr="004C12C9">
              <w:t>0.0</w:t>
            </w:r>
          </w:p>
        </w:tc>
        <w:tc>
          <w:tcPr>
            <w:tcW w:w="1019" w:type="dxa"/>
            <w:vAlign w:val="center"/>
          </w:tcPr>
          <w:p w14:paraId="6D8D5FFA" w14:textId="20696105" w:rsidR="00741B9D" w:rsidRPr="004C12C9" w:rsidRDefault="00741B9D" w:rsidP="006F28C1">
            <w:pPr>
              <w:pStyle w:val="ICFTabletext"/>
              <w:jc w:val="center"/>
              <w:rPr>
                <w:lang w:bidi="ar-SA"/>
              </w:rPr>
            </w:pPr>
            <w:r w:rsidRPr="004C12C9">
              <w:t>908.4</w:t>
            </w:r>
          </w:p>
        </w:tc>
        <w:tc>
          <w:tcPr>
            <w:tcW w:w="1019" w:type="dxa"/>
            <w:vAlign w:val="center"/>
          </w:tcPr>
          <w:p w14:paraId="63A7ECE9" w14:textId="3F286704" w:rsidR="00741B9D" w:rsidRPr="004C12C9" w:rsidRDefault="00741B9D" w:rsidP="006F28C1">
            <w:pPr>
              <w:pStyle w:val="ICFTabletext"/>
              <w:jc w:val="center"/>
              <w:rPr>
                <w:lang w:bidi="ar-SA"/>
              </w:rPr>
            </w:pPr>
            <w:r w:rsidRPr="004C12C9">
              <w:t>16.6</w:t>
            </w:r>
          </w:p>
        </w:tc>
        <w:tc>
          <w:tcPr>
            <w:tcW w:w="1019" w:type="dxa"/>
            <w:vAlign w:val="center"/>
          </w:tcPr>
          <w:p w14:paraId="3C38807C" w14:textId="034B43D4" w:rsidR="00741B9D" w:rsidRPr="004C12C9" w:rsidRDefault="00741B9D" w:rsidP="006F28C1">
            <w:pPr>
              <w:pStyle w:val="ICFTabletext"/>
              <w:jc w:val="center"/>
              <w:rPr>
                <w:lang w:bidi="ar-SA"/>
              </w:rPr>
            </w:pPr>
            <w:r w:rsidRPr="004C12C9">
              <w:t>2.0</w:t>
            </w:r>
          </w:p>
        </w:tc>
        <w:tc>
          <w:tcPr>
            <w:tcW w:w="1020" w:type="dxa"/>
            <w:vAlign w:val="center"/>
          </w:tcPr>
          <w:p w14:paraId="5EA5E6B8" w14:textId="75FBE3A2" w:rsidR="00741B9D" w:rsidRPr="004C12C9" w:rsidRDefault="00741B9D" w:rsidP="006F28C1">
            <w:pPr>
              <w:pStyle w:val="ICFTabletext"/>
              <w:jc w:val="center"/>
              <w:rPr>
                <w:lang w:bidi="ar-SA"/>
              </w:rPr>
            </w:pPr>
            <w:r w:rsidRPr="004C12C9">
              <w:t>0.0</w:t>
            </w:r>
          </w:p>
        </w:tc>
      </w:tr>
    </w:tbl>
    <w:p w14:paraId="376266BD" w14:textId="18C53A56" w:rsidR="00E5259D" w:rsidRPr="004C12C9" w:rsidRDefault="0059759E" w:rsidP="00E31E37">
      <w:pPr>
        <w:pStyle w:val="Heading4"/>
      </w:pPr>
      <w:r w:rsidRPr="004C12C9">
        <w:t>Emission Factors</w:t>
      </w:r>
    </w:p>
    <w:p w14:paraId="676D8229" w14:textId="07F89ADA" w:rsidR="00B71803" w:rsidRPr="004C12C9" w:rsidRDefault="00B71803" w:rsidP="00972CF9">
      <w:r w:rsidRPr="004C12C9">
        <w:t>Emission factors by transportation mode were compiled from the Greenhouse gases, Regulated Emissions, and Energy use in Technologies (GREET) Model.</w:t>
      </w:r>
      <w:r w:rsidR="003C3CA0">
        <w:rPr>
          <w:rFonts w:ascii="ZWAdobeF" w:hAnsi="ZWAdobeF" w:cs="ZWAdobeF"/>
          <w:sz w:val="2"/>
          <w:szCs w:val="2"/>
        </w:rPr>
        <w:t>23F</w:t>
      </w:r>
      <w:r w:rsidR="00847EBE" w:rsidRPr="004C12C9">
        <w:rPr>
          <w:rStyle w:val="FootnoteReference"/>
        </w:rPr>
        <w:footnoteReference w:id="25"/>
      </w:r>
      <w:r w:rsidRPr="004C12C9">
        <w:t xml:space="preserve"> The emission factors </w:t>
      </w:r>
      <w:r w:rsidR="002761AE" w:rsidRPr="004C12C9">
        <w:t>from</w:t>
      </w:r>
      <w:r w:rsidRPr="004C12C9">
        <w:t xml:space="preserve"> GREET</w:t>
      </w:r>
      <w:r w:rsidR="00305C2A" w:rsidRPr="004C12C9">
        <w:t xml:space="preserve"> </w:t>
      </w:r>
      <w:r w:rsidR="004804A8" w:rsidRPr="004C12C9">
        <w:t>1</w:t>
      </w:r>
      <w:r w:rsidR="00DB3194" w:rsidRPr="004C12C9">
        <w:t xml:space="preserve"> 2024</w:t>
      </w:r>
      <w:r w:rsidRPr="004C12C9">
        <w:t xml:space="preserve"> cover “well to wheel” emissions associated with the</w:t>
      </w:r>
      <w:r w:rsidRPr="004C12C9">
        <w:rPr>
          <w:rFonts w:ascii="Segoe UI" w:hAnsi="Segoe UI" w:cs="Segoe UI"/>
        </w:rPr>
        <w:t xml:space="preserve"> </w:t>
      </w:r>
      <w:r w:rsidRPr="004C12C9">
        <w:t>transportation of goods</w:t>
      </w:r>
      <w:r w:rsidR="00AF629B" w:rsidRPr="004C12C9">
        <w:t xml:space="preserve">, </w:t>
      </w:r>
      <w:r w:rsidR="008D14C5" w:rsidRPr="004C12C9">
        <w:t>covering</w:t>
      </w:r>
      <w:r w:rsidR="00AF629B" w:rsidRPr="004C12C9">
        <w:t xml:space="preserve"> all life cycle stages from the extraction of raw materials (well) to the final use of the fuel in vehicles (wheels)</w:t>
      </w:r>
      <w:r w:rsidR="002B1D09" w:rsidRPr="004C12C9">
        <w:t>.</w:t>
      </w:r>
      <w:r w:rsidRPr="004C12C9">
        <w:t xml:space="preserve"> </w:t>
      </w:r>
      <w:r w:rsidRPr="004C12C9">
        <w:fldChar w:fldCharType="begin" w:fldLock="1"/>
      </w:r>
      <w:r w:rsidRPr="004C12C9">
        <w:instrText xml:space="preserve"> REF _Ref185536955 \h  \* MERGEFORMAT </w:instrText>
      </w:r>
      <w:r w:rsidRPr="004C12C9">
        <w:fldChar w:fldCharType="separate"/>
      </w:r>
      <w:r w:rsidR="00127094" w:rsidRPr="004C12C9">
        <w:t>Table 2</w:t>
      </w:r>
      <w:r w:rsidR="00127094" w:rsidRPr="004C12C9">
        <w:noBreakHyphen/>
        <w:t>19</w:t>
      </w:r>
      <w:r w:rsidRPr="004C12C9">
        <w:fldChar w:fldCharType="end"/>
      </w:r>
      <w:r w:rsidRPr="004C12C9">
        <w:t xml:space="preserve"> below summarizes the emission factors </w:t>
      </w:r>
      <w:r w:rsidR="00717058" w:rsidRPr="004C12C9">
        <w:t xml:space="preserve">by transportation mode </w:t>
      </w:r>
      <w:r w:rsidR="00790473" w:rsidRPr="004C12C9">
        <w:t xml:space="preserve">while </w:t>
      </w:r>
      <w:r w:rsidR="00790473" w:rsidRPr="004C12C9">
        <w:fldChar w:fldCharType="begin" w:fldLock="1"/>
      </w:r>
      <w:r w:rsidR="00790473" w:rsidRPr="004C12C9">
        <w:instrText xml:space="preserve"> REF _Ref194996948 \h </w:instrText>
      </w:r>
      <w:r w:rsidR="00790473" w:rsidRPr="004C12C9">
        <w:fldChar w:fldCharType="separate"/>
      </w:r>
      <w:r w:rsidR="00127094" w:rsidRPr="004C12C9">
        <w:t>Table 2</w:t>
      </w:r>
      <w:r w:rsidR="00127094" w:rsidRPr="004C12C9">
        <w:noBreakHyphen/>
        <w:t>20</w:t>
      </w:r>
      <w:r w:rsidR="00790473" w:rsidRPr="004C12C9">
        <w:fldChar w:fldCharType="end"/>
      </w:r>
      <w:r w:rsidR="00790473" w:rsidRPr="004C12C9">
        <w:t xml:space="preserve"> summarizes</w:t>
      </w:r>
      <w:r w:rsidRPr="004C12C9">
        <w:t xml:space="preserve"> the assumptions selected in GREET </w:t>
      </w:r>
      <w:r w:rsidR="001C5243" w:rsidRPr="004C12C9">
        <w:t xml:space="preserve">1 </w:t>
      </w:r>
      <w:r w:rsidR="00C17FA0" w:rsidRPr="004C12C9">
        <w:t>2024</w:t>
      </w:r>
      <w:r w:rsidRPr="004C12C9">
        <w:t xml:space="preserve"> to develop them. The emission factors in </w:t>
      </w:r>
      <w:r w:rsidRPr="004C12C9">
        <w:fldChar w:fldCharType="begin" w:fldLock="1"/>
      </w:r>
      <w:r w:rsidRPr="004C12C9">
        <w:instrText xml:space="preserve"> REF _Ref185536955 \h  \* MERGEFORMAT </w:instrText>
      </w:r>
      <w:r w:rsidRPr="004C12C9">
        <w:fldChar w:fldCharType="separate"/>
      </w:r>
      <w:r w:rsidR="00127094" w:rsidRPr="004C12C9">
        <w:t>Table 2</w:t>
      </w:r>
      <w:r w:rsidR="00127094" w:rsidRPr="004C12C9">
        <w:noBreakHyphen/>
        <w:t>19</w:t>
      </w:r>
      <w:r w:rsidRPr="004C12C9">
        <w:fldChar w:fldCharType="end"/>
      </w:r>
      <w:r w:rsidRPr="004C12C9">
        <w:t xml:space="preserve"> </w:t>
      </w:r>
      <w:r w:rsidR="005F4AF6" w:rsidRPr="004C12C9">
        <w:t>are</w:t>
      </w:r>
      <w:r w:rsidRPr="004C12C9">
        <w:t xml:space="preserve"> linearly interpolated to derive year-specific factors for all other years between 2025 to 2050 </w:t>
      </w:r>
      <w:r w:rsidR="005F4AF6" w:rsidRPr="004C12C9">
        <w:t>and are</w:t>
      </w:r>
      <w:r w:rsidRPr="004C12C9">
        <w:t xml:space="preserve"> applied in the </w:t>
      </w:r>
      <w:r w:rsidR="007D3E2F" w:rsidRPr="004C12C9">
        <w:t xml:space="preserve">calculator </w:t>
      </w:r>
      <w:r w:rsidRPr="004C12C9">
        <w:t>based on the year in which the project is constructed.</w:t>
      </w:r>
      <w:r w:rsidR="001F35B2" w:rsidRPr="004C12C9">
        <w:t xml:space="preserve"> Transportation emission factors are expected to change slightly over time as </w:t>
      </w:r>
      <w:r w:rsidR="00737F1E" w:rsidRPr="004C12C9">
        <w:t xml:space="preserve">improvements in vehicle technology </w:t>
      </w:r>
      <w:r w:rsidR="00F45E8B" w:rsidRPr="004C12C9">
        <w:t>and/</w:t>
      </w:r>
      <w:r w:rsidR="00737F1E" w:rsidRPr="004C12C9">
        <w:t>or regulat</w:t>
      </w:r>
      <w:r w:rsidR="00254E34" w:rsidRPr="004C12C9">
        <w:t xml:space="preserve">ory standards </w:t>
      </w:r>
      <w:r w:rsidR="00737F1E" w:rsidRPr="004C12C9">
        <w:t>are implemented.</w:t>
      </w:r>
    </w:p>
    <w:p w14:paraId="6F27477E" w14:textId="6C311952" w:rsidR="00B71803" w:rsidRPr="004C12C9" w:rsidRDefault="00B71803" w:rsidP="00972CF9">
      <w:pPr>
        <w:pStyle w:val="Caption"/>
      </w:pPr>
      <w:bookmarkStart w:id="66" w:name="_Ref18553695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19</w:t>
      </w:r>
      <w:r w:rsidR="00F72B41">
        <w:fldChar w:fldCharType="end"/>
      </w:r>
      <w:bookmarkEnd w:id="66"/>
      <w:r w:rsidRPr="004C12C9">
        <w:t>. Emission Factors by Transportation Mode</w:t>
      </w:r>
      <w:r w:rsidR="006A1AAC" w:rsidRPr="004C12C9">
        <w:t xml:space="preserve"> and Year</w:t>
      </w:r>
    </w:p>
    <w:tbl>
      <w:tblPr>
        <w:tblW w:w="498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25"/>
        <w:gridCol w:w="1418"/>
        <w:gridCol w:w="1419"/>
        <w:gridCol w:w="1418"/>
        <w:gridCol w:w="1419"/>
        <w:gridCol w:w="1418"/>
        <w:gridCol w:w="1419"/>
      </w:tblGrid>
      <w:tr w:rsidR="00BA6613" w:rsidRPr="004C12C9" w14:paraId="5FC3D225" w14:textId="77777777" w:rsidTr="002C4F3B">
        <w:trPr>
          <w:trHeight w:val="280"/>
        </w:trPr>
        <w:tc>
          <w:tcPr>
            <w:tcW w:w="1525" w:type="dxa"/>
            <w:vMerge w:val="restart"/>
            <w:shd w:val="clear" w:color="auto" w:fill="D9D9D9" w:themeFill="background1" w:themeFillShade="D9"/>
            <w:vAlign w:val="center"/>
            <w:hideMark/>
          </w:tcPr>
          <w:p w14:paraId="0E8D6D95" w14:textId="77777777" w:rsidR="00BA6613" w:rsidRPr="004C12C9" w:rsidRDefault="00BA6613" w:rsidP="00E90577">
            <w:pPr>
              <w:pStyle w:val="ICFTableHeading"/>
              <w:rPr>
                <w:lang w:bidi="ar-SA"/>
              </w:rPr>
            </w:pPr>
            <w:r w:rsidRPr="004C12C9">
              <w:rPr>
                <w:lang w:bidi="ar-SA"/>
              </w:rPr>
              <w:t>Mode</w:t>
            </w:r>
          </w:p>
        </w:tc>
        <w:tc>
          <w:tcPr>
            <w:tcW w:w="8511" w:type="dxa"/>
            <w:gridSpan w:val="6"/>
            <w:shd w:val="clear" w:color="auto" w:fill="D9D9D9" w:themeFill="background1" w:themeFillShade="D9"/>
            <w:vAlign w:val="center"/>
          </w:tcPr>
          <w:p w14:paraId="62B19909" w14:textId="77777777" w:rsidR="00BA6613" w:rsidRPr="004C12C9" w:rsidRDefault="00BA6613" w:rsidP="00E90577">
            <w:pPr>
              <w:pStyle w:val="ICFTableHeading"/>
              <w:rPr>
                <w:lang w:bidi="ar-SA"/>
              </w:rPr>
            </w:pPr>
            <w:r w:rsidRPr="004C12C9">
              <w:rPr>
                <w:lang w:bidi="ar-SA"/>
              </w:rPr>
              <w:t>Emission Factor (kgCO</w:t>
            </w:r>
            <w:r w:rsidRPr="004C12C9">
              <w:rPr>
                <w:vertAlign w:val="subscript"/>
                <w:lang w:bidi="ar-SA"/>
              </w:rPr>
              <w:t>2</w:t>
            </w:r>
            <w:r w:rsidRPr="004C12C9">
              <w:rPr>
                <w:lang w:bidi="ar-SA"/>
              </w:rPr>
              <w:t>e/ton-mile)*</w:t>
            </w:r>
          </w:p>
        </w:tc>
      </w:tr>
      <w:tr w:rsidR="00BA6613" w:rsidRPr="004C12C9" w14:paraId="279227F2" w14:textId="77777777" w:rsidTr="002C4F3B">
        <w:trPr>
          <w:trHeight w:val="280"/>
        </w:trPr>
        <w:tc>
          <w:tcPr>
            <w:tcW w:w="1525" w:type="dxa"/>
            <w:vMerge/>
            <w:vAlign w:val="center"/>
          </w:tcPr>
          <w:p w14:paraId="7661D1F8" w14:textId="77777777" w:rsidR="00BA6613" w:rsidRPr="004C12C9" w:rsidRDefault="00BA6613" w:rsidP="00972CF9">
            <w:pPr>
              <w:rPr>
                <w:lang w:bidi="ar-SA"/>
              </w:rPr>
            </w:pPr>
          </w:p>
        </w:tc>
        <w:tc>
          <w:tcPr>
            <w:tcW w:w="1418" w:type="dxa"/>
            <w:shd w:val="clear" w:color="auto" w:fill="D9D9D9" w:themeFill="background1" w:themeFillShade="D9"/>
            <w:vAlign w:val="center"/>
          </w:tcPr>
          <w:p w14:paraId="21C112F4" w14:textId="77777777" w:rsidR="00BA6613" w:rsidRPr="004C12C9" w:rsidRDefault="00BA6613" w:rsidP="00E90577">
            <w:pPr>
              <w:pStyle w:val="ICFTableHeading"/>
              <w:rPr>
                <w:lang w:bidi="ar-SA"/>
              </w:rPr>
            </w:pPr>
            <w:r w:rsidRPr="004C12C9">
              <w:rPr>
                <w:lang w:bidi="ar-SA"/>
              </w:rPr>
              <w:t>2025</w:t>
            </w:r>
          </w:p>
        </w:tc>
        <w:tc>
          <w:tcPr>
            <w:tcW w:w="1419" w:type="dxa"/>
            <w:shd w:val="clear" w:color="auto" w:fill="D9D9D9" w:themeFill="background1" w:themeFillShade="D9"/>
            <w:vAlign w:val="center"/>
          </w:tcPr>
          <w:p w14:paraId="0700D7DC" w14:textId="77777777" w:rsidR="00BA6613" w:rsidRPr="004C12C9" w:rsidRDefault="00BA6613" w:rsidP="00E90577">
            <w:pPr>
              <w:pStyle w:val="ICFTableHeading"/>
              <w:rPr>
                <w:lang w:bidi="ar-SA"/>
              </w:rPr>
            </w:pPr>
            <w:r w:rsidRPr="004C12C9">
              <w:rPr>
                <w:lang w:bidi="ar-SA"/>
              </w:rPr>
              <w:t>2030</w:t>
            </w:r>
          </w:p>
        </w:tc>
        <w:tc>
          <w:tcPr>
            <w:tcW w:w="1418" w:type="dxa"/>
            <w:shd w:val="clear" w:color="auto" w:fill="D9D9D9" w:themeFill="background1" w:themeFillShade="D9"/>
            <w:vAlign w:val="center"/>
          </w:tcPr>
          <w:p w14:paraId="4665D5C2" w14:textId="77777777" w:rsidR="00BA6613" w:rsidRPr="004C12C9" w:rsidRDefault="00BA6613" w:rsidP="00E90577">
            <w:pPr>
              <w:pStyle w:val="ICFTableHeading"/>
              <w:rPr>
                <w:lang w:bidi="ar-SA"/>
              </w:rPr>
            </w:pPr>
            <w:r w:rsidRPr="004C12C9">
              <w:rPr>
                <w:lang w:bidi="ar-SA"/>
              </w:rPr>
              <w:t>2035</w:t>
            </w:r>
          </w:p>
        </w:tc>
        <w:tc>
          <w:tcPr>
            <w:tcW w:w="1419" w:type="dxa"/>
            <w:shd w:val="clear" w:color="auto" w:fill="D9D9D9" w:themeFill="background1" w:themeFillShade="D9"/>
            <w:vAlign w:val="center"/>
          </w:tcPr>
          <w:p w14:paraId="4BC64E37" w14:textId="77777777" w:rsidR="00BA6613" w:rsidRPr="004C12C9" w:rsidRDefault="00BA6613" w:rsidP="00E90577">
            <w:pPr>
              <w:pStyle w:val="ICFTableHeading"/>
              <w:rPr>
                <w:lang w:bidi="ar-SA"/>
              </w:rPr>
            </w:pPr>
            <w:r w:rsidRPr="004C12C9">
              <w:rPr>
                <w:lang w:bidi="ar-SA"/>
              </w:rPr>
              <w:t>2040</w:t>
            </w:r>
          </w:p>
        </w:tc>
        <w:tc>
          <w:tcPr>
            <w:tcW w:w="1418" w:type="dxa"/>
            <w:shd w:val="clear" w:color="auto" w:fill="D9D9D9" w:themeFill="background1" w:themeFillShade="D9"/>
            <w:vAlign w:val="center"/>
          </w:tcPr>
          <w:p w14:paraId="11B36C8D" w14:textId="77777777" w:rsidR="00BA6613" w:rsidRPr="004C12C9" w:rsidRDefault="00BA6613" w:rsidP="00E90577">
            <w:pPr>
              <w:pStyle w:val="ICFTableHeading"/>
              <w:rPr>
                <w:lang w:bidi="ar-SA"/>
              </w:rPr>
            </w:pPr>
            <w:r w:rsidRPr="004C12C9">
              <w:rPr>
                <w:lang w:bidi="ar-SA"/>
              </w:rPr>
              <w:t>2045</w:t>
            </w:r>
          </w:p>
        </w:tc>
        <w:tc>
          <w:tcPr>
            <w:tcW w:w="1419" w:type="dxa"/>
            <w:shd w:val="clear" w:color="auto" w:fill="D9D9D9" w:themeFill="background1" w:themeFillShade="D9"/>
            <w:vAlign w:val="center"/>
          </w:tcPr>
          <w:p w14:paraId="2B580529" w14:textId="77777777" w:rsidR="00BA6613" w:rsidRPr="004C12C9" w:rsidRDefault="00BA6613" w:rsidP="00E90577">
            <w:pPr>
              <w:pStyle w:val="ICFTableHeading"/>
              <w:rPr>
                <w:lang w:bidi="ar-SA"/>
              </w:rPr>
            </w:pPr>
            <w:r w:rsidRPr="004C12C9">
              <w:rPr>
                <w:lang w:bidi="ar-SA"/>
              </w:rPr>
              <w:t>2050</w:t>
            </w:r>
          </w:p>
        </w:tc>
      </w:tr>
      <w:tr w:rsidR="00BA6613" w:rsidRPr="004C12C9" w14:paraId="2B78E4EB" w14:textId="77777777" w:rsidTr="002C4F3B">
        <w:trPr>
          <w:trHeight w:val="283"/>
        </w:trPr>
        <w:tc>
          <w:tcPr>
            <w:tcW w:w="1525" w:type="dxa"/>
            <w:noWrap/>
            <w:vAlign w:val="center"/>
            <w:hideMark/>
          </w:tcPr>
          <w:p w14:paraId="2D1346E2" w14:textId="77777777" w:rsidR="00BA6613" w:rsidRPr="004C12C9" w:rsidRDefault="00BA6613" w:rsidP="00E90577">
            <w:pPr>
              <w:pStyle w:val="ICFTabletext"/>
              <w:rPr>
                <w:lang w:bidi="ar-SA"/>
              </w:rPr>
            </w:pPr>
            <w:r w:rsidRPr="004C12C9">
              <w:rPr>
                <w:lang w:bidi="ar-SA"/>
              </w:rPr>
              <w:t>Truck</w:t>
            </w:r>
          </w:p>
        </w:tc>
        <w:tc>
          <w:tcPr>
            <w:tcW w:w="1418" w:type="dxa"/>
            <w:noWrap/>
            <w:vAlign w:val="center"/>
            <w:hideMark/>
          </w:tcPr>
          <w:p w14:paraId="57931485" w14:textId="77777777" w:rsidR="00BA6613" w:rsidRPr="004C12C9" w:rsidRDefault="00BA6613" w:rsidP="00BA6613">
            <w:pPr>
              <w:pStyle w:val="ICFTabletext"/>
              <w:jc w:val="center"/>
              <w:rPr>
                <w:lang w:bidi="ar-SA"/>
              </w:rPr>
            </w:pPr>
            <w:r w:rsidRPr="004C12C9">
              <w:rPr>
                <w:rFonts w:eastAsia="MS Mincho"/>
                <w:lang w:eastAsia="ja-JP" w:bidi="ar-SA"/>
              </w:rPr>
              <w:t>0.079</w:t>
            </w:r>
          </w:p>
        </w:tc>
        <w:tc>
          <w:tcPr>
            <w:tcW w:w="1419" w:type="dxa"/>
            <w:noWrap/>
            <w:vAlign w:val="center"/>
            <w:hideMark/>
          </w:tcPr>
          <w:p w14:paraId="40870E4B" w14:textId="77777777" w:rsidR="00BA6613" w:rsidRPr="004C12C9" w:rsidRDefault="00BA6613" w:rsidP="00BA6613">
            <w:pPr>
              <w:pStyle w:val="ICFTabletext"/>
              <w:jc w:val="center"/>
              <w:rPr>
                <w:lang w:bidi="ar-SA"/>
              </w:rPr>
            </w:pPr>
            <w:r w:rsidRPr="004C12C9">
              <w:rPr>
                <w:rFonts w:eastAsia="MS Mincho"/>
                <w:lang w:eastAsia="ja-JP" w:bidi="ar-SA"/>
              </w:rPr>
              <w:t>0.071</w:t>
            </w:r>
          </w:p>
        </w:tc>
        <w:tc>
          <w:tcPr>
            <w:tcW w:w="1418" w:type="dxa"/>
            <w:noWrap/>
            <w:vAlign w:val="center"/>
            <w:hideMark/>
          </w:tcPr>
          <w:p w14:paraId="183C187C" w14:textId="77777777" w:rsidR="00BA6613" w:rsidRPr="004C12C9" w:rsidRDefault="00BA6613" w:rsidP="00BA6613">
            <w:pPr>
              <w:pStyle w:val="ICFTabletext"/>
              <w:jc w:val="center"/>
              <w:rPr>
                <w:lang w:bidi="ar-SA"/>
              </w:rPr>
            </w:pPr>
            <w:r w:rsidRPr="004C12C9">
              <w:rPr>
                <w:rFonts w:eastAsia="MS Mincho"/>
                <w:lang w:eastAsia="ja-JP" w:bidi="ar-SA"/>
              </w:rPr>
              <w:t>0.065</w:t>
            </w:r>
          </w:p>
        </w:tc>
        <w:tc>
          <w:tcPr>
            <w:tcW w:w="1419" w:type="dxa"/>
            <w:noWrap/>
            <w:vAlign w:val="center"/>
            <w:hideMark/>
          </w:tcPr>
          <w:p w14:paraId="5483FA3A" w14:textId="77777777" w:rsidR="00BA6613" w:rsidRPr="004C12C9" w:rsidRDefault="00BA6613" w:rsidP="00BA6613">
            <w:pPr>
              <w:pStyle w:val="ICFTabletext"/>
              <w:jc w:val="center"/>
              <w:rPr>
                <w:lang w:bidi="ar-SA"/>
              </w:rPr>
            </w:pPr>
            <w:r w:rsidRPr="004C12C9">
              <w:rPr>
                <w:rFonts w:eastAsia="MS Mincho"/>
                <w:lang w:eastAsia="ja-JP" w:bidi="ar-SA"/>
              </w:rPr>
              <w:t>0.065</w:t>
            </w:r>
          </w:p>
        </w:tc>
        <w:tc>
          <w:tcPr>
            <w:tcW w:w="1418" w:type="dxa"/>
            <w:noWrap/>
            <w:vAlign w:val="center"/>
            <w:hideMark/>
          </w:tcPr>
          <w:p w14:paraId="66237137" w14:textId="77777777" w:rsidR="00BA6613" w:rsidRPr="004C12C9" w:rsidRDefault="00BA6613" w:rsidP="00BA6613">
            <w:pPr>
              <w:pStyle w:val="ICFTabletext"/>
              <w:jc w:val="center"/>
              <w:rPr>
                <w:lang w:bidi="ar-SA"/>
              </w:rPr>
            </w:pPr>
            <w:r w:rsidRPr="004C12C9">
              <w:rPr>
                <w:rFonts w:eastAsia="MS Mincho"/>
                <w:lang w:eastAsia="ja-JP" w:bidi="ar-SA"/>
              </w:rPr>
              <w:t>0.065</w:t>
            </w:r>
          </w:p>
        </w:tc>
        <w:tc>
          <w:tcPr>
            <w:tcW w:w="1419" w:type="dxa"/>
            <w:noWrap/>
            <w:vAlign w:val="center"/>
            <w:hideMark/>
          </w:tcPr>
          <w:p w14:paraId="78BB2544" w14:textId="77777777" w:rsidR="00BA6613" w:rsidRPr="004C12C9" w:rsidRDefault="00BA6613" w:rsidP="00BA6613">
            <w:pPr>
              <w:pStyle w:val="ICFTabletext"/>
              <w:jc w:val="center"/>
              <w:rPr>
                <w:lang w:bidi="ar-SA"/>
              </w:rPr>
            </w:pPr>
            <w:r w:rsidRPr="004C12C9">
              <w:rPr>
                <w:rFonts w:eastAsia="MS Mincho"/>
                <w:lang w:eastAsia="ja-JP" w:bidi="ar-SA"/>
              </w:rPr>
              <w:t>0.058</w:t>
            </w:r>
          </w:p>
        </w:tc>
      </w:tr>
      <w:tr w:rsidR="00BA6613" w:rsidRPr="004C12C9" w14:paraId="496974F6" w14:textId="77777777" w:rsidTr="002C4F3B">
        <w:trPr>
          <w:trHeight w:val="283"/>
        </w:trPr>
        <w:tc>
          <w:tcPr>
            <w:tcW w:w="1525" w:type="dxa"/>
            <w:noWrap/>
            <w:vAlign w:val="center"/>
            <w:hideMark/>
          </w:tcPr>
          <w:p w14:paraId="57F2E881" w14:textId="77777777" w:rsidR="00BA6613" w:rsidRPr="004C12C9" w:rsidRDefault="00BA6613" w:rsidP="00E90577">
            <w:pPr>
              <w:pStyle w:val="ICFTabletext"/>
              <w:rPr>
                <w:lang w:bidi="ar-SA"/>
              </w:rPr>
            </w:pPr>
            <w:r w:rsidRPr="004C12C9">
              <w:rPr>
                <w:lang w:bidi="ar-SA"/>
              </w:rPr>
              <w:t>Rail</w:t>
            </w:r>
          </w:p>
        </w:tc>
        <w:tc>
          <w:tcPr>
            <w:tcW w:w="1418" w:type="dxa"/>
            <w:noWrap/>
            <w:vAlign w:val="center"/>
            <w:hideMark/>
          </w:tcPr>
          <w:p w14:paraId="1CCE949A" w14:textId="77777777" w:rsidR="00BA6613" w:rsidRPr="004C12C9" w:rsidRDefault="00BA6613" w:rsidP="00BA6613">
            <w:pPr>
              <w:pStyle w:val="ICFTabletext"/>
              <w:jc w:val="center"/>
              <w:rPr>
                <w:lang w:bidi="ar-SA"/>
              </w:rPr>
            </w:pPr>
            <w:r w:rsidRPr="004C12C9">
              <w:rPr>
                <w:rFonts w:eastAsia="MS Mincho"/>
                <w:lang w:eastAsia="ja-JP" w:bidi="ar-SA"/>
              </w:rPr>
              <w:t>0.026</w:t>
            </w:r>
          </w:p>
        </w:tc>
        <w:tc>
          <w:tcPr>
            <w:tcW w:w="1419" w:type="dxa"/>
            <w:noWrap/>
            <w:vAlign w:val="center"/>
            <w:hideMark/>
          </w:tcPr>
          <w:p w14:paraId="3C279576" w14:textId="77777777" w:rsidR="00BA6613" w:rsidRPr="004C12C9" w:rsidRDefault="00BA6613" w:rsidP="00BA6613">
            <w:pPr>
              <w:pStyle w:val="ICFTabletext"/>
              <w:jc w:val="center"/>
              <w:rPr>
                <w:lang w:bidi="ar-SA"/>
              </w:rPr>
            </w:pPr>
            <w:r w:rsidRPr="004C12C9">
              <w:rPr>
                <w:rFonts w:eastAsia="MS Mincho"/>
                <w:lang w:eastAsia="ja-JP" w:bidi="ar-SA"/>
              </w:rPr>
              <w:t>0.026</w:t>
            </w:r>
          </w:p>
        </w:tc>
        <w:tc>
          <w:tcPr>
            <w:tcW w:w="1418" w:type="dxa"/>
            <w:noWrap/>
            <w:vAlign w:val="center"/>
            <w:hideMark/>
          </w:tcPr>
          <w:p w14:paraId="559DAE93" w14:textId="77777777" w:rsidR="00BA6613" w:rsidRPr="004C12C9" w:rsidRDefault="00BA6613" w:rsidP="00BA6613">
            <w:pPr>
              <w:pStyle w:val="ICFTabletext"/>
              <w:jc w:val="center"/>
              <w:rPr>
                <w:lang w:bidi="ar-SA"/>
              </w:rPr>
            </w:pPr>
            <w:r w:rsidRPr="004C12C9">
              <w:rPr>
                <w:rFonts w:eastAsia="MS Mincho"/>
                <w:lang w:eastAsia="ja-JP" w:bidi="ar-SA"/>
              </w:rPr>
              <w:t>0.026</w:t>
            </w:r>
          </w:p>
        </w:tc>
        <w:tc>
          <w:tcPr>
            <w:tcW w:w="1419" w:type="dxa"/>
            <w:noWrap/>
            <w:vAlign w:val="center"/>
            <w:hideMark/>
          </w:tcPr>
          <w:p w14:paraId="1D3F2E06" w14:textId="77777777" w:rsidR="00BA6613" w:rsidRPr="004C12C9" w:rsidRDefault="00BA6613" w:rsidP="00BA6613">
            <w:pPr>
              <w:pStyle w:val="ICFTabletext"/>
              <w:jc w:val="center"/>
              <w:rPr>
                <w:lang w:bidi="ar-SA"/>
              </w:rPr>
            </w:pPr>
            <w:r w:rsidRPr="004C12C9">
              <w:rPr>
                <w:rFonts w:eastAsia="MS Mincho"/>
                <w:lang w:eastAsia="ja-JP" w:bidi="ar-SA"/>
              </w:rPr>
              <w:t>0.026</w:t>
            </w:r>
          </w:p>
        </w:tc>
        <w:tc>
          <w:tcPr>
            <w:tcW w:w="1418" w:type="dxa"/>
            <w:noWrap/>
            <w:vAlign w:val="center"/>
            <w:hideMark/>
          </w:tcPr>
          <w:p w14:paraId="1BD54FE2" w14:textId="77777777" w:rsidR="00BA6613" w:rsidRPr="004C12C9" w:rsidRDefault="00BA6613" w:rsidP="00BA6613">
            <w:pPr>
              <w:pStyle w:val="ICFTabletext"/>
              <w:jc w:val="center"/>
              <w:rPr>
                <w:lang w:bidi="ar-SA"/>
              </w:rPr>
            </w:pPr>
            <w:r w:rsidRPr="004C12C9">
              <w:rPr>
                <w:rFonts w:eastAsia="MS Mincho"/>
                <w:lang w:eastAsia="ja-JP" w:bidi="ar-SA"/>
              </w:rPr>
              <w:t>0.026</w:t>
            </w:r>
          </w:p>
        </w:tc>
        <w:tc>
          <w:tcPr>
            <w:tcW w:w="1419" w:type="dxa"/>
            <w:noWrap/>
            <w:vAlign w:val="center"/>
            <w:hideMark/>
          </w:tcPr>
          <w:p w14:paraId="61665150" w14:textId="77777777" w:rsidR="00BA6613" w:rsidRPr="004C12C9" w:rsidRDefault="00BA6613" w:rsidP="00BA6613">
            <w:pPr>
              <w:pStyle w:val="ICFTabletext"/>
              <w:jc w:val="center"/>
              <w:rPr>
                <w:lang w:bidi="ar-SA"/>
              </w:rPr>
            </w:pPr>
            <w:r w:rsidRPr="004C12C9">
              <w:rPr>
                <w:rFonts w:eastAsia="MS Mincho"/>
                <w:lang w:eastAsia="ja-JP" w:bidi="ar-SA"/>
              </w:rPr>
              <w:t>0.026</w:t>
            </w:r>
          </w:p>
        </w:tc>
      </w:tr>
      <w:tr w:rsidR="00BA6613" w:rsidRPr="004C12C9" w14:paraId="199AC3F4" w14:textId="77777777" w:rsidTr="002C4F3B">
        <w:trPr>
          <w:trHeight w:val="283"/>
        </w:trPr>
        <w:tc>
          <w:tcPr>
            <w:tcW w:w="1525" w:type="dxa"/>
            <w:noWrap/>
            <w:vAlign w:val="center"/>
            <w:hideMark/>
          </w:tcPr>
          <w:p w14:paraId="6DB8DC41" w14:textId="77777777" w:rsidR="00BA6613" w:rsidRPr="004C12C9" w:rsidRDefault="00BA6613" w:rsidP="00E90577">
            <w:pPr>
              <w:pStyle w:val="ICFTabletext"/>
              <w:rPr>
                <w:lang w:bidi="ar-SA"/>
              </w:rPr>
            </w:pPr>
            <w:r w:rsidRPr="004C12C9">
              <w:rPr>
                <w:lang w:bidi="ar-SA"/>
              </w:rPr>
              <w:t>Aircraft</w:t>
            </w:r>
          </w:p>
        </w:tc>
        <w:tc>
          <w:tcPr>
            <w:tcW w:w="1418" w:type="dxa"/>
            <w:noWrap/>
            <w:vAlign w:val="center"/>
            <w:hideMark/>
          </w:tcPr>
          <w:p w14:paraId="67E6901D" w14:textId="77777777" w:rsidR="00BA6613" w:rsidRPr="004C12C9" w:rsidRDefault="00BA6613" w:rsidP="00BA6613">
            <w:pPr>
              <w:pStyle w:val="ICFTabletext"/>
              <w:jc w:val="center"/>
              <w:rPr>
                <w:lang w:bidi="ar-SA"/>
              </w:rPr>
            </w:pPr>
            <w:r w:rsidRPr="004C12C9">
              <w:rPr>
                <w:rFonts w:eastAsia="MS Mincho"/>
                <w:lang w:eastAsia="ja-JP" w:bidi="ar-SA"/>
              </w:rPr>
              <w:t>0.437</w:t>
            </w:r>
          </w:p>
        </w:tc>
        <w:tc>
          <w:tcPr>
            <w:tcW w:w="1419" w:type="dxa"/>
            <w:noWrap/>
            <w:vAlign w:val="center"/>
            <w:hideMark/>
          </w:tcPr>
          <w:p w14:paraId="133394F6" w14:textId="77777777" w:rsidR="00BA6613" w:rsidRPr="004C12C9" w:rsidRDefault="00BA6613" w:rsidP="00BA6613">
            <w:pPr>
              <w:pStyle w:val="ICFTabletext"/>
              <w:jc w:val="center"/>
              <w:rPr>
                <w:lang w:bidi="ar-SA"/>
              </w:rPr>
            </w:pPr>
            <w:r w:rsidRPr="004C12C9">
              <w:rPr>
                <w:rFonts w:eastAsia="MS Mincho"/>
                <w:lang w:eastAsia="ja-JP" w:bidi="ar-SA"/>
              </w:rPr>
              <w:t>0.415</w:t>
            </w:r>
          </w:p>
        </w:tc>
        <w:tc>
          <w:tcPr>
            <w:tcW w:w="1418" w:type="dxa"/>
            <w:noWrap/>
            <w:vAlign w:val="center"/>
            <w:hideMark/>
          </w:tcPr>
          <w:p w14:paraId="3CE64E79" w14:textId="77777777" w:rsidR="00BA6613" w:rsidRPr="004C12C9" w:rsidRDefault="00BA6613" w:rsidP="00BA6613">
            <w:pPr>
              <w:pStyle w:val="ICFTabletext"/>
              <w:jc w:val="center"/>
              <w:rPr>
                <w:lang w:bidi="ar-SA"/>
              </w:rPr>
            </w:pPr>
            <w:r w:rsidRPr="004C12C9">
              <w:rPr>
                <w:rFonts w:eastAsia="MS Mincho"/>
                <w:lang w:eastAsia="ja-JP" w:bidi="ar-SA"/>
              </w:rPr>
              <w:t>0.413</w:t>
            </w:r>
          </w:p>
        </w:tc>
        <w:tc>
          <w:tcPr>
            <w:tcW w:w="1419" w:type="dxa"/>
            <w:noWrap/>
            <w:vAlign w:val="center"/>
            <w:hideMark/>
          </w:tcPr>
          <w:p w14:paraId="6A5D5F22" w14:textId="77777777" w:rsidR="00BA6613" w:rsidRPr="004C12C9" w:rsidRDefault="00BA6613" w:rsidP="00BA6613">
            <w:pPr>
              <w:pStyle w:val="ICFTabletext"/>
              <w:jc w:val="center"/>
              <w:rPr>
                <w:lang w:bidi="ar-SA"/>
              </w:rPr>
            </w:pPr>
            <w:r w:rsidRPr="004C12C9">
              <w:rPr>
                <w:rFonts w:eastAsia="MS Mincho"/>
                <w:lang w:eastAsia="ja-JP" w:bidi="ar-SA"/>
              </w:rPr>
              <w:t>0.413</w:t>
            </w:r>
          </w:p>
        </w:tc>
        <w:tc>
          <w:tcPr>
            <w:tcW w:w="1418" w:type="dxa"/>
            <w:noWrap/>
            <w:vAlign w:val="center"/>
            <w:hideMark/>
          </w:tcPr>
          <w:p w14:paraId="1B1779C4" w14:textId="77777777" w:rsidR="00BA6613" w:rsidRPr="004C12C9" w:rsidRDefault="00BA6613" w:rsidP="00BA6613">
            <w:pPr>
              <w:pStyle w:val="ICFTabletext"/>
              <w:jc w:val="center"/>
              <w:rPr>
                <w:lang w:bidi="ar-SA"/>
              </w:rPr>
            </w:pPr>
            <w:r w:rsidRPr="004C12C9">
              <w:rPr>
                <w:rFonts w:eastAsia="MS Mincho"/>
                <w:lang w:eastAsia="ja-JP" w:bidi="ar-SA"/>
              </w:rPr>
              <w:t>0.412</w:t>
            </w:r>
          </w:p>
        </w:tc>
        <w:tc>
          <w:tcPr>
            <w:tcW w:w="1419" w:type="dxa"/>
            <w:noWrap/>
            <w:vAlign w:val="center"/>
            <w:hideMark/>
          </w:tcPr>
          <w:p w14:paraId="6EA70295" w14:textId="77777777" w:rsidR="00BA6613" w:rsidRPr="004C12C9" w:rsidRDefault="00BA6613" w:rsidP="00BA6613">
            <w:pPr>
              <w:pStyle w:val="ICFTabletext"/>
              <w:jc w:val="center"/>
              <w:rPr>
                <w:lang w:bidi="ar-SA"/>
              </w:rPr>
            </w:pPr>
            <w:r w:rsidRPr="004C12C9">
              <w:rPr>
                <w:rFonts w:eastAsia="MS Mincho"/>
                <w:lang w:eastAsia="ja-JP" w:bidi="ar-SA"/>
              </w:rPr>
              <w:t>0.409</w:t>
            </w:r>
          </w:p>
        </w:tc>
      </w:tr>
      <w:tr w:rsidR="00BA6613" w:rsidRPr="004C12C9" w14:paraId="6F2F5B03" w14:textId="77777777" w:rsidTr="002C4F3B">
        <w:trPr>
          <w:trHeight w:val="80"/>
        </w:trPr>
        <w:tc>
          <w:tcPr>
            <w:tcW w:w="1525" w:type="dxa"/>
            <w:noWrap/>
            <w:vAlign w:val="center"/>
            <w:hideMark/>
          </w:tcPr>
          <w:p w14:paraId="615C3471" w14:textId="77777777" w:rsidR="00BA6613" w:rsidRPr="004C12C9" w:rsidRDefault="00BA6613" w:rsidP="00E90577">
            <w:pPr>
              <w:pStyle w:val="ICFTabletext"/>
              <w:rPr>
                <w:lang w:bidi="ar-SA"/>
              </w:rPr>
            </w:pPr>
            <w:r w:rsidRPr="004C12C9">
              <w:rPr>
                <w:lang w:bidi="ar-SA"/>
              </w:rPr>
              <w:t>Watercraft</w:t>
            </w:r>
          </w:p>
        </w:tc>
        <w:tc>
          <w:tcPr>
            <w:tcW w:w="1418" w:type="dxa"/>
            <w:noWrap/>
            <w:vAlign w:val="center"/>
            <w:hideMark/>
          </w:tcPr>
          <w:p w14:paraId="2954B3DC" w14:textId="77777777" w:rsidR="00BA6613" w:rsidRPr="004C12C9" w:rsidRDefault="00BA6613" w:rsidP="00BA6613">
            <w:pPr>
              <w:pStyle w:val="ICFTabletext"/>
              <w:jc w:val="center"/>
              <w:rPr>
                <w:lang w:bidi="ar-SA"/>
              </w:rPr>
            </w:pPr>
            <w:r w:rsidRPr="004C12C9">
              <w:rPr>
                <w:rFonts w:eastAsia="MS Mincho"/>
                <w:lang w:eastAsia="ja-JP" w:bidi="ar-SA"/>
              </w:rPr>
              <w:t>0.025</w:t>
            </w:r>
          </w:p>
        </w:tc>
        <w:tc>
          <w:tcPr>
            <w:tcW w:w="1419" w:type="dxa"/>
            <w:noWrap/>
            <w:vAlign w:val="center"/>
            <w:hideMark/>
          </w:tcPr>
          <w:p w14:paraId="3184CC79" w14:textId="77777777" w:rsidR="00BA6613" w:rsidRPr="004C12C9" w:rsidRDefault="00BA6613" w:rsidP="00BA6613">
            <w:pPr>
              <w:pStyle w:val="ICFTabletext"/>
              <w:jc w:val="center"/>
              <w:rPr>
                <w:lang w:bidi="ar-SA"/>
              </w:rPr>
            </w:pPr>
            <w:r w:rsidRPr="004C12C9">
              <w:rPr>
                <w:rFonts w:eastAsia="MS Mincho"/>
                <w:lang w:eastAsia="ja-JP" w:bidi="ar-SA"/>
              </w:rPr>
              <w:t>0.025</w:t>
            </w:r>
          </w:p>
        </w:tc>
        <w:tc>
          <w:tcPr>
            <w:tcW w:w="1418" w:type="dxa"/>
            <w:noWrap/>
            <w:vAlign w:val="center"/>
            <w:hideMark/>
          </w:tcPr>
          <w:p w14:paraId="4EA517B8" w14:textId="77777777" w:rsidR="00BA6613" w:rsidRPr="004C12C9" w:rsidRDefault="00BA6613" w:rsidP="00BA6613">
            <w:pPr>
              <w:pStyle w:val="ICFTabletext"/>
              <w:jc w:val="center"/>
              <w:rPr>
                <w:lang w:bidi="ar-SA"/>
              </w:rPr>
            </w:pPr>
            <w:r w:rsidRPr="004C12C9">
              <w:rPr>
                <w:rFonts w:eastAsia="MS Mincho"/>
                <w:lang w:eastAsia="ja-JP" w:bidi="ar-SA"/>
              </w:rPr>
              <w:t>0.025</w:t>
            </w:r>
          </w:p>
        </w:tc>
        <w:tc>
          <w:tcPr>
            <w:tcW w:w="1419" w:type="dxa"/>
            <w:noWrap/>
            <w:vAlign w:val="center"/>
            <w:hideMark/>
          </w:tcPr>
          <w:p w14:paraId="2E8BDEE9" w14:textId="77777777" w:rsidR="00BA6613" w:rsidRPr="004C12C9" w:rsidRDefault="00BA6613" w:rsidP="00BA6613">
            <w:pPr>
              <w:pStyle w:val="ICFTabletext"/>
              <w:jc w:val="center"/>
              <w:rPr>
                <w:lang w:bidi="ar-SA"/>
              </w:rPr>
            </w:pPr>
            <w:r w:rsidRPr="004C12C9">
              <w:rPr>
                <w:rFonts w:eastAsia="MS Mincho"/>
                <w:lang w:eastAsia="ja-JP" w:bidi="ar-SA"/>
              </w:rPr>
              <w:t>0.025</w:t>
            </w:r>
          </w:p>
        </w:tc>
        <w:tc>
          <w:tcPr>
            <w:tcW w:w="1418" w:type="dxa"/>
            <w:noWrap/>
            <w:vAlign w:val="center"/>
            <w:hideMark/>
          </w:tcPr>
          <w:p w14:paraId="46F36E28" w14:textId="77777777" w:rsidR="00BA6613" w:rsidRPr="004C12C9" w:rsidRDefault="00BA6613" w:rsidP="00BA6613">
            <w:pPr>
              <w:pStyle w:val="ICFTabletext"/>
              <w:jc w:val="center"/>
              <w:rPr>
                <w:lang w:bidi="ar-SA"/>
              </w:rPr>
            </w:pPr>
            <w:r w:rsidRPr="004C12C9">
              <w:rPr>
                <w:rFonts w:eastAsia="MS Mincho"/>
                <w:lang w:eastAsia="ja-JP" w:bidi="ar-SA"/>
              </w:rPr>
              <w:t>0.025</w:t>
            </w:r>
          </w:p>
        </w:tc>
        <w:tc>
          <w:tcPr>
            <w:tcW w:w="1419" w:type="dxa"/>
            <w:noWrap/>
            <w:vAlign w:val="center"/>
            <w:hideMark/>
          </w:tcPr>
          <w:p w14:paraId="03D5C263" w14:textId="77777777" w:rsidR="00BA6613" w:rsidRPr="004C12C9" w:rsidRDefault="00BA6613" w:rsidP="00BA6613">
            <w:pPr>
              <w:pStyle w:val="ICFTabletext"/>
              <w:jc w:val="center"/>
              <w:rPr>
                <w:lang w:bidi="ar-SA"/>
              </w:rPr>
            </w:pPr>
            <w:r w:rsidRPr="004C12C9">
              <w:rPr>
                <w:rFonts w:eastAsia="MS Mincho"/>
                <w:lang w:eastAsia="ja-JP" w:bidi="ar-SA"/>
              </w:rPr>
              <w:t>0.025</w:t>
            </w:r>
          </w:p>
        </w:tc>
      </w:tr>
    </w:tbl>
    <w:p w14:paraId="75C703D5" w14:textId="28E2426A" w:rsidR="0065278A" w:rsidRPr="004C12C9" w:rsidRDefault="0065278A" w:rsidP="00E90577">
      <w:pPr>
        <w:pStyle w:val="TableFooter"/>
      </w:pPr>
      <w:r w:rsidRPr="004C12C9">
        <w:t>* Values shown are based on AR5 global warming potentials.</w:t>
      </w:r>
    </w:p>
    <w:p w14:paraId="05B8F93E" w14:textId="1D20D96B" w:rsidR="00656FB1" w:rsidRPr="004C12C9" w:rsidRDefault="00656FB1" w:rsidP="00656FB1">
      <w:pPr>
        <w:pStyle w:val="Caption"/>
      </w:pPr>
      <w:bookmarkStart w:id="67" w:name="_Ref194996948"/>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20</w:t>
      </w:r>
      <w:r w:rsidR="00F72B41">
        <w:fldChar w:fldCharType="end"/>
      </w:r>
      <w:bookmarkEnd w:id="67"/>
      <w:r w:rsidRPr="004C12C9">
        <w:t xml:space="preserve">. Emission Factors </w:t>
      </w:r>
      <w:r w:rsidR="003A1F4C" w:rsidRPr="004C12C9">
        <w:t xml:space="preserve">Assumptions </w:t>
      </w:r>
      <w:r w:rsidRPr="004C12C9">
        <w:t>by Transportation Mode</w:t>
      </w:r>
    </w:p>
    <w:tbl>
      <w:tblPr>
        <w:tblW w:w="500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right w:w="58" w:type="dxa"/>
        </w:tblCellMar>
        <w:tblLook w:val="04A0" w:firstRow="1" w:lastRow="0" w:firstColumn="1" w:lastColumn="0" w:noHBand="0" w:noVBand="1"/>
      </w:tblPr>
      <w:tblGrid>
        <w:gridCol w:w="1255"/>
        <w:gridCol w:w="2070"/>
        <w:gridCol w:w="6749"/>
      </w:tblGrid>
      <w:tr w:rsidR="00656FB1" w:rsidRPr="004C12C9" w14:paraId="6EABF0B6" w14:textId="77777777" w:rsidTr="00822EC7">
        <w:trPr>
          <w:trHeight w:val="423"/>
        </w:trPr>
        <w:tc>
          <w:tcPr>
            <w:tcW w:w="1255" w:type="dxa"/>
            <w:shd w:val="clear" w:color="auto" w:fill="D9D9D9" w:themeFill="background1" w:themeFillShade="D9"/>
            <w:vAlign w:val="center"/>
            <w:hideMark/>
          </w:tcPr>
          <w:p w14:paraId="243E722D" w14:textId="77777777" w:rsidR="00656FB1" w:rsidRPr="004C12C9" w:rsidRDefault="00656FB1" w:rsidP="00656FB1">
            <w:pPr>
              <w:pStyle w:val="ICFTableHeading"/>
              <w:rPr>
                <w:lang w:bidi="ar-SA"/>
              </w:rPr>
            </w:pPr>
            <w:r w:rsidRPr="004C12C9">
              <w:rPr>
                <w:lang w:bidi="ar-SA"/>
              </w:rPr>
              <w:t>Mode</w:t>
            </w:r>
          </w:p>
        </w:tc>
        <w:tc>
          <w:tcPr>
            <w:tcW w:w="2070" w:type="dxa"/>
            <w:shd w:val="clear" w:color="auto" w:fill="D9D9D9" w:themeFill="background1" w:themeFillShade="D9"/>
            <w:vAlign w:val="center"/>
          </w:tcPr>
          <w:p w14:paraId="0F279C4F" w14:textId="3BBCD621" w:rsidR="00656FB1" w:rsidRPr="004C12C9" w:rsidRDefault="00656FB1" w:rsidP="00656FB1">
            <w:pPr>
              <w:pStyle w:val="ICFTableHeading"/>
            </w:pPr>
            <w:r w:rsidRPr="004C12C9">
              <w:t>Fuel Type</w:t>
            </w:r>
          </w:p>
        </w:tc>
        <w:tc>
          <w:tcPr>
            <w:tcW w:w="6750" w:type="dxa"/>
            <w:shd w:val="clear" w:color="auto" w:fill="D9D9D9" w:themeFill="background1" w:themeFillShade="D9"/>
            <w:vAlign w:val="center"/>
          </w:tcPr>
          <w:p w14:paraId="75BD4B13" w14:textId="73AD8033" w:rsidR="00656FB1" w:rsidRPr="004C12C9" w:rsidRDefault="006165B0" w:rsidP="00656FB1">
            <w:pPr>
              <w:pStyle w:val="ICFTableHeading"/>
            </w:pPr>
            <w:r w:rsidRPr="004C12C9">
              <w:t>Modifications to GREET</w:t>
            </w:r>
            <w:r w:rsidR="00656FB1" w:rsidRPr="004C12C9">
              <w:t xml:space="preserve"> Default Assumptions</w:t>
            </w:r>
          </w:p>
        </w:tc>
      </w:tr>
      <w:tr w:rsidR="00656FB1" w:rsidRPr="004C12C9" w14:paraId="1AA6922C" w14:textId="77777777" w:rsidTr="00822EC7">
        <w:trPr>
          <w:trHeight w:val="283"/>
        </w:trPr>
        <w:tc>
          <w:tcPr>
            <w:tcW w:w="1255" w:type="dxa"/>
            <w:noWrap/>
            <w:vAlign w:val="center"/>
            <w:hideMark/>
          </w:tcPr>
          <w:p w14:paraId="05133157" w14:textId="77777777" w:rsidR="00656FB1" w:rsidRPr="004C12C9" w:rsidRDefault="00656FB1" w:rsidP="00656FB1">
            <w:pPr>
              <w:pStyle w:val="ICFTabletext"/>
              <w:rPr>
                <w:lang w:bidi="ar-SA"/>
              </w:rPr>
            </w:pPr>
            <w:r w:rsidRPr="004C12C9">
              <w:rPr>
                <w:lang w:bidi="ar-SA"/>
              </w:rPr>
              <w:t>Truck</w:t>
            </w:r>
          </w:p>
        </w:tc>
        <w:tc>
          <w:tcPr>
            <w:tcW w:w="2070" w:type="dxa"/>
            <w:vAlign w:val="center"/>
          </w:tcPr>
          <w:p w14:paraId="5A742027" w14:textId="566F8DA6" w:rsidR="00656FB1" w:rsidRPr="004C12C9" w:rsidRDefault="00656FB1" w:rsidP="00656FB1">
            <w:pPr>
              <w:pStyle w:val="ICFTabletext"/>
              <w:rPr>
                <w:rFonts w:eastAsia="MS Mincho"/>
                <w:lang w:eastAsia="ja-JP" w:bidi="ar-SA"/>
              </w:rPr>
            </w:pPr>
            <w:r w:rsidRPr="004C12C9">
              <w:rPr>
                <w:rFonts w:eastAsia="MS Mincho"/>
                <w:lang w:eastAsia="ja-JP" w:bidi="ar-SA"/>
              </w:rPr>
              <w:t>Diesel</w:t>
            </w:r>
          </w:p>
        </w:tc>
        <w:tc>
          <w:tcPr>
            <w:tcW w:w="6750" w:type="dxa"/>
            <w:vAlign w:val="bottom"/>
          </w:tcPr>
          <w:p w14:paraId="34C27759" w14:textId="26573E34" w:rsidR="00656FB1" w:rsidRPr="004C12C9" w:rsidRDefault="00656FB1" w:rsidP="00656FB1">
            <w:pPr>
              <w:pStyle w:val="ICFTabletext"/>
              <w:rPr>
                <w:rFonts w:eastAsia="MS Mincho"/>
                <w:lang w:eastAsia="ja-JP" w:bidi="ar-SA"/>
              </w:rPr>
            </w:pPr>
            <w:r w:rsidRPr="004C12C9">
              <w:rPr>
                <w:rFonts w:eastAsia="MS Mincho"/>
                <w:lang w:eastAsia="ja-JP" w:bidi="ar-SA"/>
              </w:rPr>
              <w:t>MN Grid Electricity; Combination Long-Haul Trucks, diesel is baseline fuel</w:t>
            </w:r>
          </w:p>
        </w:tc>
      </w:tr>
      <w:tr w:rsidR="00656FB1" w:rsidRPr="004C12C9" w14:paraId="0EA00D4A" w14:textId="77777777" w:rsidTr="00822EC7">
        <w:trPr>
          <w:trHeight w:val="283"/>
        </w:trPr>
        <w:tc>
          <w:tcPr>
            <w:tcW w:w="1255" w:type="dxa"/>
            <w:noWrap/>
            <w:vAlign w:val="center"/>
            <w:hideMark/>
          </w:tcPr>
          <w:p w14:paraId="03426786" w14:textId="77777777" w:rsidR="00656FB1" w:rsidRPr="004C12C9" w:rsidRDefault="00656FB1" w:rsidP="00656FB1">
            <w:pPr>
              <w:pStyle w:val="ICFTabletext"/>
              <w:rPr>
                <w:lang w:bidi="ar-SA"/>
              </w:rPr>
            </w:pPr>
            <w:r w:rsidRPr="004C12C9">
              <w:rPr>
                <w:lang w:bidi="ar-SA"/>
              </w:rPr>
              <w:t>Rail</w:t>
            </w:r>
          </w:p>
        </w:tc>
        <w:tc>
          <w:tcPr>
            <w:tcW w:w="2070" w:type="dxa"/>
            <w:vAlign w:val="center"/>
          </w:tcPr>
          <w:p w14:paraId="14ADD162" w14:textId="1099F518" w:rsidR="00656FB1" w:rsidRPr="004C12C9" w:rsidRDefault="00656FB1" w:rsidP="00656FB1">
            <w:pPr>
              <w:pStyle w:val="ICFTabletext"/>
              <w:rPr>
                <w:rFonts w:eastAsia="MS Mincho"/>
                <w:lang w:eastAsia="ja-JP" w:bidi="ar-SA"/>
              </w:rPr>
            </w:pPr>
            <w:r w:rsidRPr="004C12C9">
              <w:rPr>
                <w:rFonts w:eastAsia="MS Mincho"/>
                <w:lang w:eastAsia="ja-JP" w:bidi="ar-SA"/>
              </w:rPr>
              <w:t>Diesel</w:t>
            </w:r>
          </w:p>
        </w:tc>
        <w:tc>
          <w:tcPr>
            <w:tcW w:w="6750" w:type="dxa"/>
            <w:vAlign w:val="bottom"/>
          </w:tcPr>
          <w:p w14:paraId="5464AAD6" w14:textId="08831277" w:rsidR="00656FB1" w:rsidRPr="004C12C9" w:rsidRDefault="00656FB1" w:rsidP="00656FB1">
            <w:pPr>
              <w:pStyle w:val="ICFTabletext"/>
              <w:rPr>
                <w:rFonts w:eastAsia="MS Mincho"/>
                <w:lang w:eastAsia="ja-JP" w:bidi="ar-SA"/>
              </w:rPr>
            </w:pPr>
            <w:r w:rsidRPr="004C12C9">
              <w:rPr>
                <w:rFonts w:eastAsia="MS Mincho"/>
                <w:lang w:eastAsia="ja-JP" w:bidi="ar-SA"/>
              </w:rPr>
              <w:t>MN Grid Electricity, Freight Rail</w:t>
            </w:r>
          </w:p>
        </w:tc>
      </w:tr>
      <w:tr w:rsidR="00656FB1" w:rsidRPr="004C12C9" w14:paraId="066ED519" w14:textId="77777777" w:rsidTr="00822EC7">
        <w:trPr>
          <w:trHeight w:val="283"/>
        </w:trPr>
        <w:tc>
          <w:tcPr>
            <w:tcW w:w="1255" w:type="dxa"/>
            <w:noWrap/>
            <w:vAlign w:val="center"/>
            <w:hideMark/>
          </w:tcPr>
          <w:p w14:paraId="2D2A841C" w14:textId="77777777" w:rsidR="00656FB1" w:rsidRPr="004C12C9" w:rsidRDefault="00656FB1" w:rsidP="00656FB1">
            <w:pPr>
              <w:pStyle w:val="ICFTabletext"/>
              <w:rPr>
                <w:lang w:bidi="ar-SA"/>
              </w:rPr>
            </w:pPr>
            <w:r w:rsidRPr="004C12C9">
              <w:rPr>
                <w:lang w:bidi="ar-SA"/>
              </w:rPr>
              <w:t>Aircraft</w:t>
            </w:r>
          </w:p>
        </w:tc>
        <w:tc>
          <w:tcPr>
            <w:tcW w:w="2070" w:type="dxa"/>
            <w:vAlign w:val="center"/>
          </w:tcPr>
          <w:p w14:paraId="0029360F" w14:textId="7D5C60BF" w:rsidR="00656FB1" w:rsidRPr="004C12C9" w:rsidRDefault="00656FB1" w:rsidP="00656FB1">
            <w:pPr>
              <w:pStyle w:val="ICFTabletext"/>
              <w:rPr>
                <w:rFonts w:eastAsia="MS Mincho"/>
                <w:lang w:eastAsia="ja-JP" w:bidi="ar-SA"/>
              </w:rPr>
            </w:pPr>
            <w:r w:rsidRPr="004C12C9">
              <w:rPr>
                <w:rFonts w:eastAsia="MS Mincho"/>
                <w:lang w:eastAsia="ja-JP" w:bidi="ar-SA"/>
              </w:rPr>
              <w:t>HEFA from Soybeans</w:t>
            </w:r>
          </w:p>
        </w:tc>
        <w:tc>
          <w:tcPr>
            <w:tcW w:w="6750" w:type="dxa"/>
            <w:vAlign w:val="center"/>
          </w:tcPr>
          <w:p w14:paraId="05931930" w14:textId="18253D1F" w:rsidR="00656FB1" w:rsidRPr="004C12C9" w:rsidRDefault="00656FB1" w:rsidP="00BA6613">
            <w:pPr>
              <w:pStyle w:val="ICFTabletext"/>
              <w:rPr>
                <w:rFonts w:eastAsia="MS Mincho"/>
                <w:lang w:eastAsia="ja-JP" w:bidi="ar-SA"/>
              </w:rPr>
            </w:pPr>
            <w:r w:rsidRPr="004C12C9">
              <w:rPr>
                <w:rFonts w:eastAsia="MS Mincho"/>
                <w:lang w:eastAsia="ja-JP" w:bidi="ar-SA"/>
              </w:rPr>
              <w:t>MN Grid Electricity, Freight Aircraft, Large Twin Aisle, HEFA from Soybean</w:t>
            </w:r>
          </w:p>
        </w:tc>
      </w:tr>
      <w:tr w:rsidR="00656FB1" w:rsidRPr="004C12C9" w14:paraId="7284A38A" w14:textId="77777777" w:rsidTr="00822EC7">
        <w:trPr>
          <w:trHeight w:val="80"/>
        </w:trPr>
        <w:tc>
          <w:tcPr>
            <w:tcW w:w="1255" w:type="dxa"/>
            <w:noWrap/>
            <w:vAlign w:val="center"/>
            <w:hideMark/>
          </w:tcPr>
          <w:p w14:paraId="64F1CD90" w14:textId="77777777" w:rsidR="00656FB1" w:rsidRPr="004C12C9" w:rsidRDefault="00656FB1" w:rsidP="00656FB1">
            <w:pPr>
              <w:pStyle w:val="ICFTabletext"/>
              <w:rPr>
                <w:lang w:bidi="ar-SA"/>
              </w:rPr>
            </w:pPr>
            <w:r w:rsidRPr="004C12C9">
              <w:rPr>
                <w:lang w:bidi="ar-SA"/>
              </w:rPr>
              <w:t>Watercraft</w:t>
            </w:r>
          </w:p>
        </w:tc>
        <w:tc>
          <w:tcPr>
            <w:tcW w:w="2070" w:type="dxa"/>
            <w:vAlign w:val="center"/>
          </w:tcPr>
          <w:p w14:paraId="088BF222" w14:textId="5BF88715" w:rsidR="00656FB1" w:rsidRPr="004C12C9" w:rsidRDefault="00656FB1" w:rsidP="00656FB1">
            <w:pPr>
              <w:pStyle w:val="ICFTabletext"/>
              <w:rPr>
                <w:rFonts w:eastAsia="MS Mincho"/>
                <w:lang w:eastAsia="ja-JP" w:bidi="ar-SA"/>
              </w:rPr>
            </w:pPr>
            <w:r w:rsidRPr="004C12C9">
              <w:rPr>
                <w:rFonts w:eastAsia="MS Mincho"/>
                <w:lang w:eastAsia="ja-JP" w:bidi="ar-SA"/>
              </w:rPr>
              <w:t>FT-Diesel (NG)</w:t>
            </w:r>
          </w:p>
        </w:tc>
        <w:tc>
          <w:tcPr>
            <w:tcW w:w="6750" w:type="dxa"/>
            <w:vAlign w:val="bottom"/>
          </w:tcPr>
          <w:p w14:paraId="7BA99F49" w14:textId="6B4FBE61" w:rsidR="00656FB1" w:rsidRPr="004C12C9" w:rsidRDefault="00656FB1" w:rsidP="00656FB1">
            <w:pPr>
              <w:pStyle w:val="ICFTabletext"/>
              <w:rPr>
                <w:rFonts w:eastAsia="MS Mincho"/>
                <w:lang w:eastAsia="ja-JP" w:bidi="ar-SA"/>
              </w:rPr>
            </w:pPr>
            <w:r w:rsidRPr="004C12C9">
              <w:rPr>
                <w:rFonts w:eastAsia="MS Mincho"/>
                <w:lang w:eastAsia="ja-JP" w:bidi="ar-SA"/>
              </w:rPr>
              <w:t>MN Grid Electricity; Medium Speed Diesel engine type; FT-Diesel (NG) fuel used to cruise; Large Container; Foreign Travel in Atlantic Ocean</w:t>
            </w:r>
          </w:p>
        </w:tc>
      </w:tr>
    </w:tbl>
    <w:p w14:paraId="12109380" w14:textId="28FE76B1" w:rsidR="0059759E" w:rsidRPr="004C12C9" w:rsidRDefault="004D3833" w:rsidP="00E31E37">
      <w:pPr>
        <w:pStyle w:val="Heading4"/>
      </w:pPr>
      <w:r w:rsidRPr="004C12C9">
        <w:lastRenderedPageBreak/>
        <w:t>Limitations</w:t>
      </w:r>
    </w:p>
    <w:p w14:paraId="41C2A89A" w14:textId="3C765921" w:rsidR="00287FD3" w:rsidRPr="004C12C9" w:rsidRDefault="00287FD3" w:rsidP="00287FD3">
      <w:r w:rsidRPr="004C12C9">
        <w:t>Key limitations of the methodology used to quantify emissions from</w:t>
      </w:r>
      <w:r w:rsidR="002C16CD" w:rsidRPr="004C12C9">
        <w:t xml:space="preserve"> transportation of</w:t>
      </w:r>
      <w:r w:rsidRPr="004C12C9">
        <w:t xml:space="preserve"> material inputs include:</w:t>
      </w:r>
    </w:p>
    <w:p w14:paraId="6B52DB9E" w14:textId="00B9EB0B" w:rsidR="0049398F" w:rsidRPr="004C12C9" w:rsidRDefault="005D73D6" w:rsidP="003B5F7F">
      <w:pPr>
        <w:pStyle w:val="ListParagraph"/>
        <w:numPr>
          <w:ilvl w:val="0"/>
          <w:numId w:val="12"/>
        </w:numPr>
      </w:pPr>
      <w:r w:rsidRPr="004C12C9">
        <w:t>The a</w:t>
      </w:r>
      <w:r w:rsidR="00E650D1" w:rsidRPr="004C12C9">
        <w:t xml:space="preserve">verage domestic distance traveled </w:t>
      </w:r>
      <w:r w:rsidR="00832BE6" w:rsidRPr="004C12C9">
        <w:t xml:space="preserve">for </w:t>
      </w:r>
      <w:r w:rsidR="00E650D1" w:rsidRPr="004C12C9">
        <w:t>each material type</w:t>
      </w:r>
      <w:r w:rsidRPr="004C12C9">
        <w:t xml:space="preserve"> is based on </w:t>
      </w:r>
      <w:r w:rsidR="000F59A8" w:rsidRPr="004C12C9">
        <w:t xml:space="preserve">2017 </w:t>
      </w:r>
      <w:r w:rsidR="00E650D1" w:rsidRPr="004C12C9">
        <w:t>data</w:t>
      </w:r>
      <w:r w:rsidR="007B0E3A" w:rsidRPr="004C12C9">
        <w:t xml:space="preserve">, which </w:t>
      </w:r>
      <w:r w:rsidR="00E650D1" w:rsidRPr="004C12C9">
        <w:t>is the latest year for which</w:t>
      </w:r>
      <w:r w:rsidR="00832BE6" w:rsidRPr="004C12C9">
        <w:t xml:space="preserve"> </w:t>
      </w:r>
      <w:r w:rsidR="00E650D1" w:rsidRPr="004C12C9">
        <w:t xml:space="preserve">CFS data </w:t>
      </w:r>
      <w:r w:rsidR="007B0E3A" w:rsidRPr="004C12C9">
        <w:t>are</w:t>
      </w:r>
      <w:r w:rsidR="00E650D1" w:rsidRPr="004C12C9">
        <w:t xml:space="preserve"> available. Additionally, the CFS data </w:t>
      </w:r>
      <w:r w:rsidR="001249A4" w:rsidRPr="004C12C9">
        <w:t>are</w:t>
      </w:r>
      <w:r w:rsidR="00E650D1" w:rsidRPr="004C12C9">
        <w:t xml:space="preserve"> organized by NAICS codes, which do not correspond directly to each material</w:t>
      </w:r>
      <w:r w:rsidR="00824C6D" w:rsidRPr="004C12C9">
        <w:t xml:space="preserve"> type included</w:t>
      </w:r>
      <w:r w:rsidR="00E650D1" w:rsidRPr="004C12C9">
        <w:t xml:space="preserve"> in the </w:t>
      </w:r>
      <w:r w:rsidR="005B3FD4" w:rsidRPr="004C12C9">
        <w:t>calculator</w:t>
      </w:r>
      <w:r w:rsidR="009D240C" w:rsidRPr="004C12C9">
        <w:t>.</w:t>
      </w:r>
    </w:p>
    <w:p w14:paraId="68D2D9B0" w14:textId="777ABFD0" w:rsidR="0049398F" w:rsidRPr="004C12C9" w:rsidRDefault="0097010E" w:rsidP="003B5F7F">
      <w:pPr>
        <w:pStyle w:val="ListParagraph"/>
        <w:numPr>
          <w:ilvl w:val="0"/>
          <w:numId w:val="12"/>
        </w:numPr>
      </w:pPr>
      <w:r w:rsidRPr="004C12C9">
        <w:t xml:space="preserve">For imported materials, the distance traveled </w:t>
      </w:r>
      <w:r w:rsidR="0014672C" w:rsidRPr="004C12C9">
        <w:t>is</w:t>
      </w:r>
      <w:r w:rsidRPr="004C12C9">
        <w:t xml:space="preserve"> estimated by assuming </w:t>
      </w:r>
      <w:r w:rsidR="005960BC" w:rsidRPr="004C12C9">
        <w:t>all import</w:t>
      </w:r>
      <w:r w:rsidR="00C76A98" w:rsidRPr="004C12C9">
        <w:t xml:space="preserve">s </w:t>
      </w:r>
      <w:r w:rsidR="005960BC" w:rsidRPr="004C12C9">
        <w:t xml:space="preserve">originate from the largest importing country for each material. </w:t>
      </w:r>
      <w:r w:rsidRPr="004C12C9">
        <w:t xml:space="preserve">For materials like glass and brick, sourced from outside North America, the </w:t>
      </w:r>
      <w:r w:rsidR="005B3FD4" w:rsidRPr="004C12C9">
        <w:t xml:space="preserve">calculator </w:t>
      </w:r>
      <w:r w:rsidRPr="004C12C9">
        <w:t>assumes they are shipped via water transport to Newark and then transported from Newark to Minneapolis. </w:t>
      </w:r>
      <w:r w:rsidR="00995121" w:rsidRPr="004C12C9">
        <w:t xml:space="preserve">This is a simplified assumption due to the high variability of how imported goods </w:t>
      </w:r>
      <w:r w:rsidR="00B1501F" w:rsidRPr="004C12C9">
        <w:t>may travel</w:t>
      </w:r>
      <w:r w:rsidR="00995121" w:rsidRPr="004C12C9">
        <w:t xml:space="preserve"> to Minnesota</w:t>
      </w:r>
      <w:r w:rsidRPr="004C12C9">
        <w:t>.</w:t>
      </w:r>
    </w:p>
    <w:p w14:paraId="5A2F8892" w14:textId="759C4DB3" w:rsidR="00566096" w:rsidRPr="004C12C9" w:rsidRDefault="00566096" w:rsidP="003B5F7F">
      <w:pPr>
        <w:pStyle w:val="ListParagraph"/>
        <w:numPr>
          <w:ilvl w:val="0"/>
          <w:numId w:val="12"/>
        </w:numPr>
      </w:pPr>
      <w:r w:rsidRPr="004C12C9">
        <w:t xml:space="preserve">The simplified import distance assumptions introduce additional uncertainty in real-world applications. For instance, </w:t>
      </w:r>
      <w:r w:rsidR="00116FE4" w:rsidRPr="004C12C9">
        <w:t>the</w:t>
      </w:r>
      <w:r w:rsidRPr="004C12C9">
        <w:t xml:space="preserve"> </w:t>
      </w:r>
      <w:r w:rsidR="005B3FD4" w:rsidRPr="004C12C9">
        <w:t xml:space="preserve">calculator </w:t>
      </w:r>
      <w:r w:rsidRPr="004C12C9">
        <w:t>assumes that all steel imports come from Canada, the largest steel importer to the U</w:t>
      </w:r>
      <w:r w:rsidR="00116FE4" w:rsidRPr="004C12C9">
        <w:t>nited States.</w:t>
      </w:r>
      <w:r w:rsidRPr="004C12C9">
        <w:t xml:space="preserve"> However, if a development project in Minnesota sources all its steel from China</w:t>
      </w:r>
      <w:r w:rsidR="00C60341" w:rsidRPr="004C12C9">
        <w:t>,</w:t>
      </w:r>
      <w:r w:rsidRPr="004C12C9">
        <w:t xml:space="preserve"> the </w:t>
      </w:r>
      <w:r w:rsidR="005B3FD4" w:rsidRPr="004C12C9">
        <w:t xml:space="preserve">calculator </w:t>
      </w:r>
      <w:r w:rsidRPr="004C12C9">
        <w:t>would underestimate the</w:t>
      </w:r>
      <w:r w:rsidR="00B876EE" w:rsidRPr="004C12C9">
        <w:t xml:space="preserve"> emissions from transportation of steel to the construction site</w:t>
      </w:r>
      <w:r w:rsidRPr="004C12C9">
        <w:t xml:space="preserve"> </w:t>
      </w:r>
      <w:r w:rsidR="00B876EE" w:rsidRPr="004C12C9">
        <w:t>for the project.</w:t>
      </w:r>
    </w:p>
    <w:p w14:paraId="0555C699" w14:textId="77777777" w:rsidR="000D0834" w:rsidRPr="004C12C9" w:rsidRDefault="00FC5F6E" w:rsidP="00323CD8">
      <w:pPr>
        <w:pStyle w:val="Heading3"/>
      </w:pPr>
      <w:bookmarkStart w:id="68" w:name="_Ref195386402"/>
      <w:bookmarkStart w:id="69" w:name="_Toc219887768"/>
      <w:r w:rsidRPr="004C12C9">
        <w:t>Employee Commuting</w:t>
      </w:r>
      <w:bookmarkEnd w:id="68"/>
      <w:bookmarkEnd w:id="69"/>
      <w:r w:rsidRPr="004C12C9">
        <w:tab/>
      </w:r>
    </w:p>
    <w:p w14:paraId="04B1A141" w14:textId="67595C82" w:rsidR="00415EA1" w:rsidRPr="004C12C9" w:rsidRDefault="00D9121A" w:rsidP="00415EA1">
      <w:r w:rsidRPr="004C12C9">
        <w:t>Emissions</w:t>
      </w:r>
      <w:r w:rsidR="00690BE1" w:rsidRPr="004C12C9">
        <w:t xml:space="preserve"> </w:t>
      </w:r>
      <w:r w:rsidRPr="004C12C9">
        <w:t xml:space="preserve">result </w:t>
      </w:r>
      <w:r w:rsidR="005F77F3" w:rsidRPr="004C12C9">
        <w:t xml:space="preserve">when </w:t>
      </w:r>
      <w:r w:rsidRPr="004C12C9">
        <w:t>employee</w:t>
      </w:r>
      <w:r w:rsidR="005F77F3" w:rsidRPr="004C12C9">
        <w:t>s</w:t>
      </w:r>
      <w:r w:rsidRPr="004C12C9">
        <w:t xml:space="preserve"> commut</w:t>
      </w:r>
      <w:r w:rsidR="005F77F3" w:rsidRPr="004C12C9">
        <w:t>e</w:t>
      </w:r>
      <w:r w:rsidRPr="004C12C9">
        <w:t xml:space="preserve"> to</w:t>
      </w:r>
      <w:r w:rsidR="005F77F3" w:rsidRPr="004C12C9">
        <w:t xml:space="preserve"> and from</w:t>
      </w:r>
      <w:r w:rsidRPr="004C12C9">
        <w:t xml:space="preserve"> the project site during project construction.</w:t>
      </w:r>
      <w:r w:rsidR="003C3CA0">
        <w:rPr>
          <w:rFonts w:ascii="ZWAdobeF" w:hAnsi="ZWAdobeF" w:cs="ZWAdobeF"/>
          <w:sz w:val="2"/>
          <w:szCs w:val="2"/>
        </w:rPr>
        <w:t>24F</w:t>
      </w:r>
      <w:r w:rsidRPr="004C12C9">
        <w:rPr>
          <w:rStyle w:val="FootnoteReference"/>
        </w:rPr>
        <w:footnoteReference w:id="26"/>
      </w:r>
      <w:r w:rsidRPr="004C12C9">
        <w:t xml:space="preserve"> This includes emissions from driving personal vehicles </w:t>
      </w:r>
      <w:r w:rsidR="00372F7C" w:rsidRPr="004C12C9">
        <w:t>and</w:t>
      </w:r>
      <w:r w:rsidRPr="004C12C9">
        <w:t xml:space="preserve"> taking public transit. </w:t>
      </w:r>
      <w:r w:rsidR="00415EA1" w:rsidRPr="004C12C9">
        <w:t xml:space="preserve">The </w:t>
      </w:r>
      <w:r w:rsidR="005B3FD4" w:rsidRPr="004C12C9">
        <w:t xml:space="preserve">calculator </w:t>
      </w:r>
      <w:r w:rsidR="00415EA1" w:rsidRPr="004C12C9">
        <w:t xml:space="preserve">quantifies emissions </w:t>
      </w:r>
      <w:r w:rsidR="00483442" w:rsidRPr="004C12C9">
        <w:rPr>
          <w:rFonts w:eastAsia="MS PGothic"/>
        </w:rPr>
        <w:t xml:space="preserve">from employee commuting </w:t>
      </w:r>
      <w:r w:rsidR="00415EA1" w:rsidRPr="004C12C9">
        <w:t xml:space="preserve">based on </w:t>
      </w:r>
      <w:r w:rsidR="00493A52" w:rsidRPr="004C12C9">
        <w:t xml:space="preserve">estimates of </w:t>
      </w:r>
      <w:r w:rsidR="00415EA1" w:rsidRPr="004C12C9">
        <w:t xml:space="preserve">the </w:t>
      </w:r>
      <w:r w:rsidR="006B03C1" w:rsidRPr="004C12C9">
        <w:t xml:space="preserve">total </w:t>
      </w:r>
      <w:r w:rsidR="00AD1588" w:rsidRPr="004C12C9">
        <w:t>distance traveled</w:t>
      </w:r>
      <w:r w:rsidR="00C61CD6" w:rsidRPr="004C12C9">
        <w:t xml:space="preserve">, the commuter mode, </w:t>
      </w:r>
      <w:r w:rsidR="00415EA1" w:rsidRPr="004C12C9">
        <w:t xml:space="preserve">and </w:t>
      </w:r>
      <w:r w:rsidR="00A23C7D" w:rsidRPr="004C12C9">
        <w:t xml:space="preserve">mode-specific </w:t>
      </w:r>
      <w:r w:rsidR="00415EA1" w:rsidRPr="004C12C9">
        <w:t>emission factor</w:t>
      </w:r>
      <w:r w:rsidR="001747F8" w:rsidRPr="004C12C9">
        <w:t>s</w:t>
      </w:r>
      <w:r w:rsidR="00415EA1" w:rsidRPr="004C12C9">
        <w:t>, as shown in</w:t>
      </w:r>
      <w:r w:rsidR="001747F8" w:rsidRPr="004C12C9">
        <w:t xml:space="preserve"> </w:t>
      </w:r>
      <w:r w:rsidR="001747F8" w:rsidRPr="004C12C9">
        <w:fldChar w:fldCharType="begin" w:fldLock="1"/>
      </w:r>
      <w:r w:rsidR="001747F8" w:rsidRPr="004C12C9">
        <w:instrText xml:space="preserve"> REF _Ref195021509 \h </w:instrText>
      </w:r>
      <w:r w:rsidR="001747F8" w:rsidRPr="004C12C9">
        <w:fldChar w:fldCharType="separate"/>
      </w:r>
      <w:r w:rsidR="00127094" w:rsidRPr="004C12C9">
        <w:t>Equation 3</w:t>
      </w:r>
      <w:r w:rsidR="001747F8" w:rsidRPr="004C12C9">
        <w:fldChar w:fldCharType="end"/>
      </w:r>
      <w:r w:rsidR="002A0D74" w:rsidRPr="004C12C9">
        <w:t xml:space="preserve"> and </w:t>
      </w:r>
      <w:r w:rsidR="002A0D74" w:rsidRPr="004C12C9">
        <w:fldChar w:fldCharType="begin" w:fldLock="1"/>
      </w:r>
      <w:r w:rsidR="002A0D74" w:rsidRPr="004C12C9">
        <w:instrText xml:space="preserve"> REF _Ref195387506 \h </w:instrText>
      </w:r>
      <w:r w:rsidR="002A0D74" w:rsidRPr="004C12C9">
        <w:fldChar w:fldCharType="separate"/>
      </w:r>
      <w:r w:rsidR="00127094" w:rsidRPr="004C12C9">
        <w:t>Equation 4</w:t>
      </w:r>
      <w:r w:rsidR="002A0D74" w:rsidRPr="004C12C9">
        <w:fldChar w:fldCharType="end"/>
      </w:r>
      <w:r w:rsidR="00415EA1" w:rsidRPr="004C12C9">
        <w:t>.</w:t>
      </w:r>
    </w:p>
    <w:p w14:paraId="2D83E2B4" w14:textId="789EDF2A" w:rsidR="00415EA1" w:rsidRPr="004C12C9" w:rsidRDefault="00415EA1" w:rsidP="00415EA1">
      <w:pPr>
        <w:pStyle w:val="Caption"/>
      </w:pPr>
      <w:bookmarkStart w:id="70" w:name="_Ref195021509"/>
      <w:r w:rsidRPr="004C12C9">
        <w:t xml:space="preserve">Equation </w:t>
      </w:r>
      <w:r w:rsidR="00127094">
        <w:fldChar w:fldCharType="begin"/>
      </w:r>
      <w:r w:rsidR="00127094">
        <w:instrText xml:space="preserve"> SEQ Equation \* ARABIC </w:instrText>
      </w:r>
      <w:r w:rsidR="00127094">
        <w:fldChar w:fldCharType="separate"/>
      </w:r>
      <w:r w:rsidR="00C47624">
        <w:rPr>
          <w:noProof/>
        </w:rPr>
        <w:t>3</w:t>
      </w:r>
      <w:r w:rsidR="00127094">
        <w:fldChar w:fldCharType="end"/>
      </w:r>
      <w:bookmarkEnd w:id="70"/>
      <w:r w:rsidRPr="004C12C9">
        <w:t xml:space="preserve">. </w:t>
      </w:r>
      <w:r w:rsidR="000B598C" w:rsidRPr="004C12C9">
        <w:t xml:space="preserve">Total Distance </w:t>
      </w:r>
      <w:r w:rsidR="00C61CD6" w:rsidRPr="004C12C9">
        <w:t>T</w:t>
      </w:r>
      <w:r w:rsidR="000B598C" w:rsidRPr="004C12C9">
        <w:t xml:space="preserve">raveled by </w:t>
      </w:r>
      <w:r w:rsidR="00FC31FD" w:rsidRPr="004C12C9">
        <w:t>Employees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F24E59" w:rsidRPr="004C12C9" w14:paraId="22EB6359" w14:textId="77777777">
        <w:tc>
          <w:tcPr>
            <w:tcW w:w="10070" w:type="dxa"/>
            <w:gridSpan w:val="2"/>
            <w:shd w:val="clear" w:color="auto" w:fill="F2F2F2" w:themeFill="background1" w:themeFillShade="F2"/>
          </w:tcPr>
          <w:p w14:paraId="58B14CCB" w14:textId="430845EF" w:rsidR="00F24E59" w:rsidRPr="004C12C9" w:rsidRDefault="009C3AE7">
            <w:pPr>
              <w:pStyle w:val="Equation"/>
              <w:rPr>
                <w:noProof w:val="0"/>
              </w:rPr>
            </w:pPr>
            <m:oMathPara>
              <m:oMath>
                <m:r>
                  <w:rPr>
                    <w:noProof w:val="0"/>
                  </w:rPr>
                  <m:t xml:space="preserve">total distance= </m:t>
                </m:r>
                <m:nary>
                  <m:naryPr>
                    <m:chr m:val="∑"/>
                    <m:limLoc m:val="undOvr"/>
                    <m:subHide m:val="1"/>
                    <m:supHide m:val="1"/>
                    <m:ctrlPr>
                      <w:rPr>
                        <w:noProof w:val="0"/>
                      </w:rPr>
                    </m:ctrlPr>
                  </m:naryPr>
                  <m:sub/>
                  <m:sup/>
                  <m:e>
                    <m:sSub>
                      <m:sSubPr>
                        <m:ctrlPr>
                          <w:rPr>
                            <w:noProof w:val="0"/>
                          </w:rPr>
                        </m:ctrlPr>
                      </m:sSubPr>
                      <m:e>
                        <m:r>
                          <w:rPr>
                            <w:noProof w:val="0"/>
                          </w:rPr>
                          <m:t>employees</m:t>
                        </m:r>
                      </m:e>
                      <m:sub>
                        <m:r>
                          <w:rPr>
                            <w:noProof w:val="0"/>
                          </w:rPr>
                          <m:t>p</m:t>
                        </m:r>
                      </m:sub>
                    </m:sSub>
                    <m:r>
                      <w:rPr>
                        <w:noProof w:val="0"/>
                      </w:rPr>
                      <m:t xml:space="preserve"> × </m:t>
                    </m:r>
                    <m:sSub>
                      <m:sSubPr>
                        <m:ctrlPr>
                          <w:rPr>
                            <w:noProof w:val="0"/>
                          </w:rPr>
                        </m:ctrlPr>
                      </m:sSubPr>
                      <m:e>
                        <m:r>
                          <w:rPr>
                            <w:noProof w:val="0"/>
                          </w:rPr>
                          <m:t>construction days</m:t>
                        </m:r>
                      </m:e>
                      <m:sub>
                        <m:r>
                          <w:rPr>
                            <w:noProof w:val="0"/>
                          </w:rPr>
                          <m:t>p</m:t>
                        </m:r>
                      </m:sub>
                    </m:sSub>
                  </m:e>
                </m:nary>
                <m:r>
                  <w:rPr>
                    <w:noProof w:val="0"/>
                  </w:rPr>
                  <m:t xml:space="preserve"> </m:t>
                </m:r>
                <m:r>
                  <w:rPr>
                    <w:noProof w:val="0"/>
                    <w:color w:val="auto"/>
                    <w:lang w:bidi="ar-SA"/>
                  </w:rPr>
                  <m:t>× distance</m:t>
                </m:r>
              </m:oMath>
            </m:oMathPara>
          </w:p>
          <w:p w14:paraId="24DBE4F5" w14:textId="77777777" w:rsidR="00F24E59" w:rsidRPr="004C12C9" w:rsidRDefault="00F24E59">
            <w:pPr>
              <w:rPr>
                <w:i/>
                <w:iCs/>
              </w:rPr>
            </w:pPr>
            <w:r w:rsidRPr="004C12C9">
              <w:rPr>
                <w:i/>
                <w:iCs/>
                <w:sz w:val="20"/>
                <w:szCs w:val="20"/>
              </w:rPr>
              <w:t xml:space="preserve">where, </w:t>
            </w:r>
          </w:p>
        </w:tc>
      </w:tr>
      <w:tr w:rsidR="00F24E59" w:rsidRPr="004C12C9" w14:paraId="4A29B6D8" w14:textId="77777777">
        <w:tc>
          <w:tcPr>
            <w:tcW w:w="2070" w:type="dxa"/>
            <w:shd w:val="clear" w:color="auto" w:fill="F2F2F2" w:themeFill="background1" w:themeFillShade="F2"/>
          </w:tcPr>
          <w:p w14:paraId="64355172" w14:textId="18570296" w:rsidR="00F24E59" w:rsidRPr="004C12C9" w:rsidRDefault="000B598C" w:rsidP="001835B2">
            <w:pPr>
              <w:tabs>
                <w:tab w:val="left" w:pos="2160"/>
              </w:tabs>
              <w:contextualSpacing/>
              <w:rPr>
                <w:rFonts w:eastAsia="Arial"/>
                <w:sz w:val="20"/>
                <w:szCs w:val="20"/>
              </w:rPr>
            </w:pPr>
            <w:r w:rsidRPr="004C12C9">
              <w:rPr>
                <w:rFonts w:eastAsia="Arial"/>
                <w:sz w:val="20"/>
                <w:szCs w:val="20"/>
              </w:rPr>
              <w:t>Employees Construction days</w:t>
            </w:r>
          </w:p>
          <w:p w14:paraId="3B4F06BA" w14:textId="671B5561" w:rsidR="000B598C" w:rsidRPr="004C12C9" w:rsidRDefault="000B598C" w:rsidP="001835B2">
            <w:pPr>
              <w:tabs>
                <w:tab w:val="left" w:pos="2160"/>
              </w:tabs>
              <w:contextualSpacing/>
              <w:rPr>
                <w:rFonts w:eastAsia="Arial"/>
                <w:sz w:val="20"/>
                <w:szCs w:val="20"/>
              </w:rPr>
            </w:pPr>
            <w:r w:rsidRPr="004C12C9">
              <w:rPr>
                <w:rFonts w:eastAsia="Arial"/>
                <w:sz w:val="20"/>
                <w:szCs w:val="20"/>
              </w:rPr>
              <w:t xml:space="preserve">Distance </w:t>
            </w:r>
          </w:p>
        </w:tc>
        <w:tc>
          <w:tcPr>
            <w:tcW w:w="8000" w:type="dxa"/>
            <w:shd w:val="clear" w:color="auto" w:fill="F2F2F2" w:themeFill="background1" w:themeFillShade="F2"/>
          </w:tcPr>
          <w:p w14:paraId="3E8A3811" w14:textId="6466378D" w:rsidR="000B598C" w:rsidRPr="004C12C9" w:rsidRDefault="00BE29D0" w:rsidP="001835B2">
            <w:pPr>
              <w:tabs>
                <w:tab w:val="left" w:pos="2160"/>
              </w:tabs>
              <w:contextualSpacing/>
              <w:rPr>
                <w:rFonts w:eastAsia="Arial"/>
                <w:sz w:val="20"/>
                <w:szCs w:val="20"/>
              </w:rPr>
            </w:pPr>
            <w:r w:rsidRPr="004C12C9">
              <w:rPr>
                <w:rFonts w:eastAsia="Arial"/>
                <w:sz w:val="20"/>
                <w:szCs w:val="20"/>
              </w:rPr>
              <w:t xml:space="preserve">= </w:t>
            </w:r>
            <w:r w:rsidR="000B598C" w:rsidRPr="004C12C9">
              <w:rPr>
                <w:rFonts w:eastAsia="Arial"/>
                <w:sz w:val="20"/>
                <w:szCs w:val="20"/>
              </w:rPr>
              <w:t>Number of employees commuting each day by construction phase, p (employees/day)</w:t>
            </w:r>
          </w:p>
          <w:p w14:paraId="0706EC9F" w14:textId="5729429A" w:rsidR="001835B2" w:rsidRPr="004C12C9" w:rsidRDefault="00BE29D0" w:rsidP="001835B2">
            <w:pPr>
              <w:tabs>
                <w:tab w:val="left" w:pos="2160"/>
              </w:tabs>
              <w:contextualSpacing/>
              <w:rPr>
                <w:rFonts w:eastAsia="Arial"/>
                <w:sz w:val="20"/>
                <w:szCs w:val="20"/>
              </w:rPr>
            </w:pPr>
            <w:r w:rsidRPr="004C12C9">
              <w:rPr>
                <w:rFonts w:eastAsia="Arial"/>
                <w:sz w:val="20"/>
                <w:szCs w:val="20"/>
              </w:rPr>
              <w:t xml:space="preserve">= </w:t>
            </w:r>
            <w:r w:rsidR="000B598C" w:rsidRPr="004C12C9">
              <w:rPr>
                <w:rFonts w:eastAsia="Arial"/>
                <w:sz w:val="20"/>
                <w:szCs w:val="20"/>
              </w:rPr>
              <w:t>Number of construction days by phase, p (days)</w:t>
            </w:r>
          </w:p>
          <w:p w14:paraId="5C71604F" w14:textId="71454784" w:rsidR="001835B2" w:rsidRPr="004C12C9" w:rsidRDefault="00BE29D0" w:rsidP="001835B2">
            <w:pPr>
              <w:tabs>
                <w:tab w:val="left" w:pos="2160"/>
              </w:tabs>
              <w:contextualSpacing/>
              <w:rPr>
                <w:rFonts w:eastAsia="Arial"/>
                <w:sz w:val="20"/>
                <w:szCs w:val="20"/>
              </w:rPr>
            </w:pPr>
            <w:r w:rsidRPr="004C12C9">
              <w:rPr>
                <w:rFonts w:eastAsia="Arial"/>
                <w:sz w:val="20"/>
                <w:szCs w:val="20"/>
              </w:rPr>
              <w:t xml:space="preserve">= </w:t>
            </w:r>
            <w:r w:rsidR="001835B2" w:rsidRPr="004C12C9">
              <w:rPr>
                <w:rFonts w:eastAsia="Arial"/>
                <w:sz w:val="20"/>
                <w:szCs w:val="20"/>
              </w:rPr>
              <w:t>Average distance traveled by employees to and from the project site each day (miles/day)</w:t>
            </w:r>
          </w:p>
          <w:p w14:paraId="1A83B7AA" w14:textId="77777777" w:rsidR="00F24E59" w:rsidRPr="004C12C9" w:rsidRDefault="00F24E59" w:rsidP="001835B2">
            <w:pPr>
              <w:tabs>
                <w:tab w:val="left" w:pos="2160"/>
              </w:tabs>
              <w:contextualSpacing/>
              <w:rPr>
                <w:rFonts w:eastAsia="Arial"/>
                <w:sz w:val="20"/>
                <w:szCs w:val="20"/>
              </w:rPr>
            </w:pPr>
          </w:p>
        </w:tc>
      </w:tr>
    </w:tbl>
    <w:p w14:paraId="1399FEF3" w14:textId="77777777" w:rsidR="00F95DF4" w:rsidRPr="004C12C9" w:rsidRDefault="00F95DF4" w:rsidP="000B598C">
      <w:pPr>
        <w:pStyle w:val="Caption"/>
      </w:pPr>
      <w:bookmarkStart w:id="71" w:name="_Ref195387506"/>
    </w:p>
    <w:p w14:paraId="5BC0C02A" w14:textId="77777777" w:rsidR="00F95DF4" w:rsidRPr="004C12C9" w:rsidRDefault="00F95DF4">
      <w:pPr>
        <w:spacing w:before="120" w:after="0" w:line="271" w:lineRule="auto"/>
        <w:rPr>
          <w:b/>
          <w:bCs/>
          <w:iCs/>
          <w:color w:val="000000" w:themeColor="text2"/>
          <w:sz w:val="20"/>
          <w:szCs w:val="20"/>
        </w:rPr>
      </w:pPr>
      <w:r w:rsidRPr="004C12C9">
        <w:br w:type="page"/>
      </w:r>
    </w:p>
    <w:p w14:paraId="3396D536" w14:textId="0A529B65" w:rsidR="000B598C" w:rsidRPr="004C12C9" w:rsidRDefault="000B598C" w:rsidP="000B598C">
      <w:pPr>
        <w:pStyle w:val="Caption"/>
      </w:pPr>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4</w:t>
      </w:r>
      <w:r w:rsidR="00127094">
        <w:fldChar w:fldCharType="end"/>
      </w:r>
      <w:bookmarkEnd w:id="71"/>
      <w:r w:rsidRPr="004C12C9">
        <w:t>. GHG Emissions from Employee Commuting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2A0D74" w:rsidRPr="004C12C9" w14:paraId="20D5D2BE" w14:textId="77777777">
        <w:tc>
          <w:tcPr>
            <w:tcW w:w="10070" w:type="dxa"/>
            <w:gridSpan w:val="2"/>
            <w:shd w:val="clear" w:color="auto" w:fill="F2F2F2" w:themeFill="background1" w:themeFillShade="F2"/>
          </w:tcPr>
          <w:p w14:paraId="769ADB0A" w14:textId="5D0B03EA" w:rsidR="002A0D74" w:rsidRPr="004C12C9" w:rsidRDefault="000002AA" w:rsidP="002A0D74">
            <w:pPr>
              <w:pStyle w:val="Equation"/>
              <w:rPr>
                <w:noProof w:val="0"/>
                <w:lang w:bidi="ar-SA"/>
              </w:rPr>
            </w:pPr>
            <m:oMathPara>
              <m:oMath>
                <m:r>
                  <w:rPr>
                    <w:noProof w:val="0"/>
                  </w:rPr>
                  <m:t>GHG emissions=</m:t>
                </m:r>
                <m:nary>
                  <m:naryPr>
                    <m:chr m:val="∑"/>
                    <m:limLoc m:val="undOvr"/>
                    <m:subHide m:val="1"/>
                    <m:supHide m:val="1"/>
                    <m:ctrlPr>
                      <w:rPr>
                        <w:noProof w:val="0"/>
                      </w:rPr>
                    </m:ctrlPr>
                  </m:naryPr>
                  <m:sub/>
                  <m:sup/>
                  <m:e>
                    <m:r>
                      <w:rPr>
                        <w:noProof w:val="0"/>
                      </w:rPr>
                      <m:t xml:space="preserve">total distance× </m:t>
                    </m:r>
                    <m:sSub>
                      <m:sSubPr>
                        <m:ctrlPr>
                          <w:rPr>
                            <w:noProof w:val="0"/>
                            <w:color w:val="auto"/>
                            <w:lang w:bidi="ar-SA"/>
                          </w:rPr>
                        </m:ctrlPr>
                      </m:sSubPr>
                      <m:e>
                        <m:r>
                          <w:rPr>
                            <w:noProof w:val="0"/>
                            <w:color w:val="auto"/>
                            <w:lang w:bidi="ar-SA"/>
                          </w:rPr>
                          <m:t>emission factor</m:t>
                        </m:r>
                      </m:e>
                      <m:sub>
                        <m:r>
                          <w:rPr>
                            <w:noProof w:val="0"/>
                            <w:color w:val="auto"/>
                            <w:lang w:bidi="ar-SA"/>
                          </w:rPr>
                          <m:t>m</m:t>
                        </m:r>
                      </m:sub>
                    </m:sSub>
                    <m:r>
                      <w:rPr>
                        <w:noProof w:val="0"/>
                        <w:color w:val="auto"/>
                        <w:lang w:bidi="ar-SA"/>
                      </w:rPr>
                      <m:t xml:space="preserve"> ×</m:t>
                    </m:r>
                    <m:sSub>
                      <m:sSubPr>
                        <m:ctrlPr>
                          <w:rPr>
                            <w:noProof w:val="0"/>
                            <w:color w:val="auto"/>
                            <w:lang w:bidi="ar-SA"/>
                          </w:rPr>
                        </m:ctrlPr>
                      </m:sSubPr>
                      <m:e>
                        <m:r>
                          <w:rPr>
                            <w:noProof w:val="0"/>
                            <w:color w:val="auto"/>
                            <w:lang w:bidi="ar-SA"/>
                          </w:rPr>
                          <m:t>mode</m:t>
                        </m:r>
                      </m:e>
                      <m:sub>
                        <m:r>
                          <w:rPr>
                            <w:noProof w:val="0"/>
                            <w:color w:val="auto"/>
                            <w:lang w:bidi="ar-SA"/>
                          </w:rPr>
                          <m:t>m</m:t>
                        </m:r>
                      </m:sub>
                    </m:sSub>
                  </m:e>
                </m:nary>
              </m:oMath>
            </m:oMathPara>
          </w:p>
          <w:p w14:paraId="3082B13A" w14:textId="77777777" w:rsidR="002A0D74" w:rsidRPr="004C12C9" w:rsidRDefault="002A0D74">
            <w:pPr>
              <w:rPr>
                <w:i/>
                <w:iCs/>
              </w:rPr>
            </w:pPr>
            <w:r w:rsidRPr="004C12C9">
              <w:rPr>
                <w:i/>
                <w:iCs/>
                <w:sz w:val="20"/>
                <w:szCs w:val="20"/>
              </w:rPr>
              <w:t xml:space="preserve">where, </w:t>
            </w:r>
          </w:p>
        </w:tc>
      </w:tr>
      <w:tr w:rsidR="002A0D74" w:rsidRPr="004C12C9" w14:paraId="13650EB3" w14:textId="77777777" w:rsidTr="00A6013B">
        <w:tc>
          <w:tcPr>
            <w:tcW w:w="1980" w:type="dxa"/>
            <w:shd w:val="clear" w:color="auto" w:fill="F2F2F2" w:themeFill="background1" w:themeFillShade="F2"/>
          </w:tcPr>
          <w:p w14:paraId="7A05AE8B" w14:textId="0AA21688" w:rsidR="002A0D74" w:rsidRPr="004C12C9" w:rsidRDefault="002A0D74">
            <w:pPr>
              <w:tabs>
                <w:tab w:val="left" w:pos="2160"/>
              </w:tabs>
              <w:contextualSpacing/>
              <w:rPr>
                <w:rFonts w:eastAsia="Arial"/>
                <w:sz w:val="20"/>
                <w:szCs w:val="20"/>
              </w:rPr>
            </w:pPr>
            <w:r w:rsidRPr="004C12C9">
              <w:rPr>
                <w:rFonts w:eastAsia="Arial"/>
                <w:sz w:val="20"/>
                <w:szCs w:val="20"/>
              </w:rPr>
              <w:t>Total distance</w:t>
            </w:r>
          </w:p>
          <w:p w14:paraId="7947321C" w14:textId="07470FD0" w:rsidR="00D13BB0" w:rsidRPr="004C12C9" w:rsidRDefault="00D13BB0">
            <w:pPr>
              <w:tabs>
                <w:tab w:val="left" w:pos="2160"/>
              </w:tabs>
              <w:contextualSpacing/>
              <w:rPr>
                <w:rFonts w:eastAsia="Arial"/>
                <w:sz w:val="20"/>
                <w:szCs w:val="20"/>
              </w:rPr>
            </w:pPr>
            <w:r w:rsidRPr="004C12C9">
              <w:rPr>
                <w:rFonts w:eastAsia="Arial"/>
                <w:sz w:val="20"/>
                <w:szCs w:val="20"/>
              </w:rPr>
              <w:t>Emission factor</w:t>
            </w:r>
          </w:p>
          <w:p w14:paraId="68FE8D5B" w14:textId="6A34B036" w:rsidR="00D13BB0" w:rsidRPr="004C12C9" w:rsidRDefault="00D13BB0">
            <w:pPr>
              <w:tabs>
                <w:tab w:val="left" w:pos="2160"/>
              </w:tabs>
              <w:contextualSpacing/>
              <w:rPr>
                <w:rFonts w:eastAsia="Arial"/>
                <w:sz w:val="20"/>
                <w:szCs w:val="20"/>
              </w:rPr>
            </w:pPr>
            <w:r w:rsidRPr="004C12C9">
              <w:rPr>
                <w:rFonts w:eastAsia="Arial"/>
                <w:sz w:val="20"/>
                <w:szCs w:val="20"/>
              </w:rPr>
              <w:t xml:space="preserve">Mode </w:t>
            </w:r>
          </w:p>
        </w:tc>
        <w:tc>
          <w:tcPr>
            <w:tcW w:w="8090" w:type="dxa"/>
            <w:shd w:val="clear" w:color="auto" w:fill="F2F2F2" w:themeFill="background1" w:themeFillShade="F2"/>
          </w:tcPr>
          <w:p w14:paraId="33B1EB2B" w14:textId="4C365F13" w:rsidR="002A0D74" w:rsidRPr="004C12C9" w:rsidRDefault="00BE29D0">
            <w:pPr>
              <w:tabs>
                <w:tab w:val="left" w:pos="2160"/>
              </w:tabs>
              <w:contextualSpacing/>
              <w:rPr>
                <w:rFonts w:eastAsia="Arial"/>
                <w:sz w:val="20"/>
                <w:szCs w:val="20"/>
              </w:rPr>
            </w:pPr>
            <w:r w:rsidRPr="004C12C9">
              <w:rPr>
                <w:rFonts w:eastAsia="Arial"/>
                <w:sz w:val="20"/>
                <w:szCs w:val="20"/>
              </w:rPr>
              <w:t xml:space="preserve">= </w:t>
            </w:r>
            <w:r w:rsidR="002A0D74" w:rsidRPr="004C12C9">
              <w:rPr>
                <w:rFonts w:eastAsia="Arial"/>
                <w:sz w:val="20"/>
                <w:szCs w:val="20"/>
              </w:rPr>
              <w:t xml:space="preserve">Total </w:t>
            </w:r>
            <w:r w:rsidR="00175CEB" w:rsidRPr="004C12C9">
              <w:rPr>
                <w:rFonts w:eastAsia="Arial"/>
                <w:sz w:val="20"/>
                <w:szCs w:val="20"/>
              </w:rPr>
              <w:t xml:space="preserve">miles </w:t>
            </w:r>
            <w:r w:rsidR="002A0D74" w:rsidRPr="004C12C9">
              <w:rPr>
                <w:rFonts w:eastAsia="Arial"/>
                <w:sz w:val="20"/>
                <w:szCs w:val="20"/>
              </w:rPr>
              <w:t>traveled by employees to and from the project site</w:t>
            </w:r>
            <w:r w:rsidR="00D13BB0" w:rsidRPr="004C12C9">
              <w:rPr>
                <w:rFonts w:eastAsia="Arial"/>
                <w:sz w:val="20"/>
                <w:szCs w:val="20"/>
              </w:rPr>
              <w:t>, as calculate</w:t>
            </w:r>
            <w:r w:rsidR="00D13921" w:rsidRPr="004C12C9">
              <w:rPr>
                <w:rFonts w:eastAsia="Arial"/>
                <w:sz w:val="20"/>
                <w:szCs w:val="20"/>
              </w:rPr>
              <w:t>d</w:t>
            </w:r>
            <w:r w:rsidR="00D13BB0" w:rsidRPr="004C12C9">
              <w:rPr>
                <w:rFonts w:eastAsia="Arial"/>
                <w:sz w:val="20"/>
                <w:szCs w:val="20"/>
              </w:rPr>
              <w:t xml:space="preserve"> in </w:t>
            </w:r>
            <w:r w:rsidR="00D13BB0" w:rsidRPr="004C12C9">
              <w:rPr>
                <w:rFonts w:eastAsia="Arial"/>
                <w:sz w:val="20"/>
                <w:szCs w:val="20"/>
              </w:rPr>
              <w:fldChar w:fldCharType="begin" w:fldLock="1"/>
            </w:r>
            <w:r w:rsidR="00D13BB0" w:rsidRPr="004C12C9">
              <w:rPr>
                <w:rFonts w:eastAsia="Arial"/>
                <w:sz w:val="20"/>
                <w:szCs w:val="20"/>
              </w:rPr>
              <w:instrText xml:space="preserve"> REF _Ref195021509 \h  \* MERGEFORMAT </w:instrText>
            </w:r>
            <w:r w:rsidR="00D13BB0" w:rsidRPr="004C12C9">
              <w:rPr>
                <w:rFonts w:eastAsia="Arial"/>
                <w:sz w:val="20"/>
                <w:szCs w:val="20"/>
              </w:rPr>
            </w:r>
            <w:r w:rsidR="00D13BB0" w:rsidRPr="004C12C9">
              <w:rPr>
                <w:rFonts w:eastAsia="Arial"/>
                <w:sz w:val="20"/>
                <w:szCs w:val="20"/>
              </w:rPr>
              <w:fldChar w:fldCharType="separate"/>
            </w:r>
            <w:r w:rsidR="00127094" w:rsidRPr="004C12C9">
              <w:rPr>
                <w:rFonts w:eastAsia="Arial"/>
                <w:sz w:val="20"/>
                <w:szCs w:val="20"/>
              </w:rPr>
              <w:t>Equation 3</w:t>
            </w:r>
            <w:r w:rsidR="00D13BB0" w:rsidRPr="004C12C9">
              <w:rPr>
                <w:rFonts w:eastAsia="Arial"/>
                <w:sz w:val="20"/>
                <w:szCs w:val="20"/>
              </w:rPr>
              <w:fldChar w:fldCharType="end"/>
            </w:r>
          </w:p>
          <w:p w14:paraId="0D9FCF47" w14:textId="62483117" w:rsidR="00D13BB0" w:rsidRPr="004C12C9" w:rsidRDefault="00BE29D0">
            <w:pPr>
              <w:tabs>
                <w:tab w:val="left" w:pos="2160"/>
              </w:tabs>
              <w:contextualSpacing/>
              <w:rPr>
                <w:rFonts w:eastAsia="Arial"/>
                <w:sz w:val="20"/>
                <w:szCs w:val="20"/>
              </w:rPr>
            </w:pPr>
            <w:r w:rsidRPr="004C12C9">
              <w:rPr>
                <w:rFonts w:eastAsia="Arial"/>
                <w:sz w:val="20"/>
                <w:szCs w:val="20"/>
              </w:rPr>
              <w:t xml:space="preserve">= </w:t>
            </w:r>
            <w:r w:rsidR="00D13BB0" w:rsidRPr="004C12C9">
              <w:rPr>
                <w:rFonts w:eastAsia="Arial"/>
                <w:sz w:val="20"/>
                <w:szCs w:val="20"/>
              </w:rPr>
              <w:t>GHG emissions per mile traveled per person by commuting mode, m (kgCO</w:t>
            </w:r>
            <w:r w:rsidR="00D13BB0" w:rsidRPr="004C12C9">
              <w:rPr>
                <w:rFonts w:eastAsia="Arial"/>
                <w:sz w:val="20"/>
                <w:szCs w:val="20"/>
                <w:vertAlign w:val="subscript"/>
              </w:rPr>
              <w:t>2</w:t>
            </w:r>
            <w:r w:rsidR="00D13BB0" w:rsidRPr="004C12C9">
              <w:rPr>
                <w:rFonts w:eastAsia="Arial"/>
                <w:sz w:val="20"/>
                <w:szCs w:val="20"/>
              </w:rPr>
              <w:t>e/passenger</w:t>
            </w:r>
            <w:r w:rsidR="000B5257" w:rsidRPr="004C12C9">
              <w:rPr>
                <w:rFonts w:eastAsia="Arial"/>
                <w:sz w:val="20"/>
                <w:szCs w:val="20"/>
              </w:rPr>
              <w:t xml:space="preserve"> </w:t>
            </w:r>
            <w:r w:rsidR="00D13BB0" w:rsidRPr="004C12C9">
              <w:rPr>
                <w:rFonts w:eastAsia="Arial"/>
                <w:sz w:val="20"/>
                <w:szCs w:val="20"/>
              </w:rPr>
              <w:t>mile)</w:t>
            </w:r>
          </w:p>
          <w:p w14:paraId="52A5F805" w14:textId="73297D03" w:rsidR="00D13BB0" w:rsidRPr="004C12C9" w:rsidRDefault="00BE29D0">
            <w:pPr>
              <w:tabs>
                <w:tab w:val="left" w:pos="2160"/>
              </w:tabs>
              <w:contextualSpacing/>
              <w:rPr>
                <w:rFonts w:eastAsia="Arial"/>
                <w:sz w:val="20"/>
                <w:szCs w:val="20"/>
              </w:rPr>
            </w:pPr>
            <w:r w:rsidRPr="004C12C9">
              <w:rPr>
                <w:rFonts w:eastAsia="Arial"/>
                <w:sz w:val="20"/>
                <w:szCs w:val="20"/>
              </w:rPr>
              <w:t xml:space="preserve">= </w:t>
            </w:r>
            <w:r w:rsidR="00D13BB0" w:rsidRPr="004C12C9">
              <w:rPr>
                <w:rFonts w:eastAsia="Arial"/>
                <w:sz w:val="20"/>
                <w:szCs w:val="20"/>
              </w:rPr>
              <w:t>The percent of employees that commute to work by commuting mode, m</w:t>
            </w:r>
            <w:r w:rsidR="005F546F" w:rsidRPr="004C12C9">
              <w:rPr>
                <w:rFonts w:eastAsia="Arial"/>
                <w:sz w:val="20"/>
                <w:szCs w:val="20"/>
              </w:rPr>
              <w:t xml:space="preserve"> (%)</w:t>
            </w:r>
          </w:p>
          <w:p w14:paraId="4B97A36B" w14:textId="77777777" w:rsidR="002A0D74" w:rsidRPr="004C12C9" w:rsidRDefault="002A0D74">
            <w:pPr>
              <w:tabs>
                <w:tab w:val="left" w:pos="2160"/>
              </w:tabs>
              <w:contextualSpacing/>
              <w:rPr>
                <w:rFonts w:eastAsia="Arial"/>
                <w:sz w:val="20"/>
                <w:szCs w:val="20"/>
              </w:rPr>
            </w:pPr>
          </w:p>
        </w:tc>
      </w:tr>
    </w:tbl>
    <w:p w14:paraId="50E4C4BC" w14:textId="77777777" w:rsidR="0026195A" w:rsidRPr="004C12C9" w:rsidRDefault="0026195A" w:rsidP="0026195A">
      <w:pPr>
        <w:pStyle w:val="Heading4"/>
        <w:rPr>
          <w:rFonts w:eastAsia="Arial"/>
        </w:rPr>
      </w:pPr>
      <w:r w:rsidRPr="004C12C9">
        <w:rPr>
          <w:rFonts w:eastAsia="Arial"/>
        </w:rPr>
        <w:t>Employees</w:t>
      </w:r>
    </w:p>
    <w:p w14:paraId="09B0D14A" w14:textId="6DCB125D" w:rsidR="0026195A" w:rsidRPr="004C12C9" w:rsidRDefault="0026195A" w:rsidP="0026195A">
      <w:r w:rsidRPr="004C12C9">
        <w:t xml:space="preserve">Users are required to provide data on the number of employees that will commute to the construction site during each </w:t>
      </w:r>
      <w:r w:rsidR="00F52247" w:rsidRPr="004C12C9">
        <w:t xml:space="preserve">phase of </w:t>
      </w:r>
      <w:r w:rsidR="003D5295" w:rsidRPr="004C12C9">
        <w:t>construction</w:t>
      </w:r>
      <w:r w:rsidRPr="004C12C9">
        <w:t xml:space="preserve">. </w:t>
      </w:r>
      <w:r w:rsidR="00536F21" w:rsidRPr="004C12C9">
        <w:t>T</w:t>
      </w:r>
      <w:r w:rsidRPr="004C12C9">
        <w:t>he construction phases for which users must provide data</w:t>
      </w:r>
      <w:r w:rsidR="00536F21" w:rsidRPr="004C12C9">
        <w:t xml:space="preserve"> include:</w:t>
      </w:r>
    </w:p>
    <w:p w14:paraId="01767912" w14:textId="0C7F44C8" w:rsidR="00536F21" w:rsidRPr="004C12C9" w:rsidRDefault="00536F21" w:rsidP="003B5F7F">
      <w:pPr>
        <w:pStyle w:val="ListParagraph"/>
        <w:numPr>
          <w:ilvl w:val="0"/>
          <w:numId w:val="24"/>
        </w:numPr>
      </w:pPr>
      <w:r w:rsidRPr="004C12C9">
        <w:t>Demolition</w:t>
      </w:r>
    </w:p>
    <w:p w14:paraId="1927339F" w14:textId="0C84F89E" w:rsidR="00536F21" w:rsidRPr="004C12C9" w:rsidRDefault="00536F21" w:rsidP="003B5F7F">
      <w:pPr>
        <w:pStyle w:val="ListParagraph"/>
        <w:numPr>
          <w:ilvl w:val="0"/>
          <w:numId w:val="24"/>
        </w:numPr>
      </w:pPr>
      <w:r w:rsidRPr="004C12C9">
        <w:t>Site Preparation</w:t>
      </w:r>
    </w:p>
    <w:p w14:paraId="4F036499" w14:textId="75E8F7FB" w:rsidR="00536F21" w:rsidRPr="004C12C9" w:rsidRDefault="00536F21" w:rsidP="003B5F7F">
      <w:pPr>
        <w:pStyle w:val="ListParagraph"/>
        <w:numPr>
          <w:ilvl w:val="0"/>
          <w:numId w:val="24"/>
        </w:numPr>
      </w:pPr>
      <w:r w:rsidRPr="004C12C9">
        <w:t>Grading</w:t>
      </w:r>
    </w:p>
    <w:p w14:paraId="3F5271C9" w14:textId="58E3FAB1" w:rsidR="00536F21" w:rsidRPr="004C12C9" w:rsidRDefault="00536F21" w:rsidP="003B5F7F">
      <w:pPr>
        <w:pStyle w:val="ListParagraph"/>
        <w:numPr>
          <w:ilvl w:val="0"/>
          <w:numId w:val="24"/>
        </w:numPr>
      </w:pPr>
      <w:r w:rsidRPr="004C12C9">
        <w:t>Building Construction</w:t>
      </w:r>
    </w:p>
    <w:p w14:paraId="5EBB4166" w14:textId="0A7CE88A" w:rsidR="00536F21" w:rsidRPr="004C12C9" w:rsidRDefault="00536F21" w:rsidP="003B5F7F">
      <w:pPr>
        <w:pStyle w:val="ListParagraph"/>
        <w:numPr>
          <w:ilvl w:val="0"/>
          <w:numId w:val="24"/>
        </w:numPr>
      </w:pPr>
      <w:r w:rsidRPr="004C12C9">
        <w:t>Architectural Coating</w:t>
      </w:r>
    </w:p>
    <w:p w14:paraId="0E0BEB3F" w14:textId="4B666EF9" w:rsidR="00536F21" w:rsidRPr="004C12C9" w:rsidRDefault="00536F21" w:rsidP="003B5F7F">
      <w:pPr>
        <w:pStyle w:val="ListParagraph"/>
        <w:numPr>
          <w:ilvl w:val="0"/>
          <w:numId w:val="24"/>
        </w:numPr>
      </w:pPr>
      <w:r w:rsidRPr="004C12C9">
        <w:t>Paving</w:t>
      </w:r>
    </w:p>
    <w:p w14:paraId="3A8D25D5" w14:textId="1A1F4268" w:rsidR="00305924" w:rsidRPr="004C12C9" w:rsidRDefault="00305924" w:rsidP="00E31E37">
      <w:pPr>
        <w:pStyle w:val="Heading4"/>
      </w:pPr>
      <w:r w:rsidRPr="004C12C9">
        <w:t>Construction Days</w:t>
      </w:r>
    </w:p>
    <w:p w14:paraId="7547BE66" w14:textId="38CFAEFF" w:rsidR="00EA3FAD" w:rsidRPr="004C12C9" w:rsidRDefault="00A1146A" w:rsidP="0026195A">
      <w:r w:rsidRPr="004C12C9">
        <w:t xml:space="preserve">Default assumptions regarding the number of construction days by construction phase are available in the </w:t>
      </w:r>
      <w:r w:rsidR="005B3FD4" w:rsidRPr="004C12C9">
        <w:t>calculator</w:t>
      </w:r>
      <w:r w:rsidR="00124098" w:rsidRPr="004C12C9">
        <w:t xml:space="preserve">. </w:t>
      </w:r>
      <w:r w:rsidR="00EA3FAD" w:rsidRPr="004C12C9">
        <w:t xml:space="preserve">The </w:t>
      </w:r>
      <w:r w:rsidR="00750C9E" w:rsidRPr="004C12C9">
        <w:t xml:space="preserve">default </w:t>
      </w:r>
      <w:r w:rsidR="00EA3FAD" w:rsidRPr="004C12C9">
        <w:t xml:space="preserve">number of construction days by construction phase </w:t>
      </w:r>
      <w:r w:rsidR="009547B9" w:rsidRPr="004C12C9">
        <w:t>are</w:t>
      </w:r>
      <w:r w:rsidR="00EA3FAD" w:rsidRPr="004C12C9">
        <w:t xml:space="preserve"> based on values derived from the California Emissions Estimator Model (CalEEMod).</w:t>
      </w:r>
      <w:r w:rsidR="003C3CA0">
        <w:rPr>
          <w:rFonts w:ascii="ZWAdobeF" w:hAnsi="ZWAdobeF" w:cs="ZWAdobeF"/>
          <w:sz w:val="2"/>
          <w:szCs w:val="2"/>
        </w:rPr>
        <w:t>25F</w:t>
      </w:r>
      <w:r w:rsidR="00EA3FAD" w:rsidRPr="004C12C9">
        <w:rPr>
          <w:rStyle w:val="FootnoteReference"/>
        </w:rPr>
        <w:footnoteReference w:id="27"/>
      </w:r>
      <w:r w:rsidR="00EA3FAD" w:rsidRPr="004C12C9">
        <w:t xml:space="preserve"> Specifically, Appendix G, Table G-7 of the User Guide provides estimates of the number of construction days by construction phase and project size (in acres).</w:t>
      </w:r>
      <w:r w:rsidR="003C3CA0">
        <w:rPr>
          <w:rFonts w:ascii="ZWAdobeF" w:hAnsi="ZWAdobeF" w:cs="ZWAdobeF"/>
          <w:sz w:val="2"/>
          <w:szCs w:val="2"/>
        </w:rPr>
        <w:t>26F</w:t>
      </w:r>
      <w:r w:rsidR="00EA3FAD" w:rsidRPr="004C12C9">
        <w:rPr>
          <w:rStyle w:val="FootnoteReference"/>
        </w:rPr>
        <w:footnoteReference w:id="28"/>
      </w:r>
      <w:r w:rsidR="00EA3FAD" w:rsidRPr="004C12C9">
        <w:t xml:space="preserve"> These data were used to estimate the number of construction days by construction phase per acre, as summarized in </w:t>
      </w:r>
      <w:r w:rsidR="00223574" w:rsidRPr="004C12C9">
        <w:fldChar w:fldCharType="begin" w:fldLock="1"/>
      </w:r>
      <w:r w:rsidR="00223574" w:rsidRPr="004C12C9">
        <w:instrText xml:space="preserve"> REF _Ref195522558 \h </w:instrText>
      </w:r>
      <w:r w:rsidR="00223574" w:rsidRPr="004C12C9">
        <w:fldChar w:fldCharType="separate"/>
      </w:r>
      <w:r w:rsidR="00127094" w:rsidRPr="004C12C9">
        <w:t>Table 2</w:t>
      </w:r>
      <w:r w:rsidR="00127094" w:rsidRPr="004C12C9">
        <w:noBreakHyphen/>
        <w:t>21</w:t>
      </w:r>
      <w:r w:rsidR="00223574" w:rsidRPr="004C12C9">
        <w:fldChar w:fldCharType="end"/>
      </w:r>
      <w:r w:rsidR="00EA3FAD" w:rsidRPr="004C12C9">
        <w:t xml:space="preserve">. Users may apply the default values </w:t>
      </w:r>
      <w:r w:rsidR="00E210FE" w:rsidRPr="004C12C9">
        <w:t xml:space="preserve">that are </w:t>
      </w:r>
      <w:r w:rsidR="00F33C29" w:rsidRPr="004C12C9">
        <w:t>derived using</w:t>
      </w:r>
      <w:r w:rsidR="00EA3FAD" w:rsidRPr="004C12C9">
        <w:t xml:space="preserve"> user</w:t>
      </w:r>
      <w:r w:rsidR="003F1F6E" w:rsidRPr="004C12C9">
        <w:t xml:space="preserve"> </w:t>
      </w:r>
      <w:r w:rsidR="00EA3FAD" w:rsidRPr="004C12C9">
        <w:t xml:space="preserve">provided project acreage to estimate the number of construction days by phase, or they may enter the number of days by phase directly into the </w:t>
      </w:r>
      <w:r w:rsidR="005B3FD4" w:rsidRPr="004C12C9">
        <w:t>calculator</w:t>
      </w:r>
      <w:r w:rsidR="00EA3FAD" w:rsidRPr="004C12C9">
        <w:t>.</w:t>
      </w:r>
      <w:r w:rsidR="003C3CA0">
        <w:rPr>
          <w:rFonts w:ascii="ZWAdobeF" w:hAnsi="ZWAdobeF" w:cs="ZWAdobeF"/>
          <w:sz w:val="2"/>
          <w:szCs w:val="2"/>
        </w:rPr>
        <w:t>27F</w:t>
      </w:r>
      <w:r w:rsidR="00EA3FAD" w:rsidRPr="004C12C9">
        <w:rPr>
          <w:rStyle w:val="FootnoteReference"/>
        </w:rPr>
        <w:footnoteReference w:id="29"/>
      </w:r>
    </w:p>
    <w:p w14:paraId="5C6045E4" w14:textId="5231199A" w:rsidR="00EA3FAD" w:rsidRPr="004C12C9" w:rsidRDefault="00EA3FAD" w:rsidP="0045641E">
      <w:pPr>
        <w:pStyle w:val="Caption"/>
        <w:rPr>
          <w:b w:val="0"/>
        </w:rPr>
      </w:pPr>
      <w:bookmarkStart w:id="72" w:name="_Ref184210016"/>
      <w:bookmarkStart w:id="73" w:name="_Ref195522558"/>
      <w:bookmarkStart w:id="74" w:name="_Ref184210010"/>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21</w:t>
      </w:r>
      <w:r w:rsidR="00F72B41">
        <w:fldChar w:fldCharType="end"/>
      </w:r>
      <w:bookmarkEnd w:id="72"/>
      <w:bookmarkEnd w:id="73"/>
      <w:r w:rsidRPr="004C12C9">
        <w:t>. Project Duration Assumptions</w:t>
      </w:r>
      <w:bookmarkEnd w:id="74"/>
    </w:p>
    <w:tbl>
      <w:tblPr>
        <w:tblW w:w="495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5"/>
        <w:gridCol w:w="920"/>
        <w:gridCol w:w="1357"/>
        <w:gridCol w:w="1357"/>
        <w:gridCol w:w="1295"/>
        <w:gridCol w:w="1417"/>
        <w:gridCol w:w="1463"/>
        <w:gridCol w:w="1255"/>
      </w:tblGrid>
      <w:tr w:rsidR="0045641E" w:rsidRPr="004C12C9" w14:paraId="0DAA027A" w14:textId="77777777" w:rsidTr="00D46E89">
        <w:trPr>
          <w:trHeight w:val="233"/>
          <w:tblHeader/>
        </w:trPr>
        <w:tc>
          <w:tcPr>
            <w:tcW w:w="919" w:type="pct"/>
            <w:gridSpan w:val="2"/>
            <w:shd w:val="clear" w:color="auto" w:fill="D9D9D9" w:themeFill="background1" w:themeFillShade="D9"/>
            <w:vAlign w:val="center"/>
          </w:tcPr>
          <w:p w14:paraId="746618F6" w14:textId="77777777" w:rsidR="00EA3FAD" w:rsidRPr="004C12C9" w:rsidRDefault="00EA3FAD" w:rsidP="00E86ADC">
            <w:pPr>
              <w:pStyle w:val="ICFTableHeading"/>
            </w:pPr>
            <w:r w:rsidRPr="004C12C9">
              <w:t>Project Acreage</w:t>
            </w:r>
          </w:p>
        </w:tc>
        <w:tc>
          <w:tcPr>
            <w:tcW w:w="4081" w:type="pct"/>
            <w:gridSpan w:val="6"/>
            <w:shd w:val="clear" w:color="auto" w:fill="D9D9D9" w:themeFill="background1" w:themeFillShade="D9"/>
            <w:vAlign w:val="center"/>
          </w:tcPr>
          <w:p w14:paraId="0BD88D1B" w14:textId="77777777" w:rsidR="00EA3FAD" w:rsidRPr="004C12C9" w:rsidRDefault="00EA3FAD" w:rsidP="00E86ADC">
            <w:pPr>
              <w:pStyle w:val="ICFTableHeading"/>
            </w:pPr>
            <w:r w:rsidRPr="004C12C9">
              <w:t>Project Duration (Days/Acre)</w:t>
            </w:r>
          </w:p>
        </w:tc>
      </w:tr>
      <w:tr w:rsidR="00665A8A" w:rsidRPr="004C12C9" w14:paraId="752F88F9" w14:textId="77777777" w:rsidTr="00D46E89">
        <w:trPr>
          <w:trHeight w:val="233"/>
          <w:tblHeader/>
        </w:trPr>
        <w:tc>
          <w:tcPr>
            <w:tcW w:w="458" w:type="pct"/>
            <w:shd w:val="clear" w:color="auto" w:fill="D9D9D9" w:themeFill="background1" w:themeFillShade="D9"/>
            <w:vAlign w:val="center"/>
          </w:tcPr>
          <w:p w14:paraId="4E2DC89A" w14:textId="77777777" w:rsidR="00EA3FAD" w:rsidRPr="004C12C9" w:rsidRDefault="00EA3FAD" w:rsidP="0094418E">
            <w:pPr>
              <w:pStyle w:val="ICFTableHeading"/>
            </w:pPr>
            <w:r w:rsidRPr="004C12C9">
              <w:t>Low</w:t>
            </w:r>
          </w:p>
        </w:tc>
        <w:tc>
          <w:tcPr>
            <w:tcW w:w="461" w:type="pct"/>
            <w:shd w:val="clear" w:color="auto" w:fill="D9D9D9" w:themeFill="background1" w:themeFillShade="D9"/>
            <w:vAlign w:val="center"/>
          </w:tcPr>
          <w:p w14:paraId="4D75A452" w14:textId="77777777" w:rsidR="00EA3FAD" w:rsidRPr="004C12C9" w:rsidRDefault="00EA3FAD" w:rsidP="0094418E">
            <w:pPr>
              <w:pStyle w:val="ICFTableHeading"/>
            </w:pPr>
            <w:r w:rsidRPr="004C12C9">
              <w:t>High</w:t>
            </w:r>
          </w:p>
        </w:tc>
        <w:tc>
          <w:tcPr>
            <w:tcW w:w="680" w:type="pct"/>
            <w:shd w:val="clear" w:color="auto" w:fill="D9D9D9" w:themeFill="background1" w:themeFillShade="D9"/>
            <w:vAlign w:val="center"/>
          </w:tcPr>
          <w:p w14:paraId="352DB89A" w14:textId="77777777" w:rsidR="00EA3FAD" w:rsidRPr="004C12C9" w:rsidDel="00AD3665" w:rsidRDefault="00EA3FAD" w:rsidP="0094418E">
            <w:pPr>
              <w:pStyle w:val="ICFTableHeading"/>
            </w:pPr>
            <w:r w:rsidRPr="004C12C9">
              <w:t>Demolition</w:t>
            </w:r>
          </w:p>
        </w:tc>
        <w:tc>
          <w:tcPr>
            <w:tcW w:w="680" w:type="pct"/>
            <w:shd w:val="clear" w:color="auto" w:fill="D9D9D9" w:themeFill="background1" w:themeFillShade="D9"/>
            <w:vAlign w:val="center"/>
          </w:tcPr>
          <w:p w14:paraId="360FCB7B" w14:textId="77777777" w:rsidR="00EA3FAD" w:rsidRPr="004C12C9" w:rsidDel="00AD3665" w:rsidRDefault="00EA3FAD" w:rsidP="0094418E">
            <w:pPr>
              <w:pStyle w:val="ICFTableHeading"/>
            </w:pPr>
            <w:r w:rsidRPr="004C12C9">
              <w:t>Site Preparation</w:t>
            </w:r>
          </w:p>
        </w:tc>
        <w:tc>
          <w:tcPr>
            <w:tcW w:w="649" w:type="pct"/>
            <w:shd w:val="clear" w:color="auto" w:fill="D9D9D9" w:themeFill="background1" w:themeFillShade="D9"/>
            <w:vAlign w:val="center"/>
          </w:tcPr>
          <w:p w14:paraId="16FDF7DE" w14:textId="77777777" w:rsidR="00EA3FAD" w:rsidRPr="004C12C9" w:rsidDel="00AD3665" w:rsidRDefault="00EA3FAD" w:rsidP="0094418E">
            <w:pPr>
              <w:pStyle w:val="ICFTableHeading"/>
            </w:pPr>
            <w:r w:rsidRPr="004C12C9">
              <w:t>Grading</w:t>
            </w:r>
          </w:p>
        </w:tc>
        <w:tc>
          <w:tcPr>
            <w:tcW w:w="710" w:type="pct"/>
            <w:shd w:val="clear" w:color="auto" w:fill="D9D9D9" w:themeFill="background1" w:themeFillShade="D9"/>
            <w:vAlign w:val="center"/>
          </w:tcPr>
          <w:p w14:paraId="281AAC62" w14:textId="77777777" w:rsidR="00EA3FAD" w:rsidRPr="004C12C9" w:rsidDel="00AD3665" w:rsidRDefault="00EA3FAD" w:rsidP="0094418E">
            <w:pPr>
              <w:pStyle w:val="ICFTableHeading"/>
            </w:pPr>
            <w:r w:rsidRPr="004C12C9">
              <w:t>Building Construction</w:t>
            </w:r>
          </w:p>
        </w:tc>
        <w:tc>
          <w:tcPr>
            <w:tcW w:w="733" w:type="pct"/>
            <w:shd w:val="clear" w:color="auto" w:fill="D9D9D9" w:themeFill="background1" w:themeFillShade="D9"/>
            <w:vAlign w:val="center"/>
          </w:tcPr>
          <w:p w14:paraId="2253EFF0" w14:textId="77777777" w:rsidR="00EA3FAD" w:rsidRPr="004C12C9" w:rsidDel="00AD3665" w:rsidRDefault="00EA3FAD" w:rsidP="0094418E">
            <w:pPr>
              <w:pStyle w:val="ICFTableHeading"/>
            </w:pPr>
            <w:r w:rsidRPr="004C12C9">
              <w:t>Architectural Coating</w:t>
            </w:r>
          </w:p>
        </w:tc>
        <w:tc>
          <w:tcPr>
            <w:tcW w:w="628" w:type="pct"/>
            <w:shd w:val="clear" w:color="auto" w:fill="D9D9D9" w:themeFill="background1" w:themeFillShade="D9"/>
            <w:vAlign w:val="center"/>
          </w:tcPr>
          <w:p w14:paraId="092896D8" w14:textId="77777777" w:rsidR="00EA3FAD" w:rsidRPr="004C12C9" w:rsidDel="00AD3665" w:rsidRDefault="00EA3FAD" w:rsidP="0094418E">
            <w:pPr>
              <w:pStyle w:val="ICFTableHeading"/>
            </w:pPr>
            <w:r w:rsidRPr="004C12C9">
              <w:t>Paving</w:t>
            </w:r>
          </w:p>
        </w:tc>
      </w:tr>
      <w:tr w:rsidR="00050C9A" w:rsidRPr="004C12C9" w14:paraId="6EEBB28C" w14:textId="77777777" w:rsidTr="00B50D55">
        <w:trPr>
          <w:trHeight w:val="20"/>
        </w:trPr>
        <w:tc>
          <w:tcPr>
            <w:tcW w:w="458" w:type="pct"/>
          </w:tcPr>
          <w:p w14:paraId="3BA6B49D" w14:textId="47BAE23F" w:rsidR="00EA3FAD" w:rsidRPr="004C12C9" w:rsidRDefault="00EA3FAD" w:rsidP="00B50D55">
            <w:pPr>
              <w:pStyle w:val="ICFTabletext"/>
              <w:jc w:val="center"/>
            </w:pPr>
            <w:r w:rsidRPr="004C12C9">
              <w:t>0.01</w:t>
            </w:r>
          </w:p>
        </w:tc>
        <w:tc>
          <w:tcPr>
            <w:tcW w:w="461" w:type="pct"/>
          </w:tcPr>
          <w:p w14:paraId="056BC421" w14:textId="2C682780" w:rsidR="00EA3FAD" w:rsidRPr="004C12C9" w:rsidRDefault="00EA3FAD" w:rsidP="00B50D55">
            <w:pPr>
              <w:pStyle w:val="ICFTabletext"/>
              <w:jc w:val="center"/>
            </w:pPr>
            <w:r w:rsidRPr="004C12C9">
              <w:t>1.99</w:t>
            </w:r>
          </w:p>
        </w:tc>
        <w:tc>
          <w:tcPr>
            <w:tcW w:w="680" w:type="pct"/>
          </w:tcPr>
          <w:p w14:paraId="124FD858" w14:textId="0E5C91DF" w:rsidR="00EA3FAD" w:rsidRPr="004C12C9" w:rsidRDefault="00EA3FAD" w:rsidP="00B50D55">
            <w:pPr>
              <w:pStyle w:val="ICFTabletext"/>
              <w:jc w:val="center"/>
            </w:pPr>
            <w:r w:rsidRPr="004C12C9">
              <w:t>10.0</w:t>
            </w:r>
          </w:p>
        </w:tc>
        <w:tc>
          <w:tcPr>
            <w:tcW w:w="680" w:type="pct"/>
          </w:tcPr>
          <w:p w14:paraId="1C2B5DD8" w14:textId="230BE9AF" w:rsidR="00EA3FAD" w:rsidRPr="004C12C9" w:rsidRDefault="00EA3FAD" w:rsidP="00B50D55">
            <w:pPr>
              <w:pStyle w:val="ICFTabletext"/>
              <w:jc w:val="center"/>
            </w:pPr>
            <w:r w:rsidRPr="004C12C9">
              <w:t>1.0</w:t>
            </w:r>
          </w:p>
        </w:tc>
        <w:tc>
          <w:tcPr>
            <w:tcW w:w="649" w:type="pct"/>
          </w:tcPr>
          <w:p w14:paraId="46BBF1F3" w14:textId="682132FA" w:rsidR="00EA3FAD" w:rsidRPr="004C12C9" w:rsidRDefault="00EA3FAD" w:rsidP="00B50D55">
            <w:pPr>
              <w:pStyle w:val="ICFTabletext"/>
              <w:jc w:val="center"/>
            </w:pPr>
            <w:r w:rsidRPr="004C12C9">
              <w:t>2.0</w:t>
            </w:r>
          </w:p>
        </w:tc>
        <w:tc>
          <w:tcPr>
            <w:tcW w:w="710" w:type="pct"/>
          </w:tcPr>
          <w:p w14:paraId="333DBFE2" w14:textId="0783A8D8" w:rsidR="00EA3FAD" w:rsidRPr="004C12C9" w:rsidRDefault="00EA3FAD" w:rsidP="00B50D55">
            <w:pPr>
              <w:pStyle w:val="ICFTabletext"/>
              <w:jc w:val="center"/>
            </w:pPr>
            <w:r w:rsidRPr="004C12C9">
              <w:t>100.0</w:t>
            </w:r>
          </w:p>
        </w:tc>
        <w:tc>
          <w:tcPr>
            <w:tcW w:w="733" w:type="pct"/>
          </w:tcPr>
          <w:p w14:paraId="62F71B50" w14:textId="1D7A1F35" w:rsidR="00EA3FAD" w:rsidRPr="004C12C9" w:rsidRDefault="00EA3FAD" w:rsidP="00B50D55">
            <w:pPr>
              <w:pStyle w:val="ICFTabletext"/>
              <w:jc w:val="center"/>
            </w:pPr>
            <w:r w:rsidRPr="004C12C9">
              <w:t>5.0</w:t>
            </w:r>
          </w:p>
        </w:tc>
        <w:tc>
          <w:tcPr>
            <w:tcW w:w="628" w:type="pct"/>
          </w:tcPr>
          <w:p w14:paraId="3CDFC094" w14:textId="73D95F2B" w:rsidR="00EA3FAD" w:rsidRPr="004C12C9" w:rsidRDefault="00EA3FAD" w:rsidP="00B50D55">
            <w:pPr>
              <w:pStyle w:val="ICFTabletext"/>
              <w:jc w:val="center"/>
            </w:pPr>
            <w:r w:rsidRPr="004C12C9">
              <w:t>5.0</w:t>
            </w:r>
          </w:p>
        </w:tc>
      </w:tr>
      <w:tr w:rsidR="00665A8A" w:rsidRPr="004C12C9" w14:paraId="1610AF1A" w14:textId="77777777" w:rsidTr="00B50D55">
        <w:trPr>
          <w:trHeight w:val="20"/>
        </w:trPr>
        <w:tc>
          <w:tcPr>
            <w:tcW w:w="458" w:type="pct"/>
          </w:tcPr>
          <w:p w14:paraId="632D9B52" w14:textId="2341B1E3" w:rsidR="00EA3FAD" w:rsidRPr="004C12C9" w:rsidRDefault="00EA3FAD" w:rsidP="00B50D55">
            <w:pPr>
              <w:pStyle w:val="ICFTabletext"/>
              <w:jc w:val="center"/>
            </w:pPr>
            <w:r w:rsidRPr="004C12C9">
              <w:t>2.00</w:t>
            </w:r>
          </w:p>
        </w:tc>
        <w:tc>
          <w:tcPr>
            <w:tcW w:w="461" w:type="pct"/>
          </w:tcPr>
          <w:p w14:paraId="67AC795F" w14:textId="2B65B741" w:rsidR="00EA3FAD" w:rsidRPr="004C12C9" w:rsidRDefault="00EA3FAD" w:rsidP="00B50D55">
            <w:pPr>
              <w:pStyle w:val="ICFTabletext"/>
              <w:jc w:val="center"/>
            </w:pPr>
            <w:r w:rsidRPr="004C12C9">
              <w:t>2.99</w:t>
            </w:r>
          </w:p>
        </w:tc>
        <w:tc>
          <w:tcPr>
            <w:tcW w:w="680" w:type="pct"/>
          </w:tcPr>
          <w:p w14:paraId="5EB91085" w14:textId="7DA1213F" w:rsidR="00EA3FAD" w:rsidRPr="004C12C9" w:rsidRDefault="00EA3FAD" w:rsidP="00B50D55">
            <w:pPr>
              <w:pStyle w:val="ICFTabletext"/>
              <w:jc w:val="center"/>
            </w:pPr>
            <w:r w:rsidRPr="004C12C9">
              <w:t>10.0</w:t>
            </w:r>
          </w:p>
        </w:tc>
        <w:tc>
          <w:tcPr>
            <w:tcW w:w="680" w:type="pct"/>
          </w:tcPr>
          <w:p w14:paraId="7CBBA471" w14:textId="7B8A6061" w:rsidR="00EA3FAD" w:rsidRPr="004C12C9" w:rsidRDefault="00EA3FAD" w:rsidP="00B50D55">
            <w:pPr>
              <w:pStyle w:val="ICFTabletext"/>
              <w:jc w:val="center"/>
            </w:pPr>
            <w:r w:rsidRPr="004C12C9">
              <w:t>1.0</w:t>
            </w:r>
          </w:p>
        </w:tc>
        <w:tc>
          <w:tcPr>
            <w:tcW w:w="649" w:type="pct"/>
          </w:tcPr>
          <w:p w14:paraId="45A072FE" w14:textId="52C90812" w:rsidR="00EA3FAD" w:rsidRPr="004C12C9" w:rsidRDefault="00EA3FAD" w:rsidP="00B50D55">
            <w:pPr>
              <w:pStyle w:val="ICFTabletext"/>
              <w:jc w:val="center"/>
            </w:pPr>
            <w:r w:rsidRPr="004C12C9">
              <w:t>2.0</w:t>
            </w:r>
          </w:p>
        </w:tc>
        <w:tc>
          <w:tcPr>
            <w:tcW w:w="710" w:type="pct"/>
          </w:tcPr>
          <w:p w14:paraId="37686280" w14:textId="224E1325" w:rsidR="00EA3FAD" w:rsidRPr="004C12C9" w:rsidRDefault="00EA3FAD" w:rsidP="00B50D55">
            <w:pPr>
              <w:pStyle w:val="ICFTabletext"/>
              <w:jc w:val="center"/>
            </w:pPr>
            <w:r w:rsidRPr="004C12C9">
              <w:t>100.0</w:t>
            </w:r>
          </w:p>
        </w:tc>
        <w:tc>
          <w:tcPr>
            <w:tcW w:w="733" w:type="pct"/>
          </w:tcPr>
          <w:p w14:paraId="3A979561" w14:textId="6791CBF2" w:rsidR="00EA3FAD" w:rsidRPr="004C12C9" w:rsidRDefault="00EA3FAD" w:rsidP="00B50D55">
            <w:pPr>
              <w:pStyle w:val="ICFTabletext"/>
              <w:jc w:val="center"/>
            </w:pPr>
            <w:r w:rsidRPr="004C12C9">
              <w:t>5.0</w:t>
            </w:r>
          </w:p>
        </w:tc>
        <w:tc>
          <w:tcPr>
            <w:tcW w:w="628" w:type="pct"/>
          </w:tcPr>
          <w:p w14:paraId="644A6BA6" w14:textId="3141B74B" w:rsidR="00EA3FAD" w:rsidRPr="004C12C9" w:rsidRDefault="00EA3FAD" w:rsidP="00B50D55">
            <w:pPr>
              <w:pStyle w:val="ICFTabletext"/>
              <w:jc w:val="center"/>
            </w:pPr>
            <w:r w:rsidRPr="004C12C9">
              <w:t>5.0</w:t>
            </w:r>
          </w:p>
        </w:tc>
      </w:tr>
      <w:tr w:rsidR="00665A8A" w:rsidRPr="004C12C9" w14:paraId="070F1B0B" w14:textId="77777777" w:rsidTr="00B50D55">
        <w:trPr>
          <w:trHeight w:val="20"/>
        </w:trPr>
        <w:tc>
          <w:tcPr>
            <w:tcW w:w="458" w:type="pct"/>
          </w:tcPr>
          <w:p w14:paraId="191A2C39" w14:textId="3DC9205E" w:rsidR="00EA3FAD" w:rsidRPr="004C12C9" w:rsidRDefault="00EA3FAD" w:rsidP="00B50D55">
            <w:pPr>
              <w:pStyle w:val="ICFTabletext"/>
              <w:jc w:val="center"/>
            </w:pPr>
            <w:r w:rsidRPr="004C12C9">
              <w:t>3.00</w:t>
            </w:r>
          </w:p>
        </w:tc>
        <w:tc>
          <w:tcPr>
            <w:tcW w:w="461" w:type="pct"/>
          </w:tcPr>
          <w:p w14:paraId="1C1F4DE4" w14:textId="50286F4D" w:rsidR="00EA3FAD" w:rsidRPr="004C12C9" w:rsidRDefault="00EA3FAD" w:rsidP="00B50D55">
            <w:pPr>
              <w:pStyle w:val="ICFTabletext"/>
              <w:jc w:val="center"/>
            </w:pPr>
            <w:r w:rsidRPr="004C12C9">
              <w:t>4.99</w:t>
            </w:r>
          </w:p>
        </w:tc>
        <w:tc>
          <w:tcPr>
            <w:tcW w:w="680" w:type="pct"/>
          </w:tcPr>
          <w:p w14:paraId="77FBECBB" w14:textId="2D60703E" w:rsidR="00EA3FAD" w:rsidRPr="004C12C9" w:rsidRDefault="00EA3FAD" w:rsidP="00B50D55">
            <w:pPr>
              <w:pStyle w:val="ICFTabletext"/>
              <w:jc w:val="center"/>
            </w:pPr>
            <w:r w:rsidRPr="004C12C9">
              <w:t>6.7</w:t>
            </w:r>
          </w:p>
        </w:tc>
        <w:tc>
          <w:tcPr>
            <w:tcW w:w="680" w:type="pct"/>
          </w:tcPr>
          <w:p w14:paraId="16B5B806" w14:textId="1E13EEE6" w:rsidR="00EA3FAD" w:rsidRPr="004C12C9" w:rsidRDefault="00EA3FAD" w:rsidP="00B50D55">
            <w:pPr>
              <w:pStyle w:val="ICFTabletext"/>
              <w:jc w:val="center"/>
            </w:pPr>
            <w:r w:rsidRPr="004C12C9">
              <w:t>1.0</w:t>
            </w:r>
          </w:p>
        </w:tc>
        <w:tc>
          <w:tcPr>
            <w:tcW w:w="649" w:type="pct"/>
          </w:tcPr>
          <w:p w14:paraId="54617BD8" w14:textId="66B42A9D" w:rsidR="00EA3FAD" w:rsidRPr="004C12C9" w:rsidRDefault="00EA3FAD" w:rsidP="00B50D55">
            <w:pPr>
              <w:pStyle w:val="ICFTabletext"/>
              <w:jc w:val="center"/>
            </w:pPr>
            <w:r w:rsidRPr="004C12C9">
              <w:t>2.0</w:t>
            </w:r>
          </w:p>
        </w:tc>
        <w:tc>
          <w:tcPr>
            <w:tcW w:w="710" w:type="pct"/>
          </w:tcPr>
          <w:p w14:paraId="3AD8FA1E" w14:textId="5C0AA6CD" w:rsidR="00EA3FAD" w:rsidRPr="004C12C9" w:rsidRDefault="00EA3FAD" w:rsidP="00B50D55">
            <w:pPr>
              <w:pStyle w:val="ICFTabletext"/>
              <w:jc w:val="center"/>
            </w:pPr>
            <w:r w:rsidRPr="004C12C9">
              <w:t>73.3</w:t>
            </w:r>
          </w:p>
        </w:tc>
        <w:tc>
          <w:tcPr>
            <w:tcW w:w="733" w:type="pct"/>
          </w:tcPr>
          <w:p w14:paraId="310012E9" w14:textId="6F744CD9" w:rsidR="00EA3FAD" w:rsidRPr="004C12C9" w:rsidRDefault="00EA3FAD" w:rsidP="00B50D55">
            <w:pPr>
              <w:pStyle w:val="ICFTabletext"/>
              <w:jc w:val="center"/>
            </w:pPr>
            <w:r w:rsidRPr="004C12C9">
              <w:t>3.3</w:t>
            </w:r>
          </w:p>
        </w:tc>
        <w:tc>
          <w:tcPr>
            <w:tcW w:w="628" w:type="pct"/>
          </w:tcPr>
          <w:p w14:paraId="6AE24F75" w14:textId="4DDB325D" w:rsidR="00EA3FAD" w:rsidRPr="004C12C9" w:rsidRDefault="00EA3FAD" w:rsidP="00B50D55">
            <w:pPr>
              <w:pStyle w:val="ICFTabletext"/>
              <w:jc w:val="center"/>
            </w:pPr>
            <w:r w:rsidRPr="004C12C9">
              <w:t>3.3</w:t>
            </w:r>
          </w:p>
        </w:tc>
      </w:tr>
      <w:tr w:rsidR="00665A8A" w:rsidRPr="004C12C9" w14:paraId="578D9A93" w14:textId="77777777" w:rsidTr="00B50D55">
        <w:trPr>
          <w:trHeight w:val="20"/>
        </w:trPr>
        <w:tc>
          <w:tcPr>
            <w:tcW w:w="458" w:type="pct"/>
          </w:tcPr>
          <w:p w14:paraId="698D18E2" w14:textId="2F5E4272" w:rsidR="00EA3FAD" w:rsidRPr="004C12C9" w:rsidRDefault="00EA3FAD" w:rsidP="00B50D55">
            <w:pPr>
              <w:pStyle w:val="ICFTabletext"/>
              <w:jc w:val="center"/>
            </w:pPr>
            <w:r w:rsidRPr="004C12C9">
              <w:t>5.00</w:t>
            </w:r>
          </w:p>
        </w:tc>
        <w:tc>
          <w:tcPr>
            <w:tcW w:w="461" w:type="pct"/>
          </w:tcPr>
          <w:p w14:paraId="65009687" w14:textId="6C1AF50F" w:rsidR="00EA3FAD" w:rsidRPr="004C12C9" w:rsidRDefault="00EA3FAD" w:rsidP="00B50D55">
            <w:pPr>
              <w:pStyle w:val="ICFTabletext"/>
              <w:jc w:val="center"/>
            </w:pPr>
            <w:r w:rsidRPr="004C12C9">
              <w:t>9.99</w:t>
            </w:r>
          </w:p>
        </w:tc>
        <w:tc>
          <w:tcPr>
            <w:tcW w:w="680" w:type="pct"/>
          </w:tcPr>
          <w:p w14:paraId="629B9F9E" w14:textId="43F8B0BA" w:rsidR="00EA3FAD" w:rsidRPr="004C12C9" w:rsidRDefault="00EA3FAD" w:rsidP="00B50D55">
            <w:pPr>
              <w:pStyle w:val="ICFTabletext"/>
              <w:jc w:val="center"/>
            </w:pPr>
            <w:r w:rsidRPr="004C12C9">
              <w:t>4.0</w:t>
            </w:r>
          </w:p>
        </w:tc>
        <w:tc>
          <w:tcPr>
            <w:tcW w:w="680" w:type="pct"/>
          </w:tcPr>
          <w:p w14:paraId="074763CB" w14:textId="4EA97AA2" w:rsidR="00EA3FAD" w:rsidRPr="004C12C9" w:rsidRDefault="00EA3FAD" w:rsidP="00B50D55">
            <w:pPr>
              <w:pStyle w:val="ICFTabletext"/>
              <w:jc w:val="center"/>
            </w:pPr>
            <w:r w:rsidRPr="004C12C9">
              <w:t>1.0</w:t>
            </w:r>
          </w:p>
        </w:tc>
        <w:tc>
          <w:tcPr>
            <w:tcW w:w="649" w:type="pct"/>
          </w:tcPr>
          <w:p w14:paraId="58CC0BBB" w14:textId="61F42891" w:rsidR="00EA3FAD" w:rsidRPr="004C12C9" w:rsidRDefault="00EA3FAD" w:rsidP="00B50D55">
            <w:pPr>
              <w:pStyle w:val="ICFTabletext"/>
              <w:jc w:val="center"/>
            </w:pPr>
            <w:r w:rsidRPr="004C12C9">
              <w:t>1.6</w:t>
            </w:r>
          </w:p>
        </w:tc>
        <w:tc>
          <w:tcPr>
            <w:tcW w:w="710" w:type="pct"/>
          </w:tcPr>
          <w:p w14:paraId="26EAEC7D" w14:textId="1D92C6B8" w:rsidR="00EA3FAD" w:rsidRPr="004C12C9" w:rsidRDefault="00EA3FAD" w:rsidP="00B50D55">
            <w:pPr>
              <w:pStyle w:val="ICFTabletext"/>
              <w:jc w:val="center"/>
            </w:pPr>
            <w:r w:rsidRPr="004C12C9">
              <w:t>46.0</w:t>
            </w:r>
          </w:p>
        </w:tc>
        <w:tc>
          <w:tcPr>
            <w:tcW w:w="733" w:type="pct"/>
          </w:tcPr>
          <w:p w14:paraId="1D7F2BF0" w14:textId="435BAA83" w:rsidR="00EA3FAD" w:rsidRPr="004C12C9" w:rsidRDefault="00EA3FAD" w:rsidP="00B50D55">
            <w:pPr>
              <w:pStyle w:val="ICFTabletext"/>
              <w:jc w:val="center"/>
            </w:pPr>
            <w:r w:rsidRPr="004C12C9">
              <w:t>3.6</w:t>
            </w:r>
          </w:p>
        </w:tc>
        <w:tc>
          <w:tcPr>
            <w:tcW w:w="628" w:type="pct"/>
          </w:tcPr>
          <w:p w14:paraId="32C55654" w14:textId="2B45120D" w:rsidR="00EA3FAD" w:rsidRPr="004C12C9" w:rsidRDefault="00EA3FAD" w:rsidP="00B50D55">
            <w:pPr>
              <w:pStyle w:val="ICFTabletext"/>
              <w:jc w:val="center"/>
            </w:pPr>
            <w:r w:rsidRPr="004C12C9">
              <w:t>3.6</w:t>
            </w:r>
          </w:p>
        </w:tc>
      </w:tr>
      <w:tr w:rsidR="00665A8A" w:rsidRPr="004C12C9" w14:paraId="136561C2" w14:textId="77777777" w:rsidTr="00B50D55">
        <w:trPr>
          <w:trHeight w:val="20"/>
        </w:trPr>
        <w:tc>
          <w:tcPr>
            <w:tcW w:w="458" w:type="pct"/>
          </w:tcPr>
          <w:p w14:paraId="6E6FCCDF" w14:textId="05F0F3C4" w:rsidR="00EA3FAD" w:rsidRPr="004C12C9" w:rsidRDefault="00EA3FAD" w:rsidP="00B50D55">
            <w:pPr>
              <w:pStyle w:val="ICFTabletext"/>
              <w:jc w:val="center"/>
            </w:pPr>
            <w:r w:rsidRPr="004C12C9">
              <w:t>10.00</w:t>
            </w:r>
          </w:p>
        </w:tc>
        <w:tc>
          <w:tcPr>
            <w:tcW w:w="461" w:type="pct"/>
          </w:tcPr>
          <w:p w14:paraId="52136E30" w14:textId="133B33AE" w:rsidR="00EA3FAD" w:rsidRPr="004C12C9" w:rsidRDefault="00EA3FAD" w:rsidP="00B50D55">
            <w:pPr>
              <w:pStyle w:val="ICFTabletext"/>
              <w:jc w:val="center"/>
            </w:pPr>
            <w:r w:rsidRPr="004C12C9">
              <w:t>14.99</w:t>
            </w:r>
          </w:p>
        </w:tc>
        <w:tc>
          <w:tcPr>
            <w:tcW w:w="680" w:type="pct"/>
          </w:tcPr>
          <w:p w14:paraId="4E7705EC" w14:textId="13CBF5BC" w:rsidR="00EA3FAD" w:rsidRPr="004C12C9" w:rsidRDefault="00EA3FAD" w:rsidP="00B50D55">
            <w:pPr>
              <w:pStyle w:val="ICFTabletext"/>
              <w:jc w:val="center"/>
            </w:pPr>
            <w:r w:rsidRPr="004C12C9">
              <w:t>2.0</w:t>
            </w:r>
          </w:p>
        </w:tc>
        <w:tc>
          <w:tcPr>
            <w:tcW w:w="680" w:type="pct"/>
          </w:tcPr>
          <w:p w14:paraId="472B0A72" w14:textId="756F4E99" w:rsidR="00EA3FAD" w:rsidRPr="004C12C9" w:rsidRDefault="00EA3FAD" w:rsidP="00B50D55">
            <w:pPr>
              <w:pStyle w:val="ICFTabletext"/>
              <w:jc w:val="center"/>
            </w:pPr>
            <w:r w:rsidRPr="004C12C9">
              <w:t>1.0</w:t>
            </w:r>
          </w:p>
        </w:tc>
        <w:tc>
          <w:tcPr>
            <w:tcW w:w="649" w:type="pct"/>
          </w:tcPr>
          <w:p w14:paraId="593C9DD7" w14:textId="5CA8A710" w:rsidR="00EA3FAD" w:rsidRPr="004C12C9" w:rsidRDefault="00EA3FAD" w:rsidP="00B50D55">
            <w:pPr>
              <w:pStyle w:val="ICFTabletext"/>
              <w:jc w:val="center"/>
            </w:pPr>
            <w:r w:rsidRPr="004C12C9">
              <w:t>2.0</w:t>
            </w:r>
          </w:p>
        </w:tc>
        <w:tc>
          <w:tcPr>
            <w:tcW w:w="710" w:type="pct"/>
          </w:tcPr>
          <w:p w14:paraId="05802690" w14:textId="10B42F5A" w:rsidR="00EA3FAD" w:rsidRPr="004C12C9" w:rsidRDefault="00EA3FAD" w:rsidP="00B50D55">
            <w:pPr>
              <w:pStyle w:val="ICFTabletext"/>
              <w:jc w:val="center"/>
            </w:pPr>
            <w:r w:rsidRPr="004C12C9">
              <w:t>23.0</w:t>
            </w:r>
          </w:p>
        </w:tc>
        <w:tc>
          <w:tcPr>
            <w:tcW w:w="733" w:type="pct"/>
          </w:tcPr>
          <w:p w14:paraId="2054138B" w14:textId="0B10EA1A" w:rsidR="00EA3FAD" w:rsidRPr="004C12C9" w:rsidRDefault="00EA3FAD" w:rsidP="00B50D55">
            <w:pPr>
              <w:pStyle w:val="ICFTabletext"/>
              <w:jc w:val="center"/>
            </w:pPr>
            <w:r w:rsidRPr="004C12C9">
              <w:t>2.0</w:t>
            </w:r>
          </w:p>
        </w:tc>
        <w:tc>
          <w:tcPr>
            <w:tcW w:w="628" w:type="pct"/>
          </w:tcPr>
          <w:p w14:paraId="547E7BEF" w14:textId="28D9EC88" w:rsidR="00EA3FAD" w:rsidRPr="004C12C9" w:rsidRDefault="00EA3FAD" w:rsidP="00B50D55">
            <w:pPr>
              <w:pStyle w:val="ICFTabletext"/>
              <w:jc w:val="center"/>
            </w:pPr>
            <w:r w:rsidRPr="004C12C9">
              <w:t>2.0</w:t>
            </w:r>
          </w:p>
        </w:tc>
      </w:tr>
      <w:tr w:rsidR="00665A8A" w:rsidRPr="004C12C9" w14:paraId="26D14C9D" w14:textId="77777777" w:rsidTr="00B50D55">
        <w:trPr>
          <w:trHeight w:val="20"/>
        </w:trPr>
        <w:tc>
          <w:tcPr>
            <w:tcW w:w="458" w:type="pct"/>
          </w:tcPr>
          <w:p w14:paraId="33641277" w14:textId="6ACEB0C5" w:rsidR="00EA3FAD" w:rsidRPr="004C12C9" w:rsidRDefault="00EA3FAD" w:rsidP="00B50D55">
            <w:pPr>
              <w:pStyle w:val="ICFTabletext"/>
              <w:jc w:val="center"/>
            </w:pPr>
            <w:r w:rsidRPr="004C12C9">
              <w:t>15.00</w:t>
            </w:r>
          </w:p>
        </w:tc>
        <w:tc>
          <w:tcPr>
            <w:tcW w:w="461" w:type="pct"/>
          </w:tcPr>
          <w:p w14:paraId="2125218B" w14:textId="0ADB379D" w:rsidR="00EA3FAD" w:rsidRPr="004C12C9" w:rsidRDefault="00EA3FAD" w:rsidP="00B50D55">
            <w:pPr>
              <w:pStyle w:val="ICFTabletext"/>
              <w:jc w:val="center"/>
            </w:pPr>
            <w:r w:rsidRPr="004C12C9">
              <w:t>19.99</w:t>
            </w:r>
          </w:p>
        </w:tc>
        <w:tc>
          <w:tcPr>
            <w:tcW w:w="680" w:type="pct"/>
          </w:tcPr>
          <w:p w14:paraId="2884A1D2" w14:textId="3F930945" w:rsidR="00EA3FAD" w:rsidRPr="004C12C9" w:rsidRDefault="00EA3FAD" w:rsidP="00B50D55">
            <w:pPr>
              <w:pStyle w:val="ICFTabletext"/>
              <w:jc w:val="center"/>
            </w:pPr>
            <w:r w:rsidRPr="004C12C9">
              <w:t>1.3</w:t>
            </w:r>
          </w:p>
        </w:tc>
        <w:tc>
          <w:tcPr>
            <w:tcW w:w="680" w:type="pct"/>
          </w:tcPr>
          <w:p w14:paraId="0340C458" w14:textId="12014066" w:rsidR="00EA3FAD" w:rsidRPr="004C12C9" w:rsidRDefault="00EA3FAD" w:rsidP="00B50D55">
            <w:pPr>
              <w:pStyle w:val="ICFTabletext"/>
              <w:jc w:val="center"/>
            </w:pPr>
            <w:r w:rsidRPr="004C12C9">
              <w:t>0.7</w:t>
            </w:r>
          </w:p>
        </w:tc>
        <w:tc>
          <w:tcPr>
            <w:tcW w:w="649" w:type="pct"/>
          </w:tcPr>
          <w:p w14:paraId="66B90948" w14:textId="69F4EA54" w:rsidR="00EA3FAD" w:rsidRPr="004C12C9" w:rsidRDefault="00EA3FAD" w:rsidP="00B50D55">
            <w:pPr>
              <w:pStyle w:val="ICFTabletext"/>
              <w:jc w:val="center"/>
            </w:pPr>
            <w:r w:rsidRPr="004C12C9">
              <w:t>2.0</w:t>
            </w:r>
          </w:p>
        </w:tc>
        <w:tc>
          <w:tcPr>
            <w:tcW w:w="710" w:type="pct"/>
          </w:tcPr>
          <w:p w14:paraId="63A5FA87" w14:textId="53F1689D" w:rsidR="00EA3FAD" w:rsidRPr="004C12C9" w:rsidRDefault="00EA3FAD" w:rsidP="00B50D55">
            <w:pPr>
              <w:pStyle w:val="ICFTabletext"/>
              <w:jc w:val="center"/>
            </w:pPr>
            <w:r w:rsidRPr="004C12C9">
              <w:t>20.0</w:t>
            </w:r>
          </w:p>
        </w:tc>
        <w:tc>
          <w:tcPr>
            <w:tcW w:w="733" w:type="pct"/>
          </w:tcPr>
          <w:p w14:paraId="7189090C" w14:textId="1B8A01EC" w:rsidR="00EA3FAD" w:rsidRPr="004C12C9" w:rsidRDefault="00EA3FAD" w:rsidP="00B50D55">
            <w:pPr>
              <w:pStyle w:val="ICFTabletext"/>
              <w:jc w:val="center"/>
            </w:pPr>
            <w:r w:rsidRPr="004C12C9">
              <w:t>1.3</w:t>
            </w:r>
          </w:p>
        </w:tc>
        <w:tc>
          <w:tcPr>
            <w:tcW w:w="628" w:type="pct"/>
          </w:tcPr>
          <w:p w14:paraId="312D02CD" w14:textId="63EBA874" w:rsidR="00EA3FAD" w:rsidRPr="004C12C9" w:rsidRDefault="00EA3FAD" w:rsidP="00B50D55">
            <w:pPr>
              <w:pStyle w:val="ICFTabletext"/>
              <w:jc w:val="center"/>
            </w:pPr>
            <w:r w:rsidRPr="004C12C9">
              <w:t>1.3</w:t>
            </w:r>
          </w:p>
        </w:tc>
      </w:tr>
      <w:tr w:rsidR="00665A8A" w:rsidRPr="004C12C9" w14:paraId="4A7F49A4" w14:textId="77777777" w:rsidTr="00B50D55">
        <w:trPr>
          <w:trHeight w:val="20"/>
        </w:trPr>
        <w:tc>
          <w:tcPr>
            <w:tcW w:w="458" w:type="pct"/>
          </w:tcPr>
          <w:p w14:paraId="4674EA38" w14:textId="3B8868A1" w:rsidR="00EA3FAD" w:rsidRPr="004C12C9" w:rsidRDefault="00EA3FAD" w:rsidP="00B50D55">
            <w:pPr>
              <w:pStyle w:val="ICFTabletext"/>
              <w:jc w:val="center"/>
            </w:pPr>
            <w:r w:rsidRPr="004C12C9">
              <w:t>20.00</w:t>
            </w:r>
          </w:p>
        </w:tc>
        <w:tc>
          <w:tcPr>
            <w:tcW w:w="461" w:type="pct"/>
          </w:tcPr>
          <w:p w14:paraId="0E4A2F41" w14:textId="7DDC7553" w:rsidR="00EA3FAD" w:rsidRPr="004C12C9" w:rsidRDefault="00EA3FAD" w:rsidP="00B50D55">
            <w:pPr>
              <w:pStyle w:val="ICFTabletext"/>
              <w:jc w:val="center"/>
            </w:pPr>
            <w:r w:rsidRPr="004C12C9">
              <w:t>24.99</w:t>
            </w:r>
          </w:p>
        </w:tc>
        <w:tc>
          <w:tcPr>
            <w:tcW w:w="680" w:type="pct"/>
          </w:tcPr>
          <w:p w14:paraId="4F0379F9" w14:textId="18D0090D" w:rsidR="00EA3FAD" w:rsidRPr="004C12C9" w:rsidRDefault="00EA3FAD" w:rsidP="00B50D55">
            <w:pPr>
              <w:pStyle w:val="ICFTabletext"/>
              <w:jc w:val="center"/>
            </w:pPr>
            <w:r w:rsidRPr="004C12C9">
              <w:t>1.0</w:t>
            </w:r>
          </w:p>
        </w:tc>
        <w:tc>
          <w:tcPr>
            <w:tcW w:w="680" w:type="pct"/>
          </w:tcPr>
          <w:p w14:paraId="536B297C" w14:textId="6617E8E9" w:rsidR="00EA3FAD" w:rsidRPr="004C12C9" w:rsidRDefault="00EA3FAD" w:rsidP="00B50D55">
            <w:pPr>
              <w:pStyle w:val="ICFTabletext"/>
              <w:jc w:val="center"/>
            </w:pPr>
            <w:r w:rsidRPr="004C12C9">
              <w:t>0.5</w:t>
            </w:r>
          </w:p>
        </w:tc>
        <w:tc>
          <w:tcPr>
            <w:tcW w:w="649" w:type="pct"/>
          </w:tcPr>
          <w:p w14:paraId="512366B1" w14:textId="7E224EBA" w:rsidR="00EA3FAD" w:rsidRPr="004C12C9" w:rsidRDefault="00EA3FAD" w:rsidP="00B50D55">
            <w:pPr>
              <w:pStyle w:val="ICFTabletext"/>
              <w:jc w:val="center"/>
            </w:pPr>
            <w:r w:rsidRPr="004C12C9">
              <w:t>1.5</w:t>
            </w:r>
          </w:p>
        </w:tc>
        <w:tc>
          <w:tcPr>
            <w:tcW w:w="710" w:type="pct"/>
          </w:tcPr>
          <w:p w14:paraId="56277CAD" w14:textId="17834B9D" w:rsidR="00EA3FAD" w:rsidRPr="004C12C9" w:rsidRDefault="00EA3FAD" w:rsidP="00B50D55">
            <w:pPr>
              <w:pStyle w:val="ICFTabletext"/>
              <w:jc w:val="center"/>
            </w:pPr>
            <w:r w:rsidRPr="004C12C9">
              <w:t>15.0</w:t>
            </w:r>
          </w:p>
        </w:tc>
        <w:tc>
          <w:tcPr>
            <w:tcW w:w="733" w:type="pct"/>
          </w:tcPr>
          <w:p w14:paraId="43E6D3A9" w14:textId="30D90E15" w:rsidR="00EA3FAD" w:rsidRPr="004C12C9" w:rsidRDefault="00EA3FAD" w:rsidP="00B50D55">
            <w:pPr>
              <w:pStyle w:val="ICFTabletext"/>
              <w:jc w:val="center"/>
            </w:pPr>
            <w:r w:rsidRPr="004C12C9">
              <w:t>1.0</w:t>
            </w:r>
          </w:p>
        </w:tc>
        <w:tc>
          <w:tcPr>
            <w:tcW w:w="628" w:type="pct"/>
          </w:tcPr>
          <w:p w14:paraId="0952D9EF" w14:textId="5A84DA08" w:rsidR="00EA3FAD" w:rsidRPr="004C12C9" w:rsidRDefault="00EA3FAD" w:rsidP="00B50D55">
            <w:pPr>
              <w:pStyle w:val="ICFTabletext"/>
              <w:jc w:val="center"/>
            </w:pPr>
            <w:r w:rsidRPr="004C12C9">
              <w:t>1.0</w:t>
            </w:r>
          </w:p>
        </w:tc>
      </w:tr>
      <w:tr w:rsidR="00665A8A" w:rsidRPr="004C12C9" w14:paraId="109C64B7" w14:textId="77777777" w:rsidTr="00B50D55">
        <w:trPr>
          <w:trHeight w:val="20"/>
        </w:trPr>
        <w:tc>
          <w:tcPr>
            <w:tcW w:w="458" w:type="pct"/>
          </w:tcPr>
          <w:p w14:paraId="1038EBAD" w14:textId="56B0E47E" w:rsidR="00EA3FAD" w:rsidRPr="004C12C9" w:rsidRDefault="00EA3FAD" w:rsidP="00B50D55">
            <w:pPr>
              <w:pStyle w:val="ICFTabletext"/>
              <w:jc w:val="center"/>
            </w:pPr>
            <w:r w:rsidRPr="004C12C9">
              <w:t>25.00</w:t>
            </w:r>
          </w:p>
        </w:tc>
        <w:tc>
          <w:tcPr>
            <w:tcW w:w="461" w:type="pct"/>
          </w:tcPr>
          <w:p w14:paraId="72B6102E" w14:textId="70902C9C" w:rsidR="00EA3FAD" w:rsidRPr="004C12C9" w:rsidRDefault="00EA3FAD" w:rsidP="00B50D55">
            <w:pPr>
              <w:pStyle w:val="ICFTabletext"/>
              <w:jc w:val="center"/>
            </w:pPr>
            <w:r w:rsidRPr="004C12C9">
              <w:t>29.99</w:t>
            </w:r>
          </w:p>
        </w:tc>
        <w:tc>
          <w:tcPr>
            <w:tcW w:w="680" w:type="pct"/>
          </w:tcPr>
          <w:p w14:paraId="4D97A7BA" w14:textId="01D58067" w:rsidR="00EA3FAD" w:rsidRPr="004C12C9" w:rsidRDefault="00EA3FAD" w:rsidP="00B50D55">
            <w:pPr>
              <w:pStyle w:val="ICFTabletext"/>
              <w:jc w:val="center"/>
            </w:pPr>
            <w:r w:rsidRPr="004C12C9">
              <w:t>0.8</w:t>
            </w:r>
          </w:p>
        </w:tc>
        <w:tc>
          <w:tcPr>
            <w:tcW w:w="680" w:type="pct"/>
          </w:tcPr>
          <w:p w14:paraId="4E0A5D84" w14:textId="2F8134CB" w:rsidR="00EA3FAD" w:rsidRPr="004C12C9" w:rsidRDefault="00EA3FAD" w:rsidP="00B50D55">
            <w:pPr>
              <w:pStyle w:val="ICFTabletext"/>
              <w:jc w:val="center"/>
            </w:pPr>
            <w:r w:rsidRPr="004C12C9">
              <w:t>0.4</w:t>
            </w:r>
          </w:p>
        </w:tc>
        <w:tc>
          <w:tcPr>
            <w:tcW w:w="649" w:type="pct"/>
          </w:tcPr>
          <w:p w14:paraId="7EB26DB6" w14:textId="5ED5D4DB" w:rsidR="00EA3FAD" w:rsidRPr="004C12C9" w:rsidRDefault="00EA3FAD" w:rsidP="00B50D55">
            <w:pPr>
              <w:pStyle w:val="ICFTabletext"/>
              <w:jc w:val="center"/>
            </w:pPr>
            <w:r w:rsidRPr="004C12C9">
              <w:t>1.4</w:t>
            </w:r>
          </w:p>
        </w:tc>
        <w:tc>
          <w:tcPr>
            <w:tcW w:w="710" w:type="pct"/>
          </w:tcPr>
          <w:p w14:paraId="1E27DA60" w14:textId="4525C391" w:rsidR="00EA3FAD" w:rsidRPr="004C12C9" w:rsidRDefault="00EA3FAD" w:rsidP="00B50D55">
            <w:pPr>
              <w:pStyle w:val="ICFTabletext"/>
              <w:jc w:val="center"/>
            </w:pPr>
            <w:r w:rsidRPr="004C12C9">
              <w:t>14.8</w:t>
            </w:r>
          </w:p>
        </w:tc>
        <w:tc>
          <w:tcPr>
            <w:tcW w:w="733" w:type="pct"/>
          </w:tcPr>
          <w:p w14:paraId="79F16711" w14:textId="41177AB2" w:rsidR="00EA3FAD" w:rsidRPr="004C12C9" w:rsidRDefault="00EA3FAD" w:rsidP="00B50D55">
            <w:pPr>
              <w:pStyle w:val="ICFTabletext"/>
              <w:jc w:val="center"/>
            </w:pPr>
            <w:r w:rsidRPr="004C12C9">
              <w:t>0.8</w:t>
            </w:r>
          </w:p>
        </w:tc>
        <w:tc>
          <w:tcPr>
            <w:tcW w:w="628" w:type="pct"/>
          </w:tcPr>
          <w:p w14:paraId="3D0C0158" w14:textId="4B3171EF" w:rsidR="00EA3FAD" w:rsidRPr="004C12C9" w:rsidRDefault="00EA3FAD" w:rsidP="00B50D55">
            <w:pPr>
              <w:pStyle w:val="ICFTabletext"/>
              <w:jc w:val="center"/>
            </w:pPr>
            <w:r w:rsidRPr="004C12C9">
              <w:t>0.8</w:t>
            </w:r>
          </w:p>
        </w:tc>
      </w:tr>
      <w:tr w:rsidR="00665A8A" w:rsidRPr="004C12C9" w14:paraId="5F42E9CE" w14:textId="77777777" w:rsidTr="00B50D55">
        <w:trPr>
          <w:trHeight w:val="20"/>
        </w:trPr>
        <w:tc>
          <w:tcPr>
            <w:tcW w:w="458" w:type="pct"/>
          </w:tcPr>
          <w:p w14:paraId="5AD0687E" w14:textId="0EE43FB5" w:rsidR="00EA3FAD" w:rsidRPr="004C12C9" w:rsidRDefault="00EA3FAD" w:rsidP="00B50D55">
            <w:pPr>
              <w:pStyle w:val="ICFTabletext"/>
              <w:jc w:val="center"/>
            </w:pPr>
            <w:r w:rsidRPr="004C12C9">
              <w:t>30.00</w:t>
            </w:r>
          </w:p>
        </w:tc>
        <w:tc>
          <w:tcPr>
            <w:tcW w:w="461" w:type="pct"/>
          </w:tcPr>
          <w:p w14:paraId="08458377" w14:textId="18E7EC78" w:rsidR="00EA3FAD" w:rsidRPr="004C12C9" w:rsidRDefault="00EA3FAD" w:rsidP="00B50D55">
            <w:pPr>
              <w:pStyle w:val="ICFTabletext"/>
              <w:jc w:val="center"/>
            </w:pPr>
            <w:r w:rsidRPr="004C12C9">
              <w:t>33.99</w:t>
            </w:r>
          </w:p>
        </w:tc>
        <w:tc>
          <w:tcPr>
            <w:tcW w:w="680" w:type="pct"/>
          </w:tcPr>
          <w:p w14:paraId="6DD12FF7" w14:textId="5DB46C85" w:rsidR="00EA3FAD" w:rsidRPr="004C12C9" w:rsidRDefault="00EA3FAD" w:rsidP="00B50D55">
            <w:pPr>
              <w:pStyle w:val="ICFTabletext"/>
              <w:jc w:val="center"/>
            </w:pPr>
            <w:r w:rsidRPr="004C12C9">
              <w:t>1.0</w:t>
            </w:r>
          </w:p>
        </w:tc>
        <w:tc>
          <w:tcPr>
            <w:tcW w:w="680" w:type="pct"/>
          </w:tcPr>
          <w:p w14:paraId="0D29F85E" w14:textId="3237D45B" w:rsidR="00EA3FAD" w:rsidRPr="004C12C9" w:rsidRDefault="00EA3FAD" w:rsidP="00B50D55">
            <w:pPr>
              <w:pStyle w:val="ICFTabletext"/>
              <w:jc w:val="center"/>
            </w:pPr>
            <w:r w:rsidRPr="004C12C9">
              <w:t>0.7</w:t>
            </w:r>
          </w:p>
        </w:tc>
        <w:tc>
          <w:tcPr>
            <w:tcW w:w="649" w:type="pct"/>
          </w:tcPr>
          <w:p w14:paraId="1E29D557" w14:textId="2F347B68" w:rsidR="00EA3FAD" w:rsidRPr="004C12C9" w:rsidRDefault="00EA3FAD" w:rsidP="00B50D55">
            <w:pPr>
              <w:pStyle w:val="ICFTabletext"/>
              <w:jc w:val="center"/>
            </w:pPr>
            <w:r w:rsidRPr="004C12C9">
              <w:t>1.5</w:t>
            </w:r>
          </w:p>
        </w:tc>
        <w:tc>
          <w:tcPr>
            <w:tcW w:w="710" w:type="pct"/>
          </w:tcPr>
          <w:p w14:paraId="45EA1E02" w14:textId="3F0DE16B" w:rsidR="00EA3FAD" w:rsidRPr="004C12C9" w:rsidRDefault="00EA3FAD" w:rsidP="00B50D55">
            <w:pPr>
              <w:pStyle w:val="ICFTabletext"/>
              <w:jc w:val="center"/>
            </w:pPr>
            <w:r w:rsidRPr="004C12C9">
              <w:t>14.7</w:t>
            </w:r>
          </w:p>
        </w:tc>
        <w:tc>
          <w:tcPr>
            <w:tcW w:w="733" w:type="pct"/>
          </w:tcPr>
          <w:p w14:paraId="418DFD6E" w14:textId="5FA4CA3C" w:rsidR="00EA3FAD" w:rsidRPr="004C12C9" w:rsidRDefault="00EA3FAD" w:rsidP="00B50D55">
            <w:pPr>
              <w:pStyle w:val="ICFTabletext"/>
              <w:jc w:val="center"/>
            </w:pPr>
            <w:r w:rsidRPr="004C12C9">
              <w:t>1.2</w:t>
            </w:r>
          </w:p>
        </w:tc>
        <w:tc>
          <w:tcPr>
            <w:tcW w:w="628" w:type="pct"/>
          </w:tcPr>
          <w:p w14:paraId="7F404278" w14:textId="28E1A41C" w:rsidR="00EA3FAD" w:rsidRPr="004C12C9" w:rsidRDefault="00EA3FAD" w:rsidP="00B50D55">
            <w:pPr>
              <w:pStyle w:val="ICFTabletext"/>
              <w:jc w:val="center"/>
            </w:pPr>
            <w:r w:rsidRPr="004C12C9">
              <w:t>1.2</w:t>
            </w:r>
          </w:p>
        </w:tc>
      </w:tr>
      <w:tr w:rsidR="00665A8A" w:rsidRPr="004C12C9" w14:paraId="7AD4A308" w14:textId="77777777" w:rsidTr="00B50D55">
        <w:trPr>
          <w:trHeight w:val="20"/>
        </w:trPr>
        <w:tc>
          <w:tcPr>
            <w:tcW w:w="458" w:type="pct"/>
          </w:tcPr>
          <w:p w14:paraId="2510798D" w14:textId="0297EC86" w:rsidR="00EA3FAD" w:rsidRPr="004C12C9" w:rsidRDefault="00EA3FAD" w:rsidP="00B50D55">
            <w:pPr>
              <w:pStyle w:val="ICFTabletext"/>
              <w:jc w:val="center"/>
            </w:pPr>
            <w:r w:rsidRPr="004C12C9">
              <w:t>34.00</w:t>
            </w:r>
          </w:p>
        </w:tc>
        <w:tc>
          <w:tcPr>
            <w:tcW w:w="461" w:type="pct"/>
          </w:tcPr>
          <w:p w14:paraId="0413D76A" w14:textId="1CB3A73D" w:rsidR="00EA3FAD" w:rsidRPr="004C12C9" w:rsidRDefault="00EA3FAD" w:rsidP="00B50D55">
            <w:pPr>
              <w:pStyle w:val="ICFTabletext"/>
              <w:jc w:val="center"/>
            </w:pPr>
            <w:r w:rsidRPr="004C12C9">
              <w:t>49.99</w:t>
            </w:r>
          </w:p>
        </w:tc>
        <w:tc>
          <w:tcPr>
            <w:tcW w:w="680" w:type="pct"/>
          </w:tcPr>
          <w:p w14:paraId="083BB209" w14:textId="775CB618" w:rsidR="00EA3FAD" w:rsidRPr="004C12C9" w:rsidRDefault="00EA3FAD" w:rsidP="00B50D55">
            <w:pPr>
              <w:pStyle w:val="ICFTabletext"/>
              <w:jc w:val="center"/>
            </w:pPr>
            <w:r w:rsidRPr="004C12C9">
              <w:t>0.9</w:t>
            </w:r>
          </w:p>
        </w:tc>
        <w:tc>
          <w:tcPr>
            <w:tcW w:w="680" w:type="pct"/>
          </w:tcPr>
          <w:p w14:paraId="7529C368" w14:textId="5B77677A" w:rsidR="00EA3FAD" w:rsidRPr="004C12C9" w:rsidRDefault="00EA3FAD" w:rsidP="00B50D55">
            <w:pPr>
              <w:pStyle w:val="ICFTabletext"/>
              <w:jc w:val="center"/>
            </w:pPr>
            <w:r w:rsidRPr="004C12C9">
              <w:t>0.6</w:t>
            </w:r>
          </w:p>
        </w:tc>
        <w:tc>
          <w:tcPr>
            <w:tcW w:w="649" w:type="pct"/>
          </w:tcPr>
          <w:p w14:paraId="5E3A5933" w14:textId="66F6BB85" w:rsidR="00EA3FAD" w:rsidRPr="004C12C9" w:rsidRDefault="00EA3FAD" w:rsidP="00B50D55">
            <w:pPr>
              <w:pStyle w:val="ICFTabletext"/>
              <w:jc w:val="center"/>
            </w:pPr>
            <w:r w:rsidRPr="004C12C9">
              <w:t>1.3</w:t>
            </w:r>
          </w:p>
        </w:tc>
        <w:tc>
          <w:tcPr>
            <w:tcW w:w="710" w:type="pct"/>
          </w:tcPr>
          <w:p w14:paraId="7F7CF36F" w14:textId="5A6494D4" w:rsidR="00EA3FAD" w:rsidRPr="004C12C9" w:rsidRDefault="00EA3FAD" w:rsidP="00B50D55">
            <w:pPr>
              <w:pStyle w:val="ICFTabletext"/>
              <w:jc w:val="center"/>
            </w:pPr>
            <w:r w:rsidRPr="004C12C9">
              <w:t>14.7</w:t>
            </w:r>
          </w:p>
        </w:tc>
        <w:tc>
          <w:tcPr>
            <w:tcW w:w="733" w:type="pct"/>
          </w:tcPr>
          <w:p w14:paraId="7793D777" w14:textId="42664276" w:rsidR="00EA3FAD" w:rsidRPr="004C12C9" w:rsidRDefault="00EA3FAD" w:rsidP="00B50D55">
            <w:pPr>
              <w:pStyle w:val="ICFTabletext"/>
              <w:jc w:val="center"/>
            </w:pPr>
            <w:r w:rsidRPr="004C12C9">
              <w:t>1.0</w:t>
            </w:r>
          </w:p>
        </w:tc>
        <w:tc>
          <w:tcPr>
            <w:tcW w:w="628" w:type="pct"/>
          </w:tcPr>
          <w:p w14:paraId="7DBDF107" w14:textId="5B061BD9" w:rsidR="00EA3FAD" w:rsidRPr="004C12C9" w:rsidRDefault="00EA3FAD" w:rsidP="00B50D55">
            <w:pPr>
              <w:pStyle w:val="ICFTabletext"/>
              <w:jc w:val="center"/>
            </w:pPr>
            <w:r w:rsidRPr="004C12C9">
              <w:t>1.0</w:t>
            </w:r>
          </w:p>
        </w:tc>
      </w:tr>
      <w:tr w:rsidR="00665A8A" w:rsidRPr="004C12C9" w14:paraId="168F6C9D" w14:textId="77777777" w:rsidTr="00B50D55">
        <w:trPr>
          <w:trHeight w:val="20"/>
        </w:trPr>
        <w:tc>
          <w:tcPr>
            <w:tcW w:w="458" w:type="pct"/>
          </w:tcPr>
          <w:p w14:paraId="4A7F7619" w14:textId="58F06762" w:rsidR="00EA3FAD" w:rsidRPr="004C12C9" w:rsidRDefault="00EA3FAD" w:rsidP="00B50D55">
            <w:pPr>
              <w:pStyle w:val="ICFTabletext"/>
              <w:jc w:val="center"/>
            </w:pPr>
            <w:r w:rsidRPr="004C12C9">
              <w:t>50.00</w:t>
            </w:r>
          </w:p>
        </w:tc>
        <w:tc>
          <w:tcPr>
            <w:tcW w:w="461" w:type="pct"/>
          </w:tcPr>
          <w:p w14:paraId="16E2713B" w14:textId="35ECB174" w:rsidR="00EA3FAD" w:rsidRPr="004C12C9" w:rsidRDefault="00EA3FAD" w:rsidP="00B50D55">
            <w:pPr>
              <w:pStyle w:val="ICFTabletext"/>
              <w:jc w:val="center"/>
            </w:pPr>
            <w:r w:rsidRPr="004C12C9">
              <w:t>74.99</w:t>
            </w:r>
          </w:p>
        </w:tc>
        <w:tc>
          <w:tcPr>
            <w:tcW w:w="680" w:type="pct"/>
          </w:tcPr>
          <w:p w14:paraId="081E973D" w14:textId="1659F806" w:rsidR="00EA3FAD" w:rsidRPr="004C12C9" w:rsidRDefault="00EA3FAD" w:rsidP="00B50D55">
            <w:pPr>
              <w:pStyle w:val="ICFTabletext"/>
              <w:jc w:val="center"/>
            </w:pPr>
            <w:r w:rsidRPr="004C12C9">
              <w:t>1.0</w:t>
            </w:r>
          </w:p>
        </w:tc>
        <w:tc>
          <w:tcPr>
            <w:tcW w:w="680" w:type="pct"/>
          </w:tcPr>
          <w:p w14:paraId="189CB87C" w14:textId="74462EAD" w:rsidR="00EA3FAD" w:rsidRPr="004C12C9" w:rsidRDefault="00EA3FAD" w:rsidP="00B50D55">
            <w:pPr>
              <w:pStyle w:val="ICFTabletext"/>
              <w:jc w:val="center"/>
            </w:pPr>
            <w:r w:rsidRPr="004C12C9">
              <w:t>0.6</w:t>
            </w:r>
          </w:p>
        </w:tc>
        <w:tc>
          <w:tcPr>
            <w:tcW w:w="649" w:type="pct"/>
          </w:tcPr>
          <w:p w14:paraId="4F5E1ECC" w14:textId="2954BF5F" w:rsidR="00EA3FAD" w:rsidRPr="004C12C9" w:rsidRDefault="00EA3FAD" w:rsidP="00B50D55">
            <w:pPr>
              <w:pStyle w:val="ICFTabletext"/>
              <w:jc w:val="center"/>
            </w:pPr>
            <w:r w:rsidRPr="004C12C9">
              <w:t>1.5</w:t>
            </w:r>
          </w:p>
        </w:tc>
        <w:tc>
          <w:tcPr>
            <w:tcW w:w="710" w:type="pct"/>
          </w:tcPr>
          <w:p w14:paraId="68D06953" w14:textId="79A09E77" w:rsidR="00EA3FAD" w:rsidRPr="004C12C9" w:rsidRDefault="00EA3FAD" w:rsidP="00B50D55">
            <w:pPr>
              <w:pStyle w:val="ICFTabletext"/>
              <w:jc w:val="center"/>
            </w:pPr>
            <w:r w:rsidRPr="004C12C9">
              <w:t>14.8</w:t>
            </w:r>
          </w:p>
        </w:tc>
        <w:tc>
          <w:tcPr>
            <w:tcW w:w="733" w:type="pct"/>
          </w:tcPr>
          <w:p w14:paraId="1E65809A" w14:textId="7F26BDB1" w:rsidR="00EA3FAD" w:rsidRPr="004C12C9" w:rsidRDefault="00EA3FAD" w:rsidP="00B50D55">
            <w:pPr>
              <w:pStyle w:val="ICFTabletext"/>
              <w:jc w:val="center"/>
            </w:pPr>
            <w:r w:rsidRPr="004C12C9">
              <w:t>1.1</w:t>
            </w:r>
          </w:p>
        </w:tc>
        <w:tc>
          <w:tcPr>
            <w:tcW w:w="628" w:type="pct"/>
          </w:tcPr>
          <w:p w14:paraId="3703598E" w14:textId="45EEF53B" w:rsidR="00EA3FAD" w:rsidRPr="004C12C9" w:rsidRDefault="00EA3FAD" w:rsidP="00B50D55">
            <w:pPr>
              <w:pStyle w:val="ICFTabletext"/>
              <w:jc w:val="center"/>
            </w:pPr>
            <w:r w:rsidRPr="004C12C9">
              <w:t>1.1</w:t>
            </w:r>
          </w:p>
        </w:tc>
      </w:tr>
      <w:tr w:rsidR="00665A8A" w:rsidRPr="004C12C9" w14:paraId="34713D9F" w14:textId="77777777" w:rsidTr="00B50D55">
        <w:trPr>
          <w:trHeight w:val="20"/>
        </w:trPr>
        <w:tc>
          <w:tcPr>
            <w:tcW w:w="458" w:type="pct"/>
          </w:tcPr>
          <w:p w14:paraId="17467637" w14:textId="4A1409B6" w:rsidR="00EA3FAD" w:rsidRPr="004C12C9" w:rsidRDefault="00EA3FAD" w:rsidP="00B50D55">
            <w:pPr>
              <w:pStyle w:val="ICFTabletext"/>
              <w:jc w:val="center"/>
            </w:pPr>
            <w:r w:rsidRPr="004C12C9">
              <w:t>75.00</w:t>
            </w:r>
          </w:p>
        </w:tc>
        <w:tc>
          <w:tcPr>
            <w:tcW w:w="461" w:type="pct"/>
          </w:tcPr>
          <w:p w14:paraId="0531D1C8" w14:textId="19EF8EF8" w:rsidR="00EA3FAD" w:rsidRPr="004C12C9" w:rsidRDefault="00EA3FAD" w:rsidP="00B50D55">
            <w:pPr>
              <w:pStyle w:val="ICFTabletext"/>
              <w:jc w:val="center"/>
            </w:pPr>
            <w:r w:rsidRPr="004C12C9">
              <w:t>99.99</w:t>
            </w:r>
          </w:p>
        </w:tc>
        <w:tc>
          <w:tcPr>
            <w:tcW w:w="680" w:type="pct"/>
          </w:tcPr>
          <w:p w14:paraId="6349A92A" w14:textId="116FD1E2" w:rsidR="00EA3FAD" w:rsidRPr="004C12C9" w:rsidRDefault="00EA3FAD" w:rsidP="00B50D55">
            <w:pPr>
              <w:pStyle w:val="ICFTabletext"/>
              <w:jc w:val="center"/>
            </w:pPr>
            <w:r w:rsidRPr="004C12C9">
              <w:t>0.9</w:t>
            </w:r>
          </w:p>
        </w:tc>
        <w:tc>
          <w:tcPr>
            <w:tcW w:w="680" w:type="pct"/>
          </w:tcPr>
          <w:p w14:paraId="1BEBA35A" w14:textId="111C0BE8" w:rsidR="00EA3FAD" w:rsidRPr="004C12C9" w:rsidRDefault="00EA3FAD" w:rsidP="00B50D55">
            <w:pPr>
              <w:pStyle w:val="ICFTabletext"/>
              <w:jc w:val="center"/>
            </w:pPr>
            <w:r w:rsidRPr="004C12C9">
              <w:t>0.5</w:t>
            </w:r>
          </w:p>
        </w:tc>
        <w:tc>
          <w:tcPr>
            <w:tcW w:w="649" w:type="pct"/>
          </w:tcPr>
          <w:p w14:paraId="39E6672C" w14:textId="6146AA5A" w:rsidR="00EA3FAD" w:rsidRPr="004C12C9" w:rsidRDefault="00EA3FAD" w:rsidP="00B50D55">
            <w:pPr>
              <w:pStyle w:val="ICFTabletext"/>
              <w:jc w:val="center"/>
            </w:pPr>
            <w:r w:rsidRPr="004C12C9">
              <w:t>1.5</w:t>
            </w:r>
          </w:p>
        </w:tc>
        <w:tc>
          <w:tcPr>
            <w:tcW w:w="710" w:type="pct"/>
          </w:tcPr>
          <w:p w14:paraId="5710D4A8" w14:textId="3FC18271" w:rsidR="00EA3FAD" w:rsidRPr="004C12C9" w:rsidRDefault="00EA3FAD" w:rsidP="00B50D55">
            <w:pPr>
              <w:pStyle w:val="ICFTabletext"/>
              <w:jc w:val="center"/>
            </w:pPr>
            <w:r w:rsidRPr="004C12C9">
              <w:t>14.8</w:t>
            </w:r>
          </w:p>
        </w:tc>
        <w:tc>
          <w:tcPr>
            <w:tcW w:w="733" w:type="pct"/>
          </w:tcPr>
          <w:p w14:paraId="3BBB0A6C" w14:textId="47E7D58A" w:rsidR="00EA3FAD" w:rsidRPr="004C12C9" w:rsidRDefault="00EA3FAD" w:rsidP="00B50D55">
            <w:pPr>
              <w:pStyle w:val="ICFTabletext"/>
              <w:jc w:val="center"/>
            </w:pPr>
            <w:r w:rsidRPr="004C12C9">
              <w:t>1.0</w:t>
            </w:r>
          </w:p>
        </w:tc>
        <w:tc>
          <w:tcPr>
            <w:tcW w:w="628" w:type="pct"/>
          </w:tcPr>
          <w:p w14:paraId="118B9F76" w14:textId="7763F921" w:rsidR="00EA3FAD" w:rsidRPr="004C12C9" w:rsidRDefault="00EA3FAD" w:rsidP="00B50D55">
            <w:pPr>
              <w:pStyle w:val="ICFTabletext"/>
              <w:jc w:val="center"/>
            </w:pPr>
            <w:r w:rsidRPr="004C12C9">
              <w:t>1.0</w:t>
            </w:r>
          </w:p>
        </w:tc>
      </w:tr>
      <w:tr w:rsidR="00665A8A" w:rsidRPr="004C12C9" w14:paraId="0CE1AB0A" w14:textId="77777777" w:rsidTr="00B50D55">
        <w:trPr>
          <w:trHeight w:val="20"/>
        </w:trPr>
        <w:tc>
          <w:tcPr>
            <w:tcW w:w="458" w:type="pct"/>
          </w:tcPr>
          <w:p w14:paraId="7755C8BC" w14:textId="5159520F" w:rsidR="00EA3FAD" w:rsidRPr="004C12C9" w:rsidRDefault="00EA3FAD" w:rsidP="00B50D55">
            <w:pPr>
              <w:pStyle w:val="ICFTabletext"/>
              <w:jc w:val="center"/>
            </w:pPr>
            <w:r w:rsidRPr="004C12C9">
              <w:t>100.00</w:t>
            </w:r>
          </w:p>
        </w:tc>
        <w:tc>
          <w:tcPr>
            <w:tcW w:w="461" w:type="pct"/>
          </w:tcPr>
          <w:p w14:paraId="3102DB8B" w14:textId="6AADF904" w:rsidR="00EA3FAD" w:rsidRPr="004C12C9" w:rsidRDefault="00EA3FAD" w:rsidP="00B50D55">
            <w:pPr>
              <w:pStyle w:val="ICFTabletext"/>
              <w:jc w:val="center"/>
            </w:pPr>
            <w:r w:rsidRPr="004C12C9">
              <w:t>10,000</w:t>
            </w:r>
          </w:p>
        </w:tc>
        <w:tc>
          <w:tcPr>
            <w:tcW w:w="680" w:type="pct"/>
          </w:tcPr>
          <w:p w14:paraId="55AD3817" w14:textId="6B239844" w:rsidR="00EA3FAD" w:rsidRPr="004C12C9" w:rsidRDefault="00EA3FAD" w:rsidP="00B50D55">
            <w:pPr>
              <w:pStyle w:val="ICFTabletext"/>
              <w:jc w:val="center"/>
            </w:pPr>
            <w:r w:rsidRPr="004C12C9">
              <w:t>1.0</w:t>
            </w:r>
          </w:p>
        </w:tc>
        <w:tc>
          <w:tcPr>
            <w:tcW w:w="680" w:type="pct"/>
          </w:tcPr>
          <w:p w14:paraId="714DA6F7" w14:textId="2F319D46" w:rsidR="00EA3FAD" w:rsidRPr="004C12C9" w:rsidRDefault="00EA3FAD" w:rsidP="00B50D55">
            <w:pPr>
              <w:pStyle w:val="ICFTabletext"/>
              <w:jc w:val="center"/>
            </w:pPr>
            <w:r w:rsidRPr="004C12C9">
              <w:t>0.6</w:t>
            </w:r>
          </w:p>
        </w:tc>
        <w:tc>
          <w:tcPr>
            <w:tcW w:w="649" w:type="pct"/>
          </w:tcPr>
          <w:p w14:paraId="4B0B3F0D" w14:textId="36FADB0C" w:rsidR="00EA3FAD" w:rsidRPr="004C12C9" w:rsidRDefault="00EA3FAD" w:rsidP="00B50D55">
            <w:pPr>
              <w:pStyle w:val="ICFTabletext"/>
              <w:jc w:val="center"/>
            </w:pPr>
            <w:r w:rsidRPr="004C12C9">
              <w:t>1.6</w:t>
            </w:r>
          </w:p>
        </w:tc>
        <w:tc>
          <w:tcPr>
            <w:tcW w:w="710" w:type="pct"/>
          </w:tcPr>
          <w:p w14:paraId="097EB02A" w14:textId="5E652612" w:rsidR="00EA3FAD" w:rsidRPr="004C12C9" w:rsidRDefault="00EA3FAD" w:rsidP="00B50D55">
            <w:pPr>
              <w:pStyle w:val="ICFTabletext"/>
              <w:jc w:val="center"/>
            </w:pPr>
            <w:r w:rsidRPr="004C12C9">
              <w:t>15.5</w:t>
            </w:r>
          </w:p>
        </w:tc>
        <w:tc>
          <w:tcPr>
            <w:tcW w:w="733" w:type="pct"/>
          </w:tcPr>
          <w:p w14:paraId="5C38F7F3" w14:textId="64F91647" w:rsidR="00EA3FAD" w:rsidRPr="004C12C9" w:rsidRDefault="00EA3FAD" w:rsidP="00B50D55">
            <w:pPr>
              <w:pStyle w:val="ICFTabletext"/>
              <w:jc w:val="center"/>
            </w:pPr>
            <w:r w:rsidRPr="004C12C9">
              <w:t>1.1</w:t>
            </w:r>
          </w:p>
        </w:tc>
        <w:tc>
          <w:tcPr>
            <w:tcW w:w="628" w:type="pct"/>
          </w:tcPr>
          <w:p w14:paraId="108D0411" w14:textId="07229AFC" w:rsidR="00EA3FAD" w:rsidRPr="004C12C9" w:rsidRDefault="00EA3FAD" w:rsidP="00B50D55">
            <w:pPr>
              <w:pStyle w:val="ICFTabletext"/>
              <w:jc w:val="center"/>
            </w:pPr>
            <w:r w:rsidRPr="004C12C9">
              <w:t>1.1</w:t>
            </w:r>
          </w:p>
        </w:tc>
      </w:tr>
    </w:tbl>
    <w:p w14:paraId="7ECDC63C" w14:textId="1057F63D" w:rsidR="00305924" w:rsidRPr="004C12C9" w:rsidRDefault="003763B5" w:rsidP="00E31E37">
      <w:pPr>
        <w:pStyle w:val="Heading4"/>
      </w:pPr>
      <w:r w:rsidRPr="004C12C9">
        <w:t>Commuting Distance</w:t>
      </w:r>
    </w:p>
    <w:p w14:paraId="45DFB4C2" w14:textId="12794B6D" w:rsidR="003763B5" w:rsidRPr="004C12C9" w:rsidRDefault="00382528" w:rsidP="00972CF9">
      <w:r w:rsidRPr="004C12C9">
        <w:t>The average commuting distance was acquired from</w:t>
      </w:r>
      <w:r w:rsidR="007E486F" w:rsidRPr="004C12C9">
        <w:t xml:space="preserve"> the U.S. Environmental Protection Agency (EPA)</w:t>
      </w:r>
      <w:r w:rsidRPr="004C12C9">
        <w:t xml:space="preserve"> Local GHG Inventory Tool, which assumes an average one-way commuting distance of 13.2 miles or a round-trip distance of 26.4 miles.</w:t>
      </w:r>
      <w:r w:rsidR="003C3CA0">
        <w:rPr>
          <w:rFonts w:ascii="ZWAdobeF" w:hAnsi="ZWAdobeF" w:cs="ZWAdobeF"/>
          <w:sz w:val="2"/>
          <w:szCs w:val="2"/>
        </w:rPr>
        <w:t>28F</w:t>
      </w:r>
      <w:r w:rsidRPr="004C12C9">
        <w:rPr>
          <w:rStyle w:val="FootnoteReference"/>
        </w:rPr>
        <w:footnoteReference w:id="30"/>
      </w:r>
      <w:r w:rsidRPr="004C12C9">
        <w:t xml:space="preserve"> Users may apply the default commuting distance value or enter their own value.</w:t>
      </w:r>
    </w:p>
    <w:p w14:paraId="5AB24F98" w14:textId="225E51B4" w:rsidR="000C58A8" w:rsidRPr="004C12C9" w:rsidRDefault="00F137AF" w:rsidP="00E31E37">
      <w:pPr>
        <w:pStyle w:val="Heading4"/>
      </w:pPr>
      <w:r w:rsidRPr="004C12C9">
        <w:t xml:space="preserve">Commuting </w:t>
      </w:r>
      <w:r w:rsidR="009723EE" w:rsidRPr="004C12C9">
        <w:t>Mode</w:t>
      </w:r>
    </w:p>
    <w:p w14:paraId="7A0707AF" w14:textId="524F3F75" w:rsidR="00087616" w:rsidRPr="004C12C9" w:rsidRDefault="00A60608" w:rsidP="00972CF9">
      <w:r w:rsidRPr="004C12C9">
        <w:t>T</w:t>
      </w:r>
      <w:r w:rsidR="00087616" w:rsidRPr="004C12C9">
        <w:t xml:space="preserve">he commuting mode </w:t>
      </w:r>
      <w:r w:rsidRPr="004C12C9">
        <w:t>assumptions</w:t>
      </w:r>
      <w:r w:rsidR="00087616" w:rsidRPr="004C12C9">
        <w:t xml:space="preserve"> were derived from EPA’s Local GHG Inventory Tool, as summarized in </w:t>
      </w:r>
      <w:r w:rsidR="00DE7C86" w:rsidRPr="004C12C9">
        <w:fldChar w:fldCharType="begin" w:fldLock="1"/>
      </w:r>
      <w:r w:rsidR="00DE7C86" w:rsidRPr="004C12C9">
        <w:instrText xml:space="preserve"> REF _Ref195694148 \h </w:instrText>
      </w:r>
      <w:r w:rsidR="00DE7C86" w:rsidRPr="004C12C9">
        <w:fldChar w:fldCharType="separate"/>
      </w:r>
      <w:r w:rsidR="00127094" w:rsidRPr="004C12C9">
        <w:t>Table 2</w:t>
      </w:r>
      <w:r w:rsidR="00127094" w:rsidRPr="004C12C9">
        <w:noBreakHyphen/>
        <w:t>22</w:t>
      </w:r>
      <w:r w:rsidR="00DE7C86" w:rsidRPr="004C12C9">
        <w:fldChar w:fldCharType="end"/>
      </w:r>
      <w:r w:rsidR="00087616" w:rsidRPr="004C12C9">
        <w:t>.</w:t>
      </w:r>
      <w:r w:rsidR="003C3CA0">
        <w:rPr>
          <w:rFonts w:ascii="ZWAdobeF" w:hAnsi="ZWAdobeF" w:cs="ZWAdobeF"/>
          <w:sz w:val="2"/>
          <w:szCs w:val="2"/>
        </w:rPr>
        <w:t>29F</w:t>
      </w:r>
      <w:r w:rsidR="00087616" w:rsidRPr="004C12C9">
        <w:rPr>
          <w:rStyle w:val="FootnoteReference"/>
        </w:rPr>
        <w:footnoteReference w:id="31"/>
      </w:r>
      <w:r w:rsidR="00087616" w:rsidRPr="004C12C9">
        <w:t xml:space="preserve"> Users may apply the default commuting mode break</w:t>
      </w:r>
      <w:r w:rsidR="00B5028E" w:rsidRPr="004C12C9">
        <w:t>out</w:t>
      </w:r>
      <w:r w:rsidR="00087616" w:rsidRPr="004C12C9">
        <w:t xml:space="preserve"> assumptions or enter their own values.</w:t>
      </w:r>
    </w:p>
    <w:p w14:paraId="7ABEC945" w14:textId="669C0CEE" w:rsidR="00087616" w:rsidRPr="004C12C9" w:rsidRDefault="00087616" w:rsidP="00D950AB">
      <w:pPr>
        <w:pStyle w:val="Caption"/>
      </w:pPr>
      <w:bookmarkStart w:id="75" w:name="_Ref190702733"/>
      <w:bookmarkStart w:id="76" w:name="_Ref195694148"/>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22</w:t>
      </w:r>
      <w:r w:rsidR="00F72B41">
        <w:fldChar w:fldCharType="end"/>
      </w:r>
      <w:bookmarkEnd w:id="75"/>
      <w:bookmarkEnd w:id="76"/>
      <w:r w:rsidR="003A1B7E" w:rsidRPr="004C12C9">
        <w:t>.</w:t>
      </w:r>
      <w:r w:rsidRPr="004C12C9">
        <w:t xml:space="preserve"> </w:t>
      </w:r>
      <w:r w:rsidR="00F92C87" w:rsidRPr="004C12C9">
        <w:t>Commuting</w:t>
      </w:r>
      <w:r w:rsidRPr="004C12C9">
        <w:t xml:space="preserve"> Mode Assumptions</w:t>
      </w:r>
      <w:r w:rsidRPr="004C12C9">
        <w:rPr>
          <w:color w:val="FFFFFF" w:themeColor="background1"/>
        </w:rPr>
        <w:t>*</w:t>
      </w:r>
    </w:p>
    <w:tbl>
      <w:tblPr>
        <w:tblW w:w="331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84"/>
        <w:gridCol w:w="3198"/>
      </w:tblGrid>
      <w:tr w:rsidR="00087616" w:rsidRPr="004C12C9" w14:paraId="7DD3A169" w14:textId="77777777" w:rsidTr="00E3388F">
        <w:trPr>
          <w:trHeight w:val="300"/>
          <w:tblHeader/>
        </w:trPr>
        <w:tc>
          <w:tcPr>
            <w:tcW w:w="2607" w:type="pct"/>
            <w:shd w:val="clear" w:color="auto" w:fill="D9D9D9" w:themeFill="background1" w:themeFillShade="D9"/>
            <w:noWrap/>
          </w:tcPr>
          <w:p w14:paraId="043C5049" w14:textId="77777777" w:rsidR="00087616" w:rsidRPr="004C12C9" w:rsidRDefault="00087616" w:rsidP="006059C0">
            <w:pPr>
              <w:pStyle w:val="ICFTableHeading"/>
            </w:pPr>
            <w:r w:rsidRPr="004C12C9">
              <w:t>Commuting Mode</w:t>
            </w:r>
          </w:p>
        </w:tc>
        <w:tc>
          <w:tcPr>
            <w:tcW w:w="2393" w:type="pct"/>
            <w:shd w:val="clear" w:color="auto" w:fill="D9D9D9" w:themeFill="background1" w:themeFillShade="D9"/>
          </w:tcPr>
          <w:p w14:paraId="18E0A982" w14:textId="11B34B22" w:rsidR="00087616" w:rsidRPr="004C12C9" w:rsidRDefault="00087616" w:rsidP="006059C0">
            <w:pPr>
              <w:pStyle w:val="ICFTableHeading"/>
            </w:pPr>
            <w:r w:rsidRPr="004C12C9">
              <w:t>Percent of Employees</w:t>
            </w:r>
            <w:r w:rsidR="009E0F7B" w:rsidRPr="004C12C9">
              <w:rPr>
                <w:sz w:val="18"/>
                <w:szCs w:val="18"/>
                <w:vertAlign w:val="superscript"/>
              </w:rPr>
              <w:t>a</w:t>
            </w:r>
          </w:p>
        </w:tc>
      </w:tr>
      <w:tr w:rsidR="00087616" w:rsidRPr="004C12C9" w14:paraId="1F9FF318" w14:textId="77777777" w:rsidTr="006059C0">
        <w:trPr>
          <w:trHeight w:val="300"/>
        </w:trPr>
        <w:tc>
          <w:tcPr>
            <w:tcW w:w="2607" w:type="pct"/>
            <w:noWrap/>
          </w:tcPr>
          <w:p w14:paraId="3AE43A65" w14:textId="77777777" w:rsidR="00087616" w:rsidRPr="004C12C9" w:rsidRDefault="00087616" w:rsidP="006059C0">
            <w:pPr>
              <w:pStyle w:val="ICFTabletext"/>
            </w:pPr>
            <w:r w:rsidRPr="004C12C9">
              <w:t>Single Occupancy Vehicle</w:t>
            </w:r>
          </w:p>
        </w:tc>
        <w:tc>
          <w:tcPr>
            <w:tcW w:w="2393" w:type="pct"/>
          </w:tcPr>
          <w:p w14:paraId="60A11B44" w14:textId="77777777" w:rsidR="00087616" w:rsidRPr="004C12C9" w:rsidRDefault="00087616" w:rsidP="006059C0">
            <w:pPr>
              <w:pStyle w:val="ICFTabletext"/>
              <w:jc w:val="center"/>
            </w:pPr>
            <w:r w:rsidRPr="004C12C9">
              <w:t>81.7%</w:t>
            </w:r>
          </w:p>
        </w:tc>
      </w:tr>
      <w:tr w:rsidR="00087616" w:rsidRPr="004C12C9" w14:paraId="0C78E876" w14:textId="77777777" w:rsidTr="006059C0">
        <w:trPr>
          <w:trHeight w:val="300"/>
        </w:trPr>
        <w:tc>
          <w:tcPr>
            <w:tcW w:w="2607" w:type="pct"/>
            <w:noWrap/>
          </w:tcPr>
          <w:p w14:paraId="563DAF11" w14:textId="77777777" w:rsidR="00087616" w:rsidRPr="004C12C9" w:rsidRDefault="00087616" w:rsidP="006059C0">
            <w:pPr>
              <w:pStyle w:val="ICFTabletext"/>
            </w:pPr>
            <w:r w:rsidRPr="004C12C9">
              <w:t>Carpool</w:t>
            </w:r>
          </w:p>
        </w:tc>
        <w:tc>
          <w:tcPr>
            <w:tcW w:w="2393" w:type="pct"/>
          </w:tcPr>
          <w:p w14:paraId="177206BB" w14:textId="77777777" w:rsidR="00087616" w:rsidRPr="004C12C9" w:rsidRDefault="00087616" w:rsidP="006059C0">
            <w:pPr>
              <w:pStyle w:val="ICFTabletext"/>
              <w:jc w:val="center"/>
            </w:pPr>
            <w:r w:rsidRPr="004C12C9">
              <w:t>10.6%</w:t>
            </w:r>
          </w:p>
        </w:tc>
      </w:tr>
      <w:tr w:rsidR="00087616" w:rsidRPr="004C12C9" w14:paraId="5F0B2B7D" w14:textId="77777777" w:rsidTr="006059C0">
        <w:trPr>
          <w:trHeight w:val="300"/>
        </w:trPr>
        <w:tc>
          <w:tcPr>
            <w:tcW w:w="2607" w:type="pct"/>
            <w:noWrap/>
          </w:tcPr>
          <w:p w14:paraId="157AB702" w14:textId="77777777" w:rsidR="00087616" w:rsidRPr="004C12C9" w:rsidRDefault="00087616" w:rsidP="006059C0">
            <w:pPr>
              <w:pStyle w:val="ICFTabletext"/>
            </w:pPr>
            <w:r w:rsidRPr="004C12C9">
              <w:lastRenderedPageBreak/>
              <w:t>Motorcycle</w:t>
            </w:r>
          </w:p>
        </w:tc>
        <w:tc>
          <w:tcPr>
            <w:tcW w:w="2393" w:type="pct"/>
          </w:tcPr>
          <w:p w14:paraId="1FCB8DC9" w14:textId="77777777" w:rsidR="00087616" w:rsidRPr="004C12C9" w:rsidRDefault="00087616" w:rsidP="006059C0">
            <w:pPr>
              <w:pStyle w:val="ICFTabletext"/>
              <w:jc w:val="center"/>
            </w:pPr>
            <w:r w:rsidRPr="004C12C9">
              <w:t>0.2%</w:t>
            </w:r>
          </w:p>
        </w:tc>
      </w:tr>
      <w:tr w:rsidR="00087616" w:rsidRPr="004C12C9" w14:paraId="405673AA" w14:textId="77777777" w:rsidTr="006059C0">
        <w:trPr>
          <w:trHeight w:val="300"/>
        </w:trPr>
        <w:tc>
          <w:tcPr>
            <w:tcW w:w="2607" w:type="pct"/>
            <w:noWrap/>
          </w:tcPr>
          <w:p w14:paraId="4A904196" w14:textId="77777777" w:rsidR="00087616" w:rsidRPr="004C12C9" w:rsidRDefault="00087616" w:rsidP="006059C0">
            <w:pPr>
              <w:pStyle w:val="ICFTabletext"/>
            </w:pPr>
            <w:r w:rsidRPr="004C12C9">
              <w:t>Bus</w:t>
            </w:r>
          </w:p>
        </w:tc>
        <w:tc>
          <w:tcPr>
            <w:tcW w:w="2393" w:type="pct"/>
          </w:tcPr>
          <w:p w14:paraId="1B30F5E8" w14:textId="77777777" w:rsidR="00087616" w:rsidRPr="004C12C9" w:rsidRDefault="00087616" w:rsidP="006059C0">
            <w:pPr>
              <w:pStyle w:val="ICFTabletext"/>
              <w:jc w:val="center"/>
            </w:pPr>
            <w:r w:rsidRPr="004C12C9">
              <w:t>1.9%</w:t>
            </w:r>
          </w:p>
        </w:tc>
      </w:tr>
      <w:tr w:rsidR="00087616" w:rsidRPr="004C12C9" w14:paraId="65D5D999" w14:textId="77777777" w:rsidTr="006059C0">
        <w:trPr>
          <w:trHeight w:val="300"/>
        </w:trPr>
        <w:tc>
          <w:tcPr>
            <w:tcW w:w="2607" w:type="pct"/>
            <w:noWrap/>
          </w:tcPr>
          <w:p w14:paraId="4FA004F1" w14:textId="77777777" w:rsidR="00087616" w:rsidRPr="004C12C9" w:rsidRDefault="00087616" w:rsidP="006059C0">
            <w:pPr>
              <w:pStyle w:val="ICFTabletext"/>
            </w:pPr>
            <w:r w:rsidRPr="004C12C9">
              <w:t>Transit Rail</w:t>
            </w:r>
          </w:p>
        </w:tc>
        <w:tc>
          <w:tcPr>
            <w:tcW w:w="2393" w:type="pct"/>
          </w:tcPr>
          <w:p w14:paraId="48EA76A1" w14:textId="77777777" w:rsidR="00087616" w:rsidRPr="004C12C9" w:rsidRDefault="00087616" w:rsidP="006059C0">
            <w:pPr>
              <w:pStyle w:val="ICFTabletext"/>
              <w:jc w:val="center"/>
            </w:pPr>
            <w:r w:rsidRPr="004C12C9">
              <w:t>2.2%</w:t>
            </w:r>
          </w:p>
        </w:tc>
      </w:tr>
      <w:tr w:rsidR="00087616" w:rsidRPr="004C12C9" w14:paraId="59A968B0" w14:textId="77777777" w:rsidTr="006059C0">
        <w:trPr>
          <w:trHeight w:val="300"/>
        </w:trPr>
        <w:tc>
          <w:tcPr>
            <w:tcW w:w="2607" w:type="pct"/>
            <w:noWrap/>
          </w:tcPr>
          <w:p w14:paraId="5809BDFD" w14:textId="77777777" w:rsidR="00087616" w:rsidRPr="004C12C9" w:rsidRDefault="00087616" w:rsidP="006059C0">
            <w:pPr>
              <w:pStyle w:val="ICFTabletext"/>
            </w:pPr>
            <w:r w:rsidRPr="004C12C9">
              <w:t>Bike/Walk</w:t>
            </w:r>
          </w:p>
        </w:tc>
        <w:tc>
          <w:tcPr>
            <w:tcW w:w="2393" w:type="pct"/>
          </w:tcPr>
          <w:p w14:paraId="08CA72F9" w14:textId="77777777" w:rsidR="00087616" w:rsidRPr="004C12C9" w:rsidRDefault="00087616" w:rsidP="006059C0">
            <w:pPr>
              <w:pStyle w:val="ICFTabletext"/>
              <w:jc w:val="center"/>
            </w:pPr>
            <w:r w:rsidRPr="004C12C9">
              <w:t>3.4%</w:t>
            </w:r>
          </w:p>
        </w:tc>
      </w:tr>
    </w:tbl>
    <w:p w14:paraId="5322048C" w14:textId="17712914" w:rsidR="00087616" w:rsidRPr="004C12C9" w:rsidRDefault="001C7DE6" w:rsidP="001F1192">
      <w:pPr>
        <w:pStyle w:val="TableFooter"/>
      </w:pPr>
      <w:r w:rsidRPr="004C12C9">
        <w:rPr>
          <w:vertAlign w:val="superscript"/>
        </w:rPr>
        <w:t>a</w:t>
      </w:r>
      <w:r w:rsidR="00087616" w:rsidRPr="004C12C9">
        <w:t xml:space="preserve"> Assumptions exclude the following mode types: </w:t>
      </w:r>
      <w:r w:rsidR="005C0123" w:rsidRPr="004C12C9">
        <w:t>“</w:t>
      </w:r>
      <w:r w:rsidR="00087616" w:rsidRPr="004C12C9">
        <w:t>work from home</w:t>
      </w:r>
      <w:r w:rsidR="005C0123" w:rsidRPr="004C12C9">
        <w:t>”</w:t>
      </w:r>
      <w:r w:rsidR="00087616" w:rsidRPr="004C12C9">
        <w:t xml:space="preserve"> and </w:t>
      </w:r>
      <w:r w:rsidR="005C0123" w:rsidRPr="004C12C9">
        <w:t>“</w:t>
      </w:r>
      <w:r w:rsidR="00087616" w:rsidRPr="004C12C9">
        <w:t>other.</w:t>
      </w:r>
      <w:r w:rsidR="005C0123" w:rsidRPr="004C12C9">
        <w:t>”</w:t>
      </w:r>
    </w:p>
    <w:p w14:paraId="77C9D206" w14:textId="72EB8507" w:rsidR="004D0C95" w:rsidRPr="004C12C9" w:rsidRDefault="00087616" w:rsidP="00E31E37">
      <w:pPr>
        <w:pStyle w:val="Heading4"/>
      </w:pPr>
      <w:r w:rsidRPr="004C12C9">
        <w:t xml:space="preserve">Emission </w:t>
      </w:r>
      <w:r w:rsidR="00CA6665" w:rsidRPr="004C12C9">
        <w:t>F</w:t>
      </w:r>
      <w:r w:rsidRPr="004C12C9">
        <w:t>actors</w:t>
      </w:r>
    </w:p>
    <w:p w14:paraId="64F3F4BA" w14:textId="12AD0BC7" w:rsidR="005C2A4C" w:rsidRPr="004C12C9" w:rsidRDefault="001E470B" w:rsidP="00972CF9">
      <w:r w:rsidRPr="004C12C9">
        <w:t>Upstream e</w:t>
      </w:r>
      <w:r w:rsidR="005C2A4C" w:rsidRPr="004C12C9">
        <w:t>mission factors by mode in kgCO</w:t>
      </w:r>
      <w:r w:rsidR="005C2A4C" w:rsidRPr="004C12C9">
        <w:rPr>
          <w:vertAlign w:val="subscript"/>
        </w:rPr>
        <w:t>2</w:t>
      </w:r>
      <w:r w:rsidR="005C2A4C" w:rsidRPr="004C12C9">
        <w:t>e</w:t>
      </w:r>
      <w:r w:rsidR="00F52697" w:rsidRPr="004C12C9">
        <w:t>/</w:t>
      </w:r>
      <w:r w:rsidR="005C2A4C" w:rsidRPr="004C12C9">
        <w:t>passenger</w:t>
      </w:r>
      <w:r w:rsidR="000B5257" w:rsidRPr="004C12C9">
        <w:t xml:space="preserve"> </w:t>
      </w:r>
      <w:r w:rsidR="005C2A4C" w:rsidRPr="004C12C9">
        <w:t>mile were derived by multiplying fuel consumption estimates in Btu</w:t>
      </w:r>
      <w:r w:rsidR="00CB7991" w:rsidRPr="004C12C9">
        <w:t>/</w:t>
      </w:r>
      <w:r w:rsidR="005C2A4C" w:rsidRPr="004C12C9">
        <w:t>passenger</w:t>
      </w:r>
      <w:r w:rsidR="0052261A" w:rsidRPr="004C12C9">
        <w:t xml:space="preserve"> </w:t>
      </w:r>
      <w:r w:rsidR="005C2A4C" w:rsidRPr="004C12C9">
        <w:t>mile by emission factors in kgCO</w:t>
      </w:r>
      <w:r w:rsidR="005C2A4C" w:rsidRPr="004C12C9">
        <w:rPr>
          <w:vertAlign w:val="subscript"/>
        </w:rPr>
        <w:t>2</w:t>
      </w:r>
      <w:r w:rsidR="005C2A4C" w:rsidRPr="004C12C9">
        <w:t>e</w:t>
      </w:r>
      <w:r w:rsidR="00CB7991" w:rsidRPr="004C12C9">
        <w:t>/</w:t>
      </w:r>
      <w:r w:rsidR="005C2A4C" w:rsidRPr="004C12C9">
        <w:t>Btu.</w:t>
      </w:r>
      <w:r w:rsidR="005C2A4C" w:rsidRPr="004C12C9" w:rsidDel="008E2C80">
        <w:t xml:space="preserve"> </w:t>
      </w:r>
      <w:r w:rsidR="005C2A4C" w:rsidRPr="004C12C9">
        <w:t>Fuel consumption estimates for single occupancy vehicles, buses, and transit rail were acquired from GREET1 2024 for calendar year 2025.</w:t>
      </w:r>
      <w:r w:rsidR="003C3CA0">
        <w:rPr>
          <w:rFonts w:ascii="ZWAdobeF" w:hAnsi="ZWAdobeF" w:cs="ZWAdobeF"/>
          <w:sz w:val="2"/>
          <w:szCs w:val="2"/>
        </w:rPr>
        <w:t>30F</w:t>
      </w:r>
      <w:r w:rsidR="0076492B" w:rsidRPr="004C12C9">
        <w:rPr>
          <w:rStyle w:val="FootnoteReference"/>
        </w:rPr>
        <w:footnoteReference w:id="32"/>
      </w:r>
      <w:r w:rsidR="005C2A4C" w:rsidRPr="004C12C9">
        <w:t xml:space="preserve"> The value for carpools was calculated by dividing the value for single occupancy vehicles by the average number of people in a carpool (2.47), as acquired from EPA’s </w:t>
      </w:r>
      <w:r w:rsidR="004912E5" w:rsidRPr="004C12C9">
        <w:t>Local GHG Inventory Tool</w:t>
      </w:r>
      <w:r w:rsidR="005C2A4C" w:rsidRPr="004C12C9">
        <w:t>.</w:t>
      </w:r>
      <w:r w:rsidR="003C3CA0">
        <w:rPr>
          <w:rFonts w:ascii="ZWAdobeF" w:hAnsi="ZWAdobeF" w:cs="ZWAdobeF"/>
          <w:sz w:val="2"/>
          <w:szCs w:val="2"/>
        </w:rPr>
        <w:t>31F</w:t>
      </w:r>
      <w:r w:rsidR="005C2A4C" w:rsidRPr="004C12C9">
        <w:rPr>
          <w:rStyle w:val="FootnoteReference"/>
        </w:rPr>
        <w:footnoteReference w:id="33"/>
      </w:r>
      <w:r w:rsidR="005C2A4C" w:rsidRPr="004C12C9">
        <w:t xml:space="preserve"> The value for motorcycles was calculated by multiplying the heat content of gasoline (in Btu</w:t>
      </w:r>
      <w:r w:rsidR="0014267F" w:rsidRPr="004C12C9">
        <w:t>/</w:t>
      </w:r>
      <w:r w:rsidR="005C2A4C" w:rsidRPr="004C12C9">
        <w:t>gal</w:t>
      </w:r>
      <w:r w:rsidR="0038288D" w:rsidRPr="004C12C9">
        <w:t>lon</w:t>
      </w:r>
      <w:r w:rsidR="005C2A4C" w:rsidRPr="004C12C9">
        <w:t>) from EPA</w:t>
      </w:r>
      <w:r w:rsidR="00262143" w:rsidRPr="004C12C9">
        <w:t>’s GHG</w:t>
      </w:r>
      <w:r w:rsidR="005C2A4C" w:rsidRPr="004C12C9">
        <w:t xml:space="preserve"> Emission Factors Hub</w:t>
      </w:r>
      <w:r w:rsidR="003C3CA0">
        <w:rPr>
          <w:rFonts w:ascii="ZWAdobeF" w:hAnsi="ZWAdobeF" w:cs="ZWAdobeF"/>
          <w:sz w:val="2"/>
          <w:szCs w:val="2"/>
        </w:rPr>
        <w:t>32F</w:t>
      </w:r>
      <w:r w:rsidR="00A650F3" w:rsidRPr="004C12C9">
        <w:rPr>
          <w:rStyle w:val="FootnoteReference"/>
        </w:rPr>
        <w:footnoteReference w:id="34"/>
      </w:r>
      <w:r w:rsidR="00BD3D09" w:rsidRPr="004C12C9">
        <w:t xml:space="preserve"> </w:t>
      </w:r>
      <w:r w:rsidR="005C2A4C" w:rsidRPr="004C12C9">
        <w:t xml:space="preserve">by the fuel use assumption for motorcycles from EPA’s </w:t>
      </w:r>
      <w:r w:rsidR="00262143" w:rsidRPr="004C12C9">
        <w:t>Local GHG Inventory Tool</w:t>
      </w:r>
      <w:r w:rsidR="005C2A4C" w:rsidRPr="004C12C9">
        <w:t xml:space="preserve"> (in gal</w:t>
      </w:r>
      <w:r w:rsidR="00584734" w:rsidRPr="004C12C9">
        <w:t>lons</w:t>
      </w:r>
      <w:r w:rsidR="00F30921" w:rsidRPr="004C12C9">
        <w:t>/</w:t>
      </w:r>
      <w:r w:rsidR="00584734" w:rsidRPr="004C12C9">
        <w:t>mile</w:t>
      </w:r>
      <w:r w:rsidR="005C2A4C" w:rsidRPr="004C12C9">
        <w:t>).</w:t>
      </w:r>
      <w:r w:rsidR="003C3CA0">
        <w:rPr>
          <w:rFonts w:ascii="ZWAdobeF" w:hAnsi="ZWAdobeF" w:cs="ZWAdobeF"/>
          <w:sz w:val="2"/>
          <w:szCs w:val="2"/>
        </w:rPr>
        <w:t>33F</w:t>
      </w:r>
      <w:r w:rsidR="003667CE" w:rsidRPr="004C12C9">
        <w:rPr>
          <w:rStyle w:val="FootnoteReference"/>
        </w:rPr>
        <w:footnoteReference w:id="35"/>
      </w:r>
      <w:r w:rsidR="00BD3D09" w:rsidRPr="004C12C9">
        <w:t xml:space="preserve"> </w:t>
      </w:r>
      <w:r w:rsidR="005C2A4C" w:rsidRPr="004C12C9">
        <w:t>The resulting fuel consumption assumptions in Btu</w:t>
      </w:r>
      <w:r w:rsidR="00E37B03" w:rsidRPr="004C12C9">
        <w:t>/</w:t>
      </w:r>
      <w:r w:rsidR="005C2A4C" w:rsidRPr="004C12C9">
        <w:t xml:space="preserve">passenger mile along with the assumed fuel used by each mode are summarized in </w:t>
      </w:r>
      <w:r w:rsidR="00C87EBA" w:rsidRPr="004C12C9">
        <w:fldChar w:fldCharType="begin" w:fldLock="1"/>
      </w:r>
      <w:r w:rsidR="00C87EBA" w:rsidRPr="004C12C9">
        <w:instrText xml:space="preserve"> REF _Ref195522748 \h </w:instrText>
      </w:r>
      <w:r w:rsidR="00C87EBA" w:rsidRPr="004C12C9">
        <w:fldChar w:fldCharType="separate"/>
      </w:r>
      <w:r w:rsidR="00127094" w:rsidRPr="004C12C9">
        <w:t>Table 2</w:t>
      </w:r>
      <w:r w:rsidR="00127094" w:rsidRPr="004C12C9">
        <w:noBreakHyphen/>
        <w:t>23</w:t>
      </w:r>
      <w:r w:rsidR="00C87EBA" w:rsidRPr="004C12C9">
        <w:fldChar w:fldCharType="end"/>
      </w:r>
      <w:r w:rsidR="005C2A4C" w:rsidRPr="004C12C9">
        <w:t>.</w:t>
      </w:r>
    </w:p>
    <w:p w14:paraId="7E0065A6" w14:textId="061107E3" w:rsidR="005C2A4C" w:rsidRPr="004C12C9" w:rsidRDefault="005C2A4C" w:rsidP="00972CF9">
      <w:pPr>
        <w:pStyle w:val="Caption"/>
      </w:pPr>
      <w:bookmarkStart w:id="77" w:name="_Ref190338739"/>
      <w:bookmarkStart w:id="78" w:name="_Ref195522748"/>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23</w:t>
      </w:r>
      <w:r w:rsidR="00F72B41">
        <w:fldChar w:fldCharType="end"/>
      </w:r>
      <w:bookmarkEnd w:id="77"/>
      <w:bookmarkEnd w:id="78"/>
      <w:r w:rsidR="003A1B7E" w:rsidRPr="004C12C9">
        <w:t>.</w:t>
      </w:r>
      <w:r w:rsidRPr="004C12C9">
        <w:t xml:space="preserve"> Assumed Fuel Type and Energy Consumption by Mode</w:t>
      </w:r>
    </w:p>
    <w:tbl>
      <w:tblPr>
        <w:tblW w:w="495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57"/>
        <w:gridCol w:w="2940"/>
        <w:gridCol w:w="3688"/>
      </w:tblGrid>
      <w:tr w:rsidR="005C2A4C" w:rsidRPr="004C12C9" w14:paraId="36F53AE2" w14:textId="77777777" w:rsidTr="001C7DE6">
        <w:trPr>
          <w:trHeight w:val="300"/>
          <w:tblHeader/>
        </w:trPr>
        <w:tc>
          <w:tcPr>
            <w:tcW w:w="1681" w:type="pct"/>
            <w:shd w:val="clear" w:color="auto" w:fill="D9D9D9" w:themeFill="background1" w:themeFillShade="D9"/>
            <w:noWrap/>
            <w:vAlign w:val="center"/>
          </w:tcPr>
          <w:p w14:paraId="70488897" w14:textId="77777777" w:rsidR="005C2A4C" w:rsidRPr="004C12C9" w:rsidRDefault="005C2A4C" w:rsidP="00D950AB">
            <w:pPr>
              <w:pStyle w:val="ICFTableHeading"/>
              <w:rPr>
                <w:rFonts w:asciiTheme="minorHAnsi" w:hAnsiTheme="minorHAnsi"/>
                <w:b w:val="0"/>
                <w:color w:val="FFFFFF" w:themeColor="background1"/>
                <w:sz w:val="20"/>
              </w:rPr>
            </w:pPr>
            <w:r w:rsidRPr="004C12C9">
              <w:t>Commuting Mode</w:t>
            </w:r>
          </w:p>
        </w:tc>
        <w:tc>
          <w:tcPr>
            <w:tcW w:w="1472" w:type="pct"/>
            <w:shd w:val="clear" w:color="auto" w:fill="D9D9D9" w:themeFill="background1" w:themeFillShade="D9"/>
            <w:vAlign w:val="center"/>
          </w:tcPr>
          <w:p w14:paraId="29ACE94A" w14:textId="77777777" w:rsidR="005C2A4C" w:rsidRPr="004C12C9" w:rsidRDefault="005C2A4C" w:rsidP="00D950AB">
            <w:pPr>
              <w:pStyle w:val="ICFTableHeading"/>
              <w:rPr>
                <w:rFonts w:asciiTheme="minorHAnsi" w:hAnsiTheme="minorHAnsi"/>
                <w:b w:val="0"/>
                <w:color w:val="FFFFFF" w:themeColor="background1"/>
                <w:sz w:val="20"/>
              </w:rPr>
            </w:pPr>
            <w:r w:rsidRPr="004C12C9">
              <w:t>Fuel Type</w:t>
            </w:r>
          </w:p>
        </w:tc>
        <w:tc>
          <w:tcPr>
            <w:tcW w:w="1847" w:type="pct"/>
            <w:shd w:val="clear" w:color="auto" w:fill="D9D9D9" w:themeFill="background1" w:themeFillShade="D9"/>
          </w:tcPr>
          <w:p w14:paraId="697E8D07" w14:textId="5A0B755A" w:rsidR="005C2A4C" w:rsidRPr="004C12C9" w:rsidRDefault="005C2A4C" w:rsidP="00D950AB">
            <w:pPr>
              <w:pStyle w:val="ICFTableHeading"/>
              <w:rPr>
                <w:rFonts w:asciiTheme="minorHAnsi" w:hAnsiTheme="minorHAnsi"/>
                <w:b w:val="0"/>
                <w:color w:val="FFFFFF" w:themeColor="background1"/>
                <w:sz w:val="20"/>
              </w:rPr>
            </w:pPr>
            <w:r w:rsidRPr="004C12C9">
              <w:t>Energy Use (Btu/passenger mile)</w:t>
            </w:r>
            <w:r w:rsidR="001C7DE6" w:rsidRPr="004C12C9">
              <w:rPr>
                <w:sz w:val="18"/>
                <w:szCs w:val="18"/>
                <w:vertAlign w:val="superscript"/>
              </w:rPr>
              <w:t>a</w:t>
            </w:r>
          </w:p>
        </w:tc>
      </w:tr>
      <w:tr w:rsidR="005C2A4C" w:rsidRPr="004C12C9" w14:paraId="6BE81C20" w14:textId="77777777" w:rsidTr="001C7DE6">
        <w:trPr>
          <w:trHeight w:val="300"/>
        </w:trPr>
        <w:tc>
          <w:tcPr>
            <w:tcW w:w="1681" w:type="pct"/>
            <w:noWrap/>
            <w:vAlign w:val="center"/>
          </w:tcPr>
          <w:p w14:paraId="78E0B4CF" w14:textId="77777777" w:rsidR="005C2A4C" w:rsidRPr="004C12C9" w:rsidRDefault="005C2A4C" w:rsidP="00D950AB">
            <w:pPr>
              <w:pStyle w:val="ICFTabletext"/>
            </w:pPr>
            <w:r w:rsidRPr="004C12C9">
              <w:t>Single Occupancy Vehicle</w:t>
            </w:r>
          </w:p>
        </w:tc>
        <w:tc>
          <w:tcPr>
            <w:tcW w:w="1472" w:type="pct"/>
            <w:vAlign w:val="center"/>
          </w:tcPr>
          <w:p w14:paraId="5F8558B1" w14:textId="77777777" w:rsidR="005C2A4C" w:rsidRPr="004C12C9" w:rsidRDefault="005C2A4C" w:rsidP="00D950AB">
            <w:pPr>
              <w:pStyle w:val="ICFTabletext"/>
            </w:pPr>
            <w:r w:rsidRPr="004C12C9">
              <w:t>Gasoline</w:t>
            </w:r>
          </w:p>
        </w:tc>
        <w:tc>
          <w:tcPr>
            <w:tcW w:w="1847" w:type="pct"/>
            <w:vAlign w:val="center"/>
          </w:tcPr>
          <w:p w14:paraId="19A862EF" w14:textId="77777777" w:rsidR="005C2A4C" w:rsidRPr="004C12C9" w:rsidRDefault="005C2A4C" w:rsidP="00D950AB">
            <w:pPr>
              <w:pStyle w:val="ICFTabletext"/>
              <w:jc w:val="center"/>
            </w:pPr>
            <w:r w:rsidRPr="004C12C9">
              <w:t>4,004</w:t>
            </w:r>
          </w:p>
        </w:tc>
      </w:tr>
      <w:tr w:rsidR="005C2A4C" w:rsidRPr="004C12C9" w14:paraId="73340AC0" w14:textId="77777777" w:rsidTr="001C7DE6">
        <w:trPr>
          <w:trHeight w:val="300"/>
        </w:trPr>
        <w:tc>
          <w:tcPr>
            <w:tcW w:w="1681" w:type="pct"/>
            <w:noWrap/>
            <w:vAlign w:val="center"/>
          </w:tcPr>
          <w:p w14:paraId="428BE565" w14:textId="77777777" w:rsidR="005C2A4C" w:rsidRPr="004C12C9" w:rsidRDefault="005C2A4C" w:rsidP="00D950AB">
            <w:pPr>
              <w:pStyle w:val="ICFTabletext"/>
            </w:pPr>
            <w:r w:rsidRPr="004C12C9">
              <w:t>Carpool</w:t>
            </w:r>
          </w:p>
        </w:tc>
        <w:tc>
          <w:tcPr>
            <w:tcW w:w="1472" w:type="pct"/>
            <w:vAlign w:val="center"/>
          </w:tcPr>
          <w:p w14:paraId="0BEC3194" w14:textId="77777777" w:rsidR="005C2A4C" w:rsidRPr="004C12C9" w:rsidRDefault="005C2A4C" w:rsidP="00D950AB">
            <w:pPr>
              <w:pStyle w:val="ICFTabletext"/>
            </w:pPr>
            <w:r w:rsidRPr="004C12C9">
              <w:t>Gasoline</w:t>
            </w:r>
          </w:p>
        </w:tc>
        <w:tc>
          <w:tcPr>
            <w:tcW w:w="1847" w:type="pct"/>
            <w:vAlign w:val="center"/>
          </w:tcPr>
          <w:p w14:paraId="7F36C517" w14:textId="77777777" w:rsidR="005C2A4C" w:rsidRPr="004C12C9" w:rsidRDefault="005C2A4C" w:rsidP="00D950AB">
            <w:pPr>
              <w:pStyle w:val="ICFTabletext"/>
              <w:jc w:val="center"/>
            </w:pPr>
            <w:r w:rsidRPr="004C12C9">
              <w:t>1,621</w:t>
            </w:r>
          </w:p>
        </w:tc>
      </w:tr>
      <w:tr w:rsidR="005C2A4C" w:rsidRPr="004C12C9" w14:paraId="2A7D3D1D" w14:textId="77777777" w:rsidTr="001C7DE6">
        <w:trPr>
          <w:trHeight w:val="300"/>
        </w:trPr>
        <w:tc>
          <w:tcPr>
            <w:tcW w:w="1681" w:type="pct"/>
            <w:noWrap/>
            <w:vAlign w:val="center"/>
          </w:tcPr>
          <w:p w14:paraId="2E8D4A48" w14:textId="77777777" w:rsidR="005C2A4C" w:rsidRPr="004C12C9" w:rsidRDefault="005C2A4C" w:rsidP="00D950AB">
            <w:pPr>
              <w:pStyle w:val="ICFTabletext"/>
            </w:pPr>
            <w:r w:rsidRPr="004C12C9">
              <w:t>Motorcycle</w:t>
            </w:r>
          </w:p>
        </w:tc>
        <w:tc>
          <w:tcPr>
            <w:tcW w:w="1472" w:type="pct"/>
            <w:vAlign w:val="center"/>
          </w:tcPr>
          <w:p w14:paraId="7D678099" w14:textId="77777777" w:rsidR="005C2A4C" w:rsidRPr="004C12C9" w:rsidRDefault="005C2A4C" w:rsidP="00D950AB">
            <w:pPr>
              <w:pStyle w:val="ICFTabletext"/>
            </w:pPr>
            <w:r w:rsidRPr="004C12C9">
              <w:t>Gasoline</w:t>
            </w:r>
          </w:p>
        </w:tc>
        <w:tc>
          <w:tcPr>
            <w:tcW w:w="1847" w:type="pct"/>
            <w:vAlign w:val="center"/>
          </w:tcPr>
          <w:p w14:paraId="06BD62A0" w14:textId="77777777" w:rsidR="005C2A4C" w:rsidRPr="004C12C9" w:rsidRDefault="005C2A4C" w:rsidP="00D950AB">
            <w:pPr>
              <w:pStyle w:val="ICFTabletext"/>
              <w:jc w:val="center"/>
            </w:pPr>
            <w:r w:rsidRPr="004C12C9">
              <w:t>2,841</w:t>
            </w:r>
          </w:p>
        </w:tc>
      </w:tr>
      <w:tr w:rsidR="005C2A4C" w:rsidRPr="004C12C9" w14:paraId="48B4F1C4" w14:textId="77777777" w:rsidTr="001C7DE6">
        <w:trPr>
          <w:trHeight w:val="300"/>
        </w:trPr>
        <w:tc>
          <w:tcPr>
            <w:tcW w:w="1681" w:type="pct"/>
            <w:noWrap/>
            <w:vAlign w:val="center"/>
          </w:tcPr>
          <w:p w14:paraId="219E42BA" w14:textId="77777777" w:rsidR="005C2A4C" w:rsidRPr="004C12C9" w:rsidRDefault="005C2A4C" w:rsidP="00D950AB">
            <w:pPr>
              <w:pStyle w:val="ICFTabletext"/>
            </w:pPr>
            <w:r w:rsidRPr="004C12C9">
              <w:t>Bus</w:t>
            </w:r>
          </w:p>
        </w:tc>
        <w:tc>
          <w:tcPr>
            <w:tcW w:w="1472" w:type="pct"/>
            <w:vAlign w:val="center"/>
          </w:tcPr>
          <w:p w14:paraId="4F728E18" w14:textId="77777777" w:rsidR="005C2A4C" w:rsidRPr="004C12C9" w:rsidRDefault="005C2A4C" w:rsidP="00D950AB">
            <w:pPr>
              <w:pStyle w:val="ICFTabletext"/>
            </w:pPr>
            <w:r w:rsidRPr="004C12C9">
              <w:t>Diesel</w:t>
            </w:r>
          </w:p>
        </w:tc>
        <w:tc>
          <w:tcPr>
            <w:tcW w:w="1847" w:type="pct"/>
            <w:vAlign w:val="center"/>
          </w:tcPr>
          <w:p w14:paraId="78C21538" w14:textId="77777777" w:rsidR="005C2A4C" w:rsidRPr="004C12C9" w:rsidRDefault="005C2A4C" w:rsidP="00D950AB">
            <w:pPr>
              <w:pStyle w:val="ICFTabletext"/>
              <w:jc w:val="center"/>
            </w:pPr>
            <w:r w:rsidRPr="004C12C9">
              <w:t>471</w:t>
            </w:r>
          </w:p>
        </w:tc>
      </w:tr>
      <w:tr w:rsidR="005C2A4C" w:rsidRPr="004C12C9" w14:paraId="164760C9" w14:textId="77777777" w:rsidTr="001C7DE6">
        <w:trPr>
          <w:trHeight w:val="300"/>
        </w:trPr>
        <w:tc>
          <w:tcPr>
            <w:tcW w:w="1681" w:type="pct"/>
            <w:noWrap/>
            <w:vAlign w:val="center"/>
          </w:tcPr>
          <w:p w14:paraId="60ABBFBF" w14:textId="77777777" w:rsidR="005C2A4C" w:rsidRPr="004C12C9" w:rsidRDefault="005C2A4C" w:rsidP="00D950AB">
            <w:pPr>
              <w:pStyle w:val="ICFTabletext"/>
            </w:pPr>
            <w:r w:rsidRPr="004C12C9">
              <w:t>Transit Rail</w:t>
            </w:r>
          </w:p>
        </w:tc>
        <w:tc>
          <w:tcPr>
            <w:tcW w:w="1472" w:type="pct"/>
            <w:vAlign w:val="center"/>
          </w:tcPr>
          <w:p w14:paraId="37E7F088" w14:textId="77777777" w:rsidR="005C2A4C" w:rsidRPr="004C12C9" w:rsidRDefault="005C2A4C" w:rsidP="00D950AB">
            <w:pPr>
              <w:pStyle w:val="ICFTabletext"/>
            </w:pPr>
            <w:r w:rsidRPr="004C12C9">
              <w:t>Electricity</w:t>
            </w:r>
          </w:p>
        </w:tc>
        <w:tc>
          <w:tcPr>
            <w:tcW w:w="1847" w:type="pct"/>
            <w:vAlign w:val="center"/>
          </w:tcPr>
          <w:p w14:paraId="58036BB2" w14:textId="77777777" w:rsidR="005C2A4C" w:rsidRPr="004C12C9" w:rsidRDefault="005C2A4C" w:rsidP="00D950AB">
            <w:pPr>
              <w:pStyle w:val="ICFTabletext"/>
              <w:jc w:val="center"/>
            </w:pPr>
            <w:r w:rsidRPr="004C12C9">
              <w:t>789</w:t>
            </w:r>
          </w:p>
        </w:tc>
      </w:tr>
      <w:tr w:rsidR="005C2A4C" w:rsidRPr="004C12C9" w14:paraId="718013C4" w14:textId="77777777" w:rsidTr="001C7DE6">
        <w:trPr>
          <w:trHeight w:val="300"/>
        </w:trPr>
        <w:tc>
          <w:tcPr>
            <w:tcW w:w="1681" w:type="pct"/>
            <w:noWrap/>
            <w:vAlign w:val="center"/>
          </w:tcPr>
          <w:p w14:paraId="4B58BFAF" w14:textId="77777777" w:rsidR="005C2A4C" w:rsidRPr="004C12C9" w:rsidRDefault="005C2A4C" w:rsidP="00D950AB">
            <w:pPr>
              <w:pStyle w:val="ICFTabletext"/>
            </w:pPr>
            <w:r w:rsidRPr="004C12C9">
              <w:t>Bike/Walk</w:t>
            </w:r>
          </w:p>
        </w:tc>
        <w:tc>
          <w:tcPr>
            <w:tcW w:w="1472" w:type="pct"/>
            <w:vAlign w:val="center"/>
          </w:tcPr>
          <w:p w14:paraId="26BE6D0D" w14:textId="77777777" w:rsidR="005C2A4C" w:rsidRPr="004C12C9" w:rsidRDefault="005C2A4C" w:rsidP="00D950AB">
            <w:pPr>
              <w:pStyle w:val="ICFTabletext"/>
            </w:pPr>
            <w:r w:rsidRPr="004C12C9">
              <w:t>NA</w:t>
            </w:r>
          </w:p>
        </w:tc>
        <w:tc>
          <w:tcPr>
            <w:tcW w:w="1847" w:type="pct"/>
            <w:vAlign w:val="center"/>
          </w:tcPr>
          <w:p w14:paraId="726A4258" w14:textId="77777777" w:rsidR="005C2A4C" w:rsidRPr="004C12C9" w:rsidRDefault="005C2A4C" w:rsidP="00D950AB">
            <w:pPr>
              <w:pStyle w:val="ICFTabletext"/>
              <w:jc w:val="center"/>
            </w:pPr>
            <w:r w:rsidRPr="004C12C9">
              <w:t>0</w:t>
            </w:r>
          </w:p>
        </w:tc>
      </w:tr>
    </w:tbl>
    <w:p w14:paraId="59833253" w14:textId="067C90FF" w:rsidR="005C2A4C" w:rsidRPr="004C12C9" w:rsidRDefault="001C7DE6" w:rsidP="003F37AB">
      <w:pPr>
        <w:pStyle w:val="TableFooter"/>
      </w:pPr>
      <w:r w:rsidRPr="004C12C9">
        <w:rPr>
          <w:vertAlign w:val="superscript"/>
        </w:rPr>
        <w:t>a</w:t>
      </w:r>
      <w:r w:rsidRPr="004C12C9">
        <w:t xml:space="preserve"> </w:t>
      </w:r>
      <w:r w:rsidR="009F3FB3" w:rsidRPr="004C12C9">
        <w:t>Although v</w:t>
      </w:r>
      <w:r w:rsidR="005C2A4C" w:rsidRPr="004C12C9">
        <w:t xml:space="preserve">alues are </w:t>
      </w:r>
      <w:r w:rsidR="00B70918" w:rsidRPr="004C12C9">
        <w:t>likely</w:t>
      </w:r>
      <w:r w:rsidR="005C2A4C" w:rsidRPr="004C12C9">
        <w:t xml:space="preserve"> to decrease over time</w:t>
      </w:r>
      <w:r w:rsidR="009F3FB3" w:rsidRPr="004C12C9">
        <w:t>, e</w:t>
      </w:r>
      <w:r w:rsidR="005C2A4C" w:rsidRPr="004C12C9">
        <w:t>stimates for calendar year 2025 are conservatively assumed to remain constant</w:t>
      </w:r>
      <w:r w:rsidR="005878DA" w:rsidRPr="004C12C9">
        <w:rPr>
          <w:rFonts w:ascii="Segoe UI" w:hAnsi="Segoe UI" w:cs="Segoe UI"/>
        </w:rPr>
        <w:t xml:space="preserve"> </w:t>
      </w:r>
      <w:r w:rsidR="005878DA" w:rsidRPr="004C12C9">
        <w:t>at calendar year 2025 levels</w:t>
      </w:r>
      <w:r w:rsidR="005C2A4C" w:rsidRPr="004C12C9">
        <w:t>.</w:t>
      </w:r>
    </w:p>
    <w:p w14:paraId="192E7831" w14:textId="6BAD3056" w:rsidR="005C2A4C" w:rsidRPr="004C12C9" w:rsidRDefault="005C2A4C" w:rsidP="00972CF9">
      <w:r w:rsidRPr="004C12C9">
        <w:t>The emission factors in kgCO</w:t>
      </w:r>
      <w:r w:rsidRPr="004C12C9">
        <w:rPr>
          <w:vertAlign w:val="subscript"/>
        </w:rPr>
        <w:t>2</w:t>
      </w:r>
      <w:r w:rsidRPr="004C12C9">
        <w:t>e</w:t>
      </w:r>
      <w:r w:rsidR="00A9254C" w:rsidRPr="004C12C9">
        <w:t>/</w:t>
      </w:r>
      <w:r w:rsidRPr="004C12C9">
        <w:t>Btu were derived based on data obtained from</w:t>
      </w:r>
      <w:r w:rsidRPr="004C12C9" w:rsidDel="008862C5">
        <w:t xml:space="preserve"> </w:t>
      </w:r>
      <w:r w:rsidR="00996195" w:rsidRPr="004C12C9">
        <w:t xml:space="preserve">EPA’s </w:t>
      </w:r>
      <w:r w:rsidR="006C3D0A" w:rsidRPr="004C12C9">
        <w:t xml:space="preserve">GHG </w:t>
      </w:r>
      <w:r w:rsidRPr="004C12C9">
        <w:t xml:space="preserve">Emission Factors Hub and GREET1 2024. The upstream emission factors for gasoline and diesel were derived from GREET1 2024 (see </w:t>
      </w:r>
      <w:r w:rsidR="003B68AA" w:rsidRPr="004C12C9">
        <w:lastRenderedPageBreak/>
        <w:fldChar w:fldCharType="begin" w:fldLock="1"/>
      </w:r>
      <w:r w:rsidR="003B68AA" w:rsidRPr="004C12C9">
        <w:instrText xml:space="preserve"> REF _Ref195523135 \h </w:instrText>
      </w:r>
      <w:r w:rsidR="003B68AA" w:rsidRPr="004C12C9">
        <w:fldChar w:fldCharType="separate"/>
      </w:r>
      <w:r w:rsidR="00127094" w:rsidRPr="004C12C9">
        <w:t>Table 2</w:t>
      </w:r>
      <w:r w:rsidR="00127094" w:rsidRPr="004C12C9">
        <w:noBreakHyphen/>
        <w:t>24</w:t>
      </w:r>
      <w:r w:rsidR="003B68AA" w:rsidRPr="004C12C9">
        <w:fldChar w:fldCharType="end"/>
      </w:r>
      <w:r w:rsidRPr="004C12C9">
        <w:t>).</w:t>
      </w:r>
      <w:r w:rsidR="003C3CA0">
        <w:rPr>
          <w:rFonts w:ascii="ZWAdobeF" w:hAnsi="ZWAdobeF" w:cs="ZWAdobeF"/>
          <w:sz w:val="2"/>
          <w:szCs w:val="2"/>
        </w:rPr>
        <w:t>34F</w:t>
      </w:r>
      <w:r w:rsidR="006A457A" w:rsidRPr="004C12C9">
        <w:rPr>
          <w:rStyle w:val="FootnoteReference"/>
        </w:rPr>
        <w:footnoteReference w:id="36"/>
      </w:r>
      <w:r w:rsidRPr="004C12C9">
        <w:t xml:space="preserve"> The combustion emission factors by vehicle type for passenger cars, motorcycles, and buses were acquired </w:t>
      </w:r>
      <w:r w:rsidR="00ED040C" w:rsidRPr="004C12C9">
        <w:t>directly</w:t>
      </w:r>
      <w:r w:rsidRPr="004C12C9">
        <w:t xml:space="preserve"> from EPA’s </w:t>
      </w:r>
      <w:r w:rsidR="00815039" w:rsidRPr="004C12C9">
        <w:t xml:space="preserve">GHG </w:t>
      </w:r>
      <w:r w:rsidRPr="004C12C9">
        <w:t xml:space="preserve">Emission Factors Hub (see </w:t>
      </w:r>
      <w:r w:rsidR="003B68AA" w:rsidRPr="004C12C9">
        <w:fldChar w:fldCharType="begin" w:fldLock="1"/>
      </w:r>
      <w:r w:rsidR="003B68AA" w:rsidRPr="004C12C9">
        <w:instrText xml:space="preserve"> REF _Ref195523144 \h </w:instrText>
      </w:r>
      <w:r w:rsidR="003B68AA" w:rsidRPr="004C12C9">
        <w:fldChar w:fldCharType="separate"/>
      </w:r>
      <w:r w:rsidR="00127094" w:rsidRPr="004C12C9">
        <w:t>Table 2</w:t>
      </w:r>
      <w:r w:rsidR="00127094" w:rsidRPr="004C12C9">
        <w:noBreakHyphen/>
        <w:t>25</w:t>
      </w:r>
      <w:r w:rsidR="003B68AA" w:rsidRPr="004C12C9">
        <w:fldChar w:fldCharType="end"/>
      </w:r>
      <w:r w:rsidRPr="004C12C9">
        <w:t>).</w:t>
      </w:r>
      <w:r w:rsidR="003C3CA0">
        <w:rPr>
          <w:rFonts w:ascii="ZWAdobeF" w:hAnsi="ZWAdobeF" w:cs="ZWAdobeF"/>
          <w:sz w:val="2"/>
          <w:szCs w:val="2"/>
        </w:rPr>
        <w:t>35F</w:t>
      </w:r>
      <w:r w:rsidR="006A457A" w:rsidRPr="004C12C9">
        <w:rPr>
          <w:rStyle w:val="FootnoteReference"/>
        </w:rPr>
        <w:footnoteReference w:id="37"/>
      </w:r>
      <w:r w:rsidRPr="004C12C9">
        <w:t xml:space="preserve"> The grid average electricity emission factors by year for electricity consumed by transit rail were derived </w:t>
      </w:r>
      <w:r w:rsidR="00D476A6" w:rsidRPr="004C12C9">
        <w:t>based on the methodolog</w:t>
      </w:r>
      <w:r w:rsidR="000403D6" w:rsidRPr="004C12C9">
        <w:t xml:space="preserve">y described in </w:t>
      </w:r>
      <w:r w:rsidR="000403D6" w:rsidRPr="004C12C9">
        <w:fldChar w:fldCharType="begin" w:fldLock="1"/>
      </w:r>
      <w:r w:rsidR="000403D6" w:rsidRPr="004C12C9">
        <w:instrText xml:space="preserve"> REF _Ref195350188 \n \h </w:instrText>
      </w:r>
      <w:r w:rsidR="000403D6" w:rsidRPr="004C12C9">
        <w:fldChar w:fldCharType="separate"/>
      </w:r>
      <w:r w:rsidR="00127094" w:rsidRPr="004C12C9">
        <w:t>Appendix C</w:t>
      </w:r>
      <w:r w:rsidR="000403D6" w:rsidRPr="004C12C9">
        <w:fldChar w:fldCharType="end"/>
      </w:r>
      <w:r w:rsidRPr="004C12C9">
        <w:t xml:space="preserve"> (see </w:t>
      </w:r>
      <w:r w:rsidR="003B68AA" w:rsidRPr="004C12C9">
        <w:fldChar w:fldCharType="begin" w:fldLock="1"/>
      </w:r>
      <w:r w:rsidR="003B68AA" w:rsidRPr="004C12C9">
        <w:instrText xml:space="preserve"> REF _Ref195523150 \h </w:instrText>
      </w:r>
      <w:r w:rsidR="003B68AA" w:rsidRPr="004C12C9">
        <w:fldChar w:fldCharType="separate"/>
      </w:r>
      <w:r w:rsidR="00127094" w:rsidRPr="004C12C9">
        <w:t>Table 2</w:t>
      </w:r>
      <w:r w:rsidR="00127094" w:rsidRPr="004C12C9">
        <w:noBreakHyphen/>
        <w:t>26</w:t>
      </w:r>
      <w:r w:rsidR="003B68AA" w:rsidRPr="004C12C9">
        <w:fldChar w:fldCharType="end"/>
      </w:r>
      <w:r w:rsidRPr="004C12C9">
        <w:t xml:space="preserve">). The resulting emission factors by mode are shown in </w:t>
      </w:r>
      <w:r w:rsidRPr="004C12C9">
        <w:fldChar w:fldCharType="begin" w:fldLock="1"/>
      </w:r>
      <w:r w:rsidRPr="004C12C9">
        <w:instrText xml:space="preserve"> REF _Ref184725680 \h </w:instrText>
      </w:r>
      <w:r w:rsidRPr="004C12C9">
        <w:fldChar w:fldCharType="separate"/>
      </w:r>
      <w:r w:rsidR="00127094" w:rsidRPr="004C12C9">
        <w:t>Table 2</w:t>
      </w:r>
      <w:r w:rsidR="00127094" w:rsidRPr="004C12C9">
        <w:noBreakHyphen/>
        <w:t>27</w:t>
      </w:r>
      <w:r w:rsidRPr="004C12C9">
        <w:fldChar w:fldCharType="end"/>
      </w:r>
      <w:r w:rsidRPr="004C12C9">
        <w:t>.</w:t>
      </w:r>
    </w:p>
    <w:p w14:paraId="26C5A1B4" w14:textId="5328EAF8" w:rsidR="005C2A4C" w:rsidRPr="004C12C9" w:rsidRDefault="005C2A4C" w:rsidP="00972CF9">
      <w:pPr>
        <w:pStyle w:val="Caption"/>
      </w:pPr>
      <w:bookmarkStart w:id="79" w:name="_Ref190942617"/>
      <w:bookmarkStart w:id="80" w:name="_Ref19552313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24</w:t>
      </w:r>
      <w:r w:rsidR="00F72B41">
        <w:fldChar w:fldCharType="end"/>
      </w:r>
      <w:bookmarkEnd w:id="79"/>
      <w:bookmarkEnd w:id="80"/>
      <w:r w:rsidRPr="004C12C9">
        <w:t>. Upstream Emission Factors</w:t>
      </w:r>
    </w:p>
    <w:tbl>
      <w:tblPr>
        <w:tblW w:w="321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5"/>
        <w:gridCol w:w="4700"/>
      </w:tblGrid>
      <w:tr w:rsidR="005C2A4C" w:rsidRPr="004C12C9" w14:paraId="21DB4FBB" w14:textId="77777777" w:rsidTr="003E6D26">
        <w:trPr>
          <w:trHeight w:val="300"/>
        </w:trPr>
        <w:tc>
          <w:tcPr>
            <w:tcW w:w="1371" w:type="pct"/>
            <w:shd w:val="clear" w:color="auto" w:fill="D9D9D9" w:themeFill="background1" w:themeFillShade="D9"/>
            <w:vAlign w:val="center"/>
          </w:tcPr>
          <w:p w14:paraId="06D94F2F" w14:textId="77777777" w:rsidR="005C2A4C" w:rsidRPr="004C12C9" w:rsidRDefault="005C2A4C" w:rsidP="00103A4B">
            <w:pPr>
              <w:pStyle w:val="ICFTableHeading"/>
            </w:pPr>
            <w:r w:rsidRPr="004C12C9">
              <w:t>Fuel Type</w:t>
            </w:r>
          </w:p>
        </w:tc>
        <w:tc>
          <w:tcPr>
            <w:tcW w:w="3629" w:type="pct"/>
            <w:shd w:val="clear" w:color="auto" w:fill="D9D9D9" w:themeFill="background1" w:themeFillShade="D9"/>
            <w:vAlign w:val="center"/>
          </w:tcPr>
          <w:p w14:paraId="59BF7AEA" w14:textId="5EBC0125" w:rsidR="005C2A4C" w:rsidRPr="004C12C9" w:rsidRDefault="005C2A4C" w:rsidP="00103A4B">
            <w:pPr>
              <w:pStyle w:val="ICFTableHeading"/>
            </w:pPr>
            <w:r w:rsidRPr="004C12C9">
              <w:t>Upstream Emission Factor (kgCO</w:t>
            </w:r>
            <w:r w:rsidRPr="004C12C9">
              <w:rPr>
                <w:vertAlign w:val="subscript"/>
              </w:rPr>
              <w:t>2</w:t>
            </w:r>
            <w:r w:rsidRPr="004C12C9">
              <w:t>e/MMBtu)</w:t>
            </w:r>
            <w:r w:rsidR="00A94737" w:rsidRPr="004C12C9">
              <w:rPr>
                <w:sz w:val="18"/>
                <w:szCs w:val="18"/>
                <w:vertAlign w:val="superscript"/>
              </w:rPr>
              <w:t>a</w:t>
            </w:r>
          </w:p>
        </w:tc>
      </w:tr>
      <w:tr w:rsidR="005C2A4C" w:rsidRPr="004C12C9" w14:paraId="58F8E702" w14:textId="77777777" w:rsidTr="003E6D26">
        <w:trPr>
          <w:trHeight w:val="300"/>
        </w:trPr>
        <w:tc>
          <w:tcPr>
            <w:tcW w:w="1371" w:type="pct"/>
            <w:vAlign w:val="center"/>
          </w:tcPr>
          <w:p w14:paraId="758E81E9" w14:textId="77777777" w:rsidR="005C2A4C" w:rsidRPr="004C12C9" w:rsidRDefault="005C2A4C" w:rsidP="00103A4B">
            <w:pPr>
              <w:pStyle w:val="ICFTabletext"/>
            </w:pPr>
            <w:r w:rsidRPr="004C12C9">
              <w:t>Gasoline</w:t>
            </w:r>
          </w:p>
        </w:tc>
        <w:tc>
          <w:tcPr>
            <w:tcW w:w="3629" w:type="pct"/>
            <w:vAlign w:val="center"/>
          </w:tcPr>
          <w:p w14:paraId="771AC4B2" w14:textId="67AF761B" w:rsidR="005C2A4C" w:rsidRPr="004C12C9" w:rsidRDefault="005C2A4C" w:rsidP="00A70E92">
            <w:pPr>
              <w:pStyle w:val="ICFTabletext"/>
              <w:jc w:val="center"/>
            </w:pPr>
            <w:r w:rsidRPr="004C12C9">
              <w:t>22.</w:t>
            </w:r>
            <w:r w:rsidR="00CF58DE" w:rsidRPr="004C12C9">
              <w:t>86</w:t>
            </w:r>
          </w:p>
        </w:tc>
      </w:tr>
      <w:tr w:rsidR="005C2A4C" w:rsidRPr="004C12C9" w14:paraId="3E692A74" w14:textId="77777777" w:rsidTr="003E6D26">
        <w:trPr>
          <w:trHeight w:val="300"/>
        </w:trPr>
        <w:tc>
          <w:tcPr>
            <w:tcW w:w="1371" w:type="pct"/>
            <w:vAlign w:val="center"/>
          </w:tcPr>
          <w:p w14:paraId="5FC32BCA" w14:textId="77777777" w:rsidR="005C2A4C" w:rsidRPr="004C12C9" w:rsidRDefault="005C2A4C" w:rsidP="00103A4B">
            <w:pPr>
              <w:pStyle w:val="ICFTabletext"/>
            </w:pPr>
            <w:r w:rsidRPr="004C12C9">
              <w:t>Diesel</w:t>
            </w:r>
          </w:p>
        </w:tc>
        <w:tc>
          <w:tcPr>
            <w:tcW w:w="3629" w:type="pct"/>
            <w:vAlign w:val="center"/>
          </w:tcPr>
          <w:p w14:paraId="5D73CC15" w14:textId="2E88A687" w:rsidR="005C2A4C" w:rsidRPr="004C12C9" w:rsidRDefault="005C2A4C" w:rsidP="00A70E92">
            <w:pPr>
              <w:pStyle w:val="ICFTabletext"/>
              <w:jc w:val="center"/>
            </w:pPr>
            <w:r w:rsidRPr="004C12C9">
              <w:t>16.</w:t>
            </w:r>
            <w:r w:rsidR="00CF58DE" w:rsidRPr="004C12C9">
              <w:t>11</w:t>
            </w:r>
          </w:p>
        </w:tc>
      </w:tr>
    </w:tbl>
    <w:p w14:paraId="638E8266" w14:textId="5232B9FB" w:rsidR="005C2A4C" w:rsidRPr="004C12C9" w:rsidRDefault="001C7DE6" w:rsidP="00103A4B">
      <w:pPr>
        <w:pStyle w:val="TableFooter"/>
      </w:pPr>
      <w:r w:rsidRPr="004C12C9">
        <w:rPr>
          <w:vertAlign w:val="superscript"/>
        </w:rPr>
        <w:t>a</w:t>
      </w:r>
      <w:r w:rsidR="005C2A4C" w:rsidRPr="004C12C9">
        <w:t xml:space="preserve"> Values shown are based on AR</w:t>
      </w:r>
      <w:r w:rsidR="00226DBF" w:rsidRPr="004C12C9">
        <w:t>5</w:t>
      </w:r>
      <w:r w:rsidR="005C2A4C" w:rsidRPr="004C12C9">
        <w:t xml:space="preserve"> global warming potentials.</w:t>
      </w:r>
    </w:p>
    <w:p w14:paraId="6D2D7039" w14:textId="1C5BD5AF" w:rsidR="005C2A4C" w:rsidRPr="004C12C9" w:rsidRDefault="005C2A4C" w:rsidP="00972CF9">
      <w:pPr>
        <w:pStyle w:val="Caption"/>
      </w:pPr>
      <w:bookmarkStart w:id="81" w:name="_Ref190942774"/>
      <w:bookmarkStart w:id="82" w:name="_Ref195523144"/>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25</w:t>
      </w:r>
      <w:r w:rsidR="00F72B41">
        <w:fldChar w:fldCharType="end"/>
      </w:r>
      <w:bookmarkEnd w:id="81"/>
      <w:bookmarkEnd w:id="82"/>
      <w:r w:rsidRPr="004C12C9">
        <w:t>. Combustion Emission Factors</w:t>
      </w:r>
    </w:p>
    <w:tbl>
      <w:tblPr>
        <w:tblW w:w="404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25"/>
        <w:gridCol w:w="3351"/>
        <w:gridCol w:w="2573"/>
      </w:tblGrid>
      <w:tr w:rsidR="005C2A4C" w:rsidRPr="004C12C9" w14:paraId="37F66CEF" w14:textId="77777777" w:rsidTr="003E6D26">
        <w:trPr>
          <w:trHeight w:val="300"/>
        </w:trPr>
        <w:tc>
          <w:tcPr>
            <w:tcW w:w="1365" w:type="pct"/>
            <w:shd w:val="clear" w:color="auto" w:fill="D9D9D9" w:themeFill="background1" w:themeFillShade="D9"/>
            <w:noWrap/>
            <w:vAlign w:val="center"/>
          </w:tcPr>
          <w:p w14:paraId="03372D80" w14:textId="77777777" w:rsidR="005C2A4C" w:rsidRPr="004C12C9" w:rsidRDefault="005C2A4C" w:rsidP="000F7B66">
            <w:pPr>
              <w:pStyle w:val="ICFTableHeading"/>
            </w:pPr>
            <w:r w:rsidRPr="004C12C9">
              <w:t>Vehicle Type</w:t>
            </w:r>
          </w:p>
        </w:tc>
        <w:tc>
          <w:tcPr>
            <w:tcW w:w="2056" w:type="pct"/>
            <w:shd w:val="clear" w:color="auto" w:fill="D9D9D9" w:themeFill="background1" w:themeFillShade="D9"/>
            <w:vAlign w:val="center"/>
          </w:tcPr>
          <w:p w14:paraId="76D94576" w14:textId="4617E00F" w:rsidR="005C2A4C" w:rsidRPr="004C12C9" w:rsidRDefault="005C2A4C" w:rsidP="000F7B66">
            <w:pPr>
              <w:pStyle w:val="ICFTableHeading"/>
            </w:pPr>
            <w:r w:rsidRPr="004C12C9">
              <w:t>Combustion Emission Factor</w:t>
            </w:r>
            <w:r w:rsidR="00A94737" w:rsidRPr="004C12C9">
              <w:rPr>
                <w:sz w:val="18"/>
                <w:szCs w:val="18"/>
                <w:vertAlign w:val="superscript"/>
              </w:rPr>
              <w:t>a</w:t>
            </w:r>
          </w:p>
        </w:tc>
        <w:tc>
          <w:tcPr>
            <w:tcW w:w="1579" w:type="pct"/>
            <w:shd w:val="clear" w:color="auto" w:fill="D9D9D9" w:themeFill="background1" w:themeFillShade="D9"/>
            <w:vAlign w:val="center"/>
          </w:tcPr>
          <w:p w14:paraId="084AC865" w14:textId="77777777" w:rsidR="005C2A4C" w:rsidRPr="004C12C9" w:rsidRDefault="005C2A4C" w:rsidP="000F7B66">
            <w:pPr>
              <w:pStyle w:val="ICFTableHeading"/>
            </w:pPr>
            <w:r w:rsidRPr="004C12C9">
              <w:t>Unit</w:t>
            </w:r>
          </w:p>
        </w:tc>
      </w:tr>
      <w:tr w:rsidR="005C2A4C" w:rsidRPr="004C12C9" w14:paraId="6BB31DEF" w14:textId="77777777" w:rsidTr="003E6D26">
        <w:trPr>
          <w:trHeight w:val="300"/>
        </w:trPr>
        <w:tc>
          <w:tcPr>
            <w:tcW w:w="1365" w:type="pct"/>
            <w:noWrap/>
            <w:vAlign w:val="center"/>
          </w:tcPr>
          <w:p w14:paraId="03BDE70B" w14:textId="77777777" w:rsidR="005C2A4C" w:rsidRPr="004C12C9" w:rsidRDefault="005C2A4C" w:rsidP="000F7B66">
            <w:pPr>
              <w:pStyle w:val="ICFTabletext"/>
            </w:pPr>
            <w:r w:rsidRPr="004C12C9">
              <w:t>Passenger Car</w:t>
            </w:r>
          </w:p>
        </w:tc>
        <w:tc>
          <w:tcPr>
            <w:tcW w:w="2056" w:type="pct"/>
            <w:vAlign w:val="center"/>
          </w:tcPr>
          <w:p w14:paraId="275538C9" w14:textId="5CA0F1D4" w:rsidR="005C2A4C" w:rsidRPr="004C12C9" w:rsidRDefault="005C2A4C" w:rsidP="00A70E92">
            <w:pPr>
              <w:pStyle w:val="ICFTabletext"/>
              <w:jc w:val="center"/>
            </w:pPr>
            <w:r w:rsidRPr="004C12C9">
              <w:t>0.</w:t>
            </w:r>
            <w:r w:rsidR="0049473F" w:rsidRPr="004C12C9">
              <w:t>30</w:t>
            </w:r>
          </w:p>
        </w:tc>
        <w:tc>
          <w:tcPr>
            <w:tcW w:w="1579" w:type="pct"/>
            <w:vAlign w:val="center"/>
          </w:tcPr>
          <w:p w14:paraId="0B703BCF" w14:textId="55012BAD" w:rsidR="005C2A4C" w:rsidRPr="004C12C9" w:rsidRDefault="000C3536" w:rsidP="000F7B66">
            <w:pPr>
              <w:pStyle w:val="ICFTabletext"/>
            </w:pPr>
            <w:r w:rsidRPr="004C12C9">
              <w:t>kgCO</w:t>
            </w:r>
            <w:r w:rsidRPr="004C12C9">
              <w:rPr>
                <w:vertAlign w:val="subscript"/>
              </w:rPr>
              <w:t>2</w:t>
            </w:r>
            <w:r w:rsidRPr="004C12C9">
              <w:t>e/</w:t>
            </w:r>
            <w:r w:rsidR="00DC63DE" w:rsidRPr="004C12C9">
              <w:t>v</w:t>
            </w:r>
            <w:r w:rsidR="005C2A4C" w:rsidRPr="004C12C9">
              <w:t>ehicle</w:t>
            </w:r>
            <w:r w:rsidR="00DC63DE" w:rsidRPr="004C12C9">
              <w:t xml:space="preserve"> </w:t>
            </w:r>
            <w:r w:rsidR="005C2A4C" w:rsidRPr="004C12C9">
              <w:t>mile</w:t>
            </w:r>
          </w:p>
        </w:tc>
      </w:tr>
      <w:tr w:rsidR="005C2A4C" w:rsidRPr="004C12C9" w14:paraId="4900EFF7" w14:textId="77777777" w:rsidTr="003E6D26">
        <w:trPr>
          <w:trHeight w:val="300"/>
        </w:trPr>
        <w:tc>
          <w:tcPr>
            <w:tcW w:w="1365" w:type="pct"/>
            <w:noWrap/>
            <w:vAlign w:val="center"/>
          </w:tcPr>
          <w:p w14:paraId="51903A55" w14:textId="77777777" w:rsidR="005C2A4C" w:rsidRPr="004C12C9" w:rsidRDefault="005C2A4C" w:rsidP="000F7B66">
            <w:pPr>
              <w:pStyle w:val="ICFTabletext"/>
            </w:pPr>
            <w:r w:rsidRPr="004C12C9">
              <w:t>Motorcycle</w:t>
            </w:r>
          </w:p>
        </w:tc>
        <w:tc>
          <w:tcPr>
            <w:tcW w:w="2056" w:type="pct"/>
            <w:vAlign w:val="center"/>
          </w:tcPr>
          <w:p w14:paraId="251AA6EC" w14:textId="79659115" w:rsidR="005C2A4C" w:rsidRPr="004C12C9" w:rsidRDefault="005C2A4C" w:rsidP="00A70E92">
            <w:pPr>
              <w:pStyle w:val="ICFTabletext"/>
              <w:jc w:val="center"/>
            </w:pPr>
            <w:r w:rsidRPr="004C12C9">
              <w:t>0.3</w:t>
            </w:r>
            <w:r w:rsidR="0049473F" w:rsidRPr="004C12C9">
              <w:t>7</w:t>
            </w:r>
          </w:p>
        </w:tc>
        <w:tc>
          <w:tcPr>
            <w:tcW w:w="1579" w:type="pct"/>
            <w:vAlign w:val="center"/>
          </w:tcPr>
          <w:p w14:paraId="0A826F9F" w14:textId="684DEDFD" w:rsidR="005C2A4C" w:rsidRPr="004C12C9" w:rsidRDefault="000C3536" w:rsidP="000F7B66">
            <w:pPr>
              <w:pStyle w:val="ICFTabletext"/>
            </w:pPr>
            <w:r w:rsidRPr="004C12C9">
              <w:t>kgCO</w:t>
            </w:r>
            <w:r w:rsidRPr="004C12C9">
              <w:rPr>
                <w:vertAlign w:val="subscript"/>
              </w:rPr>
              <w:t>2</w:t>
            </w:r>
            <w:r w:rsidRPr="004C12C9">
              <w:t>e/</w:t>
            </w:r>
            <w:r w:rsidR="00DC63DE" w:rsidRPr="004C12C9">
              <w:t>v</w:t>
            </w:r>
            <w:r w:rsidR="005C2A4C" w:rsidRPr="004C12C9">
              <w:t>ehicle</w:t>
            </w:r>
            <w:r w:rsidR="00DC63DE" w:rsidRPr="004C12C9">
              <w:t xml:space="preserve"> </w:t>
            </w:r>
            <w:r w:rsidR="005C2A4C" w:rsidRPr="004C12C9">
              <w:t>mile</w:t>
            </w:r>
          </w:p>
        </w:tc>
      </w:tr>
      <w:tr w:rsidR="005C2A4C" w:rsidRPr="004C12C9" w14:paraId="3228FE82" w14:textId="77777777" w:rsidTr="003E6D26">
        <w:trPr>
          <w:trHeight w:val="300"/>
        </w:trPr>
        <w:tc>
          <w:tcPr>
            <w:tcW w:w="1365" w:type="pct"/>
            <w:noWrap/>
            <w:vAlign w:val="center"/>
          </w:tcPr>
          <w:p w14:paraId="4402C254" w14:textId="77777777" w:rsidR="005C2A4C" w:rsidRPr="004C12C9" w:rsidRDefault="005C2A4C" w:rsidP="000F7B66">
            <w:pPr>
              <w:pStyle w:val="ICFTabletext"/>
            </w:pPr>
            <w:r w:rsidRPr="004C12C9">
              <w:t>Bus</w:t>
            </w:r>
          </w:p>
        </w:tc>
        <w:tc>
          <w:tcPr>
            <w:tcW w:w="2056" w:type="pct"/>
            <w:vAlign w:val="center"/>
          </w:tcPr>
          <w:p w14:paraId="38E5E410" w14:textId="524B3C01" w:rsidR="005C2A4C" w:rsidRPr="004C12C9" w:rsidRDefault="005C2A4C" w:rsidP="00A70E92">
            <w:pPr>
              <w:pStyle w:val="ICFTabletext"/>
              <w:jc w:val="center"/>
            </w:pPr>
            <w:r w:rsidRPr="004C12C9">
              <w:t>0.0</w:t>
            </w:r>
            <w:r w:rsidR="0049473F" w:rsidRPr="004C12C9">
              <w:t>7</w:t>
            </w:r>
          </w:p>
        </w:tc>
        <w:tc>
          <w:tcPr>
            <w:tcW w:w="1579" w:type="pct"/>
            <w:vAlign w:val="center"/>
          </w:tcPr>
          <w:p w14:paraId="666B0197" w14:textId="483E2632" w:rsidR="005C2A4C" w:rsidRPr="004C12C9" w:rsidRDefault="000C3536" w:rsidP="000F7B66">
            <w:pPr>
              <w:pStyle w:val="ICFTabletext"/>
            </w:pPr>
            <w:r w:rsidRPr="004C12C9">
              <w:t>kgCO</w:t>
            </w:r>
            <w:r w:rsidRPr="004C12C9">
              <w:rPr>
                <w:vertAlign w:val="subscript"/>
              </w:rPr>
              <w:t>2</w:t>
            </w:r>
            <w:r w:rsidRPr="004C12C9">
              <w:t>e/</w:t>
            </w:r>
            <w:r w:rsidR="00DC63DE" w:rsidRPr="004C12C9">
              <w:t>p</w:t>
            </w:r>
            <w:r w:rsidR="005C2A4C" w:rsidRPr="004C12C9">
              <w:t>assenger</w:t>
            </w:r>
            <w:r w:rsidR="00DC63DE" w:rsidRPr="004C12C9">
              <w:t xml:space="preserve"> </w:t>
            </w:r>
            <w:r w:rsidR="005C2A4C" w:rsidRPr="004C12C9">
              <w:t>mile</w:t>
            </w:r>
          </w:p>
        </w:tc>
      </w:tr>
    </w:tbl>
    <w:p w14:paraId="69B89658" w14:textId="7F15C618" w:rsidR="005C2A4C" w:rsidRPr="004C12C9" w:rsidRDefault="001C7DE6" w:rsidP="00103A4B">
      <w:pPr>
        <w:pStyle w:val="TableFooter"/>
      </w:pPr>
      <w:r w:rsidRPr="004C12C9">
        <w:rPr>
          <w:vertAlign w:val="superscript"/>
        </w:rPr>
        <w:t>a</w:t>
      </w:r>
      <w:r w:rsidR="005C2A4C" w:rsidRPr="004C12C9">
        <w:t xml:space="preserve"> Values shown are based on AR</w:t>
      </w:r>
      <w:r w:rsidR="00226DBF" w:rsidRPr="004C12C9">
        <w:t>5</w:t>
      </w:r>
      <w:r w:rsidR="005C2A4C" w:rsidRPr="004C12C9">
        <w:t xml:space="preserve"> global warming potentials.</w:t>
      </w:r>
    </w:p>
    <w:p w14:paraId="696C94FE" w14:textId="6CCE99D3" w:rsidR="005C2A4C" w:rsidRPr="004C12C9" w:rsidRDefault="005C2A4C" w:rsidP="00972CF9">
      <w:pPr>
        <w:pStyle w:val="Caption"/>
        <w:rPr>
          <w:i/>
        </w:rPr>
      </w:pPr>
      <w:bookmarkStart w:id="83" w:name="_Ref187685184"/>
      <w:bookmarkStart w:id="84" w:name="_Ref195523150"/>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26</w:t>
      </w:r>
      <w:r w:rsidR="00F72B41">
        <w:fldChar w:fldCharType="end"/>
      </w:r>
      <w:bookmarkEnd w:id="83"/>
      <w:bookmarkEnd w:id="84"/>
      <w:r w:rsidRPr="004C12C9">
        <w:rPr>
          <w:i/>
        </w:rPr>
        <w:t>.</w:t>
      </w:r>
      <w:r w:rsidRPr="004C12C9">
        <w:t xml:space="preserve"> Electricity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02"/>
        <w:gridCol w:w="1228"/>
        <w:gridCol w:w="1228"/>
        <w:gridCol w:w="1228"/>
        <w:gridCol w:w="1228"/>
        <w:gridCol w:w="1228"/>
        <w:gridCol w:w="1228"/>
      </w:tblGrid>
      <w:tr w:rsidR="005C2A4C" w:rsidRPr="004C12C9" w14:paraId="1779BE55" w14:textId="77777777" w:rsidTr="001C7DE6">
        <w:trPr>
          <w:trHeight w:val="290"/>
        </w:trPr>
        <w:tc>
          <w:tcPr>
            <w:tcW w:w="2702" w:type="dxa"/>
            <w:vMerge w:val="restart"/>
            <w:shd w:val="clear" w:color="auto" w:fill="D9D9D9" w:themeFill="background1" w:themeFillShade="D9"/>
            <w:vAlign w:val="center"/>
            <w:hideMark/>
          </w:tcPr>
          <w:p w14:paraId="059CCB1D" w14:textId="77777777" w:rsidR="005C2A4C" w:rsidRPr="004C12C9" w:rsidRDefault="005C2A4C" w:rsidP="000674F5">
            <w:pPr>
              <w:pStyle w:val="ICFTableHeading"/>
              <w:keepNext/>
              <w:rPr>
                <w:bCs/>
                <w:color w:val="FFFFFF"/>
              </w:rPr>
            </w:pPr>
            <w:r w:rsidRPr="004C12C9">
              <w:t>Electricity Provider</w:t>
            </w:r>
          </w:p>
        </w:tc>
        <w:tc>
          <w:tcPr>
            <w:tcW w:w="7368" w:type="dxa"/>
            <w:gridSpan w:val="6"/>
            <w:shd w:val="clear" w:color="auto" w:fill="D9D9D9" w:themeFill="background1" w:themeFillShade="D9"/>
            <w:vAlign w:val="center"/>
            <w:hideMark/>
          </w:tcPr>
          <w:p w14:paraId="6B28CE28" w14:textId="45BFFE06" w:rsidR="005C2A4C" w:rsidRPr="004C12C9" w:rsidRDefault="005C2A4C" w:rsidP="000674F5">
            <w:pPr>
              <w:pStyle w:val="ICFTableHeading"/>
              <w:keepNext/>
            </w:pPr>
            <w:r w:rsidRPr="004C12C9">
              <w:t>Emission Factor (kgCO</w:t>
            </w:r>
            <w:r w:rsidRPr="004C12C9">
              <w:rPr>
                <w:vertAlign w:val="subscript"/>
              </w:rPr>
              <w:t>2</w:t>
            </w:r>
            <w:r w:rsidRPr="004C12C9">
              <w:t>e/MMBtu)</w:t>
            </w:r>
            <w:r w:rsidR="00A94737" w:rsidRPr="004C12C9">
              <w:rPr>
                <w:sz w:val="18"/>
                <w:szCs w:val="18"/>
                <w:vertAlign w:val="superscript"/>
              </w:rPr>
              <w:t>a</w:t>
            </w:r>
          </w:p>
        </w:tc>
      </w:tr>
      <w:tr w:rsidR="005C2A4C" w:rsidRPr="004C12C9" w14:paraId="4203C91C" w14:textId="77777777" w:rsidTr="001C7DE6">
        <w:trPr>
          <w:trHeight w:val="280"/>
        </w:trPr>
        <w:tc>
          <w:tcPr>
            <w:tcW w:w="2702" w:type="dxa"/>
            <w:vMerge/>
            <w:shd w:val="clear" w:color="auto" w:fill="D9D9D9" w:themeFill="background1" w:themeFillShade="D9"/>
            <w:vAlign w:val="center"/>
            <w:hideMark/>
          </w:tcPr>
          <w:p w14:paraId="348788A3" w14:textId="77777777" w:rsidR="005C2A4C" w:rsidRPr="004C12C9" w:rsidRDefault="005C2A4C" w:rsidP="000F7B66">
            <w:pPr>
              <w:pStyle w:val="ICFTableHeading"/>
            </w:pPr>
          </w:p>
        </w:tc>
        <w:tc>
          <w:tcPr>
            <w:tcW w:w="1228" w:type="dxa"/>
            <w:shd w:val="clear" w:color="auto" w:fill="D9D9D9" w:themeFill="background1" w:themeFillShade="D9"/>
            <w:vAlign w:val="center"/>
            <w:hideMark/>
          </w:tcPr>
          <w:p w14:paraId="4E91B32D" w14:textId="77777777" w:rsidR="005C2A4C" w:rsidRPr="004C12C9" w:rsidRDefault="005C2A4C" w:rsidP="000F7B66">
            <w:pPr>
              <w:pStyle w:val="ICFTableHeading"/>
            </w:pPr>
            <w:r w:rsidRPr="004C12C9">
              <w:t>2025</w:t>
            </w:r>
          </w:p>
        </w:tc>
        <w:tc>
          <w:tcPr>
            <w:tcW w:w="1228" w:type="dxa"/>
            <w:shd w:val="clear" w:color="auto" w:fill="D9D9D9" w:themeFill="background1" w:themeFillShade="D9"/>
            <w:vAlign w:val="center"/>
            <w:hideMark/>
          </w:tcPr>
          <w:p w14:paraId="469396A5" w14:textId="77777777" w:rsidR="005C2A4C" w:rsidRPr="004C12C9" w:rsidRDefault="005C2A4C" w:rsidP="000F7B66">
            <w:pPr>
              <w:pStyle w:val="ICFTableHeading"/>
            </w:pPr>
            <w:r w:rsidRPr="004C12C9">
              <w:t>2030</w:t>
            </w:r>
          </w:p>
        </w:tc>
        <w:tc>
          <w:tcPr>
            <w:tcW w:w="1228" w:type="dxa"/>
            <w:shd w:val="clear" w:color="auto" w:fill="D9D9D9" w:themeFill="background1" w:themeFillShade="D9"/>
            <w:vAlign w:val="center"/>
            <w:hideMark/>
          </w:tcPr>
          <w:p w14:paraId="270714DB" w14:textId="77777777" w:rsidR="005C2A4C" w:rsidRPr="004C12C9" w:rsidRDefault="005C2A4C" w:rsidP="000F7B66">
            <w:pPr>
              <w:pStyle w:val="ICFTableHeading"/>
            </w:pPr>
            <w:r w:rsidRPr="004C12C9">
              <w:t>2035</w:t>
            </w:r>
          </w:p>
        </w:tc>
        <w:tc>
          <w:tcPr>
            <w:tcW w:w="1228" w:type="dxa"/>
            <w:shd w:val="clear" w:color="auto" w:fill="D9D9D9" w:themeFill="background1" w:themeFillShade="D9"/>
            <w:vAlign w:val="center"/>
            <w:hideMark/>
          </w:tcPr>
          <w:p w14:paraId="55B7D206" w14:textId="77777777" w:rsidR="005C2A4C" w:rsidRPr="004C12C9" w:rsidRDefault="005C2A4C" w:rsidP="000F7B66">
            <w:pPr>
              <w:pStyle w:val="ICFTableHeading"/>
            </w:pPr>
            <w:r w:rsidRPr="004C12C9">
              <w:t>2040</w:t>
            </w:r>
          </w:p>
        </w:tc>
        <w:tc>
          <w:tcPr>
            <w:tcW w:w="1228" w:type="dxa"/>
            <w:shd w:val="clear" w:color="auto" w:fill="D9D9D9" w:themeFill="background1" w:themeFillShade="D9"/>
            <w:vAlign w:val="center"/>
            <w:hideMark/>
          </w:tcPr>
          <w:p w14:paraId="0801206D" w14:textId="77777777" w:rsidR="005C2A4C" w:rsidRPr="004C12C9" w:rsidRDefault="005C2A4C" w:rsidP="000F7B66">
            <w:pPr>
              <w:pStyle w:val="ICFTableHeading"/>
            </w:pPr>
            <w:r w:rsidRPr="004C12C9">
              <w:t>2045</w:t>
            </w:r>
          </w:p>
        </w:tc>
        <w:tc>
          <w:tcPr>
            <w:tcW w:w="1228" w:type="dxa"/>
            <w:shd w:val="clear" w:color="auto" w:fill="D9D9D9" w:themeFill="background1" w:themeFillShade="D9"/>
            <w:vAlign w:val="center"/>
            <w:hideMark/>
          </w:tcPr>
          <w:p w14:paraId="2E45ACD2" w14:textId="77777777" w:rsidR="005C2A4C" w:rsidRPr="004C12C9" w:rsidRDefault="005C2A4C" w:rsidP="000F7B66">
            <w:pPr>
              <w:pStyle w:val="ICFTableHeading"/>
            </w:pPr>
            <w:r w:rsidRPr="004C12C9">
              <w:t>2050</w:t>
            </w:r>
          </w:p>
        </w:tc>
      </w:tr>
      <w:tr w:rsidR="005C2A4C" w:rsidRPr="004C12C9" w14:paraId="70841AB9" w14:textId="77777777" w:rsidTr="001C7DE6">
        <w:trPr>
          <w:trHeight w:val="283"/>
        </w:trPr>
        <w:tc>
          <w:tcPr>
            <w:tcW w:w="2702" w:type="dxa"/>
            <w:noWrap/>
            <w:vAlign w:val="center"/>
            <w:hideMark/>
          </w:tcPr>
          <w:p w14:paraId="26470254" w14:textId="538B856A" w:rsidR="005C2A4C" w:rsidRPr="004C12C9" w:rsidRDefault="002B59F5" w:rsidP="000F7B66">
            <w:pPr>
              <w:pStyle w:val="ICFTabletext"/>
            </w:pPr>
            <w:r w:rsidRPr="004C12C9">
              <w:t>Grid</w:t>
            </w:r>
            <w:r w:rsidR="005C2A4C" w:rsidRPr="004C12C9">
              <w:t xml:space="preserve"> Average</w:t>
            </w:r>
          </w:p>
        </w:tc>
        <w:tc>
          <w:tcPr>
            <w:tcW w:w="1228" w:type="dxa"/>
            <w:noWrap/>
            <w:vAlign w:val="center"/>
            <w:hideMark/>
          </w:tcPr>
          <w:p w14:paraId="0D310B1D" w14:textId="4DD78777" w:rsidR="005C2A4C" w:rsidRPr="004C12C9" w:rsidRDefault="005C2A4C" w:rsidP="00A70E92">
            <w:pPr>
              <w:pStyle w:val="ICFTabletext"/>
              <w:jc w:val="center"/>
              <w:rPr>
                <w:color w:val="000000"/>
              </w:rPr>
            </w:pPr>
            <w:r w:rsidRPr="004C12C9">
              <w:t>11</w:t>
            </w:r>
            <w:r w:rsidR="002D745C" w:rsidRPr="004C12C9">
              <w:t>6.62</w:t>
            </w:r>
          </w:p>
        </w:tc>
        <w:tc>
          <w:tcPr>
            <w:tcW w:w="1228" w:type="dxa"/>
            <w:noWrap/>
            <w:vAlign w:val="center"/>
            <w:hideMark/>
          </w:tcPr>
          <w:p w14:paraId="2D840CA9" w14:textId="74277384" w:rsidR="005C2A4C" w:rsidRPr="004C12C9" w:rsidRDefault="002D745C" w:rsidP="00A70E92">
            <w:pPr>
              <w:pStyle w:val="ICFTabletext"/>
              <w:jc w:val="center"/>
              <w:rPr>
                <w:color w:val="000000"/>
              </w:rPr>
            </w:pPr>
            <w:r w:rsidRPr="004C12C9">
              <w:t>42.63</w:t>
            </w:r>
          </w:p>
        </w:tc>
        <w:tc>
          <w:tcPr>
            <w:tcW w:w="1228" w:type="dxa"/>
            <w:noWrap/>
            <w:vAlign w:val="center"/>
            <w:hideMark/>
          </w:tcPr>
          <w:p w14:paraId="3DE680EB" w14:textId="4A8B210B" w:rsidR="005C2A4C" w:rsidRPr="004C12C9" w:rsidRDefault="005C2A4C" w:rsidP="00A70E92">
            <w:pPr>
              <w:pStyle w:val="ICFTabletext"/>
              <w:jc w:val="center"/>
              <w:rPr>
                <w:color w:val="000000"/>
              </w:rPr>
            </w:pPr>
            <w:r w:rsidRPr="004C12C9">
              <w:t>21.</w:t>
            </w:r>
            <w:r w:rsidR="002D745C" w:rsidRPr="004C12C9">
              <w:t>32</w:t>
            </w:r>
          </w:p>
        </w:tc>
        <w:tc>
          <w:tcPr>
            <w:tcW w:w="1228" w:type="dxa"/>
            <w:noWrap/>
            <w:vAlign w:val="center"/>
            <w:hideMark/>
          </w:tcPr>
          <w:p w14:paraId="4EEC82D3" w14:textId="4158DE1D" w:rsidR="005C2A4C" w:rsidRPr="004C12C9" w:rsidRDefault="005C2A4C" w:rsidP="00A70E92">
            <w:pPr>
              <w:pStyle w:val="ICFTabletext"/>
              <w:jc w:val="center"/>
            </w:pPr>
            <w:r w:rsidRPr="004C12C9">
              <w:t>0</w:t>
            </w:r>
            <w:r w:rsidR="008A59BD" w:rsidRPr="004C12C9">
              <w:t>.00</w:t>
            </w:r>
          </w:p>
        </w:tc>
        <w:tc>
          <w:tcPr>
            <w:tcW w:w="1228" w:type="dxa"/>
            <w:noWrap/>
            <w:vAlign w:val="center"/>
            <w:hideMark/>
          </w:tcPr>
          <w:p w14:paraId="6263AF1E" w14:textId="1209B7DB" w:rsidR="005C2A4C" w:rsidRPr="004C12C9" w:rsidRDefault="005C2A4C" w:rsidP="00A70E92">
            <w:pPr>
              <w:pStyle w:val="ICFTabletext"/>
              <w:jc w:val="center"/>
            </w:pPr>
            <w:r w:rsidRPr="004C12C9">
              <w:t>0</w:t>
            </w:r>
            <w:r w:rsidR="008A59BD" w:rsidRPr="004C12C9">
              <w:t>.00</w:t>
            </w:r>
          </w:p>
        </w:tc>
        <w:tc>
          <w:tcPr>
            <w:tcW w:w="1228" w:type="dxa"/>
            <w:noWrap/>
            <w:vAlign w:val="center"/>
            <w:hideMark/>
          </w:tcPr>
          <w:p w14:paraId="25420344" w14:textId="0E43B1F2" w:rsidR="005C2A4C" w:rsidRPr="004C12C9" w:rsidRDefault="005C2A4C" w:rsidP="00A70E92">
            <w:pPr>
              <w:pStyle w:val="ICFTabletext"/>
              <w:jc w:val="center"/>
            </w:pPr>
            <w:r w:rsidRPr="004C12C9">
              <w:t>0</w:t>
            </w:r>
            <w:r w:rsidR="008A59BD" w:rsidRPr="004C12C9">
              <w:t>.00</w:t>
            </w:r>
          </w:p>
        </w:tc>
      </w:tr>
    </w:tbl>
    <w:p w14:paraId="17020EF0" w14:textId="015D86DA" w:rsidR="005C2A4C" w:rsidRPr="004C12C9" w:rsidRDefault="001C7DE6" w:rsidP="000F7B66">
      <w:pPr>
        <w:pStyle w:val="TableFooter"/>
      </w:pPr>
      <w:r w:rsidRPr="004C12C9">
        <w:rPr>
          <w:vertAlign w:val="superscript"/>
        </w:rPr>
        <w:t>a</w:t>
      </w:r>
      <w:r w:rsidR="005C2A4C" w:rsidRPr="004C12C9">
        <w:t xml:space="preserve"> Values shown are based on AR</w:t>
      </w:r>
      <w:r w:rsidR="00226DBF" w:rsidRPr="004C12C9">
        <w:t>5</w:t>
      </w:r>
      <w:r w:rsidR="005C2A4C" w:rsidRPr="004C12C9">
        <w:t xml:space="preserve"> global warming potentials.</w:t>
      </w:r>
    </w:p>
    <w:p w14:paraId="4503DE09" w14:textId="241D16CB" w:rsidR="005C2A4C" w:rsidRPr="004C12C9" w:rsidRDefault="005C2A4C" w:rsidP="00134C0F">
      <w:pPr>
        <w:pStyle w:val="Caption"/>
      </w:pPr>
      <w:bookmarkStart w:id="85" w:name="_Ref184725680"/>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27</w:t>
      </w:r>
      <w:r w:rsidR="00F72B41">
        <w:fldChar w:fldCharType="end"/>
      </w:r>
      <w:bookmarkEnd w:id="85"/>
      <w:r w:rsidRPr="004C12C9">
        <w:t>: Emission Factors by Mode</w:t>
      </w:r>
    </w:p>
    <w:tbl>
      <w:tblPr>
        <w:tblW w:w="474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87"/>
        <w:gridCol w:w="2089"/>
        <w:gridCol w:w="2089"/>
        <w:gridCol w:w="2089"/>
      </w:tblGrid>
      <w:tr w:rsidR="005C2A4C" w:rsidRPr="004C12C9" w14:paraId="6EBD9E67" w14:textId="77777777" w:rsidTr="00F95DF4">
        <w:trPr>
          <w:trHeight w:val="300"/>
          <w:tblHeader/>
        </w:trPr>
        <w:tc>
          <w:tcPr>
            <w:tcW w:w="1721" w:type="pct"/>
            <w:vMerge w:val="restart"/>
            <w:shd w:val="clear" w:color="auto" w:fill="D9D9D9" w:themeFill="background1" w:themeFillShade="D9"/>
            <w:noWrap/>
            <w:vAlign w:val="center"/>
          </w:tcPr>
          <w:p w14:paraId="4069D8BC" w14:textId="77777777" w:rsidR="005C2A4C" w:rsidRPr="004C12C9" w:rsidRDefault="005C2A4C" w:rsidP="00134C0F">
            <w:pPr>
              <w:pStyle w:val="ICFTableHeading"/>
              <w:keepNext/>
            </w:pPr>
            <w:r w:rsidRPr="004C12C9">
              <w:t>Commuting Mode</w:t>
            </w:r>
          </w:p>
        </w:tc>
        <w:tc>
          <w:tcPr>
            <w:tcW w:w="3279" w:type="pct"/>
            <w:gridSpan w:val="3"/>
            <w:shd w:val="clear" w:color="auto" w:fill="D9D9D9" w:themeFill="background1" w:themeFillShade="D9"/>
          </w:tcPr>
          <w:p w14:paraId="37AC797E" w14:textId="0B28ED46" w:rsidR="005C2A4C" w:rsidRPr="004C12C9" w:rsidRDefault="005C2A4C" w:rsidP="00134C0F">
            <w:pPr>
              <w:pStyle w:val="ICFTableHeading"/>
              <w:keepNext/>
            </w:pPr>
            <w:r w:rsidRPr="004C12C9">
              <w:t>Emission Factor (kgCO</w:t>
            </w:r>
            <w:r w:rsidRPr="004C12C9">
              <w:rPr>
                <w:vertAlign w:val="subscript"/>
              </w:rPr>
              <w:t>2</w:t>
            </w:r>
            <w:r w:rsidRPr="004C12C9">
              <w:t>e/passenger mile)</w:t>
            </w:r>
            <w:r w:rsidR="003277B9" w:rsidRPr="004C12C9">
              <w:rPr>
                <w:sz w:val="18"/>
                <w:szCs w:val="18"/>
                <w:vertAlign w:val="superscript"/>
              </w:rPr>
              <w:t>a</w:t>
            </w:r>
          </w:p>
        </w:tc>
      </w:tr>
      <w:tr w:rsidR="005C2A4C" w:rsidRPr="004C12C9" w14:paraId="50E5DA20" w14:textId="77777777" w:rsidTr="00F95DF4">
        <w:trPr>
          <w:trHeight w:val="300"/>
          <w:tblHeader/>
        </w:trPr>
        <w:tc>
          <w:tcPr>
            <w:tcW w:w="1721" w:type="pct"/>
            <w:vMerge/>
            <w:shd w:val="clear" w:color="auto" w:fill="D9D9D9" w:themeFill="background1" w:themeFillShade="D9"/>
            <w:noWrap/>
            <w:vAlign w:val="center"/>
          </w:tcPr>
          <w:p w14:paraId="7B72C821" w14:textId="77777777" w:rsidR="005C2A4C" w:rsidRPr="004C12C9" w:rsidRDefault="005C2A4C" w:rsidP="00134C0F">
            <w:pPr>
              <w:pStyle w:val="ICFTableHeading"/>
              <w:keepNext/>
            </w:pPr>
          </w:p>
        </w:tc>
        <w:tc>
          <w:tcPr>
            <w:tcW w:w="1093" w:type="pct"/>
            <w:shd w:val="clear" w:color="auto" w:fill="D9D9D9" w:themeFill="background1" w:themeFillShade="D9"/>
          </w:tcPr>
          <w:p w14:paraId="7D749DC9" w14:textId="77777777" w:rsidR="005C2A4C" w:rsidRPr="004C12C9" w:rsidRDefault="005C2A4C" w:rsidP="00134C0F">
            <w:pPr>
              <w:pStyle w:val="ICFTableHeading"/>
              <w:keepNext/>
            </w:pPr>
            <w:r w:rsidRPr="004C12C9">
              <w:t>Upstream</w:t>
            </w:r>
          </w:p>
        </w:tc>
        <w:tc>
          <w:tcPr>
            <w:tcW w:w="1093" w:type="pct"/>
            <w:shd w:val="clear" w:color="auto" w:fill="D9D9D9" w:themeFill="background1" w:themeFillShade="D9"/>
          </w:tcPr>
          <w:p w14:paraId="7DD61556" w14:textId="77777777" w:rsidR="005C2A4C" w:rsidRPr="004C12C9" w:rsidRDefault="005C2A4C" w:rsidP="00134C0F">
            <w:pPr>
              <w:pStyle w:val="ICFTableHeading"/>
              <w:keepNext/>
            </w:pPr>
            <w:r w:rsidRPr="004C12C9">
              <w:t>Combustion</w:t>
            </w:r>
          </w:p>
        </w:tc>
        <w:tc>
          <w:tcPr>
            <w:tcW w:w="1092" w:type="pct"/>
            <w:shd w:val="clear" w:color="auto" w:fill="D9D9D9" w:themeFill="background1" w:themeFillShade="D9"/>
            <w:vAlign w:val="center"/>
          </w:tcPr>
          <w:p w14:paraId="18FD850C" w14:textId="77777777" w:rsidR="005C2A4C" w:rsidRPr="004C12C9" w:rsidRDefault="005C2A4C" w:rsidP="00134C0F">
            <w:pPr>
              <w:pStyle w:val="ICFTableHeading"/>
              <w:keepNext/>
            </w:pPr>
            <w:r w:rsidRPr="004C12C9">
              <w:t>Total</w:t>
            </w:r>
          </w:p>
        </w:tc>
      </w:tr>
      <w:tr w:rsidR="005C2A4C" w:rsidRPr="004C12C9" w14:paraId="6077DB85" w14:textId="77777777" w:rsidTr="003277B9">
        <w:trPr>
          <w:trHeight w:val="300"/>
        </w:trPr>
        <w:tc>
          <w:tcPr>
            <w:tcW w:w="1721" w:type="pct"/>
            <w:noWrap/>
            <w:vAlign w:val="center"/>
          </w:tcPr>
          <w:p w14:paraId="1CEDE361" w14:textId="77777777" w:rsidR="005C2A4C" w:rsidRPr="004C12C9" w:rsidRDefault="005C2A4C" w:rsidP="000F7B66">
            <w:pPr>
              <w:pStyle w:val="ICFTabletext"/>
            </w:pPr>
            <w:r w:rsidRPr="004C12C9">
              <w:t>Single Occupancy Vehicle</w:t>
            </w:r>
          </w:p>
        </w:tc>
        <w:tc>
          <w:tcPr>
            <w:tcW w:w="1093" w:type="pct"/>
            <w:vAlign w:val="center"/>
          </w:tcPr>
          <w:p w14:paraId="6D38CD56" w14:textId="77777777" w:rsidR="005C2A4C" w:rsidRPr="004C12C9" w:rsidRDefault="005C2A4C" w:rsidP="000F7B66">
            <w:pPr>
              <w:pStyle w:val="ICFTabletext"/>
              <w:jc w:val="center"/>
            </w:pPr>
            <w:r w:rsidRPr="004C12C9">
              <w:t>0.09</w:t>
            </w:r>
          </w:p>
        </w:tc>
        <w:tc>
          <w:tcPr>
            <w:tcW w:w="1093" w:type="pct"/>
            <w:vAlign w:val="center"/>
          </w:tcPr>
          <w:p w14:paraId="372A58EC" w14:textId="77777777" w:rsidR="005C2A4C" w:rsidRPr="004C12C9" w:rsidRDefault="005C2A4C" w:rsidP="000F7B66">
            <w:pPr>
              <w:pStyle w:val="ICFTabletext"/>
              <w:jc w:val="center"/>
              <w:rPr>
                <w:vertAlign w:val="superscript"/>
              </w:rPr>
            </w:pPr>
            <w:r w:rsidRPr="004C12C9">
              <w:t>0.30</w:t>
            </w:r>
          </w:p>
        </w:tc>
        <w:tc>
          <w:tcPr>
            <w:tcW w:w="1092" w:type="pct"/>
            <w:vAlign w:val="center"/>
          </w:tcPr>
          <w:p w14:paraId="6EA23929" w14:textId="77777777" w:rsidR="005C2A4C" w:rsidRPr="004C12C9" w:rsidRDefault="005C2A4C" w:rsidP="000F7B66">
            <w:pPr>
              <w:pStyle w:val="ICFTabletext"/>
              <w:jc w:val="center"/>
            </w:pPr>
            <w:r w:rsidRPr="004C12C9">
              <w:t>0.39</w:t>
            </w:r>
          </w:p>
        </w:tc>
      </w:tr>
      <w:tr w:rsidR="005C2A4C" w:rsidRPr="004C12C9" w14:paraId="0FE193C4" w14:textId="77777777" w:rsidTr="003277B9">
        <w:trPr>
          <w:trHeight w:val="300"/>
        </w:trPr>
        <w:tc>
          <w:tcPr>
            <w:tcW w:w="1721" w:type="pct"/>
            <w:noWrap/>
            <w:vAlign w:val="center"/>
          </w:tcPr>
          <w:p w14:paraId="712D6072" w14:textId="77777777" w:rsidR="005C2A4C" w:rsidRPr="004C12C9" w:rsidRDefault="005C2A4C" w:rsidP="000F7B66">
            <w:pPr>
              <w:pStyle w:val="ICFTabletext"/>
            </w:pPr>
            <w:r w:rsidRPr="004C12C9">
              <w:t>Carpool</w:t>
            </w:r>
          </w:p>
        </w:tc>
        <w:tc>
          <w:tcPr>
            <w:tcW w:w="1093" w:type="pct"/>
            <w:vAlign w:val="center"/>
          </w:tcPr>
          <w:p w14:paraId="74D9DB2A" w14:textId="77777777" w:rsidR="005C2A4C" w:rsidRPr="004C12C9" w:rsidRDefault="005C2A4C" w:rsidP="000F7B66">
            <w:pPr>
              <w:pStyle w:val="ICFTabletext"/>
              <w:jc w:val="center"/>
            </w:pPr>
            <w:r w:rsidRPr="004C12C9">
              <w:t>0.04</w:t>
            </w:r>
          </w:p>
        </w:tc>
        <w:tc>
          <w:tcPr>
            <w:tcW w:w="1093" w:type="pct"/>
            <w:vAlign w:val="center"/>
          </w:tcPr>
          <w:p w14:paraId="64B9CDDF" w14:textId="77777777" w:rsidR="005C2A4C" w:rsidRPr="004C12C9" w:rsidRDefault="005C2A4C" w:rsidP="000F7B66">
            <w:pPr>
              <w:pStyle w:val="ICFTabletext"/>
              <w:jc w:val="center"/>
            </w:pPr>
            <w:r w:rsidRPr="004C12C9">
              <w:t>0.12</w:t>
            </w:r>
          </w:p>
        </w:tc>
        <w:tc>
          <w:tcPr>
            <w:tcW w:w="1092" w:type="pct"/>
            <w:vAlign w:val="center"/>
          </w:tcPr>
          <w:p w14:paraId="471BC857" w14:textId="77777777" w:rsidR="005C2A4C" w:rsidRPr="004C12C9" w:rsidRDefault="005C2A4C" w:rsidP="000F7B66">
            <w:pPr>
              <w:pStyle w:val="ICFTabletext"/>
              <w:jc w:val="center"/>
            </w:pPr>
            <w:r w:rsidRPr="004C12C9">
              <w:t>0.16</w:t>
            </w:r>
          </w:p>
        </w:tc>
      </w:tr>
      <w:tr w:rsidR="005C2A4C" w:rsidRPr="004C12C9" w14:paraId="5164C828" w14:textId="77777777" w:rsidTr="003277B9">
        <w:trPr>
          <w:trHeight w:val="300"/>
        </w:trPr>
        <w:tc>
          <w:tcPr>
            <w:tcW w:w="1721" w:type="pct"/>
            <w:noWrap/>
            <w:vAlign w:val="center"/>
          </w:tcPr>
          <w:p w14:paraId="5BEE77BB" w14:textId="77777777" w:rsidR="005C2A4C" w:rsidRPr="004C12C9" w:rsidRDefault="005C2A4C" w:rsidP="000F7B66">
            <w:pPr>
              <w:pStyle w:val="ICFTabletext"/>
            </w:pPr>
            <w:r w:rsidRPr="004C12C9">
              <w:t>Motorcycle</w:t>
            </w:r>
          </w:p>
        </w:tc>
        <w:tc>
          <w:tcPr>
            <w:tcW w:w="1093" w:type="pct"/>
            <w:vAlign w:val="center"/>
          </w:tcPr>
          <w:p w14:paraId="66741D3E" w14:textId="77777777" w:rsidR="005C2A4C" w:rsidRPr="004C12C9" w:rsidRDefault="005C2A4C" w:rsidP="000F7B66">
            <w:pPr>
              <w:pStyle w:val="ICFTabletext"/>
              <w:jc w:val="center"/>
            </w:pPr>
            <w:r w:rsidRPr="004C12C9">
              <w:t>0.06</w:t>
            </w:r>
          </w:p>
        </w:tc>
        <w:tc>
          <w:tcPr>
            <w:tcW w:w="1093" w:type="pct"/>
            <w:vAlign w:val="center"/>
          </w:tcPr>
          <w:p w14:paraId="0F92CB56" w14:textId="401B9CE7" w:rsidR="005C2A4C" w:rsidRPr="004C12C9" w:rsidRDefault="005C2A4C" w:rsidP="000F7B66">
            <w:pPr>
              <w:pStyle w:val="ICFTabletext"/>
              <w:jc w:val="center"/>
              <w:rPr>
                <w:vertAlign w:val="superscript"/>
              </w:rPr>
            </w:pPr>
            <w:r w:rsidRPr="004C12C9">
              <w:t>0.37</w:t>
            </w:r>
          </w:p>
        </w:tc>
        <w:tc>
          <w:tcPr>
            <w:tcW w:w="1092" w:type="pct"/>
            <w:vAlign w:val="center"/>
          </w:tcPr>
          <w:p w14:paraId="0D8F66BB" w14:textId="77777777" w:rsidR="005C2A4C" w:rsidRPr="004C12C9" w:rsidRDefault="005C2A4C" w:rsidP="000F7B66">
            <w:pPr>
              <w:pStyle w:val="ICFTabletext"/>
              <w:jc w:val="center"/>
            </w:pPr>
            <w:r w:rsidRPr="004C12C9">
              <w:t>0.43</w:t>
            </w:r>
          </w:p>
        </w:tc>
      </w:tr>
      <w:tr w:rsidR="005C2A4C" w:rsidRPr="004C12C9" w14:paraId="40764A47" w14:textId="77777777" w:rsidTr="003277B9">
        <w:trPr>
          <w:trHeight w:val="300"/>
        </w:trPr>
        <w:tc>
          <w:tcPr>
            <w:tcW w:w="1721" w:type="pct"/>
            <w:noWrap/>
            <w:vAlign w:val="center"/>
          </w:tcPr>
          <w:p w14:paraId="225F9786" w14:textId="77777777" w:rsidR="005C2A4C" w:rsidRPr="004C12C9" w:rsidRDefault="005C2A4C" w:rsidP="000F7B66">
            <w:pPr>
              <w:pStyle w:val="ICFTabletext"/>
            </w:pPr>
            <w:r w:rsidRPr="004C12C9">
              <w:t>Bus</w:t>
            </w:r>
          </w:p>
        </w:tc>
        <w:tc>
          <w:tcPr>
            <w:tcW w:w="1093" w:type="pct"/>
            <w:vAlign w:val="center"/>
          </w:tcPr>
          <w:p w14:paraId="4844C639" w14:textId="77777777" w:rsidR="005C2A4C" w:rsidRPr="004C12C9" w:rsidRDefault="005C2A4C" w:rsidP="000F7B66">
            <w:pPr>
              <w:pStyle w:val="ICFTabletext"/>
              <w:jc w:val="center"/>
            </w:pPr>
            <w:r w:rsidRPr="004C12C9">
              <w:t>0.01</w:t>
            </w:r>
          </w:p>
        </w:tc>
        <w:tc>
          <w:tcPr>
            <w:tcW w:w="1093" w:type="pct"/>
            <w:vAlign w:val="center"/>
          </w:tcPr>
          <w:p w14:paraId="11754AAF" w14:textId="77777777" w:rsidR="005C2A4C" w:rsidRPr="004C12C9" w:rsidRDefault="005C2A4C" w:rsidP="000F7B66">
            <w:pPr>
              <w:pStyle w:val="ICFTabletext"/>
              <w:jc w:val="center"/>
            </w:pPr>
            <w:r w:rsidRPr="004C12C9">
              <w:t>0.07</w:t>
            </w:r>
          </w:p>
        </w:tc>
        <w:tc>
          <w:tcPr>
            <w:tcW w:w="1092" w:type="pct"/>
            <w:vAlign w:val="center"/>
          </w:tcPr>
          <w:p w14:paraId="5BBEC41C" w14:textId="77777777" w:rsidR="005C2A4C" w:rsidRPr="004C12C9" w:rsidRDefault="005C2A4C" w:rsidP="000F7B66">
            <w:pPr>
              <w:pStyle w:val="ICFTabletext"/>
              <w:jc w:val="center"/>
            </w:pPr>
            <w:r w:rsidRPr="004C12C9">
              <w:t>0.07</w:t>
            </w:r>
          </w:p>
        </w:tc>
      </w:tr>
      <w:tr w:rsidR="005C2A4C" w:rsidRPr="004C12C9" w14:paraId="659B39F6" w14:textId="77777777" w:rsidTr="003277B9">
        <w:trPr>
          <w:trHeight w:val="300"/>
        </w:trPr>
        <w:tc>
          <w:tcPr>
            <w:tcW w:w="1721" w:type="pct"/>
            <w:noWrap/>
            <w:vAlign w:val="center"/>
          </w:tcPr>
          <w:p w14:paraId="150C530C" w14:textId="77777777" w:rsidR="005C2A4C" w:rsidRPr="004C12C9" w:rsidRDefault="005C2A4C" w:rsidP="000F7B66">
            <w:pPr>
              <w:pStyle w:val="ICFTabletext"/>
            </w:pPr>
            <w:r w:rsidRPr="004C12C9">
              <w:t>Transit Rail</w:t>
            </w:r>
            <w:r w:rsidRPr="004C12C9">
              <w:rPr>
                <w:sz w:val="18"/>
                <w:szCs w:val="18"/>
                <w:vertAlign w:val="superscript"/>
              </w:rPr>
              <w:t xml:space="preserve"> </w:t>
            </w:r>
          </w:p>
        </w:tc>
        <w:tc>
          <w:tcPr>
            <w:tcW w:w="1093" w:type="pct"/>
            <w:vAlign w:val="center"/>
          </w:tcPr>
          <w:p w14:paraId="14DAB141" w14:textId="77777777" w:rsidR="005C2A4C" w:rsidRPr="004C12C9" w:rsidRDefault="005C2A4C" w:rsidP="000F7B66">
            <w:pPr>
              <w:pStyle w:val="ICFTabletext"/>
              <w:jc w:val="center"/>
            </w:pPr>
            <w:r w:rsidRPr="004C12C9">
              <w:t>NA</w:t>
            </w:r>
          </w:p>
        </w:tc>
        <w:tc>
          <w:tcPr>
            <w:tcW w:w="1093" w:type="pct"/>
            <w:vAlign w:val="center"/>
          </w:tcPr>
          <w:p w14:paraId="24CEBF71" w14:textId="77777777" w:rsidR="005C2A4C" w:rsidRPr="004C12C9" w:rsidRDefault="005C2A4C" w:rsidP="000F7B66">
            <w:pPr>
              <w:pStyle w:val="ICFTabletext"/>
              <w:jc w:val="center"/>
              <w:rPr>
                <w:vertAlign w:val="superscript"/>
              </w:rPr>
            </w:pPr>
            <w:r w:rsidRPr="004C12C9">
              <w:t>NA</w:t>
            </w:r>
          </w:p>
        </w:tc>
        <w:tc>
          <w:tcPr>
            <w:tcW w:w="1092" w:type="pct"/>
            <w:vAlign w:val="center"/>
          </w:tcPr>
          <w:p w14:paraId="2A9307B3" w14:textId="32190C78" w:rsidR="005C2A4C" w:rsidRPr="004C12C9" w:rsidRDefault="005C2A4C" w:rsidP="000F7B66">
            <w:pPr>
              <w:pStyle w:val="ICFTabletext"/>
              <w:jc w:val="center"/>
            </w:pPr>
            <w:r w:rsidRPr="004C12C9">
              <w:t>0.09</w:t>
            </w:r>
            <w:r w:rsidR="003277B9" w:rsidRPr="004C12C9">
              <w:rPr>
                <w:sz w:val="18"/>
                <w:szCs w:val="18"/>
                <w:vertAlign w:val="superscript"/>
              </w:rPr>
              <w:t>b</w:t>
            </w:r>
          </w:p>
        </w:tc>
      </w:tr>
      <w:tr w:rsidR="005C2A4C" w:rsidRPr="004C12C9" w14:paraId="2D2906E9" w14:textId="77777777" w:rsidTr="003277B9">
        <w:trPr>
          <w:trHeight w:val="300"/>
        </w:trPr>
        <w:tc>
          <w:tcPr>
            <w:tcW w:w="1721" w:type="pct"/>
            <w:noWrap/>
            <w:vAlign w:val="center"/>
          </w:tcPr>
          <w:p w14:paraId="0F0B8DB4" w14:textId="77777777" w:rsidR="005C2A4C" w:rsidRPr="004C12C9" w:rsidRDefault="005C2A4C" w:rsidP="000F7B66">
            <w:pPr>
              <w:pStyle w:val="ICFTabletext"/>
            </w:pPr>
            <w:r w:rsidRPr="004C12C9">
              <w:lastRenderedPageBreak/>
              <w:t>Bike/Walk</w:t>
            </w:r>
          </w:p>
        </w:tc>
        <w:tc>
          <w:tcPr>
            <w:tcW w:w="1093" w:type="pct"/>
            <w:vAlign w:val="center"/>
          </w:tcPr>
          <w:p w14:paraId="4947E51E" w14:textId="7D845358" w:rsidR="005C2A4C" w:rsidRPr="004C12C9" w:rsidRDefault="005C2A4C" w:rsidP="000F7B66">
            <w:pPr>
              <w:pStyle w:val="ICFTabletext"/>
              <w:jc w:val="center"/>
            </w:pPr>
            <w:r w:rsidRPr="004C12C9">
              <w:t>0</w:t>
            </w:r>
            <w:r w:rsidR="008A59BD" w:rsidRPr="004C12C9">
              <w:t>.00</w:t>
            </w:r>
          </w:p>
        </w:tc>
        <w:tc>
          <w:tcPr>
            <w:tcW w:w="1093" w:type="pct"/>
            <w:vAlign w:val="center"/>
          </w:tcPr>
          <w:p w14:paraId="662D889D" w14:textId="693B88CC" w:rsidR="005C2A4C" w:rsidRPr="004C12C9" w:rsidRDefault="005C2A4C" w:rsidP="000F7B66">
            <w:pPr>
              <w:pStyle w:val="ICFTabletext"/>
              <w:jc w:val="center"/>
            </w:pPr>
            <w:r w:rsidRPr="004C12C9">
              <w:t>0</w:t>
            </w:r>
            <w:r w:rsidR="008A59BD" w:rsidRPr="004C12C9">
              <w:t>.00</w:t>
            </w:r>
          </w:p>
        </w:tc>
        <w:tc>
          <w:tcPr>
            <w:tcW w:w="1092" w:type="pct"/>
            <w:vAlign w:val="center"/>
          </w:tcPr>
          <w:p w14:paraId="7BDECB45" w14:textId="44C9A123" w:rsidR="005C2A4C" w:rsidRPr="004C12C9" w:rsidRDefault="005C2A4C" w:rsidP="000F7B66">
            <w:pPr>
              <w:pStyle w:val="ICFTabletext"/>
              <w:jc w:val="center"/>
            </w:pPr>
            <w:r w:rsidRPr="004C12C9">
              <w:t>0</w:t>
            </w:r>
            <w:r w:rsidR="008A59BD" w:rsidRPr="004C12C9">
              <w:t>.00</w:t>
            </w:r>
          </w:p>
        </w:tc>
      </w:tr>
    </w:tbl>
    <w:p w14:paraId="19FAE167" w14:textId="7C0AFDAF" w:rsidR="005C2A4C" w:rsidRPr="004C12C9" w:rsidRDefault="003277B9" w:rsidP="000F7B66">
      <w:pPr>
        <w:pStyle w:val="TableFooter"/>
      </w:pPr>
      <w:r w:rsidRPr="004C12C9">
        <w:rPr>
          <w:vertAlign w:val="superscript"/>
        </w:rPr>
        <w:t>a</w:t>
      </w:r>
      <w:r w:rsidR="005C2A4C" w:rsidRPr="004C12C9">
        <w:t xml:space="preserve"> Values shown are based on AR</w:t>
      </w:r>
      <w:r w:rsidR="00134C0F" w:rsidRPr="004C12C9">
        <w:t>5</w:t>
      </w:r>
      <w:r w:rsidR="005C2A4C" w:rsidRPr="004C12C9">
        <w:t xml:space="preserve"> global warming potentials.</w:t>
      </w:r>
    </w:p>
    <w:p w14:paraId="48A5EE34" w14:textId="4CB30E06" w:rsidR="005C2A4C" w:rsidRPr="004C12C9" w:rsidRDefault="003277B9" w:rsidP="000F7B66">
      <w:pPr>
        <w:pStyle w:val="TableFooter"/>
      </w:pPr>
      <w:r w:rsidRPr="004C12C9">
        <w:rPr>
          <w:vertAlign w:val="superscript"/>
        </w:rPr>
        <w:t>b</w:t>
      </w:r>
      <w:r w:rsidR="005C2A4C" w:rsidRPr="004C12C9">
        <w:t xml:space="preserve"> Value shown reflects a 2025 construction start date and accounts for upstream and combustion emissions.</w:t>
      </w:r>
    </w:p>
    <w:p w14:paraId="63497B61" w14:textId="437A1368" w:rsidR="00087616" w:rsidRPr="004C12C9" w:rsidRDefault="000F611E" w:rsidP="00E31E37">
      <w:pPr>
        <w:pStyle w:val="Heading4"/>
      </w:pPr>
      <w:r w:rsidRPr="004C12C9">
        <w:t>Limitations</w:t>
      </w:r>
    </w:p>
    <w:p w14:paraId="39D7EE51" w14:textId="3E70843E" w:rsidR="00D326A3" w:rsidRPr="004C12C9" w:rsidRDefault="00D326A3" w:rsidP="00D326A3">
      <w:r w:rsidRPr="004C12C9">
        <w:t>Key limitations of the methodology used to quantify emissions from employee commuting include:</w:t>
      </w:r>
    </w:p>
    <w:p w14:paraId="42205EEB" w14:textId="47821C1D" w:rsidR="001F4884" w:rsidRPr="004C12C9" w:rsidRDefault="00C619C8" w:rsidP="003B5F7F">
      <w:pPr>
        <w:pStyle w:val="ListParagraph"/>
        <w:numPr>
          <w:ilvl w:val="0"/>
          <w:numId w:val="14"/>
        </w:numPr>
      </w:pPr>
      <w:r w:rsidRPr="004C12C9">
        <w:rPr>
          <w:rFonts w:eastAsia="Arial"/>
        </w:rPr>
        <w:t>The default mode breakdown</w:t>
      </w:r>
      <w:r w:rsidR="001F4884" w:rsidRPr="004C12C9">
        <w:rPr>
          <w:rFonts w:eastAsia="Arial"/>
        </w:rPr>
        <w:t>, which is based on national averages,</w:t>
      </w:r>
      <w:r w:rsidRPr="004C12C9">
        <w:rPr>
          <w:rFonts w:eastAsia="Arial"/>
        </w:rPr>
        <w:t xml:space="preserve"> may not accurately </w:t>
      </w:r>
      <w:r w:rsidR="00776CA8" w:rsidRPr="004C12C9">
        <w:rPr>
          <w:rFonts w:eastAsia="Arial"/>
        </w:rPr>
        <w:t>reflect the actual commuting behavior of employees</w:t>
      </w:r>
      <w:r w:rsidR="001F4884" w:rsidRPr="004C12C9">
        <w:rPr>
          <w:rFonts w:eastAsia="Arial"/>
        </w:rPr>
        <w:t xml:space="preserve"> for a given project</w:t>
      </w:r>
      <w:r w:rsidR="00776CA8" w:rsidRPr="004C12C9">
        <w:rPr>
          <w:rFonts w:eastAsia="Arial"/>
        </w:rPr>
        <w:t xml:space="preserve">. </w:t>
      </w:r>
      <w:r w:rsidR="00A614A8" w:rsidRPr="004C12C9">
        <w:rPr>
          <w:rFonts w:eastAsia="Arial"/>
        </w:rPr>
        <w:t xml:space="preserve">In some cases, </w:t>
      </w:r>
      <w:r w:rsidR="00D046AF" w:rsidRPr="004C12C9">
        <w:rPr>
          <w:rFonts w:eastAsia="Arial"/>
        </w:rPr>
        <w:t xml:space="preserve">certain commuting modes, such as bus and transit rail, may not be viable options </w:t>
      </w:r>
      <w:r w:rsidR="00C63EC2" w:rsidRPr="004C12C9">
        <w:rPr>
          <w:rFonts w:eastAsia="Arial"/>
        </w:rPr>
        <w:t>depending on the location of the project.</w:t>
      </w:r>
    </w:p>
    <w:p w14:paraId="1C83059A" w14:textId="3D7EC746" w:rsidR="003D1249" w:rsidRPr="004C12C9" w:rsidRDefault="003D1249" w:rsidP="003B5F7F">
      <w:pPr>
        <w:pStyle w:val="ListParagraph"/>
        <w:numPr>
          <w:ilvl w:val="0"/>
          <w:numId w:val="14"/>
        </w:numPr>
      </w:pPr>
      <w:r w:rsidRPr="004C12C9">
        <w:rPr>
          <w:rFonts w:eastAsia="Arial"/>
        </w:rPr>
        <w:t>The default commuting distance</w:t>
      </w:r>
      <w:r w:rsidR="00C63EC2" w:rsidRPr="004C12C9">
        <w:rPr>
          <w:rFonts w:eastAsia="Arial"/>
        </w:rPr>
        <w:t xml:space="preserve">, which is based on national averages, </w:t>
      </w:r>
      <w:r w:rsidR="00531908" w:rsidRPr="004C12C9">
        <w:rPr>
          <w:rFonts w:eastAsia="Arial"/>
        </w:rPr>
        <w:t>may no</w:t>
      </w:r>
      <w:r w:rsidR="00485B64" w:rsidRPr="004C12C9">
        <w:rPr>
          <w:rFonts w:eastAsia="Arial"/>
        </w:rPr>
        <w:t xml:space="preserve">t reflect the actual average commuting distance of employees to a project site, depending on the </w:t>
      </w:r>
      <w:r w:rsidR="00AE63EE" w:rsidRPr="004C12C9">
        <w:rPr>
          <w:rFonts w:eastAsia="Arial"/>
        </w:rPr>
        <w:t>location of the project.</w:t>
      </w:r>
    </w:p>
    <w:p w14:paraId="273BAB96" w14:textId="0C2DCD55" w:rsidR="00FC5F6E" w:rsidRPr="004C12C9" w:rsidRDefault="00051133" w:rsidP="003B5F7F">
      <w:pPr>
        <w:pStyle w:val="ListParagraph"/>
        <w:numPr>
          <w:ilvl w:val="0"/>
          <w:numId w:val="14"/>
        </w:numPr>
      </w:pPr>
      <w:r w:rsidRPr="004C12C9">
        <w:rPr>
          <w:rFonts w:eastAsia="Arial"/>
        </w:rPr>
        <w:t>Emission factors for different modes of transportation can vary based on numerous factors such as vehicle type</w:t>
      </w:r>
      <w:r w:rsidR="00CD71BF" w:rsidRPr="004C12C9">
        <w:rPr>
          <w:rFonts w:eastAsia="Arial"/>
        </w:rPr>
        <w:t xml:space="preserve">, fuel efficiency, and driving conditions. The methodology assumes </w:t>
      </w:r>
      <w:r w:rsidR="00133C2D" w:rsidRPr="004C12C9">
        <w:rPr>
          <w:rFonts w:eastAsia="Arial"/>
        </w:rPr>
        <w:t>a single</w:t>
      </w:r>
      <w:r w:rsidR="00CD71BF" w:rsidRPr="004C12C9">
        <w:rPr>
          <w:rFonts w:eastAsia="Arial"/>
        </w:rPr>
        <w:t xml:space="preserve"> </w:t>
      </w:r>
      <w:r w:rsidR="00677A04" w:rsidRPr="004C12C9">
        <w:rPr>
          <w:rFonts w:eastAsia="Arial"/>
        </w:rPr>
        <w:t>rep</w:t>
      </w:r>
      <w:r w:rsidR="00976BD9" w:rsidRPr="004C12C9">
        <w:rPr>
          <w:rFonts w:eastAsia="Arial"/>
        </w:rPr>
        <w:t>resentative</w:t>
      </w:r>
      <w:r w:rsidR="00CD71BF" w:rsidRPr="004C12C9">
        <w:rPr>
          <w:rFonts w:eastAsia="Arial"/>
        </w:rPr>
        <w:t xml:space="preserve"> emission factor</w:t>
      </w:r>
      <w:r w:rsidR="00F0749F" w:rsidRPr="004C12C9">
        <w:rPr>
          <w:rFonts w:eastAsia="Arial"/>
        </w:rPr>
        <w:t xml:space="preserve"> for each mode</w:t>
      </w:r>
      <w:r w:rsidR="00CD71BF" w:rsidRPr="004C12C9">
        <w:rPr>
          <w:rFonts w:eastAsia="Arial"/>
        </w:rPr>
        <w:t xml:space="preserve">, which </w:t>
      </w:r>
      <w:r w:rsidR="00AF6BF2" w:rsidRPr="004C12C9">
        <w:rPr>
          <w:rFonts w:eastAsia="Arial"/>
        </w:rPr>
        <w:t>may</w:t>
      </w:r>
      <w:r w:rsidR="00CD71BF" w:rsidRPr="004C12C9">
        <w:rPr>
          <w:rFonts w:eastAsia="Arial"/>
        </w:rPr>
        <w:t xml:space="preserve"> not </w:t>
      </w:r>
      <w:r w:rsidR="00AF6BF2" w:rsidRPr="004C12C9">
        <w:rPr>
          <w:rFonts w:eastAsia="Arial"/>
        </w:rPr>
        <w:t>reflect actual project conditions</w:t>
      </w:r>
      <w:r w:rsidR="00CD71BF" w:rsidRPr="004C12C9">
        <w:rPr>
          <w:rFonts w:eastAsia="Arial"/>
        </w:rPr>
        <w:t xml:space="preserve">. </w:t>
      </w:r>
      <w:r w:rsidR="008D35ED" w:rsidRPr="004C12C9">
        <w:rPr>
          <w:rFonts w:eastAsia="Arial"/>
        </w:rPr>
        <w:t>T</w:t>
      </w:r>
      <w:r w:rsidR="00227EC8" w:rsidRPr="004C12C9">
        <w:t xml:space="preserve">he upstream emission factors conservatively assume use of conventional fuels (i.e., gasoline and diesel) and are not tailored to the current mix of vehicles on the road. </w:t>
      </w:r>
      <w:r w:rsidR="006F04FD" w:rsidRPr="004C12C9">
        <w:rPr>
          <w:rFonts w:eastAsia="Arial"/>
        </w:rPr>
        <w:t xml:space="preserve">In addition, the </w:t>
      </w:r>
      <w:r w:rsidR="005E3CF7" w:rsidRPr="004C12C9">
        <w:t>emission factor</w:t>
      </w:r>
      <w:r w:rsidR="00E36F13" w:rsidRPr="004C12C9">
        <w:t xml:space="preserve">s are based on </w:t>
      </w:r>
      <w:r w:rsidR="005E3CF7" w:rsidRPr="004C12C9">
        <w:t>estimates for calendar year 2025</w:t>
      </w:r>
      <w:r w:rsidR="00E36F13" w:rsidRPr="004C12C9">
        <w:t xml:space="preserve"> and are not assumed to change over time</w:t>
      </w:r>
      <w:r w:rsidR="00F1680B" w:rsidRPr="004C12C9">
        <w:t xml:space="preserve">, even though it is likely that </w:t>
      </w:r>
      <w:r w:rsidR="00FA112E" w:rsidRPr="004C12C9">
        <w:t xml:space="preserve">these </w:t>
      </w:r>
      <w:r w:rsidR="00814D88" w:rsidRPr="004C12C9">
        <w:t xml:space="preserve">emission </w:t>
      </w:r>
      <w:r w:rsidR="00FA112E" w:rsidRPr="004C12C9">
        <w:t xml:space="preserve">factors will </w:t>
      </w:r>
      <w:r w:rsidR="00814D88" w:rsidRPr="004C12C9">
        <w:t>decrease.</w:t>
      </w:r>
    </w:p>
    <w:p w14:paraId="13C9E433" w14:textId="410DF406" w:rsidR="00656C2A" w:rsidRPr="004C12C9" w:rsidRDefault="00FC5F6E" w:rsidP="003763B5">
      <w:pPr>
        <w:pStyle w:val="Heading3"/>
      </w:pPr>
      <w:bookmarkStart w:id="86" w:name="_Toc219887769"/>
      <w:r w:rsidRPr="004C12C9">
        <w:t>Construction Equipment</w:t>
      </w:r>
      <w:bookmarkEnd w:id="86"/>
    </w:p>
    <w:p w14:paraId="48855A08" w14:textId="6F0FE35A" w:rsidR="001D796B" w:rsidRPr="004C12C9" w:rsidRDefault="00A21284" w:rsidP="001D796B">
      <w:r w:rsidRPr="004C12C9">
        <w:t xml:space="preserve">Emissions result from the fuel and/or electricity used </w:t>
      </w:r>
      <w:r w:rsidR="001C111B" w:rsidRPr="004C12C9">
        <w:t>by</w:t>
      </w:r>
      <w:r w:rsidRPr="004C12C9">
        <w:t xml:space="preserve"> construction equipment (e.g., dozers, excavators, loaders) during project construction. </w:t>
      </w:r>
      <w:r w:rsidR="001D796B" w:rsidRPr="004C12C9">
        <w:t xml:space="preserve">The </w:t>
      </w:r>
      <w:r w:rsidR="003E2FEE" w:rsidRPr="004C12C9">
        <w:t xml:space="preserve">calculator </w:t>
      </w:r>
      <w:r w:rsidR="001D796B" w:rsidRPr="004C12C9">
        <w:t xml:space="preserve">quantifies emissions </w:t>
      </w:r>
      <w:r w:rsidR="001D796B" w:rsidRPr="004C12C9">
        <w:rPr>
          <w:rFonts w:eastAsia="MS PGothic"/>
        </w:rPr>
        <w:t xml:space="preserve">from </w:t>
      </w:r>
      <w:r w:rsidR="001C111B" w:rsidRPr="004C12C9">
        <w:t>construction equipment</w:t>
      </w:r>
      <w:r w:rsidR="00CF7D0B">
        <w:t xml:space="preserve"> </w:t>
      </w:r>
      <w:r w:rsidR="00A501B3">
        <w:t xml:space="preserve">based on </w:t>
      </w:r>
      <w:r w:rsidR="4139C2AC">
        <w:t xml:space="preserve">one of </w:t>
      </w:r>
      <w:r w:rsidR="00CF7D0B">
        <w:t>two</w:t>
      </w:r>
      <w:r w:rsidR="1B69B7A9">
        <w:t xml:space="preserve"> user-selected</w:t>
      </w:r>
      <w:r w:rsidR="00CF7D0B">
        <w:t xml:space="preserve"> approaches</w:t>
      </w:r>
      <w:r w:rsidR="00A501B3">
        <w:t>:</w:t>
      </w:r>
      <w:r w:rsidR="00CF7D0B">
        <w:t xml:space="preserve"> </w:t>
      </w:r>
      <w:r w:rsidR="00490692" w:rsidRPr="001C1FEC">
        <w:rPr>
          <w:b/>
          <w:bCs/>
        </w:rPr>
        <w:t>E</w:t>
      </w:r>
      <w:r w:rsidR="00CF7D0B" w:rsidRPr="001C1FEC">
        <w:rPr>
          <w:b/>
          <w:bCs/>
        </w:rPr>
        <w:t xml:space="preserve">quipment </w:t>
      </w:r>
      <w:r w:rsidR="00490692" w:rsidRPr="001C1FEC">
        <w:rPr>
          <w:b/>
          <w:bCs/>
        </w:rPr>
        <w:t>U</w:t>
      </w:r>
      <w:r w:rsidR="00CF7D0B" w:rsidRPr="001C1FEC">
        <w:rPr>
          <w:b/>
          <w:bCs/>
        </w:rPr>
        <w:t>se</w:t>
      </w:r>
      <w:r w:rsidR="001A26B4" w:rsidRPr="001C1FEC">
        <w:rPr>
          <w:b/>
          <w:bCs/>
        </w:rPr>
        <w:t xml:space="preserve"> (</w:t>
      </w:r>
      <w:r w:rsidR="00490692" w:rsidRPr="001C1FEC">
        <w:rPr>
          <w:b/>
          <w:bCs/>
        </w:rPr>
        <w:t>A</w:t>
      </w:r>
      <w:r w:rsidR="001A26B4" w:rsidRPr="001C1FEC">
        <w:rPr>
          <w:b/>
          <w:bCs/>
        </w:rPr>
        <w:t>pproach 1)</w:t>
      </w:r>
      <w:r w:rsidR="00CF7D0B">
        <w:t xml:space="preserve"> </w:t>
      </w:r>
      <w:r w:rsidR="007A44D7">
        <w:t xml:space="preserve">or </w:t>
      </w:r>
      <w:r w:rsidR="00490692" w:rsidRPr="001C1FEC">
        <w:rPr>
          <w:b/>
          <w:bCs/>
        </w:rPr>
        <w:t>F</w:t>
      </w:r>
      <w:r w:rsidR="007A44D7" w:rsidRPr="001C1FEC">
        <w:rPr>
          <w:b/>
          <w:bCs/>
        </w:rPr>
        <w:t xml:space="preserve">uel </w:t>
      </w:r>
      <w:r w:rsidR="00490692" w:rsidRPr="001C1FEC">
        <w:rPr>
          <w:b/>
          <w:bCs/>
        </w:rPr>
        <w:t>C</w:t>
      </w:r>
      <w:r w:rsidR="007A44D7" w:rsidRPr="001C1FEC">
        <w:rPr>
          <w:b/>
          <w:bCs/>
        </w:rPr>
        <w:t>onsumption</w:t>
      </w:r>
      <w:r w:rsidR="001A26B4" w:rsidRPr="001C1FEC">
        <w:rPr>
          <w:b/>
          <w:bCs/>
        </w:rPr>
        <w:t xml:space="preserve"> (</w:t>
      </w:r>
      <w:r w:rsidR="00490692" w:rsidRPr="001C1FEC">
        <w:rPr>
          <w:b/>
          <w:bCs/>
        </w:rPr>
        <w:t>A</w:t>
      </w:r>
      <w:r w:rsidR="001A26B4" w:rsidRPr="001C1FEC">
        <w:rPr>
          <w:b/>
          <w:bCs/>
        </w:rPr>
        <w:t>pproach 2)</w:t>
      </w:r>
      <w:r w:rsidR="007A44D7">
        <w:t xml:space="preserve">. The </w:t>
      </w:r>
      <w:r w:rsidR="00315B3E">
        <w:t>e</w:t>
      </w:r>
      <w:r w:rsidR="007A44D7">
        <w:t xml:space="preserve">quipment </w:t>
      </w:r>
      <w:r w:rsidR="00315B3E">
        <w:t>u</w:t>
      </w:r>
      <w:r w:rsidR="007A44D7">
        <w:t xml:space="preserve">se </w:t>
      </w:r>
      <w:r w:rsidR="00315B3E">
        <w:t>a</w:t>
      </w:r>
      <w:r w:rsidR="007A44D7">
        <w:t>pproach is</w:t>
      </w:r>
      <w:r w:rsidR="001C111B" w:rsidRPr="004C12C9">
        <w:t xml:space="preserve"> </w:t>
      </w:r>
      <w:r w:rsidR="001D796B" w:rsidRPr="004C12C9">
        <w:t xml:space="preserve">based on estimates of total </w:t>
      </w:r>
      <w:r w:rsidR="002722C3" w:rsidRPr="004C12C9">
        <w:t>construction hours by equipment type</w:t>
      </w:r>
      <w:r w:rsidR="00C95D01" w:rsidRPr="004C12C9">
        <w:t>, energy consumption per hour, and</w:t>
      </w:r>
      <w:r w:rsidR="001D796B" w:rsidRPr="004C12C9">
        <w:t xml:space="preserve"> </w:t>
      </w:r>
      <w:r w:rsidR="002C6027" w:rsidRPr="004C12C9">
        <w:t xml:space="preserve">equipment-specific </w:t>
      </w:r>
      <w:r w:rsidR="001D796B" w:rsidRPr="004C12C9">
        <w:t>emission factors, as shown in</w:t>
      </w:r>
      <w:r w:rsidR="002C6027" w:rsidRPr="004C12C9">
        <w:t xml:space="preserve"> </w:t>
      </w:r>
      <w:r w:rsidR="002A7647" w:rsidRPr="004C12C9">
        <w:fldChar w:fldCharType="begin" w:fldLock="1"/>
      </w:r>
      <w:r w:rsidR="002A7647" w:rsidRPr="004C12C9">
        <w:instrText xml:space="preserve"> REF _Ref195386105 \h </w:instrText>
      </w:r>
      <w:r w:rsidR="002A7647" w:rsidRPr="004C12C9">
        <w:fldChar w:fldCharType="separate"/>
      </w:r>
      <w:r w:rsidR="00127094" w:rsidRPr="004C12C9">
        <w:t>Equation 5</w:t>
      </w:r>
      <w:r w:rsidR="002A7647" w:rsidRPr="004C12C9">
        <w:fldChar w:fldCharType="end"/>
      </w:r>
      <w:r w:rsidR="002A7647" w:rsidRPr="004C12C9">
        <w:t xml:space="preserve"> and </w:t>
      </w:r>
      <w:r w:rsidR="00015AE5" w:rsidRPr="004C12C9">
        <w:fldChar w:fldCharType="begin" w:fldLock="1"/>
      </w:r>
      <w:r w:rsidR="00015AE5" w:rsidRPr="004C12C9">
        <w:instrText xml:space="preserve"> REF _Ref196726922 \h </w:instrText>
      </w:r>
      <w:r w:rsidR="00015AE5" w:rsidRPr="004C12C9">
        <w:fldChar w:fldCharType="separate"/>
      </w:r>
      <w:r w:rsidR="00015AE5" w:rsidRPr="004C12C9">
        <w:t>Equation 6</w:t>
      </w:r>
      <w:r w:rsidR="00015AE5" w:rsidRPr="004C12C9">
        <w:fldChar w:fldCharType="end"/>
      </w:r>
      <w:r w:rsidR="00015AE5" w:rsidRPr="004C12C9">
        <w:t>.</w:t>
      </w:r>
      <w:r w:rsidR="00EF5F9D">
        <w:t xml:space="preserve"> </w:t>
      </w:r>
      <w:r w:rsidR="00AC4F5B">
        <w:t>T</w:t>
      </w:r>
      <w:r w:rsidR="00EF5F9D">
        <w:t xml:space="preserve">he </w:t>
      </w:r>
      <w:r w:rsidR="00315B3E">
        <w:t>f</w:t>
      </w:r>
      <w:r w:rsidR="00EF5F9D">
        <w:t xml:space="preserve">uel </w:t>
      </w:r>
      <w:r w:rsidR="00315B3E">
        <w:t>c</w:t>
      </w:r>
      <w:r w:rsidR="00EF5F9D">
        <w:t xml:space="preserve">onsumption </w:t>
      </w:r>
      <w:r w:rsidR="00315B3E">
        <w:t>a</w:t>
      </w:r>
      <w:r w:rsidR="00EF5F9D">
        <w:t>pproach is based on estimates of total fuel consumed</w:t>
      </w:r>
      <w:r w:rsidR="003B1A87">
        <w:t xml:space="preserve"> by construction equipment</w:t>
      </w:r>
      <w:r w:rsidR="00EF5F9D">
        <w:t xml:space="preserve"> by fuel type, as shown in </w:t>
      </w:r>
      <w:r w:rsidR="00EF5F9D">
        <w:fldChar w:fldCharType="begin"/>
      </w:r>
      <w:r w:rsidR="00EF5F9D">
        <w:instrText xml:space="preserve"> REF _Ref215650167 \h </w:instrText>
      </w:r>
      <w:r w:rsidR="00EF5F9D">
        <w:fldChar w:fldCharType="separate"/>
      </w:r>
      <w:r w:rsidR="00EF5F9D">
        <w:t xml:space="preserve">Equation </w:t>
      </w:r>
      <w:r w:rsidR="00EF5F9D">
        <w:rPr>
          <w:noProof/>
        </w:rPr>
        <w:t>7</w:t>
      </w:r>
      <w:r w:rsidR="00EF5F9D">
        <w:fldChar w:fldCharType="end"/>
      </w:r>
      <w:r w:rsidR="00EF5F9D">
        <w:t>.</w:t>
      </w:r>
    </w:p>
    <w:p w14:paraId="3EDBC078" w14:textId="16CF0966" w:rsidR="001D796B" w:rsidRPr="004C12C9" w:rsidRDefault="001D796B" w:rsidP="001D796B">
      <w:pPr>
        <w:pStyle w:val="Caption"/>
      </w:pPr>
      <w:bookmarkStart w:id="87" w:name="_Ref195386105"/>
      <w:r w:rsidRPr="004C12C9">
        <w:t xml:space="preserve">Equation </w:t>
      </w:r>
      <w:r w:rsidR="00127094">
        <w:fldChar w:fldCharType="begin"/>
      </w:r>
      <w:r w:rsidR="00127094">
        <w:instrText xml:space="preserve"> SEQ Equation \* ARABIC </w:instrText>
      </w:r>
      <w:r w:rsidR="00127094">
        <w:fldChar w:fldCharType="separate"/>
      </w:r>
      <w:r w:rsidR="00C47624">
        <w:rPr>
          <w:noProof/>
        </w:rPr>
        <w:t>5</w:t>
      </w:r>
      <w:r w:rsidR="00127094">
        <w:fldChar w:fldCharType="end"/>
      </w:r>
      <w:bookmarkEnd w:id="87"/>
      <w:r w:rsidRPr="004C12C9">
        <w:t xml:space="preserve">. </w:t>
      </w:r>
      <w:r w:rsidR="00F720DB" w:rsidRPr="004C12C9">
        <w:t>Total Construction Hours by Equipment Type</w:t>
      </w:r>
      <w:r w:rsidR="00C64715">
        <w:t xml:space="preserve"> (Equipment </w:t>
      </w:r>
      <w:r w:rsidR="00E920B1">
        <w:t>U</w:t>
      </w:r>
      <w:r w:rsidR="00C64715">
        <w:t xml:space="preserve">se </w:t>
      </w:r>
      <w:r w:rsidR="00E920B1">
        <w:t>A</w:t>
      </w:r>
      <w:r w:rsidR="00C64715">
        <w:t>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85"/>
        <w:gridCol w:w="8185"/>
      </w:tblGrid>
      <w:tr w:rsidR="001D796B" w:rsidRPr="004C12C9" w14:paraId="59E03EDF" w14:textId="77777777" w:rsidTr="00AD0EEA">
        <w:tc>
          <w:tcPr>
            <w:tcW w:w="10070" w:type="dxa"/>
            <w:gridSpan w:val="2"/>
            <w:shd w:val="clear" w:color="auto" w:fill="F2F2F2" w:themeFill="background1" w:themeFillShade="F2"/>
          </w:tcPr>
          <w:p w14:paraId="09807AAD" w14:textId="542ADE7D" w:rsidR="00B037CF" w:rsidRPr="004C12C9" w:rsidRDefault="00000000" w:rsidP="00B037CF">
            <w:pPr>
              <w:pStyle w:val="Equation"/>
              <w:rPr>
                <w:noProof w:val="0"/>
              </w:rPr>
            </w:pPr>
            <m:oMathPara>
              <m:oMath>
                <m:sSub>
                  <m:sSubPr>
                    <m:ctrlPr>
                      <w:rPr>
                        <w:noProof w:val="0"/>
                      </w:rPr>
                    </m:ctrlPr>
                  </m:sSubPr>
                  <m:e>
                    <m:r>
                      <w:rPr>
                        <w:noProof w:val="0"/>
                      </w:rPr>
                      <m:t>total hours</m:t>
                    </m:r>
                  </m:e>
                  <m:sub>
                    <m:r>
                      <w:rPr>
                        <w:noProof w:val="0"/>
                      </w:rPr>
                      <m:t>t</m:t>
                    </m:r>
                  </m:sub>
                </m:sSub>
                <m:r>
                  <w:rPr>
                    <w:noProof w:val="0"/>
                  </w:rPr>
                  <m:t xml:space="preserve">= </m:t>
                </m:r>
                <m:nary>
                  <m:naryPr>
                    <m:chr m:val="∑"/>
                    <m:limLoc m:val="undOvr"/>
                    <m:subHide m:val="1"/>
                    <m:supHide m:val="1"/>
                    <m:ctrlPr>
                      <w:rPr>
                        <w:noProof w:val="0"/>
                      </w:rPr>
                    </m:ctrlPr>
                  </m:naryPr>
                  <m:sub/>
                  <m:sup/>
                  <m:e>
                    <m:sSub>
                      <m:sSubPr>
                        <m:ctrlPr>
                          <w:rPr>
                            <w:noProof w:val="0"/>
                          </w:rPr>
                        </m:ctrlPr>
                      </m:sSubPr>
                      <m:e>
                        <m:r>
                          <w:rPr>
                            <w:noProof w:val="0"/>
                          </w:rPr>
                          <m:t>construction days</m:t>
                        </m:r>
                      </m:e>
                      <m:sub>
                        <m:r>
                          <w:rPr>
                            <w:noProof w:val="0"/>
                          </w:rPr>
                          <m:t>p</m:t>
                        </m:r>
                      </m:sub>
                    </m:sSub>
                    <m:r>
                      <w:rPr>
                        <w:noProof w:val="0"/>
                      </w:rPr>
                      <m:t xml:space="preserve"> × </m:t>
                    </m:r>
                    <m:sSub>
                      <m:sSubPr>
                        <m:ctrlPr>
                          <w:rPr>
                            <w:noProof w:val="0"/>
                          </w:rPr>
                        </m:ctrlPr>
                      </m:sSubPr>
                      <m:e>
                        <m:r>
                          <w:rPr>
                            <w:noProof w:val="0"/>
                          </w:rPr>
                          <m:t>hours</m:t>
                        </m:r>
                      </m:e>
                      <m:sub>
                        <m:r>
                          <w:rPr>
                            <w:noProof w:val="0"/>
                          </w:rPr>
                          <m:t>t,p</m:t>
                        </m:r>
                      </m:sub>
                    </m:sSub>
                  </m:e>
                </m:nary>
              </m:oMath>
            </m:oMathPara>
          </w:p>
          <w:p w14:paraId="00EE87E6" w14:textId="17F325CB" w:rsidR="001D796B" w:rsidRPr="004C12C9" w:rsidRDefault="001D796B" w:rsidP="00277DDF">
            <w:pPr>
              <w:rPr>
                <w:i/>
                <w:iCs/>
              </w:rPr>
            </w:pPr>
            <w:r w:rsidRPr="004C12C9">
              <w:rPr>
                <w:i/>
                <w:iCs/>
                <w:sz w:val="20"/>
                <w:szCs w:val="20"/>
              </w:rPr>
              <w:t xml:space="preserve">where, </w:t>
            </w:r>
          </w:p>
        </w:tc>
      </w:tr>
      <w:tr w:rsidR="00A411B0" w:rsidRPr="004C12C9" w14:paraId="637AD40E" w14:textId="77777777" w:rsidTr="00AD0EEA">
        <w:tc>
          <w:tcPr>
            <w:tcW w:w="1885" w:type="dxa"/>
            <w:shd w:val="clear" w:color="auto" w:fill="F2F2F2" w:themeFill="background1" w:themeFillShade="F2"/>
          </w:tcPr>
          <w:p w14:paraId="3F14DCC7" w14:textId="0BA64C7C" w:rsidR="00A411B0" w:rsidRPr="004C12C9" w:rsidRDefault="00A411B0" w:rsidP="00277DD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Construction days</w:t>
            </w:r>
          </w:p>
          <w:p w14:paraId="497AE558" w14:textId="0B496DC0" w:rsidR="00277DDF" w:rsidRPr="004C12C9" w:rsidRDefault="00277DDF" w:rsidP="00277DD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Hours </w:t>
            </w:r>
          </w:p>
        </w:tc>
        <w:tc>
          <w:tcPr>
            <w:tcW w:w="8185" w:type="dxa"/>
            <w:shd w:val="clear" w:color="auto" w:fill="F2F2F2" w:themeFill="background1" w:themeFillShade="F2"/>
          </w:tcPr>
          <w:p w14:paraId="1AFB8624" w14:textId="627C5C3A" w:rsidR="00A411B0" w:rsidRPr="004C12C9" w:rsidRDefault="00E15436" w:rsidP="00277DD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277DDF" w:rsidRPr="004C12C9">
              <w:rPr>
                <w:rFonts w:ascii="Calibri" w:eastAsia="Arial" w:hAnsi="Calibri"/>
                <w:bCs w:val="0"/>
                <w:i w:val="0"/>
                <w:noProof w:val="0"/>
                <w:color w:val="auto"/>
                <w:sz w:val="20"/>
                <w:szCs w:val="20"/>
              </w:rPr>
              <w:t>Number of construction days by phase, p (days)</w:t>
            </w:r>
          </w:p>
          <w:p w14:paraId="39F6BFC9" w14:textId="6D5C8B50" w:rsidR="00277DDF" w:rsidRPr="004C12C9" w:rsidRDefault="00E15436" w:rsidP="00277DD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277DDF" w:rsidRPr="004C12C9">
              <w:rPr>
                <w:rFonts w:ascii="Calibri" w:eastAsia="Arial" w:hAnsi="Calibri"/>
                <w:bCs w:val="0"/>
                <w:i w:val="0"/>
                <w:noProof w:val="0"/>
                <w:color w:val="auto"/>
                <w:sz w:val="20"/>
                <w:szCs w:val="20"/>
              </w:rPr>
              <w:t>Total hours per day each equipment type, t, is used by phase, p (hours/equipment/day)</w:t>
            </w:r>
          </w:p>
          <w:p w14:paraId="6AE80E55" w14:textId="4B83EE09" w:rsidR="00AD0EEA" w:rsidRPr="004C12C9" w:rsidRDefault="00AD0EEA" w:rsidP="00277DDF">
            <w:pPr>
              <w:pStyle w:val="Equation"/>
              <w:spacing w:before="0" w:after="0"/>
              <w:jc w:val="left"/>
              <w:rPr>
                <w:rFonts w:ascii="Calibri" w:eastAsia="Arial" w:hAnsi="Calibri"/>
                <w:bCs w:val="0"/>
                <w:i w:val="0"/>
                <w:noProof w:val="0"/>
                <w:color w:val="auto"/>
                <w:sz w:val="20"/>
                <w:szCs w:val="20"/>
              </w:rPr>
            </w:pPr>
          </w:p>
        </w:tc>
      </w:tr>
    </w:tbl>
    <w:p w14:paraId="4574FDB6" w14:textId="77777777" w:rsidR="00F95DF4" w:rsidRPr="004C12C9" w:rsidRDefault="00F95DF4" w:rsidP="00972CF9">
      <w:pPr>
        <w:pStyle w:val="Caption"/>
      </w:pPr>
    </w:p>
    <w:p w14:paraId="1910A486" w14:textId="77777777" w:rsidR="00F95DF4" w:rsidRPr="004C12C9" w:rsidRDefault="00F95DF4">
      <w:pPr>
        <w:spacing w:before="120" w:after="0" w:line="271" w:lineRule="auto"/>
        <w:rPr>
          <w:b/>
          <w:bCs/>
          <w:iCs/>
          <w:color w:val="000000" w:themeColor="text2"/>
          <w:sz w:val="20"/>
          <w:szCs w:val="20"/>
        </w:rPr>
      </w:pPr>
      <w:r w:rsidRPr="004C12C9">
        <w:br w:type="page"/>
      </w:r>
    </w:p>
    <w:p w14:paraId="4401A9AB" w14:textId="1E11A1B0" w:rsidR="00A21284" w:rsidRPr="004C12C9" w:rsidRDefault="00A21284" w:rsidP="00972CF9">
      <w:pPr>
        <w:pStyle w:val="Caption"/>
      </w:pPr>
      <w:bookmarkStart w:id="88" w:name="_Ref196726922"/>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6</w:t>
      </w:r>
      <w:r w:rsidR="00127094">
        <w:fldChar w:fldCharType="end"/>
      </w:r>
      <w:bookmarkEnd w:id="88"/>
      <w:r w:rsidR="003E260B" w:rsidRPr="004C12C9">
        <w:t>.</w:t>
      </w:r>
      <w:r w:rsidRPr="004C12C9">
        <w:t xml:space="preserve"> </w:t>
      </w:r>
      <w:r w:rsidR="007A1955" w:rsidRPr="004C12C9">
        <w:t>Emissions from Construction Equipment</w:t>
      </w:r>
      <w:r w:rsidR="005C1F5E">
        <w:t xml:space="preserve"> (Equipment </w:t>
      </w:r>
      <w:r w:rsidR="00DF7DF9">
        <w:t>U</w:t>
      </w:r>
      <w:r w:rsidR="005C1F5E">
        <w:t xml:space="preserve">se </w:t>
      </w:r>
      <w:r w:rsidR="00DF7DF9">
        <w:t>A</w:t>
      </w:r>
      <w:r w:rsidR="005C1F5E">
        <w:t>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134A11" w:rsidRPr="004C12C9" w14:paraId="7856E330" w14:textId="77777777">
        <w:tc>
          <w:tcPr>
            <w:tcW w:w="10070" w:type="dxa"/>
            <w:gridSpan w:val="2"/>
            <w:shd w:val="clear" w:color="auto" w:fill="F2F2F2" w:themeFill="background1" w:themeFillShade="F2"/>
          </w:tcPr>
          <w:p w14:paraId="399FEFDF" w14:textId="05D0FA2E" w:rsidR="00134A11" w:rsidRPr="004C12C9" w:rsidRDefault="0017240D">
            <w:pPr>
              <w:pStyle w:val="Equation"/>
              <w:rPr>
                <w:noProof w:val="0"/>
              </w:rPr>
            </w:pPr>
            <m:oMathPara>
              <m:oMath>
                <m:r>
                  <w:rPr>
                    <w:noProof w:val="0"/>
                  </w:rPr>
                  <m:t xml:space="preserve">GHG emissions= </m:t>
                </m:r>
                <m:nary>
                  <m:naryPr>
                    <m:chr m:val="∑"/>
                    <m:limLoc m:val="undOvr"/>
                    <m:subHide m:val="1"/>
                    <m:supHide m:val="1"/>
                    <m:ctrlPr>
                      <w:rPr>
                        <w:noProof w:val="0"/>
                      </w:rPr>
                    </m:ctrlPr>
                  </m:naryPr>
                  <m:sub/>
                  <m:sup/>
                  <m:e>
                    <m:sSub>
                      <m:sSubPr>
                        <m:ctrlPr>
                          <w:rPr>
                            <w:noProof w:val="0"/>
                          </w:rPr>
                        </m:ctrlPr>
                      </m:sSubPr>
                      <m:e>
                        <m:r>
                          <w:rPr>
                            <w:noProof w:val="0"/>
                          </w:rPr>
                          <m:t>total hours</m:t>
                        </m:r>
                      </m:e>
                      <m:sub>
                        <m:r>
                          <w:rPr>
                            <w:noProof w:val="0"/>
                          </w:rPr>
                          <m:t>t</m:t>
                        </m:r>
                      </m:sub>
                    </m:sSub>
                    <m:r>
                      <w:rPr>
                        <w:noProof w:val="0"/>
                      </w:rPr>
                      <m:t xml:space="preserve"> × </m:t>
                    </m:r>
                    <m:sSub>
                      <m:sSubPr>
                        <m:ctrlPr>
                          <w:rPr>
                            <w:noProof w:val="0"/>
                          </w:rPr>
                        </m:ctrlPr>
                      </m:sSubPr>
                      <m:e>
                        <m:r>
                          <w:rPr>
                            <w:noProof w:val="0"/>
                          </w:rPr>
                          <m:t>horsepower</m:t>
                        </m:r>
                      </m:e>
                      <m:sub>
                        <m:r>
                          <w:rPr>
                            <w:noProof w:val="0"/>
                          </w:rPr>
                          <m:t xml:space="preserve">t </m:t>
                        </m:r>
                      </m:sub>
                    </m:sSub>
                    <m:r>
                      <w:rPr>
                        <w:noProof w:val="0"/>
                      </w:rPr>
                      <m:t xml:space="preserve">× </m:t>
                    </m:r>
                    <m:sSub>
                      <m:sSubPr>
                        <m:ctrlPr>
                          <w:rPr>
                            <w:noProof w:val="0"/>
                          </w:rPr>
                        </m:ctrlPr>
                      </m:sSubPr>
                      <m:e>
                        <m:r>
                          <w:rPr>
                            <w:noProof w:val="0"/>
                          </w:rPr>
                          <m:t>load factor</m:t>
                        </m:r>
                      </m:e>
                      <m:sub>
                        <m:r>
                          <w:rPr>
                            <w:noProof w:val="0"/>
                          </w:rPr>
                          <m:t>t</m:t>
                        </m:r>
                      </m:sub>
                    </m:sSub>
                    <m:r>
                      <w:rPr>
                        <w:noProof w:val="0"/>
                      </w:rPr>
                      <m:t xml:space="preserve"> × </m:t>
                    </m:r>
                    <m:sSub>
                      <m:sSubPr>
                        <m:ctrlPr>
                          <w:rPr>
                            <w:noProof w:val="0"/>
                          </w:rPr>
                        </m:ctrlPr>
                      </m:sSubPr>
                      <m:e>
                        <m:r>
                          <w:rPr>
                            <w:noProof w:val="0"/>
                          </w:rPr>
                          <m:t>consumption rate</m:t>
                        </m:r>
                      </m:e>
                      <m:sub>
                        <m:r>
                          <w:rPr>
                            <w:noProof w:val="0"/>
                          </w:rPr>
                          <m:t>t</m:t>
                        </m:r>
                      </m:sub>
                    </m:sSub>
                    <m:r>
                      <w:rPr>
                        <w:noProof w:val="0"/>
                      </w:rPr>
                      <m:t xml:space="preserve">× </m:t>
                    </m:r>
                    <m:sSub>
                      <m:sSubPr>
                        <m:ctrlPr>
                          <w:rPr>
                            <w:noProof w:val="0"/>
                          </w:rPr>
                        </m:ctrlPr>
                      </m:sSubPr>
                      <m:e>
                        <m:r>
                          <w:rPr>
                            <w:noProof w:val="0"/>
                          </w:rPr>
                          <m:t>emission factor</m:t>
                        </m:r>
                      </m:e>
                      <m:sub>
                        <m:r>
                          <w:rPr>
                            <w:noProof w:val="0"/>
                          </w:rPr>
                          <m:t>t, s</m:t>
                        </m:r>
                      </m:sub>
                    </m:sSub>
                  </m:e>
                </m:nary>
              </m:oMath>
            </m:oMathPara>
          </w:p>
          <w:p w14:paraId="47C1FEC0" w14:textId="77777777" w:rsidR="00134A11" w:rsidRPr="004C12C9" w:rsidRDefault="00134A11">
            <w:pPr>
              <w:rPr>
                <w:i/>
                <w:iCs/>
              </w:rPr>
            </w:pPr>
            <w:r w:rsidRPr="004C12C9">
              <w:rPr>
                <w:i/>
                <w:iCs/>
                <w:sz w:val="20"/>
                <w:szCs w:val="20"/>
              </w:rPr>
              <w:t xml:space="preserve">where, </w:t>
            </w:r>
          </w:p>
        </w:tc>
      </w:tr>
      <w:tr w:rsidR="00134A11" w:rsidRPr="004C12C9" w14:paraId="29868171" w14:textId="77777777" w:rsidTr="00B510EE">
        <w:tc>
          <w:tcPr>
            <w:tcW w:w="1800" w:type="dxa"/>
            <w:shd w:val="clear" w:color="auto" w:fill="F2F2F2" w:themeFill="background1" w:themeFillShade="F2"/>
          </w:tcPr>
          <w:p w14:paraId="3856A7AB" w14:textId="3D1A74FA" w:rsidR="00134A11"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T</w:t>
            </w:r>
            <w:r w:rsidR="0017240D" w:rsidRPr="004C12C9">
              <w:rPr>
                <w:rFonts w:ascii="Calibri" w:eastAsia="Arial" w:hAnsi="Calibri"/>
                <w:bCs w:val="0"/>
                <w:i w:val="0"/>
                <w:noProof w:val="0"/>
                <w:color w:val="auto"/>
                <w:sz w:val="20"/>
                <w:szCs w:val="20"/>
              </w:rPr>
              <w:t>otal hours</w:t>
            </w:r>
          </w:p>
          <w:p w14:paraId="2A1768EA" w14:textId="3B06727D" w:rsidR="00134A11"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H</w:t>
            </w:r>
            <w:r w:rsidR="0017240D" w:rsidRPr="004C12C9">
              <w:rPr>
                <w:rFonts w:ascii="Calibri" w:eastAsia="Arial" w:hAnsi="Calibri"/>
                <w:bCs w:val="0"/>
                <w:i w:val="0"/>
                <w:noProof w:val="0"/>
                <w:color w:val="auto"/>
                <w:sz w:val="20"/>
                <w:szCs w:val="20"/>
              </w:rPr>
              <w:t>orsepower</w:t>
            </w:r>
          </w:p>
          <w:p w14:paraId="6C9A1061" w14:textId="0C716ECA" w:rsidR="0017240D"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w:t>
            </w:r>
            <w:r w:rsidR="0017240D" w:rsidRPr="004C12C9">
              <w:rPr>
                <w:rFonts w:ascii="Calibri" w:eastAsia="Arial" w:hAnsi="Calibri"/>
                <w:bCs w:val="0"/>
                <w:i w:val="0"/>
                <w:noProof w:val="0"/>
                <w:color w:val="auto"/>
                <w:sz w:val="20"/>
                <w:szCs w:val="20"/>
              </w:rPr>
              <w:t>oad factor</w:t>
            </w:r>
          </w:p>
          <w:p w14:paraId="5D26ADA1" w14:textId="77777777" w:rsidR="0017240D"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w:t>
            </w:r>
            <w:r w:rsidR="0017240D" w:rsidRPr="004C12C9">
              <w:rPr>
                <w:rFonts w:ascii="Calibri" w:eastAsia="Arial" w:hAnsi="Calibri"/>
                <w:bCs w:val="0"/>
                <w:i w:val="0"/>
                <w:noProof w:val="0"/>
                <w:color w:val="auto"/>
                <w:sz w:val="20"/>
                <w:szCs w:val="20"/>
              </w:rPr>
              <w:t>onsumption rate</w:t>
            </w:r>
          </w:p>
          <w:p w14:paraId="6F6B0F14" w14:textId="51A4C186" w:rsidR="00F7021A"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 factor</w:t>
            </w:r>
          </w:p>
        </w:tc>
        <w:tc>
          <w:tcPr>
            <w:tcW w:w="8270" w:type="dxa"/>
            <w:shd w:val="clear" w:color="auto" w:fill="F2F2F2" w:themeFill="background1" w:themeFillShade="F2"/>
          </w:tcPr>
          <w:p w14:paraId="4783838D" w14:textId="0502F1AD" w:rsidR="00F7021A" w:rsidRPr="004C12C9" w:rsidRDefault="00F7021A" w:rsidP="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Total construction hours by equipment type, t, as calculated in </w:t>
            </w:r>
            <w:r w:rsidR="00B510EE" w:rsidRPr="004C12C9">
              <w:rPr>
                <w:rFonts w:ascii="Calibri" w:eastAsia="Arial" w:hAnsi="Calibri"/>
                <w:bCs w:val="0"/>
                <w:i w:val="0"/>
                <w:noProof w:val="0"/>
                <w:color w:val="auto"/>
                <w:sz w:val="20"/>
                <w:szCs w:val="20"/>
              </w:rPr>
              <w:fldChar w:fldCharType="begin" w:fldLock="1"/>
            </w:r>
            <w:r w:rsidR="00B510EE" w:rsidRPr="004C12C9">
              <w:rPr>
                <w:rFonts w:ascii="Calibri" w:eastAsia="Arial" w:hAnsi="Calibri"/>
                <w:bCs w:val="0"/>
                <w:i w:val="0"/>
                <w:noProof w:val="0"/>
                <w:color w:val="auto"/>
                <w:sz w:val="20"/>
                <w:szCs w:val="20"/>
              </w:rPr>
              <w:instrText xml:space="preserve"> REF _Ref195386105 \h  \* MERGEFORMAT </w:instrText>
            </w:r>
            <w:r w:rsidR="00B510EE" w:rsidRPr="004C12C9">
              <w:rPr>
                <w:rFonts w:ascii="Calibri" w:eastAsia="Arial" w:hAnsi="Calibri"/>
                <w:bCs w:val="0"/>
                <w:i w:val="0"/>
                <w:noProof w:val="0"/>
                <w:color w:val="auto"/>
                <w:sz w:val="20"/>
                <w:szCs w:val="20"/>
              </w:rPr>
            </w:r>
            <w:r w:rsidR="00B510EE" w:rsidRPr="004C12C9">
              <w:rPr>
                <w:rFonts w:ascii="Calibri" w:eastAsia="Arial" w:hAnsi="Calibri"/>
                <w:bCs w:val="0"/>
                <w:i w:val="0"/>
                <w:noProof w:val="0"/>
                <w:color w:val="auto"/>
                <w:sz w:val="20"/>
                <w:szCs w:val="20"/>
              </w:rPr>
              <w:fldChar w:fldCharType="separate"/>
            </w:r>
            <w:r w:rsidR="00127094" w:rsidRPr="004C12C9">
              <w:rPr>
                <w:rFonts w:ascii="Calibri" w:eastAsia="Arial" w:hAnsi="Calibri"/>
                <w:bCs w:val="0"/>
                <w:i w:val="0"/>
                <w:noProof w:val="0"/>
                <w:color w:val="auto"/>
                <w:sz w:val="20"/>
                <w:szCs w:val="20"/>
              </w:rPr>
              <w:t>Equation 5</w:t>
            </w:r>
            <w:r w:rsidR="00B510EE" w:rsidRPr="004C12C9">
              <w:rPr>
                <w:rFonts w:ascii="Calibri" w:eastAsia="Arial" w:hAnsi="Calibri"/>
                <w:bCs w:val="0"/>
                <w:i w:val="0"/>
                <w:noProof w:val="0"/>
                <w:color w:val="auto"/>
                <w:sz w:val="20"/>
                <w:szCs w:val="20"/>
              </w:rPr>
              <w:fldChar w:fldCharType="end"/>
            </w:r>
          </w:p>
          <w:p w14:paraId="0477681A" w14:textId="61A387F7" w:rsidR="00134A11" w:rsidRPr="004C12C9" w:rsidRDefault="00F7021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E15436" w:rsidRPr="004C12C9">
              <w:rPr>
                <w:rFonts w:ascii="Calibri" w:eastAsia="Arial" w:hAnsi="Calibri"/>
                <w:bCs w:val="0"/>
                <w:i w:val="0"/>
                <w:noProof w:val="0"/>
                <w:color w:val="auto"/>
                <w:sz w:val="20"/>
                <w:szCs w:val="20"/>
              </w:rPr>
              <w:t>Horsepower of equipment type, t</w:t>
            </w:r>
          </w:p>
          <w:p w14:paraId="063634D2" w14:textId="16B407CB" w:rsidR="00134A11" w:rsidRPr="004C12C9" w:rsidRDefault="00E1543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t>
            </w:r>
            <w:r w:rsidR="00B510EE" w:rsidRPr="004C12C9">
              <w:rPr>
                <w:rFonts w:ascii="Calibri" w:eastAsia="Arial" w:hAnsi="Calibri"/>
                <w:bCs w:val="0"/>
                <w:i w:val="0"/>
                <w:noProof w:val="0"/>
                <w:color w:val="auto"/>
                <w:sz w:val="20"/>
                <w:szCs w:val="20"/>
              </w:rPr>
              <w:t xml:space="preserve"> Ratio of actual load carried by equipment to its maximum rated capacity by equipment type, t</w:t>
            </w:r>
          </w:p>
          <w:p w14:paraId="03986D79" w14:textId="77777777" w:rsidR="00B510EE" w:rsidRPr="004C12C9" w:rsidRDefault="00DE1FA1">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B510EE" w:rsidRPr="004C12C9">
              <w:rPr>
                <w:rFonts w:ascii="Calibri" w:eastAsia="Arial" w:hAnsi="Calibri"/>
                <w:bCs w:val="0"/>
                <w:i w:val="0"/>
                <w:noProof w:val="0"/>
                <w:color w:val="auto"/>
                <w:sz w:val="20"/>
                <w:szCs w:val="20"/>
              </w:rPr>
              <w:t>Hourly energy consumption by equipment type, t (Btu/horsepower-hour)</w:t>
            </w:r>
          </w:p>
          <w:p w14:paraId="24196D92" w14:textId="77777777" w:rsidR="00DE1FA1" w:rsidRPr="004C12C9" w:rsidRDefault="00DE1FA1" w:rsidP="00E31A4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GHG emissions per unit of energy consumed by equipment type, t, and energy source, s (kgCO</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e/Btu)</w:t>
            </w:r>
          </w:p>
          <w:p w14:paraId="73E16903" w14:textId="712D33B1" w:rsidR="00033BA4" w:rsidRPr="004C12C9" w:rsidRDefault="00033BA4" w:rsidP="00E31A4A">
            <w:pPr>
              <w:pStyle w:val="Equation"/>
              <w:spacing w:before="0" w:after="0"/>
              <w:ind w:left="165" w:hanging="165"/>
              <w:jc w:val="left"/>
              <w:rPr>
                <w:rFonts w:ascii="Calibri" w:eastAsia="Arial" w:hAnsi="Calibri"/>
                <w:bCs w:val="0"/>
                <w:i w:val="0"/>
                <w:noProof w:val="0"/>
                <w:color w:val="auto"/>
                <w:sz w:val="20"/>
                <w:szCs w:val="20"/>
              </w:rPr>
            </w:pPr>
          </w:p>
        </w:tc>
      </w:tr>
    </w:tbl>
    <w:p w14:paraId="3CBB9C9A" w14:textId="3CD95516" w:rsidR="002071C0" w:rsidRDefault="002071C0" w:rsidP="0032593C">
      <w:pPr>
        <w:pStyle w:val="Caption"/>
      </w:pPr>
      <w:bookmarkStart w:id="89" w:name="_Ref215650167"/>
      <w:r>
        <w:t xml:space="preserve">Equation </w:t>
      </w:r>
      <w:r>
        <w:fldChar w:fldCharType="begin"/>
      </w:r>
      <w:r>
        <w:instrText xml:space="preserve"> SEQ Equation \* ARABIC </w:instrText>
      </w:r>
      <w:r>
        <w:fldChar w:fldCharType="separate"/>
      </w:r>
      <w:r w:rsidR="00C47624">
        <w:rPr>
          <w:noProof/>
        </w:rPr>
        <w:t>7</w:t>
      </w:r>
      <w:r>
        <w:fldChar w:fldCharType="end"/>
      </w:r>
      <w:bookmarkEnd w:id="89"/>
      <w:r>
        <w:t xml:space="preserve">. Emissions from Construction Equipment (Fuel </w:t>
      </w:r>
      <w:r w:rsidR="00DF7DF9">
        <w:t>C</w:t>
      </w:r>
      <w:r>
        <w:t xml:space="preserve">onsumption </w:t>
      </w:r>
      <w:r w:rsidR="00DF7DF9">
        <w:t>A</w:t>
      </w:r>
      <w:r>
        <w:t>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EC577C" w:rsidRPr="004C12C9" w14:paraId="45C77D2B" w14:textId="77777777" w:rsidTr="00BC0D67">
        <w:tc>
          <w:tcPr>
            <w:tcW w:w="10070" w:type="dxa"/>
            <w:gridSpan w:val="2"/>
            <w:shd w:val="clear" w:color="auto" w:fill="F2F2F2" w:themeFill="background1" w:themeFillShade="F2"/>
          </w:tcPr>
          <w:p w14:paraId="38CBF3B1" w14:textId="7397BA45" w:rsidR="00EC577C" w:rsidRPr="004C12C9" w:rsidRDefault="00EC577C" w:rsidP="00BC0D67">
            <w:pPr>
              <w:pStyle w:val="Equation"/>
              <w:rPr>
                <w:noProof w:val="0"/>
              </w:rPr>
            </w:pPr>
            <m:oMathPara>
              <m:oMath>
                <m:r>
                  <w:rPr>
                    <w:noProof w:val="0"/>
                  </w:rPr>
                  <m:t xml:space="preserve">GHG emissions= </m:t>
                </m:r>
                <m:nary>
                  <m:naryPr>
                    <m:chr m:val="∑"/>
                    <m:limLoc m:val="undOvr"/>
                    <m:subHide m:val="1"/>
                    <m:supHide m:val="1"/>
                    <m:ctrlPr>
                      <w:rPr>
                        <w:noProof w:val="0"/>
                      </w:rPr>
                    </m:ctrlPr>
                  </m:naryPr>
                  <m:sub/>
                  <m:sup/>
                  <m:e>
                    <m:sSub>
                      <m:sSubPr>
                        <m:ctrlPr>
                          <w:rPr>
                            <w:noProof w:val="0"/>
                          </w:rPr>
                        </m:ctrlPr>
                      </m:sSubPr>
                      <m:e>
                        <m:r>
                          <w:rPr>
                            <w:noProof w:val="0"/>
                          </w:rPr>
                          <m:t>total consumption</m:t>
                        </m:r>
                      </m:e>
                      <m:sub>
                        <m:r>
                          <w:rPr>
                            <w:noProof w:val="0"/>
                          </w:rPr>
                          <m:t>t</m:t>
                        </m:r>
                      </m:sub>
                    </m:sSub>
                    <m:r>
                      <w:rPr>
                        <w:noProof w:val="0"/>
                      </w:rPr>
                      <m:t xml:space="preserve"> × </m:t>
                    </m:r>
                    <m:sSub>
                      <m:sSubPr>
                        <m:ctrlPr>
                          <w:rPr>
                            <w:noProof w:val="0"/>
                          </w:rPr>
                        </m:ctrlPr>
                      </m:sSubPr>
                      <m:e>
                        <m:r>
                          <w:rPr>
                            <w:noProof w:val="0"/>
                          </w:rPr>
                          <m:t>heat content</m:t>
                        </m:r>
                      </m:e>
                      <m:sub>
                        <m:r>
                          <w:rPr>
                            <w:noProof w:val="0"/>
                          </w:rPr>
                          <m:t xml:space="preserve">t </m:t>
                        </m:r>
                      </m:sub>
                    </m:sSub>
                    <m:r>
                      <w:rPr>
                        <w:noProof w:val="0"/>
                      </w:rPr>
                      <m:t xml:space="preserve">× </m:t>
                    </m:r>
                    <m:r>
                      <w:rPr>
                        <w:rFonts w:eastAsia="Arial"/>
                        <w:sz w:val="20"/>
                        <w:szCs w:val="20"/>
                      </w:rPr>
                      <m:t>0.000001</m:t>
                    </m:r>
                    <m:r>
                      <w:rPr>
                        <w:noProof w:val="0"/>
                      </w:rPr>
                      <m:t xml:space="preserve"> × </m:t>
                    </m:r>
                    <m:sSub>
                      <m:sSubPr>
                        <m:ctrlPr>
                          <w:rPr>
                            <w:noProof w:val="0"/>
                          </w:rPr>
                        </m:ctrlPr>
                      </m:sSubPr>
                      <m:e>
                        <m:r>
                          <w:rPr>
                            <w:noProof w:val="0"/>
                          </w:rPr>
                          <m:t>emission factor</m:t>
                        </m:r>
                      </m:e>
                      <m:sub>
                        <m:r>
                          <w:rPr>
                            <w:noProof w:val="0"/>
                          </w:rPr>
                          <m:t>t</m:t>
                        </m:r>
                      </m:sub>
                    </m:sSub>
                  </m:e>
                </m:nary>
              </m:oMath>
            </m:oMathPara>
          </w:p>
          <w:p w14:paraId="03509742" w14:textId="77777777" w:rsidR="00EC577C" w:rsidRPr="004C12C9" w:rsidRDefault="00EC577C" w:rsidP="00BC0D67">
            <w:pPr>
              <w:rPr>
                <w:i/>
                <w:iCs/>
              </w:rPr>
            </w:pPr>
            <w:r w:rsidRPr="004C12C9">
              <w:rPr>
                <w:i/>
                <w:iCs/>
                <w:sz w:val="20"/>
                <w:szCs w:val="20"/>
              </w:rPr>
              <w:t xml:space="preserve">where, </w:t>
            </w:r>
          </w:p>
        </w:tc>
      </w:tr>
      <w:tr w:rsidR="00EC577C" w:rsidRPr="004C12C9" w14:paraId="0457C697" w14:textId="77777777" w:rsidTr="00BC0D67">
        <w:tc>
          <w:tcPr>
            <w:tcW w:w="1800" w:type="dxa"/>
            <w:shd w:val="clear" w:color="auto" w:fill="F2F2F2" w:themeFill="background1" w:themeFillShade="F2"/>
          </w:tcPr>
          <w:p w14:paraId="1119AB53" w14:textId="38B4546D" w:rsidR="00EC577C" w:rsidRPr="004C12C9" w:rsidRDefault="00EC577C"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Total </w:t>
            </w:r>
            <w:r w:rsidR="00323C52">
              <w:rPr>
                <w:rFonts w:ascii="Calibri" w:eastAsia="Arial" w:hAnsi="Calibri"/>
                <w:bCs w:val="0"/>
                <w:i w:val="0"/>
                <w:noProof w:val="0"/>
                <w:color w:val="auto"/>
                <w:sz w:val="20"/>
                <w:szCs w:val="20"/>
              </w:rPr>
              <w:t>consumption</w:t>
            </w:r>
          </w:p>
          <w:p w14:paraId="20CE4B52" w14:textId="326A9D40" w:rsidR="00EC577C" w:rsidRPr="004C12C9" w:rsidRDefault="00323C52" w:rsidP="00BC0D67">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Heat content</w:t>
            </w:r>
          </w:p>
          <w:p w14:paraId="31FEB59A" w14:textId="799D9DA2" w:rsidR="00EC577C" w:rsidRPr="004C12C9" w:rsidRDefault="00640ECE" w:rsidP="00BC0D67">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Unit conversion</w:t>
            </w:r>
          </w:p>
          <w:p w14:paraId="1389A845" w14:textId="77777777" w:rsidR="00EC577C" w:rsidRPr="004C12C9" w:rsidRDefault="00EC577C"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 factor</w:t>
            </w:r>
          </w:p>
        </w:tc>
        <w:tc>
          <w:tcPr>
            <w:tcW w:w="8270" w:type="dxa"/>
            <w:shd w:val="clear" w:color="auto" w:fill="F2F2F2" w:themeFill="background1" w:themeFillShade="F2"/>
          </w:tcPr>
          <w:p w14:paraId="230911F2" w14:textId="050C06E9" w:rsidR="00EC577C" w:rsidRPr="004C12C9" w:rsidRDefault="00EC577C"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Total </w:t>
            </w:r>
            <w:r w:rsidR="005E7B5E">
              <w:rPr>
                <w:rFonts w:ascii="Calibri" w:eastAsia="Arial" w:hAnsi="Calibri"/>
                <w:bCs w:val="0"/>
                <w:i w:val="0"/>
                <w:noProof w:val="0"/>
                <w:color w:val="auto"/>
                <w:sz w:val="20"/>
                <w:szCs w:val="20"/>
              </w:rPr>
              <w:t>fuel consumption</w:t>
            </w:r>
            <w:r w:rsidR="00323C52">
              <w:rPr>
                <w:rFonts w:ascii="Calibri" w:eastAsia="Arial" w:hAnsi="Calibri"/>
                <w:bCs w:val="0"/>
                <w:i w:val="0"/>
                <w:noProof w:val="0"/>
                <w:color w:val="auto"/>
                <w:sz w:val="20"/>
                <w:szCs w:val="20"/>
              </w:rPr>
              <w:t xml:space="preserve"> by fuel type,</w:t>
            </w:r>
            <w:r w:rsidRPr="004C12C9">
              <w:rPr>
                <w:rFonts w:ascii="Calibri" w:eastAsia="Arial" w:hAnsi="Calibri"/>
                <w:bCs w:val="0"/>
                <w:i w:val="0"/>
                <w:noProof w:val="0"/>
                <w:color w:val="auto"/>
                <w:sz w:val="20"/>
                <w:szCs w:val="20"/>
              </w:rPr>
              <w:t xml:space="preserve"> t</w:t>
            </w:r>
            <w:r w:rsidR="004D541A">
              <w:rPr>
                <w:rFonts w:ascii="Calibri" w:eastAsia="Arial" w:hAnsi="Calibri"/>
                <w:bCs w:val="0"/>
                <w:i w:val="0"/>
                <w:noProof w:val="0"/>
                <w:color w:val="auto"/>
                <w:sz w:val="20"/>
                <w:szCs w:val="20"/>
              </w:rPr>
              <w:t xml:space="preserve"> (gallons or kWh)</w:t>
            </w:r>
          </w:p>
          <w:p w14:paraId="25266BE3" w14:textId="17084104" w:rsidR="00EC577C" w:rsidRPr="004C12C9" w:rsidRDefault="00EC577C"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323C52">
              <w:rPr>
                <w:rFonts w:ascii="Calibri" w:eastAsia="Arial" w:hAnsi="Calibri"/>
                <w:bCs w:val="0"/>
                <w:i w:val="0"/>
                <w:noProof w:val="0"/>
                <w:color w:val="auto"/>
                <w:sz w:val="20"/>
                <w:szCs w:val="20"/>
              </w:rPr>
              <w:t>Heat content</w:t>
            </w:r>
            <w:r w:rsidRPr="004C12C9">
              <w:rPr>
                <w:rFonts w:ascii="Calibri" w:eastAsia="Arial" w:hAnsi="Calibri"/>
                <w:bCs w:val="0"/>
                <w:i w:val="0"/>
                <w:noProof w:val="0"/>
                <w:color w:val="auto"/>
                <w:sz w:val="20"/>
                <w:szCs w:val="20"/>
              </w:rPr>
              <w:t xml:space="preserve"> of </w:t>
            </w:r>
            <w:r w:rsidR="00323C52">
              <w:rPr>
                <w:rFonts w:ascii="Calibri" w:eastAsia="Arial" w:hAnsi="Calibri"/>
                <w:bCs w:val="0"/>
                <w:i w:val="0"/>
                <w:noProof w:val="0"/>
                <w:color w:val="auto"/>
                <w:sz w:val="20"/>
                <w:szCs w:val="20"/>
              </w:rPr>
              <w:t>fuel</w:t>
            </w:r>
            <w:r w:rsidRPr="004C12C9">
              <w:rPr>
                <w:rFonts w:ascii="Calibri" w:eastAsia="Arial" w:hAnsi="Calibri"/>
                <w:bCs w:val="0"/>
                <w:i w:val="0"/>
                <w:noProof w:val="0"/>
                <w:color w:val="auto"/>
                <w:sz w:val="20"/>
                <w:szCs w:val="20"/>
              </w:rPr>
              <w:t xml:space="preserve"> type, t</w:t>
            </w:r>
            <w:r w:rsidR="00007B56">
              <w:rPr>
                <w:rFonts w:ascii="Calibri" w:eastAsia="Arial" w:hAnsi="Calibri"/>
                <w:bCs w:val="0"/>
                <w:i w:val="0"/>
                <w:noProof w:val="0"/>
                <w:color w:val="auto"/>
                <w:sz w:val="20"/>
                <w:szCs w:val="20"/>
              </w:rPr>
              <w:t xml:space="preserve"> (</w:t>
            </w:r>
            <w:r w:rsidR="00F84063">
              <w:rPr>
                <w:rFonts w:ascii="Calibri" w:eastAsia="Arial" w:hAnsi="Calibri"/>
                <w:bCs w:val="0"/>
                <w:i w:val="0"/>
                <w:noProof w:val="0"/>
                <w:color w:val="auto"/>
                <w:sz w:val="20"/>
                <w:szCs w:val="20"/>
              </w:rPr>
              <w:t>Btu/unit)</w:t>
            </w:r>
          </w:p>
          <w:p w14:paraId="2B1BEAED" w14:textId="34549802" w:rsidR="00374FC3" w:rsidRPr="004C12C9" w:rsidRDefault="00EC577C" w:rsidP="00374FC3">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156550" w:rsidRPr="00D47D6F">
              <w:rPr>
                <w:rFonts w:ascii="Calibri" w:eastAsia="Arial" w:hAnsi="Calibri"/>
                <w:bCs w:val="0"/>
                <w:i w:val="0"/>
                <w:noProof w:val="0"/>
                <w:color w:val="auto"/>
                <w:sz w:val="20"/>
                <w:szCs w:val="20"/>
              </w:rPr>
              <w:t>Unit conversion from Btu to MMBtu</w:t>
            </w:r>
          </w:p>
          <w:p w14:paraId="4B0BA43A" w14:textId="5E4ED872" w:rsidR="00EC577C" w:rsidRPr="004C12C9" w:rsidRDefault="00EC577C" w:rsidP="00715DC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GHG emissions per unit of energy consumed by </w:t>
            </w:r>
            <w:r w:rsidR="00D8087B">
              <w:rPr>
                <w:rFonts w:ascii="Calibri" w:eastAsia="Arial" w:hAnsi="Calibri"/>
                <w:bCs w:val="0"/>
                <w:i w:val="0"/>
                <w:noProof w:val="0"/>
                <w:color w:val="auto"/>
                <w:sz w:val="20"/>
                <w:szCs w:val="20"/>
              </w:rPr>
              <w:t>fuel type, t</w:t>
            </w:r>
            <w:r w:rsidRPr="004C12C9">
              <w:rPr>
                <w:rFonts w:ascii="Calibri" w:eastAsia="Arial" w:hAnsi="Calibri"/>
                <w:bCs w:val="0"/>
                <w:i w:val="0"/>
                <w:noProof w:val="0"/>
                <w:color w:val="auto"/>
                <w:sz w:val="20"/>
                <w:szCs w:val="20"/>
              </w:rPr>
              <w:t xml:space="preserve"> (kgCO</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e/</w:t>
            </w:r>
            <w:r w:rsidR="00D8087B">
              <w:rPr>
                <w:rFonts w:ascii="Calibri" w:eastAsia="Arial" w:hAnsi="Calibri"/>
                <w:bCs w:val="0"/>
                <w:i w:val="0"/>
                <w:noProof w:val="0"/>
                <w:color w:val="auto"/>
                <w:sz w:val="20"/>
                <w:szCs w:val="20"/>
              </w:rPr>
              <w:t>MM</w:t>
            </w:r>
            <w:r w:rsidRPr="004C12C9">
              <w:rPr>
                <w:rFonts w:ascii="Calibri" w:eastAsia="Arial" w:hAnsi="Calibri"/>
                <w:bCs w:val="0"/>
                <w:i w:val="0"/>
                <w:noProof w:val="0"/>
                <w:color w:val="auto"/>
                <w:sz w:val="20"/>
                <w:szCs w:val="20"/>
              </w:rPr>
              <w:t>Btu)</w:t>
            </w:r>
          </w:p>
          <w:p w14:paraId="18A81C70" w14:textId="77777777" w:rsidR="00EC577C" w:rsidRPr="004C12C9" w:rsidRDefault="00EC577C" w:rsidP="00BC0D67">
            <w:pPr>
              <w:pStyle w:val="Equation"/>
              <w:spacing w:before="0" w:after="0"/>
              <w:ind w:left="165" w:hanging="165"/>
              <w:jc w:val="left"/>
              <w:rPr>
                <w:rFonts w:ascii="Calibri" w:eastAsia="Arial" w:hAnsi="Calibri"/>
                <w:bCs w:val="0"/>
                <w:i w:val="0"/>
                <w:noProof w:val="0"/>
                <w:color w:val="auto"/>
                <w:sz w:val="20"/>
                <w:szCs w:val="20"/>
              </w:rPr>
            </w:pPr>
          </w:p>
        </w:tc>
      </w:tr>
    </w:tbl>
    <w:p w14:paraId="319D6951" w14:textId="289FCF20" w:rsidR="0023170D" w:rsidRPr="004C12C9" w:rsidRDefault="0039737B" w:rsidP="00E31E37">
      <w:pPr>
        <w:pStyle w:val="Heading4"/>
      </w:pPr>
      <w:r w:rsidRPr="004C12C9">
        <w:t>Construction Days</w:t>
      </w:r>
    </w:p>
    <w:p w14:paraId="118567FD" w14:textId="0096E5B4" w:rsidR="004E7254" w:rsidRPr="004C12C9" w:rsidRDefault="004E7254" w:rsidP="004E7254">
      <w:r w:rsidRPr="004C12C9">
        <w:t xml:space="preserve">Default assumptions regarding the number of construction days by construction phase are available in the </w:t>
      </w:r>
      <w:r w:rsidR="00307C70" w:rsidRPr="004C12C9">
        <w:t>calculator</w:t>
      </w:r>
      <w:r w:rsidRPr="004C12C9">
        <w:t>. The default number of construction days by construction phase are based on values derived from CalEEMod</w:t>
      </w:r>
      <w:r w:rsidR="00B9387D" w:rsidRPr="004C12C9">
        <w:t xml:space="preserve">, as described in Section </w:t>
      </w:r>
      <w:r w:rsidR="008E469C" w:rsidRPr="004C12C9">
        <w:fldChar w:fldCharType="begin" w:fldLock="1"/>
      </w:r>
      <w:r w:rsidR="008E469C" w:rsidRPr="004C12C9">
        <w:instrText xml:space="preserve"> REF _Ref195386402 \r \h </w:instrText>
      </w:r>
      <w:r w:rsidR="008E469C" w:rsidRPr="004C12C9">
        <w:fldChar w:fldCharType="separate"/>
      </w:r>
      <w:r w:rsidR="00127094" w:rsidRPr="004C12C9">
        <w:t>2.3</w:t>
      </w:r>
      <w:r w:rsidR="008E469C" w:rsidRPr="004C12C9">
        <w:fldChar w:fldCharType="end"/>
      </w:r>
      <w:r w:rsidR="008E469C" w:rsidRPr="004C12C9">
        <w:t xml:space="preserve"> </w:t>
      </w:r>
      <w:r w:rsidR="00B9387D" w:rsidRPr="004C12C9">
        <w:t>and</w:t>
      </w:r>
      <w:r w:rsidR="00220827" w:rsidRPr="004C12C9">
        <w:t xml:space="preserve"> summarized in</w:t>
      </w:r>
      <w:r w:rsidR="00220827" w:rsidRPr="004C12C9">
        <w:rPr>
          <w:b/>
          <w:bCs/>
        </w:rPr>
        <w:t xml:space="preserve"> </w:t>
      </w:r>
      <w:r w:rsidR="00220827" w:rsidRPr="004C12C9">
        <w:fldChar w:fldCharType="begin" w:fldLock="1"/>
      </w:r>
      <w:r w:rsidR="00220827" w:rsidRPr="004C12C9">
        <w:instrText xml:space="preserve"> REF _Ref184210016 \h  \* MERGEFORMAT </w:instrText>
      </w:r>
      <w:r w:rsidR="00220827" w:rsidRPr="004C12C9">
        <w:fldChar w:fldCharType="separate"/>
      </w:r>
      <w:r w:rsidR="00127094" w:rsidRPr="004C12C9">
        <w:t>Table 2</w:t>
      </w:r>
      <w:r w:rsidR="00127094" w:rsidRPr="004C12C9">
        <w:noBreakHyphen/>
        <w:t>21</w:t>
      </w:r>
      <w:r w:rsidR="00220827" w:rsidRPr="004C12C9">
        <w:fldChar w:fldCharType="end"/>
      </w:r>
      <w:r w:rsidRPr="004C12C9">
        <w:t>.</w:t>
      </w:r>
      <w:r w:rsidR="003C3CA0">
        <w:rPr>
          <w:rFonts w:ascii="ZWAdobeF" w:hAnsi="ZWAdobeF" w:cs="ZWAdobeF"/>
          <w:sz w:val="2"/>
          <w:szCs w:val="2"/>
        </w:rPr>
        <w:t>36F</w:t>
      </w:r>
      <w:r w:rsidRPr="004C12C9">
        <w:rPr>
          <w:rStyle w:val="FootnoteReference"/>
        </w:rPr>
        <w:footnoteReference w:id="38"/>
      </w:r>
      <w:r w:rsidR="007A1955" w:rsidRPr="004C12C9">
        <w:t xml:space="preserve"> </w:t>
      </w:r>
      <w:r w:rsidRPr="004C12C9">
        <w:t>Users may apply the default values that are derived using user</w:t>
      </w:r>
      <w:r w:rsidR="003F1F6E" w:rsidRPr="004C12C9">
        <w:t xml:space="preserve"> </w:t>
      </w:r>
      <w:r w:rsidRPr="004C12C9">
        <w:t xml:space="preserve">provided project acreage to estimate the number of construction days by phase, or they may enter the number of days by phase directly into the </w:t>
      </w:r>
      <w:r w:rsidR="00307C70" w:rsidRPr="004C12C9">
        <w:t>calculator</w:t>
      </w:r>
      <w:r w:rsidRPr="004C12C9">
        <w:t>.</w:t>
      </w:r>
      <w:r w:rsidR="003C3CA0">
        <w:rPr>
          <w:rFonts w:ascii="ZWAdobeF" w:hAnsi="ZWAdobeF" w:cs="ZWAdobeF"/>
          <w:sz w:val="2"/>
          <w:szCs w:val="2"/>
        </w:rPr>
        <w:t>37F</w:t>
      </w:r>
      <w:r w:rsidRPr="004C12C9">
        <w:rPr>
          <w:rStyle w:val="FootnoteReference"/>
        </w:rPr>
        <w:footnoteReference w:id="39"/>
      </w:r>
    </w:p>
    <w:p w14:paraId="48238E14" w14:textId="206C65A7" w:rsidR="002B1BEA" w:rsidRPr="004C12C9" w:rsidRDefault="00006179" w:rsidP="00E31E37">
      <w:pPr>
        <w:pStyle w:val="Heading4"/>
      </w:pPr>
      <w:r w:rsidRPr="004C12C9">
        <w:lastRenderedPageBreak/>
        <w:t>Construction Equipment Use</w:t>
      </w:r>
    </w:p>
    <w:p w14:paraId="6A53E1FD" w14:textId="131231B0" w:rsidR="00006179" w:rsidRPr="004C12C9" w:rsidRDefault="000A2C4F" w:rsidP="000D17F7">
      <w:r w:rsidRPr="004C12C9">
        <w:t xml:space="preserve">Data on the number of construction equipment by type used per day and the number of hours each equipment type is used per day by construction phase </w:t>
      </w:r>
      <w:r w:rsidR="002A4288" w:rsidRPr="004C12C9">
        <w:t>are</w:t>
      </w:r>
      <w:r w:rsidRPr="004C12C9">
        <w:t xml:space="preserve"> obtained from CalEEMod Appendix G, Table G-9.</w:t>
      </w:r>
      <w:r w:rsidR="003C3CA0">
        <w:rPr>
          <w:rFonts w:ascii="ZWAdobeF" w:hAnsi="ZWAdobeF" w:cs="ZWAdobeF"/>
          <w:sz w:val="2"/>
          <w:szCs w:val="2"/>
        </w:rPr>
        <w:t>38F</w:t>
      </w:r>
      <w:r w:rsidRPr="004C12C9">
        <w:rPr>
          <w:rStyle w:val="FootnoteReference"/>
        </w:rPr>
        <w:footnoteReference w:id="40"/>
      </w:r>
      <w:r w:rsidRPr="004C12C9">
        <w:t xml:space="preserve"> These data vary by project acreage. Users have the option to apply the default values that correspond with the user</w:t>
      </w:r>
      <w:r w:rsidR="003F1F6E" w:rsidRPr="004C12C9">
        <w:t xml:space="preserve"> </w:t>
      </w:r>
      <w:r w:rsidRPr="004C12C9">
        <w:t>provided project acreage to derive the total number of hours per day by equipment type per construction phase, or they may provide their own estimates of the total hours per day by equipment type per construction phase.</w:t>
      </w:r>
      <w:r w:rsidR="003C3CA0">
        <w:rPr>
          <w:rFonts w:ascii="ZWAdobeF" w:hAnsi="ZWAdobeF" w:cs="ZWAdobeF"/>
          <w:sz w:val="2"/>
          <w:szCs w:val="2"/>
        </w:rPr>
        <w:t>39F</w:t>
      </w:r>
      <w:r w:rsidRPr="004C12C9">
        <w:rPr>
          <w:rStyle w:val="FootnoteReference"/>
        </w:rPr>
        <w:footnoteReference w:id="41"/>
      </w:r>
      <w:r w:rsidRPr="004C12C9">
        <w:t xml:space="preserve"> User provided estimates on the total hours per day by equipment type per construction phase should account for multiple pieces of equipment being used each day. For example, if the project uses </w:t>
      </w:r>
      <w:r w:rsidR="008E4ED1" w:rsidRPr="004C12C9">
        <w:t>3</w:t>
      </w:r>
      <w:r w:rsidRPr="004C12C9">
        <w:t xml:space="preserve"> forklifts for </w:t>
      </w:r>
      <w:r w:rsidR="008E4ED1" w:rsidRPr="004C12C9">
        <w:t>6</w:t>
      </w:r>
      <w:r w:rsidRPr="004C12C9">
        <w:t xml:space="preserve"> hours per day during the building construction phase, then the total number of hours per day for forklifts during the building construction phase would equal 18 (3 forklifts times 6 hours per day).</w:t>
      </w:r>
    </w:p>
    <w:p w14:paraId="4F2E8448" w14:textId="1CCF89CA" w:rsidR="00006179" w:rsidRPr="004C12C9" w:rsidRDefault="00006179" w:rsidP="00E31E37">
      <w:pPr>
        <w:pStyle w:val="Heading4"/>
      </w:pPr>
      <w:r w:rsidRPr="004C12C9">
        <w:t>Fuel Type</w:t>
      </w:r>
    </w:p>
    <w:p w14:paraId="53129B4B" w14:textId="3E091D0B" w:rsidR="00354D73" w:rsidRPr="004C12C9" w:rsidRDefault="00354D73" w:rsidP="00972CF9">
      <w:r w:rsidRPr="004C12C9">
        <w:t>As a default, it is assumed that construction equipment use diesel. However, users have the option to select from the following list of fuels for each type of equipment:</w:t>
      </w:r>
    </w:p>
    <w:p w14:paraId="0BDC7B5E" w14:textId="77777777" w:rsidR="00354D73" w:rsidRPr="004C12C9" w:rsidRDefault="00354D73" w:rsidP="003B5F7F">
      <w:pPr>
        <w:pStyle w:val="ListParagraph"/>
        <w:numPr>
          <w:ilvl w:val="0"/>
          <w:numId w:val="10"/>
        </w:numPr>
      </w:pPr>
      <w:r w:rsidRPr="004C12C9">
        <w:t>Diesel</w:t>
      </w:r>
    </w:p>
    <w:p w14:paraId="247586F0" w14:textId="77777777" w:rsidR="00354D73" w:rsidRPr="004C12C9" w:rsidRDefault="00354D73" w:rsidP="003B5F7F">
      <w:pPr>
        <w:pStyle w:val="ListParagraph"/>
        <w:numPr>
          <w:ilvl w:val="0"/>
          <w:numId w:val="10"/>
        </w:numPr>
      </w:pPr>
      <w:r w:rsidRPr="004C12C9">
        <w:t>Electric</w:t>
      </w:r>
    </w:p>
    <w:p w14:paraId="4BC66B18" w14:textId="77777777" w:rsidR="00354D73" w:rsidRPr="004C12C9" w:rsidRDefault="00354D73" w:rsidP="003B5F7F">
      <w:pPr>
        <w:pStyle w:val="ListParagraph"/>
        <w:numPr>
          <w:ilvl w:val="0"/>
          <w:numId w:val="10"/>
        </w:numPr>
      </w:pPr>
      <w:r w:rsidRPr="004C12C9">
        <w:t>Biodiesel 100</w:t>
      </w:r>
    </w:p>
    <w:p w14:paraId="1607639E" w14:textId="77777777" w:rsidR="00354D73" w:rsidRPr="004C12C9" w:rsidRDefault="00354D73" w:rsidP="003B5F7F">
      <w:pPr>
        <w:pStyle w:val="ListParagraph"/>
        <w:numPr>
          <w:ilvl w:val="0"/>
          <w:numId w:val="10"/>
        </w:numPr>
      </w:pPr>
      <w:r w:rsidRPr="004C12C9">
        <w:t>Biodiesel 20</w:t>
      </w:r>
    </w:p>
    <w:p w14:paraId="68E25065" w14:textId="7C8A531B" w:rsidR="00006179" w:rsidRPr="004C12C9" w:rsidRDefault="00354D73" w:rsidP="003B5F7F">
      <w:pPr>
        <w:pStyle w:val="ListParagraph"/>
        <w:numPr>
          <w:ilvl w:val="0"/>
          <w:numId w:val="10"/>
        </w:numPr>
      </w:pPr>
      <w:r w:rsidRPr="004C12C9">
        <w:t>Renewable Diesel</w:t>
      </w:r>
    </w:p>
    <w:p w14:paraId="78ABFD4A" w14:textId="5A93237C" w:rsidR="00006179" w:rsidRPr="004C12C9" w:rsidRDefault="00006179" w:rsidP="00E31E37">
      <w:pPr>
        <w:pStyle w:val="Heading4"/>
      </w:pPr>
      <w:r w:rsidRPr="004C12C9">
        <w:t>Horsepower and Load Factor</w:t>
      </w:r>
    </w:p>
    <w:p w14:paraId="08E080BA" w14:textId="3C08F52B" w:rsidR="00473AA2" w:rsidRPr="004C12C9" w:rsidRDefault="00473AA2" w:rsidP="00972CF9">
      <w:pPr>
        <w:rPr>
          <w:b/>
          <w:bCs/>
          <w:lang w:eastAsia="ja-JP" w:bidi="ar-SA"/>
        </w:rPr>
      </w:pPr>
      <w:r w:rsidRPr="004C12C9">
        <w:rPr>
          <w:lang w:eastAsia="ja-JP" w:bidi="ar-SA"/>
        </w:rPr>
        <w:t xml:space="preserve">Data on the horsepower and load factor for each type of electric and diesel-powered construction equipment </w:t>
      </w:r>
      <w:r w:rsidR="00F563ED" w:rsidRPr="004C12C9">
        <w:rPr>
          <w:lang w:eastAsia="ja-JP" w:bidi="ar-SA"/>
        </w:rPr>
        <w:t>are</w:t>
      </w:r>
      <w:r w:rsidRPr="004C12C9">
        <w:rPr>
          <w:lang w:eastAsia="ja-JP" w:bidi="ar-SA"/>
        </w:rPr>
        <w:t xml:space="preserve"> obtained from CalEEMod Appendix G, Table G-12.</w:t>
      </w:r>
      <w:r w:rsidR="003C3CA0">
        <w:rPr>
          <w:rFonts w:ascii="ZWAdobeF" w:hAnsi="ZWAdobeF" w:cs="ZWAdobeF"/>
          <w:sz w:val="2"/>
          <w:szCs w:val="2"/>
          <w:lang w:eastAsia="ja-JP" w:bidi="ar-SA"/>
        </w:rPr>
        <w:t>40F</w:t>
      </w:r>
      <w:r w:rsidRPr="004C12C9">
        <w:rPr>
          <w:vertAlign w:val="superscript"/>
          <w:lang w:eastAsia="ja-JP" w:bidi="ar-SA"/>
        </w:rPr>
        <w:footnoteReference w:id="42"/>
      </w:r>
      <w:r w:rsidRPr="004C12C9">
        <w:rPr>
          <w:lang w:eastAsia="ja-JP" w:bidi="ar-SA"/>
        </w:rPr>
        <w:t xml:space="preserve"> The values summarized in </w:t>
      </w:r>
      <w:r w:rsidRPr="004C12C9">
        <w:rPr>
          <w:lang w:eastAsia="ja-JP" w:bidi="ar-SA"/>
        </w:rPr>
        <w:fldChar w:fldCharType="begin" w:fldLock="1"/>
      </w:r>
      <w:r w:rsidRPr="004C12C9">
        <w:rPr>
          <w:rFonts w:asciiTheme="minorHAnsi" w:hAnsiTheme="minorHAnsi" w:cstheme="minorHAnsi"/>
          <w:lang w:eastAsia="ja-JP" w:bidi="ar-SA"/>
        </w:rPr>
        <w:instrText xml:space="preserve"> REF _Ref187655617 \h  \* MERGEFORMAT </w:instrText>
      </w:r>
      <w:r w:rsidRPr="004C12C9">
        <w:rPr>
          <w:lang w:eastAsia="ja-JP" w:bidi="ar-SA"/>
        </w:rPr>
      </w:r>
      <w:r w:rsidRPr="004C12C9">
        <w:rPr>
          <w:lang w:eastAsia="ja-JP" w:bidi="ar-SA"/>
        </w:rPr>
        <w:fldChar w:fldCharType="separate"/>
      </w:r>
      <w:r w:rsidR="00127094" w:rsidRPr="004C12C9">
        <w:rPr>
          <w:lang w:eastAsia="ja-JP" w:bidi="ar-SA"/>
        </w:rPr>
        <w:t>Table 2</w:t>
      </w:r>
      <w:r w:rsidR="00127094" w:rsidRPr="004C12C9">
        <w:rPr>
          <w:lang w:eastAsia="ja-JP" w:bidi="ar-SA"/>
        </w:rPr>
        <w:noBreakHyphen/>
        <w:t>28</w:t>
      </w:r>
      <w:r w:rsidRPr="004C12C9">
        <w:rPr>
          <w:lang w:eastAsia="ja-JP" w:bidi="ar-SA"/>
        </w:rPr>
        <w:fldChar w:fldCharType="end"/>
      </w:r>
      <w:r w:rsidRPr="004C12C9">
        <w:rPr>
          <w:lang w:eastAsia="ja-JP" w:bidi="ar-SA"/>
        </w:rPr>
        <w:t xml:space="preserve"> below reflect assumptions for both electric and diesel-powered equipment. These values are also appl</w:t>
      </w:r>
      <w:r w:rsidR="00B76CE0" w:rsidRPr="004C12C9">
        <w:rPr>
          <w:lang w:eastAsia="ja-JP" w:bidi="ar-SA"/>
        </w:rPr>
        <w:t>ied</w:t>
      </w:r>
      <w:r w:rsidRPr="004C12C9">
        <w:rPr>
          <w:lang w:eastAsia="ja-JP" w:bidi="ar-SA"/>
        </w:rPr>
        <w:t xml:space="preserve"> to equipment using biodiesel 100, biodiesel 20, and renewable diesel.</w:t>
      </w:r>
    </w:p>
    <w:p w14:paraId="27B71F69" w14:textId="201698BA" w:rsidR="00473AA2" w:rsidRPr="004C12C9" w:rsidRDefault="00473AA2" w:rsidP="00DB427C">
      <w:pPr>
        <w:pStyle w:val="Caption"/>
        <w:rPr>
          <w:rFonts w:asciiTheme="minorHAnsi" w:hAnsiTheme="minorHAnsi" w:cstheme="minorHAnsi"/>
          <w:b w:val="0"/>
          <w:i/>
          <w:lang w:eastAsia="ja-JP" w:bidi="ar-SA"/>
        </w:rPr>
      </w:pPr>
      <w:bookmarkStart w:id="90" w:name="_Ref187655617"/>
      <w:bookmarkStart w:id="91" w:name="_Ref195774736"/>
      <w:r w:rsidRPr="004C12C9">
        <w:rPr>
          <w:lang w:eastAsia="ja-JP" w:bidi="ar-SA"/>
        </w:rPr>
        <w:lastRenderedPageBreak/>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28</w:t>
      </w:r>
      <w:r w:rsidR="00F72B41">
        <w:rPr>
          <w:lang w:eastAsia="ja-JP" w:bidi="ar-SA"/>
        </w:rPr>
        <w:fldChar w:fldCharType="end"/>
      </w:r>
      <w:bookmarkEnd w:id="90"/>
      <w:bookmarkEnd w:id="91"/>
      <w:r w:rsidRPr="004C12C9">
        <w:rPr>
          <w:lang w:eastAsia="ja-JP" w:bidi="ar-SA"/>
        </w:rPr>
        <w:t>. Horsepower and Load Factor by Construction Equipment Type</w:t>
      </w:r>
    </w:p>
    <w:tbl>
      <w:tblPr>
        <w:tblW w:w="64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5"/>
        <w:gridCol w:w="1637"/>
        <w:gridCol w:w="1935"/>
      </w:tblGrid>
      <w:tr w:rsidR="00473AA2" w:rsidRPr="004C12C9" w14:paraId="029F7F62" w14:textId="77777777" w:rsidTr="00F95DF4">
        <w:trPr>
          <w:trHeight w:val="260"/>
          <w:tblHeader/>
        </w:trPr>
        <w:tc>
          <w:tcPr>
            <w:tcW w:w="2875" w:type="dxa"/>
            <w:shd w:val="clear" w:color="auto" w:fill="D9D9D9" w:themeFill="background1" w:themeFillShade="D9"/>
            <w:vAlign w:val="center"/>
            <w:hideMark/>
          </w:tcPr>
          <w:p w14:paraId="373CCFB1" w14:textId="77777777" w:rsidR="00473AA2" w:rsidRPr="004C12C9" w:rsidRDefault="00473AA2" w:rsidP="008E4567">
            <w:pPr>
              <w:pStyle w:val="ICFTableHeading"/>
              <w:rPr>
                <w:rFonts w:asciiTheme="minorHAnsi" w:hAnsiTheme="minorHAnsi" w:cstheme="minorHAnsi"/>
                <w:b w:val="0"/>
                <w:color w:val="FFFFFF"/>
                <w:sz w:val="20"/>
                <w:lang w:bidi="ar-SA"/>
              </w:rPr>
            </w:pPr>
            <w:r w:rsidRPr="004C12C9">
              <w:rPr>
                <w:lang w:bidi="ar-SA"/>
              </w:rPr>
              <w:t>Equipment Type</w:t>
            </w:r>
          </w:p>
        </w:tc>
        <w:tc>
          <w:tcPr>
            <w:tcW w:w="1637" w:type="dxa"/>
            <w:shd w:val="clear" w:color="auto" w:fill="D9D9D9" w:themeFill="background1" w:themeFillShade="D9"/>
            <w:vAlign w:val="center"/>
            <w:hideMark/>
          </w:tcPr>
          <w:p w14:paraId="32F89D42" w14:textId="77777777" w:rsidR="00473AA2" w:rsidRPr="004C12C9" w:rsidRDefault="00473AA2" w:rsidP="008E4567">
            <w:pPr>
              <w:pStyle w:val="ICFTableHeading"/>
              <w:rPr>
                <w:rFonts w:asciiTheme="minorHAnsi" w:hAnsiTheme="minorHAnsi" w:cstheme="minorHAnsi"/>
                <w:b w:val="0"/>
                <w:color w:val="FFFFFF"/>
                <w:sz w:val="20"/>
                <w:lang w:bidi="ar-SA"/>
              </w:rPr>
            </w:pPr>
            <w:r w:rsidRPr="004C12C9">
              <w:rPr>
                <w:lang w:bidi="ar-SA"/>
              </w:rPr>
              <w:t>Horsepower</w:t>
            </w:r>
          </w:p>
        </w:tc>
        <w:tc>
          <w:tcPr>
            <w:tcW w:w="1935" w:type="dxa"/>
            <w:shd w:val="clear" w:color="auto" w:fill="D9D9D9" w:themeFill="background1" w:themeFillShade="D9"/>
            <w:vAlign w:val="center"/>
            <w:hideMark/>
          </w:tcPr>
          <w:p w14:paraId="06B5AC4B" w14:textId="77777777" w:rsidR="00473AA2" w:rsidRPr="004C12C9" w:rsidRDefault="00473AA2" w:rsidP="008E4567">
            <w:pPr>
              <w:pStyle w:val="ICFTableHeading"/>
              <w:rPr>
                <w:rFonts w:asciiTheme="minorHAnsi" w:hAnsiTheme="minorHAnsi" w:cstheme="minorHAnsi"/>
                <w:b w:val="0"/>
                <w:color w:val="FFFFFF"/>
                <w:sz w:val="20"/>
                <w:lang w:bidi="ar-SA"/>
              </w:rPr>
            </w:pPr>
            <w:r w:rsidRPr="004C12C9">
              <w:rPr>
                <w:lang w:bidi="ar-SA"/>
              </w:rPr>
              <w:t>Load Factor</w:t>
            </w:r>
          </w:p>
        </w:tc>
      </w:tr>
      <w:tr w:rsidR="00473AA2" w:rsidRPr="004C12C9" w14:paraId="2ABE73E9" w14:textId="77777777" w:rsidTr="00AA306E">
        <w:trPr>
          <w:trHeight w:val="260"/>
        </w:trPr>
        <w:tc>
          <w:tcPr>
            <w:tcW w:w="2875" w:type="dxa"/>
            <w:noWrap/>
            <w:vAlign w:val="bottom"/>
            <w:hideMark/>
          </w:tcPr>
          <w:p w14:paraId="3BE686AD" w14:textId="77777777" w:rsidR="00473AA2" w:rsidRPr="004C12C9" w:rsidRDefault="00473AA2" w:rsidP="008E4567">
            <w:pPr>
              <w:pStyle w:val="ICFTabletext"/>
              <w:rPr>
                <w:lang w:bidi="ar-SA"/>
              </w:rPr>
            </w:pPr>
            <w:r w:rsidRPr="004C12C9">
              <w:rPr>
                <w:lang w:bidi="ar-SA"/>
              </w:rPr>
              <w:t>Air Compressors</w:t>
            </w:r>
          </w:p>
        </w:tc>
        <w:tc>
          <w:tcPr>
            <w:tcW w:w="1637" w:type="dxa"/>
            <w:noWrap/>
            <w:vAlign w:val="bottom"/>
            <w:hideMark/>
          </w:tcPr>
          <w:p w14:paraId="15C97DE8" w14:textId="77777777" w:rsidR="00473AA2" w:rsidRPr="004C12C9" w:rsidRDefault="00473AA2" w:rsidP="00AA306E">
            <w:pPr>
              <w:pStyle w:val="ICFTabletext"/>
              <w:jc w:val="center"/>
              <w:rPr>
                <w:lang w:bidi="ar-SA"/>
              </w:rPr>
            </w:pPr>
            <w:r w:rsidRPr="004C12C9">
              <w:rPr>
                <w:lang w:bidi="ar-SA"/>
              </w:rPr>
              <w:t>37</w:t>
            </w:r>
          </w:p>
        </w:tc>
        <w:tc>
          <w:tcPr>
            <w:tcW w:w="1935" w:type="dxa"/>
            <w:noWrap/>
            <w:vAlign w:val="bottom"/>
            <w:hideMark/>
          </w:tcPr>
          <w:p w14:paraId="6DEFFCB4" w14:textId="77777777" w:rsidR="00473AA2" w:rsidRPr="004C12C9" w:rsidRDefault="00473AA2" w:rsidP="00AA306E">
            <w:pPr>
              <w:pStyle w:val="ICFTabletext"/>
              <w:jc w:val="center"/>
              <w:rPr>
                <w:lang w:bidi="ar-SA"/>
              </w:rPr>
            </w:pPr>
            <w:r w:rsidRPr="004C12C9">
              <w:rPr>
                <w:lang w:bidi="ar-SA"/>
              </w:rPr>
              <w:t>0.48</w:t>
            </w:r>
          </w:p>
        </w:tc>
      </w:tr>
      <w:tr w:rsidR="00473AA2" w:rsidRPr="004C12C9" w14:paraId="53A54CE9" w14:textId="77777777" w:rsidTr="00AA306E">
        <w:trPr>
          <w:trHeight w:val="260"/>
        </w:trPr>
        <w:tc>
          <w:tcPr>
            <w:tcW w:w="2875" w:type="dxa"/>
            <w:noWrap/>
            <w:vAlign w:val="bottom"/>
            <w:hideMark/>
          </w:tcPr>
          <w:p w14:paraId="6771887C" w14:textId="77777777" w:rsidR="00473AA2" w:rsidRPr="004C12C9" w:rsidRDefault="00473AA2" w:rsidP="008E4567">
            <w:pPr>
              <w:pStyle w:val="ICFTabletext"/>
              <w:rPr>
                <w:lang w:bidi="ar-SA"/>
              </w:rPr>
            </w:pPr>
            <w:r w:rsidRPr="004C12C9">
              <w:rPr>
                <w:lang w:bidi="ar-SA"/>
              </w:rPr>
              <w:t>Cement and Mortar Mixers</w:t>
            </w:r>
          </w:p>
        </w:tc>
        <w:tc>
          <w:tcPr>
            <w:tcW w:w="1637" w:type="dxa"/>
            <w:noWrap/>
            <w:vAlign w:val="bottom"/>
            <w:hideMark/>
          </w:tcPr>
          <w:p w14:paraId="098DEAE5" w14:textId="77777777" w:rsidR="00473AA2" w:rsidRPr="004C12C9" w:rsidRDefault="00473AA2" w:rsidP="00AA306E">
            <w:pPr>
              <w:pStyle w:val="ICFTabletext"/>
              <w:jc w:val="center"/>
              <w:rPr>
                <w:lang w:bidi="ar-SA"/>
              </w:rPr>
            </w:pPr>
            <w:r w:rsidRPr="004C12C9">
              <w:rPr>
                <w:lang w:bidi="ar-SA"/>
              </w:rPr>
              <w:t>10</w:t>
            </w:r>
          </w:p>
        </w:tc>
        <w:tc>
          <w:tcPr>
            <w:tcW w:w="1935" w:type="dxa"/>
            <w:noWrap/>
            <w:vAlign w:val="bottom"/>
            <w:hideMark/>
          </w:tcPr>
          <w:p w14:paraId="2479119C" w14:textId="77777777" w:rsidR="00473AA2" w:rsidRPr="004C12C9" w:rsidRDefault="00473AA2" w:rsidP="00AA306E">
            <w:pPr>
              <w:pStyle w:val="ICFTabletext"/>
              <w:jc w:val="center"/>
              <w:rPr>
                <w:lang w:bidi="ar-SA"/>
              </w:rPr>
            </w:pPr>
            <w:r w:rsidRPr="004C12C9">
              <w:rPr>
                <w:lang w:bidi="ar-SA"/>
              </w:rPr>
              <w:t>0.56</w:t>
            </w:r>
          </w:p>
        </w:tc>
      </w:tr>
      <w:tr w:rsidR="00473AA2" w:rsidRPr="004C12C9" w14:paraId="3FD8DDBB" w14:textId="77777777" w:rsidTr="00AA306E">
        <w:trPr>
          <w:trHeight w:val="260"/>
        </w:trPr>
        <w:tc>
          <w:tcPr>
            <w:tcW w:w="2875" w:type="dxa"/>
            <w:noWrap/>
            <w:vAlign w:val="bottom"/>
            <w:hideMark/>
          </w:tcPr>
          <w:p w14:paraId="07846C2D" w14:textId="77777777" w:rsidR="00473AA2" w:rsidRPr="004C12C9" w:rsidRDefault="00473AA2" w:rsidP="008E4567">
            <w:pPr>
              <w:pStyle w:val="ICFTabletext"/>
              <w:rPr>
                <w:lang w:bidi="ar-SA"/>
              </w:rPr>
            </w:pPr>
            <w:r w:rsidRPr="004C12C9">
              <w:rPr>
                <w:lang w:bidi="ar-SA"/>
              </w:rPr>
              <w:t>Concrete/Industrial Saws</w:t>
            </w:r>
          </w:p>
        </w:tc>
        <w:tc>
          <w:tcPr>
            <w:tcW w:w="1637" w:type="dxa"/>
            <w:noWrap/>
            <w:vAlign w:val="bottom"/>
            <w:hideMark/>
          </w:tcPr>
          <w:p w14:paraId="7E36B28A" w14:textId="77777777" w:rsidR="00473AA2" w:rsidRPr="004C12C9" w:rsidRDefault="00473AA2" w:rsidP="00AA306E">
            <w:pPr>
              <w:pStyle w:val="ICFTabletext"/>
              <w:jc w:val="center"/>
              <w:rPr>
                <w:lang w:bidi="ar-SA"/>
              </w:rPr>
            </w:pPr>
            <w:r w:rsidRPr="004C12C9">
              <w:rPr>
                <w:lang w:bidi="ar-SA"/>
              </w:rPr>
              <w:t>33</w:t>
            </w:r>
          </w:p>
        </w:tc>
        <w:tc>
          <w:tcPr>
            <w:tcW w:w="1935" w:type="dxa"/>
            <w:noWrap/>
            <w:vAlign w:val="bottom"/>
            <w:hideMark/>
          </w:tcPr>
          <w:p w14:paraId="136C612E" w14:textId="77777777" w:rsidR="00473AA2" w:rsidRPr="004C12C9" w:rsidRDefault="00473AA2" w:rsidP="00AA306E">
            <w:pPr>
              <w:pStyle w:val="ICFTabletext"/>
              <w:jc w:val="center"/>
              <w:rPr>
                <w:lang w:bidi="ar-SA"/>
              </w:rPr>
            </w:pPr>
            <w:r w:rsidRPr="004C12C9">
              <w:rPr>
                <w:lang w:bidi="ar-SA"/>
              </w:rPr>
              <w:t>0.73</w:t>
            </w:r>
          </w:p>
        </w:tc>
      </w:tr>
      <w:tr w:rsidR="00473AA2" w:rsidRPr="004C12C9" w14:paraId="2FC372D3" w14:textId="77777777" w:rsidTr="00AA306E">
        <w:trPr>
          <w:trHeight w:val="260"/>
        </w:trPr>
        <w:tc>
          <w:tcPr>
            <w:tcW w:w="2875" w:type="dxa"/>
            <w:noWrap/>
            <w:vAlign w:val="bottom"/>
            <w:hideMark/>
          </w:tcPr>
          <w:p w14:paraId="7DBF155D" w14:textId="77777777" w:rsidR="00473AA2" w:rsidRPr="004C12C9" w:rsidRDefault="00473AA2" w:rsidP="008E4567">
            <w:pPr>
              <w:pStyle w:val="ICFTabletext"/>
              <w:rPr>
                <w:lang w:bidi="ar-SA"/>
              </w:rPr>
            </w:pPr>
            <w:r w:rsidRPr="004C12C9">
              <w:rPr>
                <w:lang w:bidi="ar-SA"/>
              </w:rPr>
              <w:t>Cranes</w:t>
            </w:r>
          </w:p>
        </w:tc>
        <w:tc>
          <w:tcPr>
            <w:tcW w:w="1637" w:type="dxa"/>
            <w:noWrap/>
            <w:vAlign w:val="bottom"/>
            <w:hideMark/>
          </w:tcPr>
          <w:p w14:paraId="26A38719" w14:textId="77777777" w:rsidR="00473AA2" w:rsidRPr="004C12C9" w:rsidRDefault="00473AA2" w:rsidP="00AA306E">
            <w:pPr>
              <w:pStyle w:val="ICFTabletext"/>
              <w:jc w:val="center"/>
              <w:rPr>
                <w:lang w:bidi="ar-SA"/>
              </w:rPr>
            </w:pPr>
            <w:r w:rsidRPr="004C12C9">
              <w:rPr>
                <w:lang w:bidi="ar-SA"/>
              </w:rPr>
              <w:t>367</w:t>
            </w:r>
          </w:p>
        </w:tc>
        <w:tc>
          <w:tcPr>
            <w:tcW w:w="1935" w:type="dxa"/>
            <w:noWrap/>
            <w:vAlign w:val="bottom"/>
            <w:hideMark/>
          </w:tcPr>
          <w:p w14:paraId="6A829CBA" w14:textId="77777777" w:rsidR="00473AA2" w:rsidRPr="004C12C9" w:rsidRDefault="00473AA2" w:rsidP="00AA306E">
            <w:pPr>
              <w:pStyle w:val="ICFTabletext"/>
              <w:jc w:val="center"/>
              <w:rPr>
                <w:lang w:bidi="ar-SA"/>
              </w:rPr>
            </w:pPr>
            <w:r w:rsidRPr="004C12C9">
              <w:rPr>
                <w:lang w:bidi="ar-SA"/>
              </w:rPr>
              <w:t>0.29</w:t>
            </w:r>
          </w:p>
        </w:tc>
      </w:tr>
      <w:tr w:rsidR="00473AA2" w:rsidRPr="004C12C9" w14:paraId="18BDEF79" w14:textId="77777777" w:rsidTr="00AA306E">
        <w:trPr>
          <w:trHeight w:val="260"/>
        </w:trPr>
        <w:tc>
          <w:tcPr>
            <w:tcW w:w="2875" w:type="dxa"/>
            <w:noWrap/>
            <w:vAlign w:val="bottom"/>
            <w:hideMark/>
          </w:tcPr>
          <w:p w14:paraId="7818C7AA" w14:textId="77777777" w:rsidR="00473AA2" w:rsidRPr="004C12C9" w:rsidRDefault="00473AA2" w:rsidP="008E4567">
            <w:pPr>
              <w:pStyle w:val="ICFTabletext"/>
              <w:rPr>
                <w:lang w:bidi="ar-SA"/>
              </w:rPr>
            </w:pPr>
            <w:r w:rsidRPr="004C12C9">
              <w:rPr>
                <w:lang w:bidi="ar-SA"/>
              </w:rPr>
              <w:t>Excavators</w:t>
            </w:r>
          </w:p>
        </w:tc>
        <w:tc>
          <w:tcPr>
            <w:tcW w:w="1637" w:type="dxa"/>
            <w:noWrap/>
            <w:vAlign w:val="bottom"/>
            <w:hideMark/>
          </w:tcPr>
          <w:p w14:paraId="69B0BBBE" w14:textId="77777777" w:rsidR="00473AA2" w:rsidRPr="004C12C9" w:rsidRDefault="00473AA2" w:rsidP="00AA306E">
            <w:pPr>
              <w:pStyle w:val="ICFTabletext"/>
              <w:jc w:val="center"/>
              <w:rPr>
                <w:lang w:bidi="ar-SA"/>
              </w:rPr>
            </w:pPr>
            <w:r w:rsidRPr="004C12C9">
              <w:rPr>
                <w:lang w:bidi="ar-SA"/>
              </w:rPr>
              <w:t>36</w:t>
            </w:r>
          </w:p>
        </w:tc>
        <w:tc>
          <w:tcPr>
            <w:tcW w:w="1935" w:type="dxa"/>
            <w:noWrap/>
            <w:vAlign w:val="bottom"/>
            <w:hideMark/>
          </w:tcPr>
          <w:p w14:paraId="3C1F52F2" w14:textId="77777777" w:rsidR="00473AA2" w:rsidRPr="004C12C9" w:rsidRDefault="00473AA2" w:rsidP="00AA306E">
            <w:pPr>
              <w:pStyle w:val="ICFTabletext"/>
              <w:jc w:val="center"/>
              <w:rPr>
                <w:lang w:bidi="ar-SA"/>
              </w:rPr>
            </w:pPr>
            <w:r w:rsidRPr="004C12C9">
              <w:rPr>
                <w:lang w:bidi="ar-SA"/>
              </w:rPr>
              <w:t>0.38</w:t>
            </w:r>
          </w:p>
        </w:tc>
      </w:tr>
      <w:tr w:rsidR="00473AA2" w:rsidRPr="004C12C9" w14:paraId="56F3D145" w14:textId="77777777" w:rsidTr="00AA306E">
        <w:trPr>
          <w:trHeight w:val="260"/>
        </w:trPr>
        <w:tc>
          <w:tcPr>
            <w:tcW w:w="2875" w:type="dxa"/>
            <w:noWrap/>
            <w:vAlign w:val="bottom"/>
            <w:hideMark/>
          </w:tcPr>
          <w:p w14:paraId="4998BB77" w14:textId="77777777" w:rsidR="00473AA2" w:rsidRPr="004C12C9" w:rsidRDefault="00473AA2" w:rsidP="008E4567">
            <w:pPr>
              <w:pStyle w:val="ICFTabletext"/>
              <w:rPr>
                <w:lang w:bidi="ar-SA"/>
              </w:rPr>
            </w:pPr>
            <w:r w:rsidRPr="004C12C9">
              <w:rPr>
                <w:lang w:bidi="ar-SA"/>
              </w:rPr>
              <w:t>Forklifts</w:t>
            </w:r>
          </w:p>
        </w:tc>
        <w:tc>
          <w:tcPr>
            <w:tcW w:w="1637" w:type="dxa"/>
            <w:noWrap/>
            <w:vAlign w:val="bottom"/>
            <w:hideMark/>
          </w:tcPr>
          <w:p w14:paraId="035C9B27" w14:textId="77777777" w:rsidR="00473AA2" w:rsidRPr="004C12C9" w:rsidRDefault="00473AA2" w:rsidP="00AA306E">
            <w:pPr>
              <w:pStyle w:val="ICFTabletext"/>
              <w:jc w:val="center"/>
              <w:rPr>
                <w:lang w:bidi="ar-SA"/>
              </w:rPr>
            </w:pPr>
            <w:r w:rsidRPr="004C12C9">
              <w:rPr>
                <w:lang w:bidi="ar-SA"/>
              </w:rPr>
              <w:t>82</w:t>
            </w:r>
          </w:p>
        </w:tc>
        <w:tc>
          <w:tcPr>
            <w:tcW w:w="1935" w:type="dxa"/>
            <w:noWrap/>
            <w:vAlign w:val="bottom"/>
            <w:hideMark/>
          </w:tcPr>
          <w:p w14:paraId="12B8CF42" w14:textId="77777777" w:rsidR="00473AA2" w:rsidRPr="004C12C9" w:rsidRDefault="00473AA2" w:rsidP="00AA306E">
            <w:pPr>
              <w:pStyle w:val="ICFTabletext"/>
              <w:jc w:val="center"/>
              <w:rPr>
                <w:lang w:bidi="ar-SA"/>
              </w:rPr>
            </w:pPr>
            <w:r w:rsidRPr="004C12C9">
              <w:rPr>
                <w:lang w:bidi="ar-SA"/>
              </w:rPr>
              <w:t>0.20</w:t>
            </w:r>
          </w:p>
        </w:tc>
      </w:tr>
      <w:tr w:rsidR="00473AA2" w:rsidRPr="004C12C9" w14:paraId="777DD1FA" w14:textId="77777777" w:rsidTr="00AA306E">
        <w:trPr>
          <w:trHeight w:val="260"/>
        </w:trPr>
        <w:tc>
          <w:tcPr>
            <w:tcW w:w="2875" w:type="dxa"/>
            <w:noWrap/>
            <w:vAlign w:val="bottom"/>
            <w:hideMark/>
          </w:tcPr>
          <w:p w14:paraId="62B02A0B" w14:textId="77777777" w:rsidR="00473AA2" w:rsidRPr="004C12C9" w:rsidRDefault="00473AA2" w:rsidP="008E4567">
            <w:pPr>
              <w:pStyle w:val="ICFTabletext"/>
              <w:rPr>
                <w:lang w:bidi="ar-SA"/>
              </w:rPr>
            </w:pPr>
            <w:r w:rsidRPr="004C12C9">
              <w:rPr>
                <w:lang w:bidi="ar-SA"/>
              </w:rPr>
              <w:t>Generator Sets</w:t>
            </w:r>
          </w:p>
        </w:tc>
        <w:tc>
          <w:tcPr>
            <w:tcW w:w="1637" w:type="dxa"/>
            <w:noWrap/>
            <w:vAlign w:val="bottom"/>
            <w:hideMark/>
          </w:tcPr>
          <w:p w14:paraId="1B49CA01" w14:textId="77777777" w:rsidR="00473AA2" w:rsidRPr="004C12C9" w:rsidRDefault="00473AA2" w:rsidP="00AA306E">
            <w:pPr>
              <w:pStyle w:val="ICFTabletext"/>
              <w:jc w:val="center"/>
              <w:rPr>
                <w:lang w:bidi="ar-SA"/>
              </w:rPr>
            </w:pPr>
            <w:r w:rsidRPr="004C12C9">
              <w:rPr>
                <w:lang w:bidi="ar-SA"/>
              </w:rPr>
              <w:t>14</w:t>
            </w:r>
          </w:p>
        </w:tc>
        <w:tc>
          <w:tcPr>
            <w:tcW w:w="1935" w:type="dxa"/>
            <w:noWrap/>
            <w:vAlign w:val="bottom"/>
            <w:hideMark/>
          </w:tcPr>
          <w:p w14:paraId="78D75250" w14:textId="77777777" w:rsidR="00473AA2" w:rsidRPr="004C12C9" w:rsidRDefault="00473AA2" w:rsidP="00AA306E">
            <w:pPr>
              <w:pStyle w:val="ICFTabletext"/>
              <w:jc w:val="center"/>
              <w:rPr>
                <w:lang w:bidi="ar-SA"/>
              </w:rPr>
            </w:pPr>
            <w:r w:rsidRPr="004C12C9">
              <w:rPr>
                <w:lang w:bidi="ar-SA"/>
              </w:rPr>
              <w:t>0.74</w:t>
            </w:r>
          </w:p>
        </w:tc>
      </w:tr>
      <w:tr w:rsidR="00473AA2" w:rsidRPr="004C12C9" w14:paraId="5C67B146" w14:textId="77777777" w:rsidTr="00AA306E">
        <w:trPr>
          <w:trHeight w:val="260"/>
        </w:trPr>
        <w:tc>
          <w:tcPr>
            <w:tcW w:w="2875" w:type="dxa"/>
            <w:noWrap/>
            <w:vAlign w:val="bottom"/>
            <w:hideMark/>
          </w:tcPr>
          <w:p w14:paraId="30ED5B08" w14:textId="77777777" w:rsidR="00473AA2" w:rsidRPr="004C12C9" w:rsidRDefault="00473AA2" w:rsidP="008E4567">
            <w:pPr>
              <w:pStyle w:val="ICFTabletext"/>
              <w:rPr>
                <w:lang w:bidi="ar-SA"/>
              </w:rPr>
            </w:pPr>
            <w:r w:rsidRPr="004C12C9">
              <w:rPr>
                <w:lang w:bidi="ar-SA"/>
              </w:rPr>
              <w:t>Graders</w:t>
            </w:r>
          </w:p>
        </w:tc>
        <w:tc>
          <w:tcPr>
            <w:tcW w:w="1637" w:type="dxa"/>
            <w:noWrap/>
            <w:vAlign w:val="bottom"/>
            <w:hideMark/>
          </w:tcPr>
          <w:p w14:paraId="1CCA1B73" w14:textId="77777777" w:rsidR="00473AA2" w:rsidRPr="004C12C9" w:rsidRDefault="00473AA2" w:rsidP="00AA306E">
            <w:pPr>
              <w:pStyle w:val="ICFTabletext"/>
              <w:jc w:val="center"/>
              <w:rPr>
                <w:lang w:bidi="ar-SA"/>
              </w:rPr>
            </w:pPr>
            <w:r w:rsidRPr="004C12C9">
              <w:rPr>
                <w:lang w:bidi="ar-SA"/>
              </w:rPr>
              <w:t>148</w:t>
            </w:r>
          </w:p>
        </w:tc>
        <w:tc>
          <w:tcPr>
            <w:tcW w:w="1935" w:type="dxa"/>
            <w:noWrap/>
            <w:vAlign w:val="bottom"/>
            <w:hideMark/>
          </w:tcPr>
          <w:p w14:paraId="108BC094" w14:textId="77777777" w:rsidR="00473AA2" w:rsidRPr="004C12C9" w:rsidRDefault="00473AA2" w:rsidP="00AA306E">
            <w:pPr>
              <w:pStyle w:val="ICFTabletext"/>
              <w:jc w:val="center"/>
              <w:rPr>
                <w:lang w:bidi="ar-SA"/>
              </w:rPr>
            </w:pPr>
            <w:r w:rsidRPr="004C12C9">
              <w:rPr>
                <w:lang w:bidi="ar-SA"/>
              </w:rPr>
              <w:t>0.41</w:t>
            </w:r>
          </w:p>
        </w:tc>
      </w:tr>
      <w:tr w:rsidR="00473AA2" w:rsidRPr="004C12C9" w14:paraId="6402ED47" w14:textId="77777777" w:rsidTr="00AA306E">
        <w:trPr>
          <w:trHeight w:val="260"/>
        </w:trPr>
        <w:tc>
          <w:tcPr>
            <w:tcW w:w="2875" w:type="dxa"/>
            <w:noWrap/>
            <w:vAlign w:val="bottom"/>
            <w:hideMark/>
          </w:tcPr>
          <w:p w14:paraId="1108BD86" w14:textId="77777777" w:rsidR="00473AA2" w:rsidRPr="004C12C9" w:rsidRDefault="00473AA2" w:rsidP="008E4567">
            <w:pPr>
              <w:pStyle w:val="ICFTabletext"/>
              <w:rPr>
                <w:lang w:bidi="ar-SA"/>
              </w:rPr>
            </w:pPr>
            <w:r w:rsidRPr="004C12C9">
              <w:rPr>
                <w:lang w:bidi="ar-SA"/>
              </w:rPr>
              <w:t>Pavers</w:t>
            </w:r>
          </w:p>
        </w:tc>
        <w:tc>
          <w:tcPr>
            <w:tcW w:w="1637" w:type="dxa"/>
            <w:noWrap/>
            <w:vAlign w:val="bottom"/>
            <w:hideMark/>
          </w:tcPr>
          <w:p w14:paraId="175B7129" w14:textId="77777777" w:rsidR="00473AA2" w:rsidRPr="004C12C9" w:rsidRDefault="00473AA2" w:rsidP="00AA306E">
            <w:pPr>
              <w:pStyle w:val="ICFTabletext"/>
              <w:jc w:val="center"/>
              <w:rPr>
                <w:lang w:bidi="ar-SA"/>
              </w:rPr>
            </w:pPr>
            <w:r w:rsidRPr="004C12C9">
              <w:rPr>
                <w:lang w:bidi="ar-SA"/>
              </w:rPr>
              <w:t>81</w:t>
            </w:r>
          </w:p>
        </w:tc>
        <w:tc>
          <w:tcPr>
            <w:tcW w:w="1935" w:type="dxa"/>
            <w:noWrap/>
            <w:vAlign w:val="bottom"/>
            <w:hideMark/>
          </w:tcPr>
          <w:p w14:paraId="2A10DD34" w14:textId="77777777" w:rsidR="00473AA2" w:rsidRPr="004C12C9" w:rsidRDefault="00473AA2" w:rsidP="00AA306E">
            <w:pPr>
              <w:pStyle w:val="ICFTabletext"/>
              <w:jc w:val="center"/>
              <w:rPr>
                <w:lang w:bidi="ar-SA"/>
              </w:rPr>
            </w:pPr>
            <w:r w:rsidRPr="004C12C9">
              <w:rPr>
                <w:lang w:bidi="ar-SA"/>
              </w:rPr>
              <w:t>0.42</w:t>
            </w:r>
          </w:p>
        </w:tc>
      </w:tr>
      <w:tr w:rsidR="00473AA2" w:rsidRPr="004C12C9" w14:paraId="6979954D" w14:textId="77777777" w:rsidTr="00AA306E">
        <w:trPr>
          <w:trHeight w:val="260"/>
        </w:trPr>
        <w:tc>
          <w:tcPr>
            <w:tcW w:w="2875" w:type="dxa"/>
            <w:noWrap/>
            <w:vAlign w:val="bottom"/>
            <w:hideMark/>
          </w:tcPr>
          <w:p w14:paraId="5F55B161" w14:textId="77777777" w:rsidR="00473AA2" w:rsidRPr="004C12C9" w:rsidRDefault="00473AA2" w:rsidP="008E4567">
            <w:pPr>
              <w:pStyle w:val="ICFTabletext"/>
              <w:rPr>
                <w:lang w:bidi="ar-SA"/>
              </w:rPr>
            </w:pPr>
            <w:r w:rsidRPr="004C12C9">
              <w:rPr>
                <w:lang w:bidi="ar-SA"/>
              </w:rPr>
              <w:t>Paving Equipment</w:t>
            </w:r>
          </w:p>
        </w:tc>
        <w:tc>
          <w:tcPr>
            <w:tcW w:w="1637" w:type="dxa"/>
            <w:noWrap/>
            <w:vAlign w:val="bottom"/>
            <w:hideMark/>
          </w:tcPr>
          <w:p w14:paraId="7582C85A" w14:textId="77777777" w:rsidR="00473AA2" w:rsidRPr="004C12C9" w:rsidRDefault="00473AA2" w:rsidP="00AA306E">
            <w:pPr>
              <w:pStyle w:val="ICFTabletext"/>
              <w:jc w:val="center"/>
              <w:rPr>
                <w:lang w:bidi="ar-SA"/>
              </w:rPr>
            </w:pPr>
            <w:r w:rsidRPr="004C12C9">
              <w:rPr>
                <w:lang w:bidi="ar-SA"/>
              </w:rPr>
              <w:t>89</w:t>
            </w:r>
          </w:p>
        </w:tc>
        <w:tc>
          <w:tcPr>
            <w:tcW w:w="1935" w:type="dxa"/>
            <w:noWrap/>
            <w:vAlign w:val="bottom"/>
            <w:hideMark/>
          </w:tcPr>
          <w:p w14:paraId="354D1709" w14:textId="77777777" w:rsidR="00473AA2" w:rsidRPr="004C12C9" w:rsidRDefault="00473AA2" w:rsidP="00AA306E">
            <w:pPr>
              <w:pStyle w:val="ICFTabletext"/>
              <w:jc w:val="center"/>
              <w:rPr>
                <w:lang w:bidi="ar-SA"/>
              </w:rPr>
            </w:pPr>
            <w:r w:rsidRPr="004C12C9">
              <w:rPr>
                <w:lang w:bidi="ar-SA"/>
              </w:rPr>
              <w:t>0.36</w:t>
            </w:r>
          </w:p>
        </w:tc>
      </w:tr>
      <w:tr w:rsidR="00473AA2" w:rsidRPr="004C12C9" w14:paraId="12923ADB" w14:textId="77777777" w:rsidTr="00AA306E">
        <w:trPr>
          <w:trHeight w:val="260"/>
        </w:trPr>
        <w:tc>
          <w:tcPr>
            <w:tcW w:w="2875" w:type="dxa"/>
            <w:noWrap/>
            <w:vAlign w:val="bottom"/>
            <w:hideMark/>
          </w:tcPr>
          <w:p w14:paraId="78618D6D" w14:textId="77777777" w:rsidR="00473AA2" w:rsidRPr="004C12C9" w:rsidRDefault="00473AA2" w:rsidP="008E4567">
            <w:pPr>
              <w:pStyle w:val="ICFTabletext"/>
              <w:rPr>
                <w:lang w:bidi="ar-SA"/>
              </w:rPr>
            </w:pPr>
            <w:r w:rsidRPr="004C12C9">
              <w:rPr>
                <w:lang w:bidi="ar-SA"/>
              </w:rPr>
              <w:t>Rollers</w:t>
            </w:r>
          </w:p>
        </w:tc>
        <w:tc>
          <w:tcPr>
            <w:tcW w:w="1637" w:type="dxa"/>
            <w:noWrap/>
            <w:vAlign w:val="bottom"/>
            <w:hideMark/>
          </w:tcPr>
          <w:p w14:paraId="517B825C" w14:textId="77777777" w:rsidR="00473AA2" w:rsidRPr="004C12C9" w:rsidRDefault="00473AA2" w:rsidP="00AA306E">
            <w:pPr>
              <w:pStyle w:val="ICFTabletext"/>
              <w:jc w:val="center"/>
              <w:rPr>
                <w:lang w:bidi="ar-SA"/>
              </w:rPr>
            </w:pPr>
            <w:r w:rsidRPr="004C12C9">
              <w:rPr>
                <w:lang w:bidi="ar-SA"/>
              </w:rPr>
              <w:t>36</w:t>
            </w:r>
          </w:p>
        </w:tc>
        <w:tc>
          <w:tcPr>
            <w:tcW w:w="1935" w:type="dxa"/>
            <w:noWrap/>
            <w:vAlign w:val="bottom"/>
            <w:hideMark/>
          </w:tcPr>
          <w:p w14:paraId="0A44F5B1" w14:textId="77777777" w:rsidR="00473AA2" w:rsidRPr="004C12C9" w:rsidRDefault="00473AA2" w:rsidP="00AA306E">
            <w:pPr>
              <w:pStyle w:val="ICFTabletext"/>
              <w:jc w:val="center"/>
              <w:rPr>
                <w:lang w:bidi="ar-SA"/>
              </w:rPr>
            </w:pPr>
            <w:r w:rsidRPr="004C12C9">
              <w:rPr>
                <w:lang w:bidi="ar-SA"/>
              </w:rPr>
              <w:t>0.38</w:t>
            </w:r>
          </w:p>
        </w:tc>
      </w:tr>
      <w:tr w:rsidR="00473AA2" w:rsidRPr="004C12C9" w14:paraId="0A5D3389" w14:textId="77777777" w:rsidTr="00AA306E">
        <w:trPr>
          <w:trHeight w:val="260"/>
        </w:trPr>
        <w:tc>
          <w:tcPr>
            <w:tcW w:w="2875" w:type="dxa"/>
            <w:noWrap/>
            <w:vAlign w:val="bottom"/>
            <w:hideMark/>
          </w:tcPr>
          <w:p w14:paraId="0EE895D7" w14:textId="77777777" w:rsidR="00473AA2" w:rsidRPr="004C12C9" w:rsidRDefault="00473AA2" w:rsidP="008E4567">
            <w:pPr>
              <w:pStyle w:val="ICFTabletext"/>
              <w:rPr>
                <w:lang w:bidi="ar-SA"/>
              </w:rPr>
            </w:pPr>
            <w:r w:rsidRPr="004C12C9">
              <w:rPr>
                <w:lang w:bidi="ar-SA"/>
              </w:rPr>
              <w:t>Rubber Tired Dozers</w:t>
            </w:r>
          </w:p>
        </w:tc>
        <w:tc>
          <w:tcPr>
            <w:tcW w:w="1637" w:type="dxa"/>
            <w:noWrap/>
            <w:vAlign w:val="bottom"/>
            <w:hideMark/>
          </w:tcPr>
          <w:p w14:paraId="0BC90804" w14:textId="77777777" w:rsidR="00473AA2" w:rsidRPr="004C12C9" w:rsidRDefault="00473AA2" w:rsidP="00AA306E">
            <w:pPr>
              <w:pStyle w:val="ICFTabletext"/>
              <w:jc w:val="center"/>
              <w:rPr>
                <w:lang w:bidi="ar-SA"/>
              </w:rPr>
            </w:pPr>
            <w:r w:rsidRPr="004C12C9">
              <w:rPr>
                <w:lang w:bidi="ar-SA"/>
              </w:rPr>
              <w:t>367</w:t>
            </w:r>
          </w:p>
        </w:tc>
        <w:tc>
          <w:tcPr>
            <w:tcW w:w="1935" w:type="dxa"/>
            <w:noWrap/>
            <w:vAlign w:val="bottom"/>
            <w:hideMark/>
          </w:tcPr>
          <w:p w14:paraId="3A4529B1" w14:textId="77777777" w:rsidR="00473AA2" w:rsidRPr="004C12C9" w:rsidRDefault="00473AA2" w:rsidP="00AA306E">
            <w:pPr>
              <w:pStyle w:val="ICFTabletext"/>
              <w:jc w:val="center"/>
              <w:rPr>
                <w:lang w:bidi="ar-SA"/>
              </w:rPr>
            </w:pPr>
            <w:r w:rsidRPr="004C12C9">
              <w:rPr>
                <w:lang w:bidi="ar-SA"/>
              </w:rPr>
              <w:t>0.40</w:t>
            </w:r>
          </w:p>
        </w:tc>
      </w:tr>
      <w:tr w:rsidR="00473AA2" w:rsidRPr="004C12C9" w14:paraId="1E258960" w14:textId="77777777" w:rsidTr="00AA306E">
        <w:trPr>
          <w:trHeight w:val="260"/>
        </w:trPr>
        <w:tc>
          <w:tcPr>
            <w:tcW w:w="2875" w:type="dxa"/>
            <w:noWrap/>
            <w:vAlign w:val="bottom"/>
            <w:hideMark/>
          </w:tcPr>
          <w:p w14:paraId="348EC624" w14:textId="77777777" w:rsidR="00473AA2" w:rsidRPr="004C12C9" w:rsidRDefault="00473AA2" w:rsidP="008E4567">
            <w:pPr>
              <w:pStyle w:val="ICFTabletext"/>
              <w:rPr>
                <w:lang w:bidi="ar-SA"/>
              </w:rPr>
            </w:pPr>
            <w:r w:rsidRPr="004C12C9">
              <w:rPr>
                <w:lang w:bidi="ar-SA"/>
              </w:rPr>
              <w:t>Scrapers</w:t>
            </w:r>
          </w:p>
        </w:tc>
        <w:tc>
          <w:tcPr>
            <w:tcW w:w="1637" w:type="dxa"/>
            <w:noWrap/>
            <w:vAlign w:val="bottom"/>
            <w:hideMark/>
          </w:tcPr>
          <w:p w14:paraId="645435D5" w14:textId="77777777" w:rsidR="00473AA2" w:rsidRPr="004C12C9" w:rsidRDefault="00473AA2" w:rsidP="00AA306E">
            <w:pPr>
              <w:pStyle w:val="ICFTabletext"/>
              <w:jc w:val="center"/>
              <w:rPr>
                <w:lang w:bidi="ar-SA"/>
              </w:rPr>
            </w:pPr>
            <w:r w:rsidRPr="004C12C9">
              <w:rPr>
                <w:lang w:bidi="ar-SA"/>
              </w:rPr>
              <w:t>423</w:t>
            </w:r>
          </w:p>
        </w:tc>
        <w:tc>
          <w:tcPr>
            <w:tcW w:w="1935" w:type="dxa"/>
            <w:noWrap/>
            <w:vAlign w:val="bottom"/>
            <w:hideMark/>
          </w:tcPr>
          <w:p w14:paraId="0DA215A8" w14:textId="77777777" w:rsidR="00473AA2" w:rsidRPr="004C12C9" w:rsidRDefault="00473AA2" w:rsidP="00AA306E">
            <w:pPr>
              <w:pStyle w:val="ICFTabletext"/>
              <w:jc w:val="center"/>
              <w:rPr>
                <w:lang w:bidi="ar-SA"/>
              </w:rPr>
            </w:pPr>
            <w:r w:rsidRPr="004C12C9">
              <w:rPr>
                <w:lang w:bidi="ar-SA"/>
              </w:rPr>
              <w:t>0.48</w:t>
            </w:r>
          </w:p>
        </w:tc>
      </w:tr>
      <w:tr w:rsidR="00473AA2" w:rsidRPr="004C12C9" w14:paraId="2D46AD94" w14:textId="77777777" w:rsidTr="00AA306E">
        <w:trPr>
          <w:trHeight w:val="260"/>
        </w:trPr>
        <w:tc>
          <w:tcPr>
            <w:tcW w:w="2875" w:type="dxa"/>
            <w:noWrap/>
            <w:vAlign w:val="bottom"/>
            <w:hideMark/>
          </w:tcPr>
          <w:p w14:paraId="2113FC52" w14:textId="77777777" w:rsidR="00473AA2" w:rsidRPr="004C12C9" w:rsidRDefault="00473AA2" w:rsidP="008E4567">
            <w:pPr>
              <w:pStyle w:val="ICFTabletext"/>
              <w:rPr>
                <w:lang w:bidi="ar-SA"/>
              </w:rPr>
            </w:pPr>
            <w:r w:rsidRPr="004C12C9">
              <w:rPr>
                <w:lang w:bidi="ar-SA"/>
              </w:rPr>
              <w:t>Tractors/Loaders/Backhoes</w:t>
            </w:r>
          </w:p>
        </w:tc>
        <w:tc>
          <w:tcPr>
            <w:tcW w:w="1637" w:type="dxa"/>
            <w:noWrap/>
            <w:vAlign w:val="bottom"/>
            <w:hideMark/>
          </w:tcPr>
          <w:p w14:paraId="16C3A477" w14:textId="77777777" w:rsidR="00473AA2" w:rsidRPr="004C12C9" w:rsidRDefault="00473AA2" w:rsidP="00AA306E">
            <w:pPr>
              <w:pStyle w:val="ICFTabletext"/>
              <w:jc w:val="center"/>
              <w:rPr>
                <w:lang w:bidi="ar-SA"/>
              </w:rPr>
            </w:pPr>
            <w:r w:rsidRPr="004C12C9">
              <w:rPr>
                <w:lang w:bidi="ar-SA"/>
              </w:rPr>
              <w:t>84</w:t>
            </w:r>
          </w:p>
        </w:tc>
        <w:tc>
          <w:tcPr>
            <w:tcW w:w="1935" w:type="dxa"/>
            <w:noWrap/>
            <w:vAlign w:val="bottom"/>
            <w:hideMark/>
          </w:tcPr>
          <w:p w14:paraId="6A89386D" w14:textId="77777777" w:rsidR="00473AA2" w:rsidRPr="004C12C9" w:rsidRDefault="00473AA2" w:rsidP="00AA306E">
            <w:pPr>
              <w:pStyle w:val="ICFTabletext"/>
              <w:jc w:val="center"/>
              <w:rPr>
                <w:lang w:bidi="ar-SA"/>
              </w:rPr>
            </w:pPr>
            <w:r w:rsidRPr="004C12C9">
              <w:rPr>
                <w:lang w:bidi="ar-SA"/>
              </w:rPr>
              <w:t>0.37</w:t>
            </w:r>
          </w:p>
        </w:tc>
      </w:tr>
      <w:tr w:rsidR="00473AA2" w:rsidRPr="004C12C9" w14:paraId="4B332807" w14:textId="77777777" w:rsidTr="00AA306E">
        <w:trPr>
          <w:trHeight w:val="270"/>
        </w:trPr>
        <w:tc>
          <w:tcPr>
            <w:tcW w:w="2875" w:type="dxa"/>
            <w:noWrap/>
            <w:vAlign w:val="bottom"/>
            <w:hideMark/>
          </w:tcPr>
          <w:p w14:paraId="0B7DC389" w14:textId="77777777" w:rsidR="00473AA2" w:rsidRPr="004C12C9" w:rsidRDefault="00473AA2" w:rsidP="008E4567">
            <w:pPr>
              <w:pStyle w:val="ICFTabletext"/>
              <w:rPr>
                <w:lang w:bidi="ar-SA"/>
              </w:rPr>
            </w:pPr>
            <w:r w:rsidRPr="004C12C9">
              <w:rPr>
                <w:lang w:bidi="ar-SA"/>
              </w:rPr>
              <w:t>Welders</w:t>
            </w:r>
          </w:p>
        </w:tc>
        <w:tc>
          <w:tcPr>
            <w:tcW w:w="1637" w:type="dxa"/>
            <w:noWrap/>
            <w:vAlign w:val="bottom"/>
            <w:hideMark/>
          </w:tcPr>
          <w:p w14:paraId="72C31E28" w14:textId="77777777" w:rsidR="00473AA2" w:rsidRPr="004C12C9" w:rsidRDefault="00473AA2" w:rsidP="00AA306E">
            <w:pPr>
              <w:pStyle w:val="ICFTabletext"/>
              <w:jc w:val="center"/>
              <w:rPr>
                <w:lang w:bidi="ar-SA"/>
              </w:rPr>
            </w:pPr>
            <w:r w:rsidRPr="004C12C9">
              <w:rPr>
                <w:lang w:bidi="ar-SA"/>
              </w:rPr>
              <w:t>46</w:t>
            </w:r>
          </w:p>
        </w:tc>
        <w:tc>
          <w:tcPr>
            <w:tcW w:w="1935" w:type="dxa"/>
            <w:noWrap/>
            <w:vAlign w:val="bottom"/>
            <w:hideMark/>
          </w:tcPr>
          <w:p w14:paraId="4268D7FF" w14:textId="77777777" w:rsidR="00473AA2" w:rsidRPr="004C12C9" w:rsidRDefault="00473AA2" w:rsidP="00AA306E">
            <w:pPr>
              <w:pStyle w:val="ICFTabletext"/>
              <w:jc w:val="center"/>
              <w:rPr>
                <w:lang w:bidi="ar-SA"/>
              </w:rPr>
            </w:pPr>
            <w:r w:rsidRPr="004C12C9">
              <w:rPr>
                <w:lang w:bidi="ar-SA"/>
              </w:rPr>
              <w:t>0.45</w:t>
            </w:r>
          </w:p>
        </w:tc>
      </w:tr>
    </w:tbl>
    <w:p w14:paraId="5023050E" w14:textId="5C4E0469" w:rsidR="00006179" w:rsidRPr="004C12C9" w:rsidRDefault="00006179" w:rsidP="00E31E37">
      <w:pPr>
        <w:pStyle w:val="Heading4"/>
      </w:pPr>
      <w:r w:rsidRPr="004C12C9">
        <w:t>Energy Consumption Rate</w:t>
      </w:r>
    </w:p>
    <w:p w14:paraId="5CEF31E0" w14:textId="59C195D0" w:rsidR="00412F27" w:rsidRPr="004C12C9" w:rsidRDefault="00412F27" w:rsidP="00972CF9">
      <w:r w:rsidRPr="004C12C9">
        <w:t xml:space="preserve">Energy consumption per horsepower-hour of operation in British Thermal Units (Btu) for each construction equipment type </w:t>
      </w:r>
      <w:r w:rsidR="001D4208" w:rsidRPr="004C12C9">
        <w:t>is</w:t>
      </w:r>
      <w:r w:rsidRPr="004C12C9">
        <w:t xml:space="preserve"> derived using data from CalEEMod. Specifically, Table G-11 of CalEEMod Appendix G provides California statewide average annual off</w:t>
      </w:r>
      <w:r w:rsidR="00D06122" w:rsidRPr="004C12C9">
        <w:t>-road</w:t>
      </w:r>
      <w:r w:rsidRPr="004C12C9">
        <w:t xml:space="preserve"> equipment emission factors in grams of carbon dioxide per horsepower-hour for construction equipment by fuel type (diesel, CNG, and gasoline), model year (2010 to 2050), and horsepower.</w:t>
      </w:r>
      <w:r w:rsidR="003C3CA0">
        <w:rPr>
          <w:rFonts w:ascii="ZWAdobeF" w:hAnsi="ZWAdobeF" w:cs="ZWAdobeF"/>
          <w:sz w:val="2"/>
          <w:szCs w:val="2"/>
        </w:rPr>
        <w:t>41F</w:t>
      </w:r>
      <w:r w:rsidR="00167175" w:rsidRPr="004C12C9">
        <w:rPr>
          <w:rStyle w:val="FootnoteReference"/>
        </w:rPr>
        <w:footnoteReference w:id="43"/>
      </w:r>
      <w:r w:rsidRPr="004C12C9">
        <w:t xml:space="preserve"> These emission factors represent combustion emissions derived from the California Air Resources Board’s (CARB) OFFROAD2017 – ORION model. Estimates (in gCO</w:t>
      </w:r>
      <w:r w:rsidRPr="004C12C9">
        <w:rPr>
          <w:vertAlign w:val="subscript"/>
        </w:rPr>
        <w:t>2</w:t>
      </w:r>
      <w:r w:rsidRPr="004C12C9">
        <w:t>/hp-hr) for diesel</w:t>
      </w:r>
      <w:r w:rsidR="00A32DBD" w:rsidRPr="004C12C9">
        <w:t>-</w:t>
      </w:r>
      <w:r w:rsidRPr="004C12C9">
        <w:t>powered equipment for model year 2025</w:t>
      </w:r>
      <w:r w:rsidR="003C3CA0">
        <w:rPr>
          <w:rFonts w:ascii="ZWAdobeF" w:hAnsi="ZWAdobeF" w:cs="ZWAdobeF"/>
          <w:sz w:val="2"/>
          <w:szCs w:val="2"/>
        </w:rPr>
        <w:t>42F</w:t>
      </w:r>
      <w:r w:rsidRPr="004C12C9">
        <w:rPr>
          <w:rStyle w:val="FootnoteReference"/>
        </w:rPr>
        <w:footnoteReference w:id="44"/>
      </w:r>
      <w:r w:rsidRPr="004C12C9">
        <w:t xml:space="preserve"> that correspond to the horsepower assumed in </w:t>
      </w:r>
      <w:r w:rsidR="006415FA" w:rsidRPr="004C12C9">
        <w:fldChar w:fldCharType="begin" w:fldLock="1"/>
      </w:r>
      <w:r w:rsidR="006415FA" w:rsidRPr="004C12C9">
        <w:instrText xml:space="preserve"> REF _Ref195774736 \h </w:instrText>
      </w:r>
      <w:r w:rsidR="006415FA" w:rsidRPr="004C12C9">
        <w:fldChar w:fldCharType="separate"/>
      </w:r>
      <w:r w:rsidR="00127094" w:rsidRPr="004C12C9">
        <w:rPr>
          <w:lang w:eastAsia="ja-JP" w:bidi="ar-SA"/>
        </w:rPr>
        <w:t>Table 2</w:t>
      </w:r>
      <w:r w:rsidR="00127094" w:rsidRPr="004C12C9">
        <w:rPr>
          <w:lang w:eastAsia="ja-JP" w:bidi="ar-SA"/>
        </w:rPr>
        <w:noBreakHyphen/>
        <w:t>28</w:t>
      </w:r>
      <w:r w:rsidR="006415FA" w:rsidRPr="004C12C9">
        <w:fldChar w:fldCharType="end"/>
      </w:r>
      <w:r w:rsidRPr="004C12C9">
        <w:t xml:space="preserve"> </w:t>
      </w:r>
      <w:r w:rsidR="00B925BA" w:rsidRPr="004C12C9">
        <w:t>are</w:t>
      </w:r>
      <w:r w:rsidRPr="004C12C9">
        <w:t xml:space="preserve"> used to calculate the hourly energy consumption rate by equipment type (in Btu/hp-hr) using the following equation:</w:t>
      </w:r>
    </w:p>
    <w:p w14:paraId="457EC83C" w14:textId="1DEDEA25" w:rsidR="002B35BF" w:rsidRPr="004C12C9" w:rsidRDefault="002B35BF" w:rsidP="007D2317">
      <w:pPr>
        <w:pStyle w:val="Caption"/>
      </w:pPr>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8</w:t>
      </w:r>
      <w:r w:rsidR="00127094">
        <w:fldChar w:fldCharType="end"/>
      </w:r>
      <w:r w:rsidRPr="004C12C9">
        <w:t xml:space="preserve">. </w:t>
      </w:r>
      <w:r w:rsidR="00D15A94" w:rsidRPr="004C12C9">
        <w:t>Construction Equipment</w:t>
      </w:r>
      <w:r w:rsidR="00CE79FD" w:rsidRPr="004C12C9">
        <w:t xml:space="preserve"> Energy</w:t>
      </w:r>
      <w:r w:rsidR="009F2634" w:rsidRPr="004C12C9">
        <w:t xml:space="preserve"> Consumption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2B35BF" w:rsidRPr="004C12C9" w14:paraId="73DC9BF3" w14:textId="77777777">
        <w:tc>
          <w:tcPr>
            <w:tcW w:w="10070" w:type="dxa"/>
            <w:gridSpan w:val="2"/>
            <w:shd w:val="clear" w:color="auto" w:fill="F2F2F2" w:themeFill="background1" w:themeFillShade="F2"/>
          </w:tcPr>
          <w:p w14:paraId="2626E62C" w14:textId="4B3C475C" w:rsidR="002B35BF" w:rsidRPr="004C12C9" w:rsidRDefault="00000000" w:rsidP="00715DCF">
            <w:pPr>
              <w:pStyle w:val="Equation"/>
              <w:keepNext/>
              <w:rPr>
                <w:noProof w:val="0"/>
              </w:rPr>
            </w:pPr>
            <m:oMathPara>
              <m:oMath>
                <m:sSub>
                  <m:sSubPr>
                    <m:ctrlPr>
                      <w:rPr>
                        <w:noProof w:val="0"/>
                      </w:rPr>
                    </m:ctrlPr>
                  </m:sSubPr>
                  <m:e>
                    <m:r>
                      <w:rPr>
                        <w:noProof w:val="0"/>
                      </w:rPr>
                      <m:t>consumption rate</m:t>
                    </m:r>
                  </m:e>
                  <m:sub>
                    <m:r>
                      <w:rPr>
                        <w:noProof w:val="0"/>
                      </w:rPr>
                      <m:t>t</m:t>
                    </m:r>
                  </m:sub>
                </m:sSub>
                <m:r>
                  <w:rPr>
                    <w:noProof w:val="0"/>
                  </w:rPr>
                  <m:t xml:space="preserve">= </m:t>
                </m:r>
                <m:sSub>
                  <m:sSubPr>
                    <m:ctrlPr>
                      <w:rPr>
                        <w:noProof w:val="0"/>
                      </w:rPr>
                    </m:ctrlPr>
                  </m:sSubPr>
                  <m:e>
                    <m:r>
                      <w:rPr>
                        <w:noProof w:val="0"/>
                      </w:rPr>
                      <m:t>emissions factor</m:t>
                    </m:r>
                  </m:e>
                  <m:sub>
                    <m:r>
                      <w:rPr>
                        <w:noProof w:val="0"/>
                      </w:rPr>
                      <m:t>h, t</m:t>
                    </m:r>
                  </m:sub>
                </m:sSub>
                <m:r>
                  <w:rPr>
                    <w:noProof w:val="0"/>
                  </w:rPr>
                  <m:t xml:space="preserve"> ×0.001 ÷ diesel EF ×0.000001</m:t>
                </m:r>
              </m:oMath>
            </m:oMathPara>
          </w:p>
          <w:p w14:paraId="6492EEB6" w14:textId="77777777" w:rsidR="002B35BF" w:rsidRPr="004C12C9" w:rsidRDefault="002B35BF" w:rsidP="00715DCF">
            <w:pPr>
              <w:keepNext/>
              <w:rPr>
                <w:i/>
                <w:iCs/>
              </w:rPr>
            </w:pPr>
            <w:r w:rsidRPr="004C12C9">
              <w:rPr>
                <w:i/>
                <w:iCs/>
                <w:sz w:val="20"/>
                <w:szCs w:val="20"/>
              </w:rPr>
              <w:t xml:space="preserve">where, </w:t>
            </w:r>
          </w:p>
        </w:tc>
      </w:tr>
      <w:tr w:rsidR="002B35BF" w:rsidRPr="004C12C9" w14:paraId="3A0E75E4" w14:textId="77777777">
        <w:tc>
          <w:tcPr>
            <w:tcW w:w="1800" w:type="dxa"/>
            <w:shd w:val="clear" w:color="auto" w:fill="F2F2F2" w:themeFill="background1" w:themeFillShade="F2"/>
          </w:tcPr>
          <w:p w14:paraId="6CDBC527" w14:textId="3C177506" w:rsidR="002B35BF" w:rsidRPr="004C12C9" w:rsidRDefault="002B35B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p w14:paraId="7913D818" w14:textId="77777777" w:rsidR="002B35BF" w:rsidRPr="004C12C9" w:rsidRDefault="002B35BF">
            <w:pPr>
              <w:pStyle w:val="Equation"/>
              <w:spacing w:before="0" w:after="0"/>
              <w:jc w:val="left"/>
              <w:rPr>
                <w:rFonts w:ascii="Calibri" w:eastAsia="Arial" w:hAnsi="Calibri"/>
                <w:bCs w:val="0"/>
                <w:i w:val="0"/>
                <w:noProof w:val="0"/>
                <w:color w:val="auto"/>
                <w:sz w:val="20"/>
                <w:szCs w:val="20"/>
              </w:rPr>
            </w:pPr>
          </w:p>
          <w:p w14:paraId="60D6BFDD" w14:textId="3E5E7673" w:rsidR="002B35BF" w:rsidRPr="004C12C9" w:rsidRDefault="002B35B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diesel EF</w:t>
            </w:r>
          </w:p>
          <w:p w14:paraId="550CA7A2" w14:textId="628A7DEB" w:rsidR="002B35BF" w:rsidRPr="004C12C9" w:rsidRDefault="002B35B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0.001</w:t>
            </w:r>
            <w:r w:rsidRPr="004C12C9">
              <w:rPr>
                <w:rFonts w:ascii="Calibri" w:eastAsia="Arial" w:hAnsi="Calibri"/>
                <w:bCs w:val="0"/>
                <w:i w:val="0"/>
                <w:noProof w:val="0"/>
                <w:color w:val="auto"/>
                <w:sz w:val="20"/>
                <w:szCs w:val="20"/>
              </w:rPr>
              <w:br/>
            </w:r>
            <w:r w:rsidR="006E0782">
              <w:rPr>
                <w:rFonts w:ascii="Calibri" w:eastAsia="Arial" w:hAnsi="Calibri"/>
                <w:bCs w:val="0"/>
                <w:i w:val="0"/>
                <w:noProof w:val="0"/>
                <w:color w:val="auto"/>
                <w:sz w:val="20"/>
                <w:szCs w:val="20"/>
              </w:rPr>
              <w:t>0.000001</w:t>
            </w:r>
            <w:r w:rsidRPr="004C12C9">
              <w:rPr>
                <w:rFonts w:ascii="Calibri" w:eastAsia="Arial" w:hAnsi="Calibri"/>
                <w:bCs w:val="0"/>
                <w:i w:val="0"/>
                <w:noProof w:val="0"/>
                <w:color w:val="auto"/>
                <w:sz w:val="20"/>
                <w:szCs w:val="20"/>
              </w:rPr>
              <w:t xml:space="preserve"> </w:t>
            </w:r>
          </w:p>
        </w:tc>
        <w:tc>
          <w:tcPr>
            <w:tcW w:w="8270" w:type="dxa"/>
            <w:shd w:val="clear" w:color="auto" w:fill="F2F2F2" w:themeFill="background1" w:themeFillShade="F2"/>
          </w:tcPr>
          <w:p w14:paraId="3AE6F760" w14:textId="69526EA6" w:rsidR="002B35BF" w:rsidRPr="004C12C9" w:rsidRDefault="006415FA" w:rsidP="006415FA">
            <w:pPr>
              <w:pStyle w:val="Equation"/>
              <w:spacing w:before="0" w:after="0"/>
              <w:ind w:left="150" w:hanging="15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2B35BF" w:rsidRPr="004C12C9">
              <w:rPr>
                <w:rFonts w:ascii="Calibri" w:eastAsia="Arial" w:hAnsi="Calibri"/>
                <w:bCs w:val="0"/>
                <w:i w:val="0"/>
                <w:noProof w:val="0"/>
                <w:color w:val="auto"/>
                <w:sz w:val="20"/>
                <w:szCs w:val="20"/>
              </w:rPr>
              <w:t>GHG emissions for diesel</w:t>
            </w:r>
            <w:r w:rsidR="00A32DBD" w:rsidRPr="004C12C9">
              <w:rPr>
                <w:rFonts w:ascii="Calibri" w:eastAsia="Arial" w:hAnsi="Calibri"/>
                <w:bCs w:val="0"/>
                <w:i w:val="0"/>
                <w:noProof w:val="0"/>
                <w:color w:val="auto"/>
                <w:sz w:val="20"/>
                <w:szCs w:val="20"/>
              </w:rPr>
              <w:t>-</w:t>
            </w:r>
            <w:r w:rsidR="002B35BF" w:rsidRPr="004C12C9">
              <w:rPr>
                <w:rFonts w:ascii="Calibri" w:eastAsia="Arial" w:hAnsi="Calibri"/>
                <w:bCs w:val="0"/>
                <w:i w:val="0"/>
                <w:noProof w:val="0"/>
                <w:color w:val="auto"/>
                <w:sz w:val="20"/>
                <w:szCs w:val="20"/>
              </w:rPr>
              <w:t>powered equipment for model year 2025 for horsepower, h, by equipment type, t (gCO</w:t>
            </w:r>
            <w:r w:rsidR="002B35BF" w:rsidRPr="004C12C9">
              <w:rPr>
                <w:rFonts w:ascii="Calibri" w:eastAsia="Arial" w:hAnsi="Calibri"/>
                <w:bCs w:val="0"/>
                <w:i w:val="0"/>
                <w:noProof w:val="0"/>
                <w:color w:val="auto"/>
                <w:sz w:val="20"/>
                <w:szCs w:val="20"/>
                <w:vertAlign w:val="subscript"/>
              </w:rPr>
              <w:t>2</w:t>
            </w:r>
            <w:r w:rsidR="002B35BF" w:rsidRPr="004C12C9">
              <w:rPr>
                <w:rFonts w:ascii="Calibri" w:eastAsia="Arial" w:hAnsi="Calibri"/>
                <w:bCs w:val="0"/>
                <w:i w:val="0"/>
                <w:noProof w:val="0"/>
                <w:color w:val="auto"/>
                <w:sz w:val="20"/>
                <w:szCs w:val="20"/>
              </w:rPr>
              <w:t>/hp-hr)</w:t>
            </w:r>
          </w:p>
          <w:p w14:paraId="2B1FBD1C" w14:textId="729D35D6" w:rsidR="002B35BF" w:rsidRPr="004C12C9" w:rsidRDefault="006415F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2B35BF" w:rsidRPr="004C12C9">
              <w:rPr>
                <w:rFonts w:ascii="Calibri" w:eastAsia="Arial" w:hAnsi="Calibri"/>
                <w:bCs w:val="0"/>
                <w:i w:val="0"/>
                <w:noProof w:val="0"/>
                <w:color w:val="auto"/>
                <w:sz w:val="20"/>
                <w:szCs w:val="20"/>
              </w:rPr>
              <w:t>Combustion CO</w:t>
            </w:r>
            <w:r w:rsidR="002B35BF" w:rsidRPr="004C12C9">
              <w:rPr>
                <w:rFonts w:ascii="Calibri" w:eastAsia="Arial" w:hAnsi="Calibri"/>
                <w:i w:val="0"/>
                <w:noProof w:val="0"/>
                <w:color w:val="auto"/>
                <w:sz w:val="20"/>
                <w:szCs w:val="20"/>
                <w:vertAlign w:val="subscript"/>
              </w:rPr>
              <w:t>2</w:t>
            </w:r>
            <w:r w:rsidR="002B35BF" w:rsidRPr="004C12C9">
              <w:rPr>
                <w:rFonts w:ascii="Calibri" w:eastAsia="Arial" w:hAnsi="Calibri"/>
                <w:bCs w:val="0"/>
                <w:i w:val="0"/>
                <w:noProof w:val="0"/>
                <w:color w:val="auto"/>
                <w:sz w:val="20"/>
                <w:szCs w:val="20"/>
              </w:rPr>
              <w:t xml:space="preserve"> emissions factor for diesel, 73.96 (kgCO</w:t>
            </w:r>
            <w:r w:rsidR="002B35BF" w:rsidRPr="004C12C9">
              <w:rPr>
                <w:rFonts w:ascii="Calibri" w:eastAsia="Arial" w:hAnsi="Calibri"/>
                <w:bCs w:val="0"/>
                <w:i w:val="0"/>
                <w:noProof w:val="0"/>
                <w:color w:val="auto"/>
                <w:sz w:val="20"/>
                <w:szCs w:val="20"/>
                <w:vertAlign w:val="subscript"/>
              </w:rPr>
              <w:t>2</w:t>
            </w:r>
            <w:r w:rsidR="002B35BF" w:rsidRPr="004C12C9">
              <w:rPr>
                <w:rFonts w:ascii="Calibri" w:eastAsia="Arial" w:hAnsi="Calibri"/>
                <w:bCs w:val="0"/>
                <w:i w:val="0"/>
                <w:noProof w:val="0"/>
                <w:color w:val="auto"/>
                <w:sz w:val="20"/>
                <w:szCs w:val="20"/>
              </w:rPr>
              <w:t>/MMBtu)</w:t>
            </w:r>
            <w:r w:rsidR="003C3CA0">
              <w:rPr>
                <w:rFonts w:ascii="ZWAdobeF" w:eastAsia="Arial" w:hAnsi="ZWAdobeF" w:cs="ZWAdobeF"/>
                <w:bCs w:val="0"/>
                <w:i w:val="0"/>
                <w:noProof w:val="0"/>
                <w:color w:val="auto"/>
                <w:sz w:val="2"/>
                <w:szCs w:val="2"/>
              </w:rPr>
              <w:t>43F</w:t>
            </w:r>
            <w:r w:rsidR="002B35BF" w:rsidRPr="004C12C9">
              <w:rPr>
                <w:rFonts w:ascii="Calibri" w:eastAsia="Arial" w:hAnsi="Calibri"/>
                <w:bCs w:val="0"/>
                <w:i w:val="0"/>
                <w:noProof w:val="0"/>
                <w:color w:val="auto"/>
                <w:vertAlign w:val="superscript"/>
              </w:rPr>
              <w:footnoteReference w:id="45"/>
            </w:r>
          </w:p>
          <w:p w14:paraId="35ADC9A6" w14:textId="3CBAE89D" w:rsidR="002B35BF" w:rsidRPr="004C12C9" w:rsidRDefault="006415F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2B35BF" w:rsidRPr="004C12C9">
              <w:rPr>
                <w:rFonts w:ascii="Calibri" w:eastAsia="Arial" w:hAnsi="Calibri"/>
                <w:bCs w:val="0"/>
                <w:i w:val="0"/>
                <w:noProof w:val="0"/>
                <w:color w:val="auto"/>
                <w:sz w:val="20"/>
                <w:szCs w:val="20"/>
              </w:rPr>
              <w:t>kilogram to gram unit conversion</w:t>
            </w:r>
          </w:p>
          <w:p w14:paraId="4358D311" w14:textId="760D96FB" w:rsidR="002B35BF" w:rsidRPr="004C12C9" w:rsidRDefault="006415F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156550" w:rsidRPr="00CB765E">
              <w:rPr>
                <w:rFonts w:ascii="Calibri" w:eastAsia="Arial" w:hAnsi="Calibri"/>
                <w:bCs w:val="0"/>
                <w:i w:val="0"/>
                <w:noProof w:val="0"/>
                <w:color w:val="auto"/>
                <w:sz w:val="20"/>
                <w:szCs w:val="20"/>
              </w:rPr>
              <w:t>Unit conversion from Btu to MMBtu</w:t>
            </w:r>
          </w:p>
          <w:p w14:paraId="1BCA46E5" w14:textId="671DBC98" w:rsidR="002B35BF" w:rsidRPr="004C12C9" w:rsidRDefault="002B35BF">
            <w:pPr>
              <w:pStyle w:val="Equation"/>
              <w:spacing w:before="0" w:after="0"/>
              <w:ind w:left="165" w:hanging="165"/>
              <w:jc w:val="left"/>
              <w:rPr>
                <w:rFonts w:ascii="Calibri" w:eastAsia="Arial" w:hAnsi="Calibri"/>
                <w:bCs w:val="0"/>
                <w:i w:val="0"/>
                <w:noProof w:val="0"/>
                <w:color w:val="auto"/>
                <w:sz w:val="20"/>
                <w:szCs w:val="20"/>
              </w:rPr>
            </w:pPr>
          </w:p>
        </w:tc>
      </w:tr>
    </w:tbl>
    <w:p w14:paraId="76D2BEE1" w14:textId="3AE93BA7" w:rsidR="00AD5770" w:rsidRPr="004C12C9" w:rsidRDefault="00AD5770" w:rsidP="00972CF9">
      <w:pPr>
        <w:rPr>
          <w:lang w:eastAsia="ja-JP" w:bidi="ar-SA"/>
        </w:rPr>
      </w:pPr>
      <w:r w:rsidRPr="004C12C9">
        <w:rPr>
          <w:lang w:eastAsia="ja-JP" w:bidi="ar-SA"/>
        </w:rPr>
        <w:t xml:space="preserve">The emission factors from CalEEMod and the resulting energy consumption rates for each equipment type are summarized in </w:t>
      </w:r>
      <w:r w:rsidRPr="004C12C9">
        <w:rPr>
          <w:lang w:eastAsia="ja-JP" w:bidi="ar-SA"/>
        </w:rPr>
        <w:fldChar w:fldCharType="begin" w:fldLock="1"/>
      </w:r>
      <w:r w:rsidRPr="004C12C9">
        <w:rPr>
          <w:rFonts w:asciiTheme="minorHAnsi" w:hAnsiTheme="minorHAnsi" w:cstheme="minorHAnsi"/>
          <w:lang w:eastAsia="ja-JP" w:bidi="ar-SA"/>
        </w:rPr>
        <w:instrText xml:space="preserve"> REF _Ref190430231 \h  \* MERGEFORMAT </w:instrText>
      </w:r>
      <w:r w:rsidRPr="004C12C9">
        <w:rPr>
          <w:lang w:eastAsia="ja-JP" w:bidi="ar-SA"/>
        </w:rPr>
      </w:r>
      <w:r w:rsidRPr="004C12C9">
        <w:rPr>
          <w:lang w:eastAsia="ja-JP" w:bidi="ar-SA"/>
        </w:rPr>
        <w:fldChar w:fldCharType="separate"/>
      </w:r>
      <w:r w:rsidR="00127094" w:rsidRPr="004C12C9">
        <w:rPr>
          <w:lang w:eastAsia="ja-JP" w:bidi="ar-SA"/>
        </w:rPr>
        <w:t>Table 2</w:t>
      </w:r>
      <w:r w:rsidR="00127094" w:rsidRPr="004C12C9">
        <w:rPr>
          <w:lang w:eastAsia="ja-JP" w:bidi="ar-SA"/>
        </w:rPr>
        <w:noBreakHyphen/>
        <w:t>29</w:t>
      </w:r>
      <w:r w:rsidRPr="004C12C9">
        <w:rPr>
          <w:lang w:eastAsia="ja-JP" w:bidi="ar-SA"/>
        </w:rPr>
        <w:fldChar w:fldCharType="end"/>
      </w:r>
      <w:r w:rsidRPr="004C12C9">
        <w:rPr>
          <w:lang w:eastAsia="ja-JP" w:bidi="ar-SA"/>
        </w:rPr>
        <w:t>.</w:t>
      </w:r>
    </w:p>
    <w:p w14:paraId="0DF1B8D9" w14:textId="646CA936" w:rsidR="00AD5770" w:rsidRPr="004C12C9" w:rsidRDefault="00AD5770" w:rsidP="0038278B">
      <w:pPr>
        <w:pStyle w:val="Caption"/>
        <w:rPr>
          <w:rFonts w:asciiTheme="minorHAnsi" w:hAnsiTheme="minorHAnsi" w:cstheme="minorHAnsi"/>
          <w:b w:val="0"/>
          <w:i/>
          <w:lang w:eastAsia="ja-JP" w:bidi="ar-SA"/>
        </w:rPr>
      </w:pPr>
      <w:bookmarkStart w:id="92" w:name="_Ref190430231"/>
      <w:r w:rsidRPr="004C12C9">
        <w:rPr>
          <w:lang w:eastAsia="ja-JP" w:bidi="ar-SA"/>
        </w:rPr>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29</w:t>
      </w:r>
      <w:r w:rsidR="00F72B41">
        <w:rPr>
          <w:lang w:eastAsia="ja-JP" w:bidi="ar-SA"/>
        </w:rPr>
        <w:fldChar w:fldCharType="end"/>
      </w:r>
      <w:bookmarkEnd w:id="92"/>
      <w:r w:rsidRPr="004C12C9">
        <w:rPr>
          <w:lang w:eastAsia="ja-JP" w:bidi="ar-SA"/>
        </w:rPr>
        <w:t>. Hourly Energy Consumption by Equipment Type</w:t>
      </w:r>
    </w:p>
    <w:tbl>
      <w:tblPr>
        <w:tblW w:w="92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65"/>
        <w:gridCol w:w="3177"/>
        <w:gridCol w:w="3150"/>
      </w:tblGrid>
      <w:tr w:rsidR="00AD5770" w:rsidRPr="004C12C9" w14:paraId="43DA9D2F" w14:textId="77777777" w:rsidTr="003C79A5">
        <w:trPr>
          <w:trHeight w:val="260"/>
          <w:tblHeader/>
        </w:trPr>
        <w:tc>
          <w:tcPr>
            <w:tcW w:w="2965" w:type="dxa"/>
            <w:shd w:val="clear" w:color="auto" w:fill="D9D9D9" w:themeFill="background1" w:themeFillShade="D9"/>
            <w:vAlign w:val="center"/>
            <w:hideMark/>
          </w:tcPr>
          <w:p w14:paraId="0D4D2118" w14:textId="77777777" w:rsidR="00AD5770" w:rsidRPr="004C12C9" w:rsidRDefault="00AD5770" w:rsidP="0038278B">
            <w:pPr>
              <w:pStyle w:val="ICFTableHeading"/>
              <w:keepNext/>
              <w:rPr>
                <w:lang w:bidi="ar-SA"/>
              </w:rPr>
            </w:pPr>
            <w:r w:rsidRPr="004C12C9">
              <w:rPr>
                <w:lang w:bidi="ar-SA"/>
              </w:rPr>
              <w:t>Equipment Type</w:t>
            </w:r>
          </w:p>
        </w:tc>
        <w:tc>
          <w:tcPr>
            <w:tcW w:w="3177" w:type="dxa"/>
            <w:shd w:val="clear" w:color="auto" w:fill="D9D9D9" w:themeFill="background1" w:themeFillShade="D9"/>
          </w:tcPr>
          <w:p w14:paraId="5FEE5568" w14:textId="468FD68D" w:rsidR="00AD5770" w:rsidRPr="004C12C9" w:rsidRDefault="00AD5770" w:rsidP="00B41F45">
            <w:pPr>
              <w:pStyle w:val="ICFTableHeading"/>
              <w:keepNext/>
              <w:rPr>
                <w:sz w:val="20"/>
                <w:lang w:bidi="ar-SA"/>
              </w:rPr>
            </w:pPr>
            <w:r w:rsidRPr="004C12C9">
              <w:rPr>
                <w:lang w:bidi="ar-SA"/>
              </w:rPr>
              <w:t>Emission Factor (gCO</w:t>
            </w:r>
            <w:r w:rsidRPr="004C12C9">
              <w:rPr>
                <w:vertAlign w:val="subscript"/>
                <w:lang w:bidi="ar-SA"/>
              </w:rPr>
              <w:t>2</w:t>
            </w:r>
            <w:r w:rsidRPr="004C12C9">
              <w:rPr>
                <w:lang w:bidi="ar-SA"/>
              </w:rPr>
              <w:t>/hp-hr)</w:t>
            </w:r>
          </w:p>
        </w:tc>
        <w:tc>
          <w:tcPr>
            <w:tcW w:w="3150" w:type="dxa"/>
            <w:shd w:val="clear" w:color="auto" w:fill="D9D9D9" w:themeFill="background1" w:themeFillShade="D9"/>
            <w:vAlign w:val="center"/>
            <w:hideMark/>
          </w:tcPr>
          <w:p w14:paraId="63EADAD9" w14:textId="538A1A4D" w:rsidR="00AD5770" w:rsidRPr="004C12C9" w:rsidRDefault="00AD5770" w:rsidP="00B41F45">
            <w:pPr>
              <w:pStyle w:val="ICFTableHeading"/>
              <w:keepNext/>
              <w:rPr>
                <w:lang w:bidi="ar-SA"/>
              </w:rPr>
            </w:pPr>
            <w:r w:rsidRPr="004C12C9">
              <w:rPr>
                <w:lang w:bidi="ar-SA"/>
              </w:rPr>
              <w:t>Consumption Rate</w:t>
            </w:r>
            <w:r w:rsidR="00B41F45" w:rsidRPr="004C12C9">
              <w:rPr>
                <w:lang w:bidi="ar-SA"/>
              </w:rPr>
              <w:t xml:space="preserve"> </w:t>
            </w:r>
            <w:r w:rsidRPr="004C12C9">
              <w:rPr>
                <w:lang w:bidi="ar-SA"/>
              </w:rPr>
              <w:t>(Btu/hp-hr)</w:t>
            </w:r>
          </w:p>
        </w:tc>
      </w:tr>
      <w:tr w:rsidR="00AD5770" w:rsidRPr="004C12C9" w14:paraId="54661DBE" w14:textId="77777777" w:rsidTr="00B41F45">
        <w:trPr>
          <w:trHeight w:val="260"/>
        </w:trPr>
        <w:tc>
          <w:tcPr>
            <w:tcW w:w="2965" w:type="dxa"/>
            <w:noWrap/>
            <w:vAlign w:val="bottom"/>
            <w:hideMark/>
          </w:tcPr>
          <w:p w14:paraId="34CCF28F" w14:textId="77777777" w:rsidR="00AD5770" w:rsidRPr="004C12C9" w:rsidRDefault="00AD5770" w:rsidP="008E4567">
            <w:pPr>
              <w:pStyle w:val="ICFTabletext"/>
              <w:rPr>
                <w:lang w:bidi="ar-SA"/>
              </w:rPr>
            </w:pPr>
            <w:r w:rsidRPr="004C12C9">
              <w:rPr>
                <w:lang w:bidi="ar-SA"/>
              </w:rPr>
              <w:t>Air Compressors</w:t>
            </w:r>
          </w:p>
        </w:tc>
        <w:tc>
          <w:tcPr>
            <w:tcW w:w="3177" w:type="dxa"/>
          </w:tcPr>
          <w:p w14:paraId="358233AA" w14:textId="732C6FBE" w:rsidR="00AD5770" w:rsidRPr="004C12C9" w:rsidRDefault="00AD5770" w:rsidP="00B41F45">
            <w:pPr>
              <w:pStyle w:val="ICFTabletext"/>
              <w:jc w:val="center"/>
              <w:rPr>
                <w:lang w:eastAsia="ja-JP" w:bidi="ar-SA"/>
              </w:rPr>
            </w:pPr>
            <w:r w:rsidRPr="004C12C9">
              <w:rPr>
                <w:lang w:eastAsia="ja-JP" w:bidi="ar-SA"/>
              </w:rPr>
              <w:t>568</w:t>
            </w:r>
          </w:p>
        </w:tc>
        <w:tc>
          <w:tcPr>
            <w:tcW w:w="3150" w:type="dxa"/>
            <w:noWrap/>
            <w:vAlign w:val="center"/>
          </w:tcPr>
          <w:p w14:paraId="5F04C0D2" w14:textId="77777777" w:rsidR="00AD5770" w:rsidRPr="004C12C9" w:rsidRDefault="00AD5770" w:rsidP="00B41F45">
            <w:pPr>
              <w:pStyle w:val="ICFTabletext"/>
              <w:jc w:val="center"/>
              <w:rPr>
                <w:color w:val="000000"/>
                <w:lang w:bidi="ar-SA"/>
              </w:rPr>
            </w:pPr>
            <w:r w:rsidRPr="004C12C9">
              <w:rPr>
                <w:lang w:eastAsia="ja-JP" w:bidi="ar-SA"/>
              </w:rPr>
              <w:t>7,685</w:t>
            </w:r>
          </w:p>
        </w:tc>
      </w:tr>
      <w:tr w:rsidR="00AD5770" w:rsidRPr="004C12C9" w14:paraId="08F6C8D6" w14:textId="77777777" w:rsidTr="00B41F45">
        <w:trPr>
          <w:trHeight w:val="260"/>
        </w:trPr>
        <w:tc>
          <w:tcPr>
            <w:tcW w:w="2965" w:type="dxa"/>
            <w:noWrap/>
            <w:vAlign w:val="bottom"/>
            <w:hideMark/>
          </w:tcPr>
          <w:p w14:paraId="6C8FD99D" w14:textId="77777777" w:rsidR="00AD5770" w:rsidRPr="004C12C9" w:rsidRDefault="00AD5770" w:rsidP="008E4567">
            <w:pPr>
              <w:pStyle w:val="ICFTabletext"/>
              <w:rPr>
                <w:lang w:bidi="ar-SA"/>
              </w:rPr>
            </w:pPr>
            <w:r w:rsidRPr="004C12C9">
              <w:rPr>
                <w:lang w:bidi="ar-SA"/>
              </w:rPr>
              <w:t>Cement and Mortar Mixers</w:t>
            </w:r>
          </w:p>
        </w:tc>
        <w:tc>
          <w:tcPr>
            <w:tcW w:w="3177" w:type="dxa"/>
          </w:tcPr>
          <w:p w14:paraId="659C42D6" w14:textId="2E82585A" w:rsidR="00AD5770" w:rsidRPr="004C12C9" w:rsidRDefault="00AD5770" w:rsidP="00B41F45">
            <w:pPr>
              <w:pStyle w:val="ICFTabletext"/>
              <w:jc w:val="center"/>
              <w:rPr>
                <w:lang w:eastAsia="ja-JP" w:bidi="ar-SA"/>
              </w:rPr>
            </w:pPr>
            <w:r w:rsidRPr="004C12C9">
              <w:rPr>
                <w:lang w:eastAsia="ja-JP" w:bidi="ar-SA"/>
              </w:rPr>
              <w:t>570</w:t>
            </w:r>
          </w:p>
        </w:tc>
        <w:tc>
          <w:tcPr>
            <w:tcW w:w="3150" w:type="dxa"/>
            <w:noWrap/>
            <w:vAlign w:val="center"/>
          </w:tcPr>
          <w:p w14:paraId="36BCEDAD" w14:textId="77777777" w:rsidR="00AD5770" w:rsidRPr="004C12C9" w:rsidRDefault="00AD5770" w:rsidP="00B41F45">
            <w:pPr>
              <w:pStyle w:val="ICFTabletext"/>
              <w:jc w:val="center"/>
              <w:rPr>
                <w:color w:val="000000"/>
                <w:lang w:bidi="ar-SA"/>
              </w:rPr>
            </w:pPr>
            <w:r w:rsidRPr="004C12C9">
              <w:rPr>
                <w:lang w:eastAsia="ja-JP" w:bidi="ar-SA"/>
              </w:rPr>
              <w:t>7,709</w:t>
            </w:r>
          </w:p>
        </w:tc>
      </w:tr>
      <w:tr w:rsidR="00AD5770" w:rsidRPr="004C12C9" w14:paraId="2E4025D8" w14:textId="77777777" w:rsidTr="00B41F45">
        <w:trPr>
          <w:trHeight w:val="260"/>
        </w:trPr>
        <w:tc>
          <w:tcPr>
            <w:tcW w:w="2965" w:type="dxa"/>
            <w:noWrap/>
            <w:vAlign w:val="bottom"/>
            <w:hideMark/>
          </w:tcPr>
          <w:p w14:paraId="7E837C0D" w14:textId="77777777" w:rsidR="00AD5770" w:rsidRPr="004C12C9" w:rsidRDefault="00AD5770" w:rsidP="008E4567">
            <w:pPr>
              <w:pStyle w:val="ICFTabletext"/>
              <w:rPr>
                <w:lang w:bidi="ar-SA"/>
              </w:rPr>
            </w:pPr>
            <w:r w:rsidRPr="004C12C9">
              <w:rPr>
                <w:lang w:bidi="ar-SA"/>
              </w:rPr>
              <w:t>Concrete/Industrial Saws</w:t>
            </w:r>
          </w:p>
        </w:tc>
        <w:tc>
          <w:tcPr>
            <w:tcW w:w="3177" w:type="dxa"/>
          </w:tcPr>
          <w:p w14:paraId="153AF569" w14:textId="429D9CC3" w:rsidR="00AD5770" w:rsidRPr="004C12C9" w:rsidRDefault="00AD5770" w:rsidP="00B41F45">
            <w:pPr>
              <w:pStyle w:val="ICFTabletext"/>
              <w:jc w:val="center"/>
              <w:rPr>
                <w:lang w:eastAsia="ja-JP" w:bidi="ar-SA"/>
              </w:rPr>
            </w:pPr>
            <w:r w:rsidRPr="004C12C9">
              <w:rPr>
                <w:lang w:eastAsia="ja-JP" w:bidi="ar-SA"/>
              </w:rPr>
              <w:t>575</w:t>
            </w:r>
          </w:p>
        </w:tc>
        <w:tc>
          <w:tcPr>
            <w:tcW w:w="3150" w:type="dxa"/>
            <w:noWrap/>
            <w:vAlign w:val="center"/>
          </w:tcPr>
          <w:p w14:paraId="11E58C32" w14:textId="77777777" w:rsidR="00AD5770" w:rsidRPr="004C12C9" w:rsidRDefault="00AD5770" w:rsidP="00B41F45">
            <w:pPr>
              <w:pStyle w:val="ICFTabletext"/>
              <w:jc w:val="center"/>
              <w:rPr>
                <w:color w:val="000000"/>
                <w:lang w:bidi="ar-SA"/>
              </w:rPr>
            </w:pPr>
            <w:r w:rsidRPr="004C12C9">
              <w:rPr>
                <w:lang w:eastAsia="ja-JP" w:bidi="ar-SA"/>
              </w:rPr>
              <w:t>7,775</w:t>
            </w:r>
          </w:p>
        </w:tc>
      </w:tr>
      <w:tr w:rsidR="00AD5770" w:rsidRPr="004C12C9" w14:paraId="6B8C29D9" w14:textId="77777777" w:rsidTr="00B41F45">
        <w:trPr>
          <w:trHeight w:val="260"/>
        </w:trPr>
        <w:tc>
          <w:tcPr>
            <w:tcW w:w="2965" w:type="dxa"/>
            <w:noWrap/>
            <w:vAlign w:val="bottom"/>
            <w:hideMark/>
          </w:tcPr>
          <w:p w14:paraId="6DF8947A" w14:textId="77777777" w:rsidR="00AD5770" w:rsidRPr="004C12C9" w:rsidRDefault="00AD5770" w:rsidP="008E4567">
            <w:pPr>
              <w:pStyle w:val="ICFTabletext"/>
              <w:rPr>
                <w:lang w:bidi="ar-SA"/>
              </w:rPr>
            </w:pPr>
            <w:r w:rsidRPr="004C12C9">
              <w:rPr>
                <w:lang w:bidi="ar-SA"/>
              </w:rPr>
              <w:t>Cranes</w:t>
            </w:r>
          </w:p>
        </w:tc>
        <w:tc>
          <w:tcPr>
            <w:tcW w:w="3177" w:type="dxa"/>
          </w:tcPr>
          <w:p w14:paraId="7464F152" w14:textId="46548764" w:rsidR="00AD5770" w:rsidRPr="004C12C9" w:rsidRDefault="00AD5770" w:rsidP="00B41F45">
            <w:pPr>
              <w:pStyle w:val="ICFTabletext"/>
              <w:jc w:val="center"/>
              <w:rPr>
                <w:lang w:eastAsia="ja-JP" w:bidi="ar-SA"/>
              </w:rPr>
            </w:pPr>
            <w:r w:rsidRPr="004C12C9">
              <w:rPr>
                <w:lang w:eastAsia="ja-JP" w:bidi="ar-SA"/>
              </w:rPr>
              <w:t>528</w:t>
            </w:r>
          </w:p>
        </w:tc>
        <w:tc>
          <w:tcPr>
            <w:tcW w:w="3150" w:type="dxa"/>
            <w:noWrap/>
            <w:vAlign w:val="center"/>
          </w:tcPr>
          <w:p w14:paraId="5F8AD14C" w14:textId="77777777" w:rsidR="00AD5770" w:rsidRPr="004C12C9" w:rsidRDefault="00AD5770" w:rsidP="00B41F45">
            <w:pPr>
              <w:pStyle w:val="ICFTabletext"/>
              <w:jc w:val="center"/>
              <w:rPr>
                <w:color w:val="000000"/>
                <w:lang w:bidi="ar-SA"/>
              </w:rPr>
            </w:pPr>
            <w:r w:rsidRPr="004C12C9">
              <w:rPr>
                <w:lang w:eastAsia="ja-JP" w:bidi="ar-SA"/>
              </w:rPr>
              <w:t>7,133</w:t>
            </w:r>
          </w:p>
        </w:tc>
      </w:tr>
      <w:tr w:rsidR="00AD5770" w:rsidRPr="004C12C9" w14:paraId="4A403449" w14:textId="77777777" w:rsidTr="00B41F45">
        <w:trPr>
          <w:trHeight w:val="260"/>
        </w:trPr>
        <w:tc>
          <w:tcPr>
            <w:tcW w:w="2965" w:type="dxa"/>
            <w:noWrap/>
            <w:vAlign w:val="bottom"/>
            <w:hideMark/>
          </w:tcPr>
          <w:p w14:paraId="7B2E507B" w14:textId="77777777" w:rsidR="00AD5770" w:rsidRPr="004C12C9" w:rsidRDefault="00AD5770" w:rsidP="008E4567">
            <w:pPr>
              <w:pStyle w:val="ICFTabletext"/>
              <w:rPr>
                <w:lang w:bidi="ar-SA"/>
              </w:rPr>
            </w:pPr>
            <w:r w:rsidRPr="004C12C9">
              <w:rPr>
                <w:lang w:bidi="ar-SA"/>
              </w:rPr>
              <w:t>Excavators</w:t>
            </w:r>
          </w:p>
        </w:tc>
        <w:tc>
          <w:tcPr>
            <w:tcW w:w="3177" w:type="dxa"/>
          </w:tcPr>
          <w:p w14:paraId="3AD27931" w14:textId="6F7E5A78" w:rsidR="00AD5770" w:rsidRPr="004C12C9" w:rsidRDefault="00AD5770" w:rsidP="00B41F45">
            <w:pPr>
              <w:pStyle w:val="ICFTabletext"/>
              <w:jc w:val="center"/>
              <w:rPr>
                <w:lang w:eastAsia="ja-JP" w:bidi="ar-SA"/>
              </w:rPr>
            </w:pPr>
            <w:r w:rsidRPr="004C12C9">
              <w:rPr>
                <w:lang w:eastAsia="ja-JP" w:bidi="ar-SA"/>
              </w:rPr>
              <w:t>587</w:t>
            </w:r>
          </w:p>
        </w:tc>
        <w:tc>
          <w:tcPr>
            <w:tcW w:w="3150" w:type="dxa"/>
            <w:noWrap/>
            <w:vAlign w:val="center"/>
          </w:tcPr>
          <w:p w14:paraId="3780260B" w14:textId="77777777" w:rsidR="00AD5770" w:rsidRPr="004C12C9" w:rsidRDefault="00AD5770" w:rsidP="00B41F45">
            <w:pPr>
              <w:pStyle w:val="ICFTabletext"/>
              <w:jc w:val="center"/>
              <w:rPr>
                <w:color w:val="000000"/>
                <w:lang w:bidi="ar-SA"/>
              </w:rPr>
            </w:pPr>
            <w:r w:rsidRPr="004C12C9">
              <w:rPr>
                <w:lang w:eastAsia="ja-JP" w:bidi="ar-SA"/>
              </w:rPr>
              <w:t>7,939</w:t>
            </w:r>
          </w:p>
        </w:tc>
      </w:tr>
      <w:tr w:rsidR="00AD5770" w:rsidRPr="004C12C9" w14:paraId="7FA613A7" w14:textId="77777777" w:rsidTr="00B41F45">
        <w:trPr>
          <w:trHeight w:val="260"/>
        </w:trPr>
        <w:tc>
          <w:tcPr>
            <w:tcW w:w="2965" w:type="dxa"/>
            <w:noWrap/>
            <w:vAlign w:val="bottom"/>
            <w:hideMark/>
          </w:tcPr>
          <w:p w14:paraId="1C22A884" w14:textId="77777777" w:rsidR="00AD5770" w:rsidRPr="004C12C9" w:rsidRDefault="00AD5770" w:rsidP="008E4567">
            <w:pPr>
              <w:pStyle w:val="ICFTabletext"/>
              <w:rPr>
                <w:lang w:bidi="ar-SA"/>
              </w:rPr>
            </w:pPr>
            <w:r w:rsidRPr="004C12C9">
              <w:rPr>
                <w:lang w:bidi="ar-SA"/>
              </w:rPr>
              <w:t>Forklifts</w:t>
            </w:r>
          </w:p>
        </w:tc>
        <w:tc>
          <w:tcPr>
            <w:tcW w:w="3177" w:type="dxa"/>
          </w:tcPr>
          <w:p w14:paraId="78A79B2E" w14:textId="083852B8" w:rsidR="00AD5770" w:rsidRPr="004C12C9" w:rsidRDefault="00AD5770" w:rsidP="00B41F45">
            <w:pPr>
              <w:pStyle w:val="ICFTabletext"/>
              <w:jc w:val="center"/>
              <w:rPr>
                <w:lang w:eastAsia="ja-JP" w:bidi="ar-SA"/>
              </w:rPr>
            </w:pPr>
            <w:r w:rsidRPr="004C12C9">
              <w:rPr>
                <w:lang w:eastAsia="ja-JP" w:bidi="ar-SA"/>
              </w:rPr>
              <w:t>527</w:t>
            </w:r>
          </w:p>
        </w:tc>
        <w:tc>
          <w:tcPr>
            <w:tcW w:w="3150" w:type="dxa"/>
            <w:noWrap/>
            <w:vAlign w:val="center"/>
          </w:tcPr>
          <w:p w14:paraId="50F91BA3" w14:textId="77777777" w:rsidR="00AD5770" w:rsidRPr="004C12C9" w:rsidRDefault="00AD5770" w:rsidP="00B41F45">
            <w:pPr>
              <w:pStyle w:val="ICFTabletext"/>
              <w:jc w:val="center"/>
              <w:rPr>
                <w:color w:val="000000"/>
                <w:lang w:bidi="ar-SA"/>
              </w:rPr>
            </w:pPr>
            <w:r w:rsidRPr="004C12C9">
              <w:rPr>
                <w:lang w:eastAsia="ja-JP" w:bidi="ar-SA"/>
              </w:rPr>
              <w:t>7,127</w:t>
            </w:r>
          </w:p>
        </w:tc>
      </w:tr>
      <w:tr w:rsidR="00AD5770" w:rsidRPr="004C12C9" w14:paraId="4AFDDA1A" w14:textId="77777777" w:rsidTr="00B41F45">
        <w:trPr>
          <w:trHeight w:val="260"/>
        </w:trPr>
        <w:tc>
          <w:tcPr>
            <w:tcW w:w="2965" w:type="dxa"/>
            <w:noWrap/>
            <w:vAlign w:val="bottom"/>
            <w:hideMark/>
          </w:tcPr>
          <w:p w14:paraId="214CECE6" w14:textId="77777777" w:rsidR="00AD5770" w:rsidRPr="004C12C9" w:rsidRDefault="00AD5770" w:rsidP="008E4567">
            <w:pPr>
              <w:pStyle w:val="ICFTabletext"/>
              <w:rPr>
                <w:lang w:bidi="ar-SA"/>
              </w:rPr>
            </w:pPr>
            <w:r w:rsidRPr="004C12C9">
              <w:rPr>
                <w:lang w:bidi="ar-SA"/>
              </w:rPr>
              <w:t>Generator Sets</w:t>
            </w:r>
          </w:p>
        </w:tc>
        <w:tc>
          <w:tcPr>
            <w:tcW w:w="3177" w:type="dxa"/>
          </w:tcPr>
          <w:p w14:paraId="1F28F784" w14:textId="291A9463" w:rsidR="00AD5770" w:rsidRPr="004C12C9" w:rsidRDefault="00AD5770" w:rsidP="00B41F45">
            <w:pPr>
              <w:pStyle w:val="ICFTabletext"/>
              <w:jc w:val="center"/>
              <w:rPr>
                <w:lang w:eastAsia="ja-JP" w:bidi="ar-SA"/>
              </w:rPr>
            </w:pPr>
            <w:r w:rsidRPr="004C12C9">
              <w:rPr>
                <w:lang w:eastAsia="ja-JP" w:bidi="ar-SA"/>
              </w:rPr>
              <w:t>568</w:t>
            </w:r>
          </w:p>
        </w:tc>
        <w:tc>
          <w:tcPr>
            <w:tcW w:w="3150" w:type="dxa"/>
            <w:noWrap/>
            <w:vAlign w:val="center"/>
          </w:tcPr>
          <w:p w14:paraId="01AC5321" w14:textId="77777777" w:rsidR="00AD5770" w:rsidRPr="004C12C9" w:rsidRDefault="00AD5770" w:rsidP="00B41F45">
            <w:pPr>
              <w:pStyle w:val="ICFTabletext"/>
              <w:jc w:val="center"/>
              <w:rPr>
                <w:color w:val="000000"/>
                <w:lang w:bidi="ar-SA"/>
              </w:rPr>
            </w:pPr>
            <w:r w:rsidRPr="004C12C9">
              <w:rPr>
                <w:lang w:eastAsia="ja-JP" w:bidi="ar-SA"/>
              </w:rPr>
              <w:t>7,684</w:t>
            </w:r>
          </w:p>
        </w:tc>
      </w:tr>
      <w:tr w:rsidR="00AD5770" w:rsidRPr="004C12C9" w14:paraId="5DF63671" w14:textId="77777777" w:rsidTr="00B41F45">
        <w:trPr>
          <w:trHeight w:val="260"/>
        </w:trPr>
        <w:tc>
          <w:tcPr>
            <w:tcW w:w="2965" w:type="dxa"/>
            <w:noWrap/>
            <w:vAlign w:val="bottom"/>
            <w:hideMark/>
          </w:tcPr>
          <w:p w14:paraId="07A4EB5F" w14:textId="77777777" w:rsidR="00AD5770" w:rsidRPr="004C12C9" w:rsidRDefault="00AD5770" w:rsidP="008E4567">
            <w:pPr>
              <w:pStyle w:val="ICFTabletext"/>
              <w:rPr>
                <w:lang w:bidi="ar-SA"/>
              </w:rPr>
            </w:pPr>
            <w:r w:rsidRPr="004C12C9">
              <w:rPr>
                <w:lang w:bidi="ar-SA"/>
              </w:rPr>
              <w:t>Graders</w:t>
            </w:r>
          </w:p>
        </w:tc>
        <w:tc>
          <w:tcPr>
            <w:tcW w:w="3177" w:type="dxa"/>
          </w:tcPr>
          <w:p w14:paraId="5CE65069" w14:textId="5DE6DF14" w:rsidR="00AD5770" w:rsidRPr="004C12C9" w:rsidRDefault="00AD5770" w:rsidP="00B41F45">
            <w:pPr>
              <w:pStyle w:val="ICFTabletext"/>
              <w:jc w:val="center"/>
              <w:rPr>
                <w:lang w:eastAsia="ja-JP" w:bidi="ar-SA"/>
              </w:rPr>
            </w:pPr>
            <w:r w:rsidRPr="004C12C9">
              <w:rPr>
                <w:lang w:eastAsia="ja-JP" w:bidi="ar-SA"/>
              </w:rPr>
              <w:t>531</w:t>
            </w:r>
          </w:p>
        </w:tc>
        <w:tc>
          <w:tcPr>
            <w:tcW w:w="3150" w:type="dxa"/>
            <w:noWrap/>
            <w:vAlign w:val="center"/>
          </w:tcPr>
          <w:p w14:paraId="0AA7AF21" w14:textId="77777777" w:rsidR="00AD5770" w:rsidRPr="004C12C9" w:rsidRDefault="00AD5770" w:rsidP="00B41F45">
            <w:pPr>
              <w:pStyle w:val="ICFTabletext"/>
              <w:jc w:val="center"/>
              <w:rPr>
                <w:color w:val="000000"/>
                <w:lang w:bidi="ar-SA"/>
              </w:rPr>
            </w:pPr>
            <w:r w:rsidRPr="004C12C9">
              <w:rPr>
                <w:lang w:eastAsia="ja-JP" w:bidi="ar-SA"/>
              </w:rPr>
              <w:t>7,182</w:t>
            </w:r>
          </w:p>
        </w:tc>
      </w:tr>
      <w:tr w:rsidR="00AD5770" w:rsidRPr="004C12C9" w14:paraId="267991E4" w14:textId="77777777" w:rsidTr="00B41F45">
        <w:trPr>
          <w:trHeight w:val="260"/>
        </w:trPr>
        <w:tc>
          <w:tcPr>
            <w:tcW w:w="2965" w:type="dxa"/>
            <w:noWrap/>
            <w:vAlign w:val="bottom"/>
            <w:hideMark/>
          </w:tcPr>
          <w:p w14:paraId="49936265" w14:textId="77777777" w:rsidR="00AD5770" w:rsidRPr="004C12C9" w:rsidRDefault="00AD5770" w:rsidP="008E4567">
            <w:pPr>
              <w:pStyle w:val="ICFTabletext"/>
              <w:rPr>
                <w:lang w:bidi="ar-SA"/>
              </w:rPr>
            </w:pPr>
            <w:r w:rsidRPr="004C12C9">
              <w:rPr>
                <w:lang w:bidi="ar-SA"/>
              </w:rPr>
              <w:t>Pavers</w:t>
            </w:r>
          </w:p>
        </w:tc>
        <w:tc>
          <w:tcPr>
            <w:tcW w:w="3177" w:type="dxa"/>
          </w:tcPr>
          <w:p w14:paraId="36329243" w14:textId="5CE19093" w:rsidR="00AD5770" w:rsidRPr="004C12C9" w:rsidRDefault="00AD5770" w:rsidP="00B41F45">
            <w:pPr>
              <w:pStyle w:val="ICFTabletext"/>
              <w:jc w:val="center"/>
              <w:rPr>
                <w:lang w:eastAsia="ja-JP" w:bidi="ar-SA"/>
              </w:rPr>
            </w:pPr>
            <w:r w:rsidRPr="004C12C9">
              <w:rPr>
                <w:lang w:eastAsia="ja-JP" w:bidi="ar-SA"/>
              </w:rPr>
              <w:t>527</w:t>
            </w:r>
          </w:p>
        </w:tc>
        <w:tc>
          <w:tcPr>
            <w:tcW w:w="3150" w:type="dxa"/>
            <w:noWrap/>
            <w:vAlign w:val="center"/>
          </w:tcPr>
          <w:p w14:paraId="4D21D873" w14:textId="77777777" w:rsidR="00AD5770" w:rsidRPr="004C12C9" w:rsidRDefault="00AD5770" w:rsidP="00B41F45">
            <w:pPr>
              <w:pStyle w:val="ICFTabletext"/>
              <w:jc w:val="center"/>
              <w:rPr>
                <w:color w:val="000000"/>
                <w:lang w:bidi="ar-SA"/>
              </w:rPr>
            </w:pPr>
            <w:r w:rsidRPr="004C12C9">
              <w:rPr>
                <w:lang w:eastAsia="ja-JP" w:bidi="ar-SA"/>
              </w:rPr>
              <w:t>7,119</w:t>
            </w:r>
          </w:p>
        </w:tc>
      </w:tr>
      <w:tr w:rsidR="00AD5770" w:rsidRPr="004C12C9" w14:paraId="3E1B72B9" w14:textId="77777777" w:rsidTr="00B41F45">
        <w:trPr>
          <w:trHeight w:val="260"/>
        </w:trPr>
        <w:tc>
          <w:tcPr>
            <w:tcW w:w="2965" w:type="dxa"/>
            <w:noWrap/>
            <w:vAlign w:val="bottom"/>
            <w:hideMark/>
          </w:tcPr>
          <w:p w14:paraId="20DE90B3" w14:textId="77777777" w:rsidR="00AD5770" w:rsidRPr="004C12C9" w:rsidRDefault="00AD5770" w:rsidP="008E4567">
            <w:pPr>
              <w:pStyle w:val="ICFTabletext"/>
              <w:rPr>
                <w:lang w:bidi="ar-SA"/>
              </w:rPr>
            </w:pPr>
            <w:r w:rsidRPr="004C12C9">
              <w:rPr>
                <w:lang w:bidi="ar-SA"/>
              </w:rPr>
              <w:t>Paving Equipment</w:t>
            </w:r>
          </w:p>
        </w:tc>
        <w:tc>
          <w:tcPr>
            <w:tcW w:w="3177" w:type="dxa"/>
          </w:tcPr>
          <w:p w14:paraId="1561F7B3" w14:textId="0CBF3917" w:rsidR="00AD5770" w:rsidRPr="004C12C9" w:rsidRDefault="00AD5770" w:rsidP="00B41F45">
            <w:pPr>
              <w:pStyle w:val="ICFTabletext"/>
              <w:jc w:val="center"/>
              <w:rPr>
                <w:lang w:eastAsia="ja-JP" w:bidi="ar-SA"/>
              </w:rPr>
            </w:pPr>
            <w:r w:rsidRPr="004C12C9">
              <w:rPr>
                <w:lang w:eastAsia="ja-JP" w:bidi="ar-SA"/>
              </w:rPr>
              <w:t>528</w:t>
            </w:r>
          </w:p>
        </w:tc>
        <w:tc>
          <w:tcPr>
            <w:tcW w:w="3150" w:type="dxa"/>
            <w:noWrap/>
            <w:vAlign w:val="center"/>
          </w:tcPr>
          <w:p w14:paraId="6A684B3E" w14:textId="77777777" w:rsidR="00AD5770" w:rsidRPr="004C12C9" w:rsidRDefault="00AD5770" w:rsidP="00B41F45">
            <w:pPr>
              <w:pStyle w:val="ICFTabletext"/>
              <w:jc w:val="center"/>
              <w:rPr>
                <w:color w:val="000000"/>
                <w:lang w:bidi="ar-SA"/>
              </w:rPr>
            </w:pPr>
            <w:r w:rsidRPr="004C12C9">
              <w:rPr>
                <w:lang w:eastAsia="ja-JP" w:bidi="ar-SA"/>
              </w:rPr>
              <w:t>7,135</w:t>
            </w:r>
          </w:p>
        </w:tc>
      </w:tr>
      <w:tr w:rsidR="00AD5770" w:rsidRPr="004C12C9" w14:paraId="7A974F44" w14:textId="77777777" w:rsidTr="00B41F45">
        <w:trPr>
          <w:trHeight w:val="260"/>
        </w:trPr>
        <w:tc>
          <w:tcPr>
            <w:tcW w:w="2965" w:type="dxa"/>
            <w:noWrap/>
            <w:vAlign w:val="bottom"/>
            <w:hideMark/>
          </w:tcPr>
          <w:p w14:paraId="3E0CFDF2" w14:textId="77777777" w:rsidR="00AD5770" w:rsidRPr="004C12C9" w:rsidRDefault="00AD5770" w:rsidP="008E4567">
            <w:pPr>
              <w:pStyle w:val="ICFTabletext"/>
              <w:rPr>
                <w:lang w:bidi="ar-SA"/>
              </w:rPr>
            </w:pPr>
            <w:r w:rsidRPr="004C12C9">
              <w:rPr>
                <w:lang w:bidi="ar-SA"/>
              </w:rPr>
              <w:t>Rollers</w:t>
            </w:r>
          </w:p>
        </w:tc>
        <w:tc>
          <w:tcPr>
            <w:tcW w:w="3177" w:type="dxa"/>
          </w:tcPr>
          <w:p w14:paraId="1377057B" w14:textId="0BE92D3E" w:rsidR="00AD5770" w:rsidRPr="004C12C9" w:rsidRDefault="00AD5770" w:rsidP="00B41F45">
            <w:pPr>
              <w:pStyle w:val="ICFTabletext"/>
              <w:jc w:val="center"/>
              <w:rPr>
                <w:lang w:eastAsia="ja-JP" w:bidi="ar-SA"/>
              </w:rPr>
            </w:pPr>
            <w:r w:rsidRPr="004C12C9">
              <w:rPr>
                <w:lang w:eastAsia="ja-JP" w:bidi="ar-SA"/>
              </w:rPr>
              <w:t>587</w:t>
            </w:r>
          </w:p>
        </w:tc>
        <w:tc>
          <w:tcPr>
            <w:tcW w:w="3150" w:type="dxa"/>
            <w:noWrap/>
            <w:vAlign w:val="center"/>
          </w:tcPr>
          <w:p w14:paraId="581A0DFC" w14:textId="77777777" w:rsidR="00AD5770" w:rsidRPr="004C12C9" w:rsidRDefault="00AD5770" w:rsidP="00B41F45">
            <w:pPr>
              <w:pStyle w:val="ICFTabletext"/>
              <w:jc w:val="center"/>
              <w:rPr>
                <w:color w:val="000000"/>
                <w:lang w:bidi="ar-SA"/>
              </w:rPr>
            </w:pPr>
            <w:r w:rsidRPr="004C12C9">
              <w:rPr>
                <w:lang w:eastAsia="ja-JP" w:bidi="ar-SA"/>
              </w:rPr>
              <w:t>7,935</w:t>
            </w:r>
          </w:p>
        </w:tc>
      </w:tr>
      <w:tr w:rsidR="00AD5770" w:rsidRPr="004C12C9" w14:paraId="581A285B" w14:textId="77777777" w:rsidTr="00B41F45">
        <w:trPr>
          <w:trHeight w:val="260"/>
        </w:trPr>
        <w:tc>
          <w:tcPr>
            <w:tcW w:w="2965" w:type="dxa"/>
            <w:noWrap/>
            <w:vAlign w:val="bottom"/>
            <w:hideMark/>
          </w:tcPr>
          <w:p w14:paraId="19C8D1ED" w14:textId="77777777" w:rsidR="00AD5770" w:rsidRPr="004C12C9" w:rsidRDefault="00AD5770" w:rsidP="008E4567">
            <w:pPr>
              <w:pStyle w:val="ICFTabletext"/>
              <w:rPr>
                <w:lang w:bidi="ar-SA"/>
              </w:rPr>
            </w:pPr>
            <w:r w:rsidRPr="004C12C9">
              <w:rPr>
                <w:lang w:bidi="ar-SA"/>
              </w:rPr>
              <w:t>Rubber Tired Dozers</w:t>
            </w:r>
          </w:p>
        </w:tc>
        <w:tc>
          <w:tcPr>
            <w:tcW w:w="3177" w:type="dxa"/>
          </w:tcPr>
          <w:p w14:paraId="482A2C11" w14:textId="4BD44C99" w:rsidR="00AD5770" w:rsidRPr="004C12C9" w:rsidRDefault="00AD5770" w:rsidP="00B41F45">
            <w:pPr>
              <w:pStyle w:val="ICFTabletext"/>
              <w:jc w:val="center"/>
              <w:rPr>
                <w:lang w:eastAsia="ja-JP" w:bidi="ar-SA"/>
              </w:rPr>
            </w:pPr>
            <w:r w:rsidRPr="004C12C9">
              <w:rPr>
                <w:lang w:eastAsia="ja-JP" w:bidi="ar-SA"/>
              </w:rPr>
              <w:t>532</w:t>
            </w:r>
          </w:p>
        </w:tc>
        <w:tc>
          <w:tcPr>
            <w:tcW w:w="3150" w:type="dxa"/>
            <w:noWrap/>
            <w:vAlign w:val="center"/>
          </w:tcPr>
          <w:p w14:paraId="14E96025" w14:textId="77777777" w:rsidR="00AD5770" w:rsidRPr="004C12C9" w:rsidRDefault="00AD5770" w:rsidP="00B41F45">
            <w:pPr>
              <w:pStyle w:val="ICFTabletext"/>
              <w:jc w:val="center"/>
              <w:rPr>
                <w:color w:val="000000"/>
                <w:lang w:bidi="ar-SA"/>
              </w:rPr>
            </w:pPr>
            <w:r w:rsidRPr="004C12C9">
              <w:rPr>
                <w:lang w:eastAsia="ja-JP" w:bidi="ar-SA"/>
              </w:rPr>
              <w:t>7,195</w:t>
            </w:r>
          </w:p>
        </w:tc>
      </w:tr>
      <w:tr w:rsidR="00AD5770" w:rsidRPr="004C12C9" w14:paraId="2E24F9EB" w14:textId="77777777" w:rsidTr="00B41F45">
        <w:trPr>
          <w:trHeight w:val="260"/>
        </w:trPr>
        <w:tc>
          <w:tcPr>
            <w:tcW w:w="2965" w:type="dxa"/>
            <w:noWrap/>
            <w:vAlign w:val="bottom"/>
            <w:hideMark/>
          </w:tcPr>
          <w:p w14:paraId="7E8B1EBF" w14:textId="77777777" w:rsidR="00AD5770" w:rsidRPr="004C12C9" w:rsidRDefault="00AD5770" w:rsidP="008E4567">
            <w:pPr>
              <w:pStyle w:val="ICFTabletext"/>
              <w:rPr>
                <w:lang w:bidi="ar-SA"/>
              </w:rPr>
            </w:pPr>
            <w:r w:rsidRPr="004C12C9">
              <w:rPr>
                <w:lang w:bidi="ar-SA"/>
              </w:rPr>
              <w:t>Scrapers</w:t>
            </w:r>
          </w:p>
        </w:tc>
        <w:tc>
          <w:tcPr>
            <w:tcW w:w="3177" w:type="dxa"/>
          </w:tcPr>
          <w:p w14:paraId="3A27709C" w14:textId="4271A0E3" w:rsidR="00AD5770" w:rsidRPr="004C12C9" w:rsidRDefault="00AD5770" w:rsidP="00B41F45">
            <w:pPr>
              <w:pStyle w:val="ICFTabletext"/>
              <w:jc w:val="center"/>
              <w:rPr>
                <w:lang w:eastAsia="ja-JP" w:bidi="ar-SA"/>
              </w:rPr>
            </w:pPr>
            <w:r w:rsidRPr="004C12C9">
              <w:rPr>
                <w:lang w:eastAsia="ja-JP" w:bidi="ar-SA"/>
              </w:rPr>
              <w:t>529</w:t>
            </w:r>
          </w:p>
        </w:tc>
        <w:tc>
          <w:tcPr>
            <w:tcW w:w="3150" w:type="dxa"/>
            <w:noWrap/>
            <w:vAlign w:val="center"/>
          </w:tcPr>
          <w:p w14:paraId="1617E7D1" w14:textId="77777777" w:rsidR="00AD5770" w:rsidRPr="004C12C9" w:rsidRDefault="00AD5770" w:rsidP="00B41F45">
            <w:pPr>
              <w:pStyle w:val="ICFTabletext"/>
              <w:jc w:val="center"/>
              <w:rPr>
                <w:color w:val="000000"/>
                <w:lang w:bidi="ar-SA"/>
              </w:rPr>
            </w:pPr>
            <w:r w:rsidRPr="004C12C9">
              <w:rPr>
                <w:lang w:eastAsia="ja-JP" w:bidi="ar-SA"/>
              </w:rPr>
              <w:t>7,152</w:t>
            </w:r>
          </w:p>
        </w:tc>
      </w:tr>
      <w:tr w:rsidR="00AD5770" w:rsidRPr="004C12C9" w14:paraId="5B60DBB9" w14:textId="77777777" w:rsidTr="00B41F45">
        <w:trPr>
          <w:trHeight w:val="260"/>
        </w:trPr>
        <w:tc>
          <w:tcPr>
            <w:tcW w:w="2965" w:type="dxa"/>
            <w:noWrap/>
            <w:vAlign w:val="bottom"/>
            <w:hideMark/>
          </w:tcPr>
          <w:p w14:paraId="5B9480AA" w14:textId="77777777" w:rsidR="00AD5770" w:rsidRPr="004C12C9" w:rsidRDefault="00AD5770" w:rsidP="008E4567">
            <w:pPr>
              <w:pStyle w:val="ICFTabletext"/>
              <w:rPr>
                <w:lang w:bidi="ar-SA"/>
              </w:rPr>
            </w:pPr>
            <w:r w:rsidRPr="004C12C9">
              <w:rPr>
                <w:lang w:bidi="ar-SA"/>
              </w:rPr>
              <w:t>Tractors/Loaders/Backhoes</w:t>
            </w:r>
          </w:p>
        </w:tc>
        <w:tc>
          <w:tcPr>
            <w:tcW w:w="3177" w:type="dxa"/>
          </w:tcPr>
          <w:p w14:paraId="6B18E0DB" w14:textId="5DA650CD" w:rsidR="00AD5770" w:rsidRPr="004C12C9" w:rsidRDefault="00AD5770" w:rsidP="00B41F45">
            <w:pPr>
              <w:pStyle w:val="ICFTabletext"/>
              <w:jc w:val="center"/>
              <w:rPr>
                <w:lang w:eastAsia="ja-JP" w:bidi="ar-SA"/>
              </w:rPr>
            </w:pPr>
            <w:r w:rsidRPr="004C12C9">
              <w:rPr>
                <w:lang w:eastAsia="ja-JP" w:bidi="ar-SA"/>
              </w:rPr>
              <w:t>530</w:t>
            </w:r>
          </w:p>
        </w:tc>
        <w:tc>
          <w:tcPr>
            <w:tcW w:w="3150" w:type="dxa"/>
            <w:noWrap/>
            <w:vAlign w:val="center"/>
          </w:tcPr>
          <w:p w14:paraId="34772F5D" w14:textId="77777777" w:rsidR="00AD5770" w:rsidRPr="004C12C9" w:rsidRDefault="00AD5770" w:rsidP="00B41F45">
            <w:pPr>
              <w:pStyle w:val="ICFTabletext"/>
              <w:jc w:val="center"/>
              <w:rPr>
                <w:color w:val="000000"/>
                <w:lang w:bidi="ar-SA"/>
              </w:rPr>
            </w:pPr>
            <w:r w:rsidRPr="004C12C9">
              <w:rPr>
                <w:lang w:eastAsia="ja-JP" w:bidi="ar-SA"/>
              </w:rPr>
              <w:t>7,164</w:t>
            </w:r>
          </w:p>
        </w:tc>
      </w:tr>
      <w:tr w:rsidR="00AD5770" w:rsidRPr="004C12C9" w14:paraId="47A2B4E5" w14:textId="77777777" w:rsidTr="00B41F45">
        <w:trPr>
          <w:trHeight w:val="270"/>
        </w:trPr>
        <w:tc>
          <w:tcPr>
            <w:tcW w:w="2965" w:type="dxa"/>
            <w:noWrap/>
            <w:vAlign w:val="bottom"/>
            <w:hideMark/>
          </w:tcPr>
          <w:p w14:paraId="2DDA395A" w14:textId="77777777" w:rsidR="00AD5770" w:rsidRPr="004C12C9" w:rsidRDefault="00AD5770" w:rsidP="008E4567">
            <w:pPr>
              <w:pStyle w:val="ICFTabletext"/>
              <w:rPr>
                <w:lang w:bidi="ar-SA"/>
              </w:rPr>
            </w:pPr>
            <w:r w:rsidRPr="004C12C9">
              <w:rPr>
                <w:lang w:bidi="ar-SA"/>
              </w:rPr>
              <w:t>Welders</w:t>
            </w:r>
          </w:p>
        </w:tc>
        <w:tc>
          <w:tcPr>
            <w:tcW w:w="3177" w:type="dxa"/>
          </w:tcPr>
          <w:p w14:paraId="27D6EFD0" w14:textId="73ECD555" w:rsidR="00AD5770" w:rsidRPr="004C12C9" w:rsidRDefault="00AD5770" w:rsidP="00B41F45">
            <w:pPr>
              <w:pStyle w:val="ICFTabletext"/>
              <w:jc w:val="center"/>
              <w:rPr>
                <w:lang w:eastAsia="ja-JP" w:bidi="ar-SA"/>
              </w:rPr>
            </w:pPr>
            <w:r w:rsidRPr="004C12C9">
              <w:rPr>
                <w:lang w:eastAsia="ja-JP" w:bidi="ar-SA"/>
              </w:rPr>
              <w:t>568</w:t>
            </w:r>
          </w:p>
        </w:tc>
        <w:tc>
          <w:tcPr>
            <w:tcW w:w="3150" w:type="dxa"/>
            <w:noWrap/>
            <w:vAlign w:val="center"/>
          </w:tcPr>
          <w:p w14:paraId="7BBAC84A" w14:textId="77777777" w:rsidR="00AD5770" w:rsidRPr="004C12C9" w:rsidRDefault="00AD5770" w:rsidP="00B41F45">
            <w:pPr>
              <w:pStyle w:val="ICFTabletext"/>
              <w:jc w:val="center"/>
              <w:rPr>
                <w:color w:val="000000"/>
                <w:lang w:bidi="ar-SA"/>
              </w:rPr>
            </w:pPr>
            <w:r w:rsidRPr="004C12C9">
              <w:rPr>
                <w:lang w:eastAsia="ja-JP" w:bidi="ar-SA"/>
              </w:rPr>
              <w:t>7,684</w:t>
            </w:r>
          </w:p>
        </w:tc>
      </w:tr>
    </w:tbl>
    <w:p w14:paraId="0D7B7EC1" w14:textId="386D4C4E" w:rsidR="00C73859" w:rsidRDefault="00C73859" w:rsidP="00E31E37">
      <w:pPr>
        <w:pStyle w:val="Heading4"/>
      </w:pPr>
      <w:r>
        <w:lastRenderedPageBreak/>
        <w:t>Heating Value</w:t>
      </w:r>
      <w:r w:rsidR="002C3468">
        <w:t>s</w:t>
      </w:r>
    </w:p>
    <w:p w14:paraId="6C793785" w14:textId="1A66C61C" w:rsidR="00C73859" w:rsidRDefault="000841EF" w:rsidP="00C73859">
      <w:r>
        <w:t xml:space="preserve">For the fuel consumption approach, </w:t>
      </w:r>
      <w:r w:rsidR="00596074">
        <w:t xml:space="preserve">users provide the </w:t>
      </w:r>
      <w:r w:rsidR="00B52E5F">
        <w:t xml:space="preserve">total </w:t>
      </w:r>
      <w:r w:rsidR="00596074">
        <w:t xml:space="preserve">amount of fuel consumed by fuel type. </w:t>
      </w:r>
      <w:r w:rsidR="006B2A05">
        <w:t xml:space="preserve">Table </w:t>
      </w:r>
      <w:r w:rsidR="006B2A05">
        <w:rPr>
          <w:highlight w:val="yellow"/>
        </w:rPr>
        <w:fldChar w:fldCharType="begin"/>
      </w:r>
      <w:r w:rsidR="006B2A05">
        <w:instrText xml:space="preserve"> REF _Ref219384263 \h </w:instrText>
      </w:r>
      <w:r w:rsidR="006B2A05">
        <w:rPr>
          <w:highlight w:val="yellow"/>
        </w:rPr>
      </w:r>
      <w:r w:rsidR="006B2A05">
        <w:rPr>
          <w:highlight w:val="yellow"/>
        </w:rPr>
        <w:fldChar w:fldCharType="separate"/>
      </w:r>
      <w:r w:rsidR="006B2A05">
        <w:rPr>
          <w:noProof/>
        </w:rPr>
        <w:t>2</w:t>
      </w:r>
      <w:r w:rsidR="006B2A05">
        <w:noBreakHyphen/>
      </w:r>
      <w:r w:rsidR="006B2A05">
        <w:rPr>
          <w:noProof/>
        </w:rPr>
        <w:t>30</w:t>
      </w:r>
      <w:r w:rsidR="006B2A05">
        <w:rPr>
          <w:highlight w:val="yellow"/>
        </w:rPr>
        <w:fldChar w:fldCharType="end"/>
      </w:r>
      <w:r w:rsidR="00CE6CCE">
        <w:t xml:space="preserve"> lists</w:t>
      </w:r>
      <w:r w:rsidR="00A4322D">
        <w:t xml:space="preserve"> </w:t>
      </w:r>
      <w:r w:rsidR="00260362" w:rsidRPr="004C12C9">
        <w:t xml:space="preserve">the </w:t>
      </w:r>
      <w:r w:rsidR="00260362">
        <w:t xml:space="preserve">fuel </w:t>
      </w:r>
      <w:r w:rsidR="00260362" w:rsidRPr="004C12C9">
        <w:t>types that are included in the calculator and their assumed heat content, as obtained from EPA’s GHG Emission Factors Hub.</w:t>
      </w:r>
      <w:r w:rsidR="00260362" w:rsidRPr="004C12C9">
        <w:rPr>
          <w:rStyle w:val="FootnoteReference"/>
        </w:rPr>
        <w:footnoteReference w:id="46"/>
      </w:r>
      <w:r w:rsidR="00276B47" w:rsidRPr="00276B47">
        <w:t xml:space="preserve"> </w:t>
      </w:r>
      <w:r w:rsidR="00F0368D">
        <w:t>Users may also provide data on e</w:t>
      </w:r>
      <w:r w:rsidR="00AA68BD">
        <w:t>lectricity</w:t>
      </w:r>
      <w:r w:rsidR="00276B47">
        <w:t xml:space="preserve"> consumption in kWh</w:t>
      </w:r>
      <w:r w:rsidR="00F0368D">
        <w:t>, which is</w:t>
      </w:r>
      <w:r w:rsidR="00AA68BD">
        <w:t xml:space="preserve"> </w:t>
      </w:r>
      <w:r w:rsidR="00276B47">
        <w:t xml:space="preserve">converted to Btu </w:t>
      </w:r>
      <w:r w:rsidR="00AA68BD">
        <w:t>using</w:t>
      </w:r>
      <w:r w:rsidR="00C55C44" w:rsidRPr="004C12C9">
        <w:t xml:space="preserve"> a standard conversion factor of 3,412.14 Btu per kWh.</w:t>
      </w:r>
    </w:p>
    <w:p w14:paraId="23FDA945" w14:textId="46DE7C36" w:rsidR="000841EF" w:rsidRDefault="006B2A05" w:rsidP="00C669DA">
      <w:pPr>
        <w:pStyle w:val="Caption"/>
      </w:pPr>
      <w:bookmarkStart w:id="93" w:name="_Ref219384263"/>
      <w:r>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30</w:t>
      </w:r>
      <w:r w:rsidR="00F72B41">
        <w:fldChar w:fldCharType="end"/>
      </w:r>
      <w:bookmarkEnd w:id="93"/>
      <w:r w:rsidR="000841EF">
        <w:t xml:space="preserve">. </w:t>
      </w:r>
      <w:r w:rsidR="00F738AE">
        <w:t>Heat Content by Fuel Type</w:t>
      </w:r>
    </w:p>
    <w:tbl>
      <w:tblPr>
        <w:tblW w:w="375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0"/>
        <w:gridCol w:w="4265"/>
      </w:tblGrid>
      <w:tr w:rsidR="005F47A2" w:rsidRPr="004C12C9" w14:paraId="7AFF2806" w14:textId="77777777" w:rsidTr="005F47A2">
        <w:trPr>
          <w:trHeight w:val="290"/>
        </w:trPr>
        <w:tc>
          <w:tcPr>
            <w:tcW w:w="3290" w:type="dxa"/>
            <w:shd w:val="clear" w:color="auto" w:fill="D9D9D9" w:themeFill="background1" w:themeFillShade="D9"/>
            <w:noWrap/>
            <w:vAlign w:val="center"/>
            <w:hideMark/>
          </w:tcPr>
          <w:p w14:paraId="1B135EDD" w14:textId="77777777" w:rsidR="005F47A2" w:rsidRPr="004C12C9" w:rsidRDefault="005F47A2" w:rsidP="00BC0D67">
            <w:pPr>
              <w:pStyle w:val="ICFTableHeading"/>
              <w:rPr>
                <w:rFonts w:asciiTheme="minorHAnsi" w:hAnsiTheme="minorHAnsi" w:cstheme="minorHAnsi"/>
                <w:b w:val="0"/>
                <w:color w:val="FFFFFF"/>
                <w:sz w:val="20"/>
                <w:lang w:bidi="ar-SA"/>
              </w:rPr>
            </w:pPr>
            <w:r w:rsidRPr="004C12C9">
              <w:rPr>
                <w:lang w:bidi="ar-SA"/>
              </w:rPr>
              <w:t>Fuel</w:t>
            </w:r>
          </w:p>
        </w:tc>
        <w:tc>
          <w:tcPr>
            <w:tcW w:w="4265" w:type="dxa"/>
            <w:shd w:val="clear" w:color="auto" w:fill="D9D9D9" w:themeFill="background1" w:themeFillShade="D9"/>
            <w:vAlign w:val="center"/>
            <w:hideMark/>
          </w:tcPr>
          <w:p w14:paraId="512B08D8" w14:textId="4EF4B273" w:rsidR="005F47A2" w:rsidRPr="004C12C9" w:rsidRDefault="005F47A2" w:rsidP="00BC0D67">
            <w:pPr>
              <w:pStyle w:val="ICFTableHeading"/>
              <w:rPr>
                <w:rFonts w:asciiTheme="minorHAnsi" w:hAnsiTheme="minorHAnsi" w:cstheme="minorHAnsi"/>
                <w:color w:val="FFFFFF"/>
                <w:szCs w:val="22"/>
                <w:lang w:bidi="ar-SA"/>
              </w:rPr>
            </w:pPr>
            <w:r>
              <w:rPr>
                <w:lang w:bidi="ar-SA"/>
              </w:rPr>
              <w:t>Heating Value</w:t>
            </w:r>
            <w:r w:rsidRPr="004C12C9">
              <w:rPr>
                <w:lang w:bidi="ar-SA"/>
              </w:rPr>
              <w:t xml:space="preserve"> (</w:t>
            </w:r>
            <w:r>
              <w:rPr>
                <w:lang w:bidi="ar-SA"/>
              </w:rPr>
              <w:t>Btu/gallon)</w:t>
            </w:r>
          </w:p>
        </w:tc>
      </w:tr>
      <w:tr w:rsidR="005F47A2" w:rsidRPr="004C12C9" w14:paraId="373AB9E6" w14:textId="77777777" w:rsidTr="00C669DA">
        <w:trPr>
          <w:trHeight w:val="290"/>
        </w:trPr>
        <w:tc>
          <w:tcPr>
            <w:tcW w:w="3290" w:type="dxa"/>
            <w:noWrap/>
            <w:vAlign w:val="center"/>
          </w:tcPr>
          <w:p w14:paraId="29AF5B0D" w14:textId="77777777" w:rsidR="005F47A2" w:rsidRPr="004C12C9" w:rsidRDefault="005F47A2" w:rsidP="005F47A2">
            <w:pPr>
              <w:pStyle w:val="ICFTabletext"/>
              <w:rPr>
                <w:b/>
                <w:bCs/>
                <w:lang w:bidi="ar-SA"/>
              </w:rPr>
            </w:pPr>
            <w:r w:rsidRPr="004C12C9">
              <w:rPr>
                <w:lang w:eastAsia="ja-JP" w:bidi="ar-SA"/>
              </w:rPr>
              <w:t>Diesel</w:t>
            </w:r>
          </w:p>
        </w:tc>
        <w:tc>
          <w:tcPr>
            <w:tcW w:w="4265" w:type="dxa"/>
          </w:tcPr>
          <w:p w14:paraId="4744D8B7" w14:textId="1E241441" w:rsidR="005F47A2" w:rsidRPr="004C12C9" w:rsidRDefault="005F47A2" w:rsidP="005F47A2">
            <w:pPr>
              <w:pStyle w:val="ICFTabletext"/>
              <w:jc w:val="center"/>
              <w:rPr>
                <w:b/>
                <w:bCs/>
                <w:color w:val="FFFFFF"/>
                <w:lang w:bidi="ar-SA"/>
              </w:rPr>
            </w:pPr>
            <w:r w:rsidRPr="007A6E05">
              <w:t xml:space="preserve"> 138,000 </w:t>
            </w:r>
          </w:p>
        </w:tc>
      </w:tr>
      <w:tr w:rsidR="005F47A2" w:rsidRPr="004C12C9" w14:paraId="4202873D" w14:textId="77777777" w:rsidTr="00C669DA">
        <w:trPr>
          <w:trHeight w:val="290"/>
        </w:trPr>
        <w:tc>
          <w:tcPr>
            <w:tcW w:w="3290" w:type="dxa"/>
            <w:noWrap/>
            <w:vAlign w:val="center"/>
            <w:hideMark/>
          </w:tcPr>
          <w:p w14:paraId="62FA8917" w14:textId="77777777" w:rsidR="005F47A2" w:rsidRPr="004C12C9" w:rsidRDefault="005F47A2" w:rsidP="005F47A2">
            <w:pPr>
              <w:pStyle w:val="ICFTabletext"/>
              <w:rPr>
                <w:color w:val="000000"/>
                <w:lang w:bidi="ar-SA"/>
              </w:rPr>
            </w:pPr>
            <w:r w:rsidRPr="004C12C9">
              <w:rPr>
                <w:lang w:eastAsia="ja-JP" w:bidi="ar-SA"/>
              </w:rPr>
              <w:t xml:space="preserve">Biodiesel 100 </w:t>
            </w:r>
          </w:p>
        </w:tc>
        <w:tc>
          <w:tcPr>
            <w:tcW w:w="4265" w:type="dxa"/>
            <w:noWrap/>
          </w:tcPr>
          <w:p w14:paraId="406A1DB5" w14:textId="4D04F54E" w:rsidR="005F47A2" w:rsidRPr="004C12C9" w:rsidRDefault="005F47A2" w:rsidP="005F47A2">
            <w:pPr>
              <w:pStyle w:val="ICFTabletext"/>
              <w:jc w:val="center"/>
              <w:rPr>
                <w:lang w:bidi="ar-SA"/>
              </w:rPr>
            </w:pPr>
            <w:r w:rsidRPr="007A6E05">
              <w:t xml:space="preserve"> 128,000 </w:t>
            </w:r>
          </w:p>
        </w:tc>
      </w:tr>
      <w:tr w:rsidR="005F47A2" w:rsidRPr="004C12C9" w14:paraId="2603F538" w14:textId="77777777" w:rsidTr="00C669DA">
        <w:trPr>
          <w:trHeight w:val="290"/>
        </w:trPr>
        <w:tc>
          <w:tcPr>
            <w:tcW w:w="3290" w:type="dxa"/>
            <w:noWrap/>
            <w:vAlign w:val="center"/>
          </w:tcPr>
          <w:p w14:paraId="760B0ADF" w14:textId="604FF104" w:rsidR="005F47A2" w:rsidRPr="004C12C9" w:rsidRDefault="005F47A2" w:rsidP="005F47A2">
            <w:pPr>
              <w:pStyle w:val="ICFTabletext"/>
              <w:rPr>
                <w:color w:val="000000"/>
                <w:lang w:bidi="ar-SA"/>
              </w:rPr>
            </w:pPr>
            <w:r w:rsidRPr="004C12C9">
              <w:rPr>
                <w:lang w:eastAsia="ja-JP" w:bidi="ar-SA"/>
              </w:rPr>
              <w:t>Biodiesel 20</w:t>
            </w:r>
            <w:r w:rsidR="00EE4F84" w:rsidRPr="004C12C9">
              <w:rPr>
                <w:color w:val="000000"/>
                <w:sz w:val="20"/>
                <w:vertAlign w:val="superscript"/>
              </w:rPr>
              <w:t>a</w:t>
            </w:r>
          </w:p>
        </w:tc>
        <w:tc>
          <w:tcPr>
            <w:tcW w:w="4265" w:type="dxa"/>
            <w:noWrap/>
          </w:tcPr>
          <w:p w14:paraId="20ACF371" w14:textId="788E7AC7" w:rsidR="005F47A2" w:rsidRPr="004C12C9" w:rsidRDefault="005F47A2" w:rsidP="005F47A2">
            <w:pPr>
              <w:pStyle w:val="ICFTabletext"/>
              <w:jc w:val="center"/>
              <w:rPr>
                <w:lang w:bidi="ar-SA"/>
              </w:rPr>
            </w:pPr>
            <w:r w:rsidRPr="007A6E05">
              <w:t xml:space="preserve"> 128,000 </w:t>
            </w:r>
          </w:p>
        </w:tc>
      </w:tr>
      <w:tr w:rsidR="005F47A2" w:rsidRPr="004C12C9" w14:paraId="737822DE" w14:textId="77777777" w:rsidTr="00C669DA">
        <w:trPr>
          <w:trHeight w:val="290"/>
        </w:trPr>
        <w:tc>
          <w:tcPr>
            <w:tcW w:w="3290" w:type="dxa"/>
            <w:noWrap/>
            <w:vAlign w:val="center"/>
          </w:tcPr>
          <w:p w14:paraId="00E31D8B" w14:textId="646444E3" w:rsidR="005F47A2" w:rsidRPr="004C12C9" w:rsidRDefault="005F47A2" w:rsidP="005F47A2">
            <w:pPr>
              <w:pStyle w:val="ICFTabletext"/>
              <w:rPr>
                <w:color w:val="000000"/>
                <w:lang w:bidi="ar-SA"/>
              </w:rPr>
            </w:pPr>
            <w:r w:rsidRPr="004C12C9">
              <w:rPr>
                <w:lang w:eastAsia="ja-JP" w:bidi="ar-SA"/>
              </w:rPr>
              <w:t>Renewable Diesel</w:t>
            </w:r>
            <w:r w:rsidR="00EE4F84" w:rsidRPr="004C12C9">
              <w:rPr>
                <w:color w:val="000000"/>
                <w:sz w:val="20"/>
                <w:vertAlign w:val="superscript"/>
              </w:rPr>
              <w:t>b</w:t>
            </w:r>
          </w:p>
        </w:tc>
        <w:tc>
          <w:tcPr>
            <w:tcW w:w="4265" w:type="dxa"/>
            <w:noWrap/>
          </w:tcPr>
          <w:p w14:paraId="23F119D1" w14:textId="233143B9" w:rsidR="005F47A2" w:rsidRPr="004C12C9" w:rsidRDefault="005F47A2" w:rsidP="005F47A2">
            <w:pPr>
              <w:pStyle w:val="ICFTabletext"/>
              <w:jc w:val="center"/>
              <w:rPr>
                <w:lang w:bidi="ar-SA"/>
              </w:rPr>
            </w:pPr>
            <w:r w:rsidRPr="007A6E05">
              <w:t xml:space="preserve"> 122,887 </w:t>
            </w:r>
          </w:p>
        </w:tc>
      </w:tr>
    </w:tbl>
    <w:p w14:paraId="3C424321" w14:textId="77777777" w:rsidR="00EE4F84" w:rsidRPr="004C12C9" w:rsidRDefault="00EE4F84" w:rsidP="00EE4F84">
      <w:pPr>
        <w:pStyle w:val="TableFooter"/>
      </w:pPr>
      <w:r w:rsidRPr="004C12C9">
        <w:rPr>
          <w:color w:val="000000"/>
          <w:sz w:val="20"/>
          <w:szCs w:val="20"/>
          <w:vertAlign w:val="superscript"/>
        </w:rPr>
        <w:t>a</w:t>
      </w:r>
      <w:r w:rsidRPr="004C12C9">
        <w:t xml:space="preserve"> Not available from EPA Emission Factors Hub. Assumes the same heat content as BD100.</w:t>
      </w:r>
    </w:p>
    <w:p w14:paraId="55162C44" w14:textId="77777777" w:rsidR="00EE4F84" w:rsidRPr="004C12C9" w:rsidRDefault="00EE4F84" w:rsidP="00EE4F84">
      <w:pPr>
        <w:pStyle w:val="TableFooter"/>
      </w:pPr>
      <w:r w:rsidRPr="004C12C9">
        <w:rPr>
          <w:color w:val="000000"/>
          <w:sz w:val="20"/>
          <w:szCs w:val="20"/>
          <w:vertAlign w:val="superscript"/>
        </w:rPr>
        <w:t>b</w:t>
      </w:r>
      <w:r w:rsidRPr="004C12C9">
        <w:t xml:space="preserve"> Not available from EPA Emission Factors Hub. Based on low heating value for Renewable Diesel II from GREET.</w:t>
      </w:r>
    </w:p>
    <w:p w14:paraId="388B1A85" w14:textId="7F6CD6DB" w:rsidR="00006179" w:rsidRPr="004C12C9" w:rsidRDefault="0077217C" w:rsidP="00E31E37">
      <w:pPr>
        <w:pStyle w:val="Heading4"/>
      </w:pPr>
      <w:r w:rsidRPr="004C12C9">
        <w:t>Emission Factors</w:t>
      </w:r>
    </w:p>
    <w:p w14:paraId="56A2B9AB" w14:textId="5815B089" w:rsidR="00736A06" w:rsidRPr="004C12C9" w:rsidRDefault="00A80CDC" w:rsidP="00211460">
      <w:pPr>
        <w:pStyle w:val="Heading5"/>
      </w:pPr>
      <w:r w:rsidRPr="004C12C9">
        <w:t>Diesel and Biofuel</w:t>
      </w:r>
    </w:p>
    <w:p w14:paraId="6817057A" w14:textId="7C6CD002" w:rsidR="00762656" w:rsidRPr="004C12C9" w:rsidRDefault="000C0541" w:rsidP="00123769">
      <w:pPr>
        <w:rPr>
          <w:lang w:eastAsia="ja-JP" w:bidi="ar-SA"/>
        </w:rPr>
      </w:pPr>
      <w:r>
        <w:t xml:space="preserve">For the </w:t>
      </w:r>
      <w:r w:rsidR="0078265E">
        <w:t>fuel consumption approach,</w:t>
      </w:r>
      <w:r w:rsidRPr="004C12C9">
        <w:t xml:space="preserve"> emission factor</w:t>
      </w:r>
      <w:r w:rsidR="0078265E">
        <w:t xml:space="preserve">s were </w:t>
      </w:r>
      <w:r w:rsidRPr="004C12C9">
        <w:t>derived based on data obtained from EPA’s Emission Factors Hub</w:t>
      </w:r>
      <w:r w:rsidRPr="004C12C9">
        <w:rPr>
          <w:rStyle w:val="FootnoteReference"/>
        </w:rPr>
        <w:footnoteReference w:id="47"/>
      </w:r>
      <w:r w:rsidRPr="004C12C9">
        <w:t xml:space="preserve"> and GREET 1 2024.</w:t>
      </w:r>
      <w:r w:rsidRPr="004C12C9">
        <w:rPr>
          <w:rStyle w:val="FootnoteReference"/>
        </w:rPr>
        <w:footnoteReference w:id="48"/>
      </w:r>
      <w:r w:rsidRPr="004C12C9">
        <w:t xml:space="preserve"> Emissions from combustion were obtained from EPA, and upstream emissions</w:t>
      </w:r>
      <w:r w:rsidR="002F47AD">
        <w:t>,</w:t>
      </w:r>
      <w:r w:rsidRPr="004C12C9">
        <w:t xml:space="preserve"> </w:t>
      </w:r>
      <w:r w:rsidR="002F47AD" w:rsidRPr="004C12C9">
        <w:rPr>
          <w:lang w:eastAsia="ja-JP" w:bidi="ar-SA"/>
        </w:rPr>
        <w:t xml:space="preserve">which include crude oil or biofuel feedstock recovery, refining, and transportation </w:t>
      </w:r>
      <w:r w:rsidRPr="004C12C9">
        <w:t>were derived from GREET 1 2024. The emission factor</w:t>
      </w:r>
      <w:r w:rsidR="00A872E2">
        <w:t>s</w:t>
      </w:r>
      <w:r w:rsidRPr="004C12C9">
        <w:t xml:space="preserve"> broken out by lifecycle stage </w:t>
      </w:r>
      <w:r w:rsidR="00A872E2">
        <w:t>are</w:t>
      </w:r>
      <w:r w:rsidRPr="004C12C9">
        <w:t xml:space="preserve"> summarized in</w:t>
      </w:r>
      <w:r w:rsidRPr="004C12C9">
        <w:rPr>
          <w:sz w:val="20"/>
          <w:szCs w:val="20"/>
        </w:rPr>
        <w:t xml:space="preserve"> </w:t>
      </w:r>
      <w:r w:rsidR="004B57D0">
        <w:rPr>
          <w:lang w:eastAsia="ja-JP" w:bidi="ar-SA"/>
        </w:rPr>
        <w:fldChar w:fldCharType="begin"/>
      </w:r>
      <w:r w:rsidR="004B57D0">
        <w:rPr>
          <w:lang w:eastAsia="ja-JP" w:bidi="ar-SA"/>
        </w:rPr>
        <w:instrText xml:space="preserve"> REF _Ref219816446 \h </w:instrText>
      </w:r>
      <w:r w:rsidR="004B57D0">
        <w:rPr>
          <w:lang w:eastAsia="ja-JP" w:bidi="ar-SA"/>
        </w:rPr>
      </w:r>
      <w:r w:rsidR="004B57D0">
        <w:rPr>
          <w:lang w:eastAsia="ja-JP" w:bidi="ar-SA"/>
        </w:rPr>
        <w:fldChar w:fldCharType="separate"/>
      </w:r>
      <w:r w:rsidR="00892CCB" w:rsidRPr="004C12C9">
        <w:rPr>
          <w:lang w:eastAsia="ja-JP" w:bidi="ar-SA"/>
        </w:rPr>
        <w:t xml:space="preserve">Table </w:t>
      </w:r>
      <w:r w:rsidR="00892CCB">
        <w:rPr>
          <w:noProof/>
          <w:lang w:eastAsia="ja-JP" w:bidi="ar-SA"/>
        </w:rPr>
        <w:t>2</w:t>
      </w:r>
      <w:r w:rsidR="00892CCB">
        <w:rPr>
          <w:lang w:eastAsia="ja-JP" w:bidi="ar-SA"/>
        </w:rPr>
        <w:noBreakHyphen/>
      </w:r>
      <w:r w:rsidR="00892CCB">
        <w:rPr>
          <w:noProof/>
          <w:lang w:eastAsia="ja-JP" w:bidi="ar-SA"/>
        </w:rPr>
        <w:t>31</w:t>
      </w:r>
      <w:r w:rsidR="004B57D0">
        <w:rPr>
          <w:lang w:eastAsia="ja-JP" w:bidi="ar-SA"/>
        </w:rPr>
        <w:fldChar w:fldCharType="end"/>
      </w:r>
      <w:r w:rsidR="00762656" w:rsidRPr="004C12C9">
        <w:rPr>
          <w:lang w:eastAsia="ja-JP" w:bidi="ar-SA"/>
        </w:rPr>
        <w:t>.</w:t>
      </w:r>
    </w:p>
    <w:p w14:paraId="5639F4FE" w14:textId="73331908" w:rsidR="00762656" w:rsidRPr="004C12C9" w:rsidRDefault="00762656" w:rsidP="009808D2">
      <w:pPr>
        <w:pStyle w:val="Caption"/>
        <w:rPr>
          <w:rFonts w:asciiTheme="minorHAnsi" w:hAnsiTheme="minorHAnsi" w:cstheme="minorHAnsi"/>
          <w:b w:val="0"/>
          <w:i/>
          <w:lang w:eastAsia="ja-JP" w:bidi="ar-SA"/>
        </w:rPr>
      </w:pPr>
      <w:bookmarkStart w:id="94" w:name="_Ref219816446"/>
      <w:bookmarkStart w:id="95" w:name="_Ref189650784"/>
      <w:r w:rsidRPr="004C12C9">
        <w:rPr>
          <w:lang w:eastAsia="ja-JP" w:bidi="ar-SA"/>
        </w:rPr>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892CCB">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892CCB">
        <w:rPr>
          <w:noProof/>
          <w:lang w:eastAsia="ja-JP" w:bidi="ar-SA"/>
        </w:rPr>
        <w:t>31</w:t>
      </w:r>
      <w:r w:rsidR="00F72B41">
        <w:rPr>
          <w:lang w:eastAsia="ja-JP" w:bidi="ar-SA"/>
        </w:rPr>
        <w:fldChar w:fldCharType="end"/>
      </w:r>
      <w:bookmarkEnd w:id="94"/>
      <w:bookmarkEnd w:id="95"/>
      <w:r w:rsidRPr="004C12C9">
        <w:rPr>
          <w:lang w:eastAsia="ja-JP" w:bidi="ar-SA"/>
        </w:rPr>
        <w:t>. Diesel and Biofuel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91"/>
        <w:gridCol w:w="2259"/>
        <w:gridCol w:w="2260"/>
        <w:gridCol w:w="2260"/>
      </w:tblGrid>
      <w:tr w:rsidR="004F60AE" w:rsidRPr="004C12C9" w14:paraId="7BBC7B6C" w14:textId="77777777" w:rsidTr="007818D2">
        <w:trPr>
          <w:trHeight w:val="290"/>
        </w:trPr>
        <w:tc>
          <w:tcPr>
            <w:tcW w:w="3291" w:type="dxa"/>
            <w:vMerge w:val="restart"/>
            <w:shd w:val="clear" w:color="auto" w:fill="D9D9D9" w:themeFill="background1" w:themeFillShade="D9"/>
            <w:noWrap/>
            <w:vAlign w:val="center"/>
            <w:hideMark/>
          </w:tcPr>
          <w:p w14:paraId="0878AA5D" w14:textId="77777777" w:rsidR="004F60AE" w:rsidRPr="004C12C9" w:rsidRDefault="004F60AE" w:rsidP="008E4567">
            <w:pPr>
              <w:pStyle w:val="ICFTableHeading"/>
              <w:rPr>
                <w:rFonts w:asciiTheme="minorHAnsi" w:hAnsiTheme="minorHAnsi" w:cstheme="minorHAnsi"/>
                <w:b w:val="0"/>
                <w:color w:val="FFFFFF"/>
                <w:sz w:val="20"/>
                <w:lang w:bidi="ar-SA"/>
              </w:rPr>
            </w:pPr>
            <w:r w:rsidRPr="004C12C9">
              <w:rPr>
                <w:lang w:bidi="ar-SA"/>
              </w:rPr>
              <w:t>Fuel</w:t>
            </w:r>
          </w:p>
        </w:tc>
        <w:tc>
          <w:tcPr>
            <w:tcW w:w="6779" w:type="dxa"/>
            <w:gridSpan w:val="3"/>
            <w:shd w:val="clear" w:color="auto" w:fill="D9D9D9" w:themeFill="background1" w:themeFillShade="D9"/>
          </w:tcPr>
          <w:p w14:paraId="182C6F74" w14:textId="267C850E" w:rsidR="004F60AE" w:rsidRPr="004C12C9" w:rsidRDefault="004F60AE" w:rsidP="008E4567">
            <w:pPr>
              <w:pStyle w:val="ICFTableHeading"/>
              <w:rPr>
                <w:rFonts w:asciiTheme="minorHAnsi" w:hAnsiTheme="minorHAnsi" w:cstheme="minorHAnsi"/>
                <w:color w:val="FFFFFF"/>
                <w:szCs w:val="22"/>
                <w:lang w:bidi="ar-SA"/>
              </w:rPr>
            </w:pPr>
            <w:r w:rsidRPr="004C12C9">
              <w:rPr>
                <w:lang w:bidi="ar-SA"/>
              </w:rPr>
              <w:t>Emission Factor (kgCO</w:t>
            </w:r>
            <w:r w:rsidRPr="004C12C9">
              <w:rPr>
                <w:rFonts w:asciiTheme="minorHAnsi" w:hAnsiTheme="minorHAnsi" w:cstheme="minorHAnsi"/>
                <w:szCs w:val="22"/>
                <w:vertAlign w:val="subscript"/>
                <w:lang w:bidi="ar-SA"/>
              </w:rPr>
              <w:t>2</w:t>
            </w:r>
            <w:r w:rsidRPr="004C12C9">
              <w:rPr>
                <w:rFonts w:asciiTheme="minorHAnsi" w:hAnsiTheme="minorHAnsi" w:cstheme="minorHAnsi"/>
                <w:szCs w:val="22"/>
                <w:lang w:bidi="ar-SA"/>
              </w:rPr>
              <w:t>e/MMBtu)*</w:t>
            </w:r>
          </w:p>
        </w:tc>
      </w:tr>
      <w:tr w:rsidR="004F60AE" w:rsidRPr="004C12C9" w14:paraId="7BE6D059" w14:textId="77777777" w:rsidTr="007818D2">
        <w:trPr>
          <w:trHeight w:val="290"/>
        </w:trPr>
        <w:tc>
          <w:tcPr>
            <w:tcW w:w="3291" w:type="dxa"/>
            <w:vMerge/>
            <w:shd w:val="clear" w:color="auto" w:fill="D9D9D9" w:themeFill="background1" w:themeFillShade="D9"/>
            <w:noWrap/>
            <w:vAlign w:val="center"/>
          </w:tcPr>
          <w:p w14:paraId="66F32D35" w14:textId="77777777" w:rsidR="004F60AE" w:rsidRPr="004C12C9" w:rsidRDefault="004F60AE" w:rsidP="008E4567">
            <w:pPr>
              <w:pStyle w:val="ICFTableHeading"/>
              <w:rPr>
                <w:lang w:bidi="ar-SA"/>
              </w:rPr>
            </w:pPr>
          </w:p>
        </w:tc>
        <w:tc>
          <w:tcPr>
            <w:tcW w:w="2259" w:type="dxa"/>
            <w:shd w:val="clear" w:color="auto" w:fill="D9D9D9" w:themeFill="background1" w:themeFillShade="D9"/>
          </w:tcPr>
          <w:p w14:paraId="63AE205A" w14:textId="58937C29" w:rsidR="004F60AE" w:rsidRPr="004C12C9" w:rsidRDefault="004F60AE" w:rsidP="008E4567">
            <w:pPr>
              <w:pStyle w:val="ICFTableHeading"/>
              <w:rPr>
                <w:lang w:bidi="ar-SA"/>
              </w:rPr>
            </w:pPr>
            <w:r>
              <w:rPr>
                <w:lang w:bidi="ar-SA"/>
              </w:rPr>
              <w:t>Upstream</w:t>
            </w:r>
          </w:p>
        </w:tc>
        <w:tc>
          <w:tcPr>
            <w:tcW w:w="2260" w:type="dxa"/>
            <w:shd w:val="clear" w:color="auto" w:fill="D9D9D9" w:themeFill="background1" w:themeFillShade="D9"/>
          </w:tcPr>
          <w:p w14:paraId="4EA63869" w14:textId="230A2C56" w:rsidR="004F60AE" w:rsidRPr="004C12C9" w:rsidRDefault="004F60AE" w:rsidP="008E4567">
            <w:pPr>
              <w:pStyle w:val="ICFTableHeading"/>
              <w:rPr>
                <w:lang w:bidi="ar-SA"/>
              </w:rPr>
            </w:pPr>
            <w:r>
              <w:rPr>
                <w:lang w:bidi="ar-SA"/>
              </w:rPr>
              <w:t>Combustion</w:t>
            </w:r>
          </w:p>
        </w:tc>
        <w:tc>
          <w:tcPr>
            <w:tcW w:w="2260" w:type="dxa"/>
            <w:shd w:val="clear" w:color="auto" w:fill="D9D9D9" w:themeFill="background1" w:themeFillShade="D9"/>
            <w:vAlign w:val="center"/>
          </w:tcPr>
          <w:p w14:paraId="1A1A3EC5" w14:textId="39466DE3" w:rsidR="004F60AE" w:rsidRPr="004C12C9" w:rsidRDefault="004F60AE" w:rsidP="008E4567">
            <w:pPr>
              <w:pStyle w:val="ICFTableHeading"/>
              <w:rPr>
                <w:lang w:bidi="ar-SA"/>
              </w:rPr>
            </w:pPr>
            <w:r>
              <w:rPr>
                <w:lang w:bidi="ar-SA"/>
              </w:rPr>
              <w:t>Total</w:t>
            </w:r>
          </w:p>
        </w:tc>
      </w:tr>
      <w:tr w:rsidR="003C661B" w:rsidRPr="004C12C9" w14:paraId="50A63973" w14:textId="77777777" w:rsidTr="007818D2">
        <w:trPr>
          <w:trHeight w:val="290"/>
        </w:trPr>
        <w:tc>
          <w:tcPr>
            <w:tcW w:w="3291" w:type="dxa"/>
            <w:noWrap/>
            <w:vAlign w:val="center"/>
          </w:tcPr>
          <w:p w14:paraId="08D7C69D" w14:textId="77777777" w:rsidR="003C661B" w:rsidRPr="004C12C9" w:rsidRDefault="003C661B" w:rsidP="003C661B">
            <w:pPr>
              <w:pStyle w:val="ICFTabletext"/>
              <w:rPr>
                <w:b/>
                <w:bCs/>
                <w:lang w:bidi="ar-SA"/>
              </w:rPr>
            </w:pPr>
            <w:r w:rsidRPr="004C12C9">
              <w:rPr>
                <w:lang w:eastAsia="ja-JP" w:bidi="ar-SA"/>
              </w:rPr>
              <w:t>Diesel</w:t>
            </w:r>
          </w:p>
        </w:tc>
        <w:tc>
          <w:tcPr>
            <w:tcW w:w="2259" w:type="dxa"/>
            <w:vAlign w:val="center"/>
          </w:tcPr>
          <w:p w14:paraId="365E9C76" w14:textId="10F995FC" w:rsidR="003C661B" w:rsidRPr="004C12C9" w:rsidRDefault="003C661B" w:rsidP="003C661B">
            <w:pPr>
              <w:pStyle w:val="ICFTabletext"/>
              <w:jc w:val="center"/>
              <w:rPr>
                <w:lang w:bidi="ar-SA"/>
              </w:rPr>
            </w:pPr>
            <w:r w:rsidRPr="004C12C9">
              <w:rPr>
                <w:lang w:bidi="ar-SA"/>
              </w:rPr>
              <w:t>16.11</w:t>
            </w:r>
          </w:p>
        </w:tc>
        <w:tc>
          <w:tcPr>
            <w:tcW w:w="2260" w:type="dxa"/>
          </w:tcPr>
          <w:p w14:paraId="236EA866" w14:textId="77F02F66" w:rsidR="003C661B" w:rsidRPr="004C12C9" w:rsidRDefault="003C661B" w:rsidP="003C661B">
            <w:pPr>
              <w:pStyle w:val="ICFTabletext"/>
              <w:jc w:val="center"/>
              <w:rPr>
                <w:lang w:bidi="ar-SA"/>
              </w:rPr>
            </w:pPr>
            <w:r w:rsidRPr="00660365">
              <w:t>74.20</w:t>
            </w:r>
          </w:p>
        </w:tc>
        <w:tc>
          <w:tcPr>
            <w:tcW w:w="2260" w:type="dxa"/>
          </w:tcPr>
          <w:p w14:paraId="58EB298F" w14:textId="34EEAFC8" w:rsidR="003C661B" w:rsidRPr="004C12C9" w:rsidRDefault="003C661B" w:rsidP="003C661B">
            <w:pPr>
              <w:pStyle w:val="ICFTabletext"/>
              <w:jc w:val="center"/>
              <w:rPr>
                <w:b/>
                <w:bCs/>
                <w:color w:val="FFFFFF"/>
                <w:lang w:bidi="ar-SA"/>
              </w:rPr>
            </w:pPr>
            <w:r w:rsidRPr="00660365">
              <w:t>90.31</w:t>
            </w:r>
          </w:p>
        </w:tc>
      </w:tr>
      <w:tr w:rsidR="003C661B" w:rsidRPr="004C12C9" w14:paraId="4C48DDD0" w14:textId="77777777" w:rsidTr="007818D2">
        <w:trPr>
          <w:trHeight w:val="290"/>
        </w:trPr>
        <w:tc>
          <w:tcPr>
            <w:tcW w:w="3291" w:type="dxa"/>
            <w:noWrap/>
            <w:vAlign w:val="center"/>
            <w:hideMark/>
          </w:tcPr>
          <w:p w14:paraId="13F6DD34" w14:textId="77777777" w:rsidR="003C661B" w:rsidRPr="004C12C9" w:rsidRDefault="003C661B" w:rsidP="003C661B">
            <w:pPr>
              <w:pStyle w:val="ICFTabletext"/>
              <w:rPr>
                <w:color w:val="000000"/>
                <w:lang w:bidi="ar-SA"/>
              </w:rPr>
            </w:pPr>
            <w:r w:rsidRPr="004C12C9">
              <w:rPr>
                <w:lang w:eastAsia="ja-JP" w:bidi="ar-SA"/>
              </w:rPr>
              <w:t xml:space="preserve">Biodiesel 100 </w:t>
            </w:r>
          </w:p>
        </w:tc>
        <w:tc>
          <w:tcPr>
            <w:tcW w:w="2259" w:type="dxa"/>
            <w:vAlign w:val="center"/>
          </w:tcPr>
          <w:p w14:paraId="450D22B4" w14:textId="51FBABA7" w:rsidR="003C661B" w:rsidRPr="004C12C9" w:rsidRDefault="003C661B" w:rsidP="003C661B">
            <w:pPr>
              <w:pStyle w:val="ICFTabletext"/>
              <w:jc w:val="center"/>
              <w:rPr>
                <w:lang w:bidi="ar-SA"/>
              </w:rPr>
            </w:pPr>
            <w:r w:rsidRPr="004C12C9">
              <w:rPr>
                <w:lang w:bidi="ar-SA"/>
              </w:rPr>
              <w:t>26.87</w:t>
            </w:r>
          </w:p>
        </w:tc>
        <w:tc>
          <w:tcPr>
            <w:tcW w:w="2260" w:type="dxa"/>
          </w:tcPr>
          <w:p w14:paraId="3B99118A" w14:textId="34A976AD" w:rsidR="003C661B" w:rsidRPr="004C12C9" w:rsidRDefault="003C661B" w:rsidP="003C661B">
            <w:pPr>
              <w:pStyle w:val="ICFTabletext"/>
              <w:jc w:val="center"/>
              <w:rPr>
                <w:lang w:bidi="ar-SA"/>
              </w:rPr>
            </w:pPr>
            <w:r w:rsidRPr="00660365">
              <w:t>0.06</w:t>
            </w:r>
          </w:p>
        </w:tc>
        <w:tc>
          <w:tcPr>
            <w:tcW w:w="2260" w:type="dxa"/>
            <w:noWrap/>
          </w:tcPr>
          <w:p w14:paraId="0090C100" w14:textId="43DA5F6D" w:rsidR="003C661B" w:rsidRPr="004C12C9" w:rsidRDefault="003C661B" w:rsidP="003C661B">
            <w:pPr>
              <w:pStyle w:val="ICFTabletext"/>
              <w:jc w:val="center"/>
              <w:rPr>
                <w:lang w:bidi="ar-SA"/>
              </w:rPr>
            </w:pPr>
            <w:r w:rsidRPr="00660365">
              <w:t>26.93</w:t>
            </w:r>
          </w:p>
        </w:tc>
      </w:tr>
      <w:tr w:rsidR="003C661B" w:rsidRPr="004C12C9" w14:paraId="0FCE2E4B" w14:textId="77777777" w:rsidTr="007818D2">
        <w:trPr>
          <w:trHeight w:val="290"/>
        </w:trPr>
        <w:tc>
          <w:tcPr>
            <w:tcW w:w="3291" w:type="dxa"/>
            <w:noWrap/>
            <w:vAlign w:val="center"/>
          </w:tcPr>
          <w:p w14:paraId="227252FA" w14:textId="77777777" w:rsidR="003C661B" w:rsidRPr="004C12C9" w:rsidRDefault="003C661B" w:rsidP="003C661B">
            <w:pPr>
              <w:pStyle w:val="ICFTabletext"/>
              <w:rPr>
                <w:color w:val="000000"/>
                <w:lang w:bidi="ar-SA"/>
              </w:rPr>
            </w:pPr>
            <w:r w:rsidRPr="004C12C9">
              <w:rPr>
                <w:lang w:eastAsia="ja-JP" w:bidi="ar-SA"/>
              </w:rPr>
              <w:t>Biodiesel 20</w:t>
            </w:r>
            <w:r w:rsidRPr="004C12C9">
              <w:rPr>
                <w:color w:val="000000"/>
                <w:vertAlign w:val="superscript"/>
                <w:lang w:eastAsia="ja-JP" w:bidi="ar-SA"/>
              </w:rPr>
              <w:t xml:space="preserve"> </w:t>
            </w:r>
          </w:p>
        </w:tc>
        <w:tc>
          <w:tcPr>
            <w:tcW w:w="2259" w:type="dxa"/>
            <w:vAlign w:val="center"/>
          </w:tcPr>
          <w:p w14:paraId="2BF7E4B9" w14:textId="3EF50DF8" w:rsidR="003C661B" w:rsidRPr="004C12C9" w:rsidRDefault="003C661B" w:rsidP="003C661B">
            <w:pPr>
              <w:pStyle w:val="ICFTabletext"/>
              <w:jc w:val="center"/>
              <w:rPr>
                <w:lang w:bidi="ar-SA"/>
              </w:rPr>
            </w:pPr>
            <w:r w:rsidRPr="004C12C9">
              <w:rPr>
                <w:lang w:bidi="ar-SA"/>
              </w:rPr>
              <w:t>17.81</w:t>
            </w:r>
          </w:p>
        </w:tc>
        <w:tc>
          <w:tcPr>
            <w:tcW w:w="2260" w:type="dxa"/>
          </w:tcPr>
          <w:p w14:paraId="7575815D" w14:textId="365741EF" w:rsidR="003C661B" w:rsidRPr="004C12C9" w:rsidRDefault="003C661B" w:rsidP="003C661B">
            <w:pPr>
              <w:pStyle w:val="ICFTabletext"/>
              <w:jc w:val="center"/>
              <w:rPr>
                <w:lang w:bidi="ar-SA"/>
              </w:rPr>
            </w:pPr>
            <w:r w:rsidRPr="00660365">
              <w:t>65.52</w:t>
            </w:r>
          </w:p>
        </w:tc>
        <w:tc>
          <w:tcPr>
            <w:tcW w:w="2260" w:type="dxa"/>
            <w:noWrap/>
          </w:tcPr>
          <w:p w14:paraId="16E5FAAB" w14:textId="2B8BB549" w:rsidR="003C661B" w:rsidRPr="004C12C9" w:rsidRDefault="003C661B" w:rsidP="003C661B">
            <w:pPr>
              <w:pStyle w:val="ICFTabletext"/>
              <w:jc w:val="center"/>
              <w:rPr>
                <w:lang w:bidi="ar-SA"/>
              </w:rPr>
            </w:pPr>
            <w:r w:rsidRPr="00660365">
              <w:t>83.33</w:t>
            </w:r>
          </w:p>
        </w:tc>
      </w:tr>
      <w:tr w:rsidR="003C661B" w:rsidRPr="004C12C9" w14:paraId="5A42D72F" w14:textId="77777777" w:rsidTr="007818D2">
        <w:trPr>
          <w:trHeight w:val="290"/>
        </w:trPr>
        <w:tc>
          <w:tcPr>
            <w:tcW w:w="3291" w:type="dxa"/>
            <w:noWrap/>
            <w:vAlign w:val="center"/>
          </w:tcPr>
          <w:p w14:paraId="73D2A140" w14:textId="7BE1E224" w:rsidR="003C661B" w:rsidRPr="004C12C9" w:rsidRDefault="003C661B" w:rsidP="003C661B">
            <w:pPr>
              <w:pStyle w:val="ICFTabletext"/>
              <w:rPr>
                <w:color w:val="000000"/>
                <w:lang w:bidi="ar-SA"/>
              </w:rPr>
            </w:pPr>
            <w:r w:rsidRPr="004C12C9">
              <w:rPr>
                <w:lang w:eastAsia="ja-JP" w:bidi="ar-SA"/>
              </w:rPr>
              <w:t>Renewable Diesel</w:t>
            </w:r>
            <w:r w:rsidRPr="004C12C9">
              <w:rPr>
                <w:color w:val="000000"/>
                <w:vertAlign w:val="superscript"/>
                <w:lang w:eastAsia="ja-JP" w:bidi="ar-SA"/>
              </w:rPr>
              <w:t xml:space="preserve"> </w:t>
            </w:r>
          </w:p>
        </w:tc>
        <w:tc>
          <w:tcPr>
            <w:tcW w:w="2259" w:type="dxa"/>
            <w:vAlign w:val="center"/>
          </w:tcPr>
          <w:p w14:paraId="21B15AB5" w14:textId="5A25B6F0" w:rsidR="003C661B" w:rsidRPr="004C12C9" w:rsidRDefault="003C661B" w:rsidP="003C661B">
            <w:pPr>
              <w:pStyle w:val="ICFTabletext"/>
              <w:jc w:val="center"/>
              <w:rPr>
                <w:lang w:bidi="ar-SA"/>
              </w:rPr>
            </w:pPr>
            <w:r w:rsidRPr="004C12C9">
              <w:rPr>
                <w:lang w:bidi="ar-SA"/>
              </w:rPr>
              <w:t>37.38</w:t>
            </w:r>
          </w:p>
        </w:tc>
        <w:tc>
          <w:tcPr>
            <w:tcW w:w="2260" w:type="dxa"/>
          </w:tcPr>
          <w:p w14:paraId="0C49B2DC" w14:textId="46C356A2" w:rsidR="003C661B" w:rsidRPr="004C12C9" w:rsidRDefault="003C661B" w:rsidP="003C661B">
            <w:pPr>
              <w:pStyle w:val="ICFTabletext"/>
              <w:jc w:val="center"/>
              <w:rPr>
                <w:lang w:bidi="ar-SA"/>
              </w:rPr>
            </w:pPr>
            <w:r w:rsidRPr="00660365">
              <w:t>0.50</w:t>
            </w:r>
          </w:p>
        </w:tc>
        <w:tc>
          <w:tcPr>
            <w:tcW w:w="2260" w:type="dxa"/>
            <w:noWrap/>
          </w:tcPr>
          <w:p w14:paraId="72810251" w14:textId="29B67F72" w:rsidR="003C661B" w:rsidRPr="004C12C9" w:rsidRDefault="003C661B" w:rsidP="003C661B">
            <w:pPr>
              <w:pStyle w:val="ICFTabletext"/>
              <w:jc w:val="center"/>
              <w:rPr>
                <w:lang w:bidi="ar-SA"/>
              </w:rPr>
            </w:pPr>
            <w:r w:rsidRPr="00660365">
              <w:t>37.87</w:t>
            </w:r>
          </w:p>
        </w:tc>
      </w:tr>
    </w:tbl>
    <w:p w14:paraId="5146065B" w14:textId="42024963" w:rsidR="00762656" w:rsidRPr="004C12C9" w:rsidRDefault="00762656" w:rsidP="004F60AE">
      <w:pPr>
        <w:pStyle w:val="TableFooter"/>
        <w:rPr>
          <w:rFonts w:asciiTheme="minorHAnsi" w:hAnsiTheme="minorHAnsi" w:cstheme="minorHAnsi"/>
          <w:lang w:eastAsia="ja-JP" w:bidi="ar-SA"/>
        </w:rPr>
      </w:pPr>
      <w:r w:rsidRPr="004C12C9">
        <w:rPr>
          <w:lang w:eastAsia="ja-JP" w:bidi="ar-SA"/>
        </w:rPr>
        <w:t>* Values shown are based on AR</w:t>
      </w:r>
      <w:r w:rsidR="00EE43A3" w:rsidRPr="004C12C9">
        <w:rPr>
          <w:lang w:eastAsia="ja-JP" w:bidi="ar-SA"/>
        </w:rPr>
        <w:t>5</w:t>
      </w:r>
      <w:r w:rsidRPr="004C12C9">
        <w:rPr>
          <w:lang w:eastAsia="ja-JP" w:bidi="ar-SA"/>
        </w:rPr>
        <w:t xml:space="preserve"> global warming potentials.</w:t>
      </w:r>
    </w:p>
    <w:p w14:paraId="60F7D032" w14:textId="662E992D" w:rsidR="00762656" w:rsidRPr="004C12C9" w:rsidRDefault="006966D5" w:rsidP="00972CF9">
      <w:pPr>
        <w:rPr>
          <w:sz w:val="24"/>
          <w:szCs w:val="24"/>
          <w:lang w:eastAsia="ja-JP" w:bidi="ar-SA"/>
        </w:rPr>
      </w:pPr>
      <w:r>
        <w:rPr>
          <w:lang w:eastAsia="ja-JP" w:bidi="ar-SA"/>
        </w:rPr>
        <w:lastRenderedPageBreak/>
        <w:t xml:space="preserve">For the equipment use approach, </w:t>
      </w:r>
      <w:r w:rsidR="00CD0820">
        <w:rPr>
          <w:lang w:eastAsia="ja-JP" w:bidi="ar-SA"/>
        </w:rPr>
        <w:t>both upstream and combustion emissions were</w:t>
      </w:r>
      <w:r w:rsidR="00765C04">
        <w:rPr>
          <w:lang w:eastAsia="ja-JP" w:bidi="ar-SA"/>
        </w:rPr>
        <w:t xml:space="preserve"> derived from GREET, with </w:t>
      </w:r>
      <w:r w:rsidR="00CD0361">
        <w:rPr>
          <w:lang w:eastAsia="ja-JP" w:bidi="ar-SA"/>
        </w:rPr>
        <w:t>the c</w:t>
      </w:r>
      <w:r w:rsidR="00762656" w:rsidRPr="004C12C9">
        <w:rPr>
          <w:lang w:eastAsia="ja-JP" w:bidi="ar-SA"/>
        </w:rPr>
        <w:t>ombustion emission factors</w:t>
      </w:r>
      <w:r w:rsidR="00D33993">
        <w:rPr>
          <w:lang w:eastAsia="ja-JP" w:bidi="ar-SA"/>
        </w:rPr>
        <w:t xml:space="preserve"> tailored based on</w:t>
      </w:r>
      <w:r w:rsidR="00762656" w:rsidRPr="004C12C9">
        <w:rPr>
          <w:lang w:eastAsia="ja-JP" w:bidi="ar-SA"/>
        </w:rPr>
        <w:t xml:space="preserve"> fuel and equipment type. To compile equipment-specific combustion emission factors from GREET</w:t>
      </w:r>
      <w:r w:rsidR="008A2FDC" w:rsidRPr="004C12C9">
        <w:rPr>
          <w:lang w:eastAsia="ja-JP" w:bidi="ar-SA"/>
        </w:rPr>
        <w:t xml:space="preserve"> </w:t>
      </w:r>
      <w:r w:rsidR="00762656" w:rsidRPr="004C12C9">
        <w:rPr>
          <w:lang w:eastAsia="ja-JP" w:bidi="ar-SA"/>
        </w:rPr>
        <w:t xml:space="preserve">1 2024, each construction equipment type </w:t>
      </w:r>
      <w:r w:rsidR="00765C04">
        <w:rPr>
          <w:lang w:eastAsia="ja-JP" w:bidi="ar-SA"/>
        </w:rPr>
        <w:t>wa</w:t>
      </w:r>
      <w:r w:rsidR="008752C6" w:rsidRPr="004C12C9">
        <w:rPr>
          <w:lang w:eastAsia="ja-JP" w:bidi="ar-SA"/>
        </w:rPr>
        <w:t>s</w:t>
      </w:r>
      <w:r w:rsidR="00762656" w:rsidRPr="004C12C9">
        <w:rPr>
          <w:lang w:eastAsia="ja-JP" w:bidi="ar-SA"/>
        </w:rPr>
        <w:t xml:space="preserve"> mapped to an equipment type category in GREET</w:t>
      </w:r>
      <w:r w:rsidR="00BF0DB3" w:rsidRPr="004C12C9">
        <w:rPr>
          <w:lang w:eastAsia="ja-JP" w:bidi="ar-SA"/>
        </w:rPr>
        <w:t xml:space="preserve"> 1 2024</w:t>
      </w:r>
      <w:r w:rsidR="00762656" w:rsidRPr="004C12C9">
        <w:rPr>
          <w:lang w:eastAsia="ja-JP" w:bidi="ar-SA"/>
        </w:rPr>
        <w:t xml:space="preserve">. This mapping is detailed in </w:t>
      </w:r>
      <w:r w:rsidR="00892CCB">
        <w:rPr>
          <w:lang w:eastAsia="ja-JP" w:bidi="ar-SA"/>
        </w:rPr>
        <w:fldChar w:fldCharType="begin"/>
      </w:r>
      <w:r w:rsidR="00892CCB">
        <w:rPr>
          <w:lang w:eastAsia="ja-JP" w:bidi="ar-SA"/>
        </w:rPr>
        <w:instrText xml:space="preserve"> REF _Ref187737348 \h </w:instrText>
      </w:r>
      <w:r w:rsidR="00892CCB">
        <w:rPr>
          <w:lang w:eastAsia="ja-JP" w:bidi="ar-SA"/>
        </w:rPr>
      </w:r>
      <w:r w:rsidR="00892CCB">
        <w:rPr>
          <w:lang w:eastAsia="ja-JP" w:bidi="ar-SA"/>
        </w:rPr>
        <w:fldChar w:fldCharType="separate"/>
      </w:r>
      <w:r w:rsidR="00892CCB" w:rsidRPr="004C12C9">
        <w:rPr>
          <w:lang w:eastAsia="ja-JP" w:bidi="ar-SA"/>
        </w:rPr>
        <w:t xml:space="preserve">Table </w:t>
      </w:r>
      <w:r w:rsidR="00892CCB">
        <w:rPr>
          <w:noProof/>
          <w:lang w:eastAsia="ja-JP" w:bidi="ar-SA"/>
        </w:rPr>
        <w:t>2</w:t>
      </w:r>
      <w:r w:rsidR="00892CCB">
        <w:rPr>
          <w:lang w:eastAsia="ja-JP" w:bidi="ar-SA"/>
        </w:rPr>
        <w:noBreakHyphen/>
      </w:r>
      <w:r w:rsidR="00892CCB">
        <w:rPr>
          <w:noProof/>
          <w:lang w:eastAsia="ja-JP" w:bidi="ar-SA"/>
        </w:rPr>
        <w:t>32</w:t>
      </w:r>
      <w:r w:rsidR="00892CCB">
        <w:rPr>
          <w:lang w:eastAsia="ja-JP" w:bidi="ar-SA"/>
        </w:rPr>
        <w:fldChar w:fldCharType="end"/>
      </w:r>
      <w:r w:rsidR="00892CCB">
        <w:rPr>
          <w:lang w:eastAsia="ja-JP" w:bidi="ar-SA"/>
        </w:rPr>
        <w:t xml:space="preserve"> </w:t>
      </w:r>
      <w:r w:rsidR="00762656" w:rsidRPr="004C12C9">
        <w:rPr>
          <w:lang w:eastAsia="ja-JP" w:bidi="ar-SA"/>
        </w:rPr>
        <w:t>below.</w:t>
      </w:r>
    </w:p>
    <w:p w14:paraId="1DFAFC9C" w14:textId="4F16FA96" w:rsidR="00762656" w:rsidRPr="004C12C9" w:rsidRDefault="00762656" w:rsidP="009808D2">
      <w:pPr>
        <w:pStyle w:val="Caption"/>
        <w:rPr>
          <w:rFonts w:asciiTheme="minorHAnsi" w:hAnsiTheme="minorHAnsi" w:cstheme="minorHAnsi"/>
          <w:b w:val="0"/>
          <w:i/>
          <w:lang w:eastAsia="ja-JP" w:bidi="ar-SA"/>
        </w:rPr>
      </w:pPr>
      <w:bookmarkStart w:id="96" w:name="_Ref187737348"/>
      <w:r w:rsidRPr="004C12C9">
        <w:rPr>
          <w:lang w:eastAsia="ja-JP" w:bidi="ar-SA"/>
        </w:rPr>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32</w:t>
      </w:r>
      <w:r w:rsidR="00F72B41">
        <w:rPr>
          <w:lang w:eastAsia="ja-JP" w:bidi="ar-SA"/>
        </w:rPr>
        <w:fldChar w:fldCharType="end"/>
      </w:r>
      <w:bookmarkEnd w:id="96"/>
      <w:r w:rsidRPr="004C12C9">
        <w:rPr>
          <w:lang w:eastAsia="ja-JP" w:bidi="ar-SA"/>
        </w:rPr>
        <w:t xml:space="preserve">. GREET </w:t>
      </w:r>
      <w:r w:rsidR="00BF0DB3" w:rsidRPr="004C12C9">
        <w:rPr>
          <w:lang w:eastAsia="ja-JP" w:bidi="ar-SA"/>
        </w:rPr>
        <w:t>1 2024</w:t>
      </w:r>
      <w:r w:rsidRPr="004C12C9">
        <w:rPr>
          <w:lang w:eastAsia="ja-JP" w:bidi="ar-SA"/>
        </w:rPr>
        <w:t xml:space="preserve"> Equipment Type Mapping</w:t>
      </w:r>
    </w:p>
    <w:tbl>
      <w:tblPr>
        <w:tblW w:w="68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20"/>
        <w:gridCol w:w="3440"/>
      </w:tblGrid>
      <w:tr w:rsidR="00762656" w:rsidRPr="004C12C9" w14:paraId="4121B361" w14:textId="77777777" w:rsidTr="00112696">
        <w:trPr>
          <w:trHeight w:val="305"/>
          <w:tblHeader/>
        </w:trPr>
        <w:tc>
          <w:tcPr>
            <w:tcW w:w="3420" w:type="dxa"/>
            <w:shd w:val="clear" w:color="auto" w:fill="D9D9D9" w:themeFill="background1" w:themeFillShade="D9"/>
            <w:vAlign w:val="center"/>
            <w:hideMark/>
          </w:tcPr>
          <w:p w14:paraId="40B9BC79" w14:textId="77777777" w:rsidR="00762656" w:rsidRPr="004C12C9" w:rsidRDefault="00762656" w:rsidP="00112696">
            <w:pPr>
              <w:pStyle w:val="ICFTableHeading"/>
              <w:rPr>
                <w:rFonts w:asciiTheme="minorHAnsi" w:hAnsiTheme="minorHAnsi" w:cstheme="minorHAnsi"/>
                <w:b w:val="0"/>
                <w:color w:val="FFFFFF"/>
                <w:sz w:val="18"/>
                <w:szCs w:val="18"/>
                <w:lang w:bidi="ar-SA"/>
              </w:rPr>
            </w:pPr>
            <w:r w:rsidRPr="004C12C9">
              <w:rPr>
                <w:lang w:bidi="ar-SA"/>
              </w:rPr>
              <w:t xml:space="preserve">Equipment Type </w:t>
            </w:r>
          </w:p>
        </w:tc>
        <w:tc>
          <w:tcPr>
            <w:tcW w:w="3440" w:type="dxa"/>
            <w:shd w:val="clear" w:color="auto" w:fill="D9D9D9" w:themeFill="background1" w:themeFillShade="D9"/>
            <w:vAlign w:val="center"/>
            <w:hideMark/>
          </w:tcPr>
          <w:p w14:paraId="30803298" w14:textId="47A20843" w:rsidR="00762656" w:rsidRPr="004C12C9" w:rsidRDefault="00762656" w:rsidP="00112696">
            <w:pPr>
              <w:pStyle w:val="ICFTableHeading"/>
              <w:rPr>
                <w:rFonts w:asciiTheme="minorHAnsi" w:hAnsiTheme="minorHAnsi" w:cstheme="minorHAnsi"/>
                <w:b w:val="0"/>
                <w:color w:val="FFFFFF"/>
                <w:sz w:val="18"/>
                <w:szCs w:val="18"/>
                <w:lang w:bidi="ar-SA"/>
              </w:rPr>
            </w:pPr>
            <w:r w:rsidRPr="004C12C9">
              <w:rPr>
                <w:lang w:bidi="ar-SA"/>
              </w:rPr>
              <w:t xml:space="preserve">GREET </w:t>
            </w:r>
            <w:r w:rsidR="00BF0DB3" w:rsidRPr="004C12C9">
              <w:rPr>
                <w:lang w:bidi="ar-SA"/>
              </w:rPr>
              <w:t>1 2024</w:t>
            </w:r>
            <w:r w:rsidRPr="004C12C9">
              <w:rPr>
                <w:lang w:bidi="ar-SA"/>
              </w:rPr>
              <w:t xml:space="preserve"> Equipment Type</w:t>
            </w:r>
          </w:p>
        </w:tc>
      </w:tr>
      <w:tr w:rsidR="00762656" w:rsidRPr="004C12C9" w14:paraId="01A3EAD3" w14:textId="77777777" w:rsidTr="00112696">
        <w:trPr>
          <w:trHeight w:val="290"/>
        </w:trPr>
        <w:tc>
          <w:tcPr>
            <w:tcW w:w="3420" w:type="dxa"/>
            <w:noWrap/>
            <w:vAlign w:val="center"/>
            <w:hideMark/>
          </w:tcPr>
          <w:p w14:paraId="44EB78FD" w14:textId="77777777" w:rsidR="00762656" w:rsidRPr="004C12C9" w:rsidRDefault="00762656" w:rsidP="00112696">
            <w:pPr>
              <w:pStyle w:val="ICFTabletext"/>
              <w:rPr>
                <w:lang w:bidi="ar-SA"/>
              </w:rPr>
            </w:pPr>
            <w:r w:rsidRPr="004C12C9">
              <w:rPr>
                <w:lang w:bidi="ar-SA"/>
              </w:rPr>
              <w:t>Air Compressors</w:t>
            </w:r>
          </w:p>
        </w:tc>
        <w:tc>
          <w:tcPr>
            <w:tcW w:w="3440" w:type="dxa"/>
            <w:noWrap/>
            <w:vAlign w:val="center"/>
            <w:hideMark/>
          </w:tcPr>
          <w:p w14:paraId="188D5934" w14:textId="77777777" w:rsidR="00762656" w:rsidRPr="004C12C9" w:rsidRDefault="00762656" w:rsidP="00112696">
            <w:pPr>
              <w:pStyle w:val="ICFTabletext"/>
              <w:rPr>
                <w:lang w:bidi="ar-SA"/>
              </w:rPr>
            </w:pPr>
            <w:r w:rsidRPr="004C12C9">
              <w:rPr>
                <w:lang w:bidi="ar-SA"/>
              </w:rPr>
              <w:t>Stationary Reciprocating Engine</w:t>
            </w:r>
          </w:p>
        </w:tc>
      </w:tr>
      <w:tr w:rsidR="00762656" w:rsidRPr="004C12C9" w14:paraId="0249E768" w14:textId="77777777" w:rsidTr="00112696">
        <w:trPr>
          <w:trHeight w:val="290"/>
        </w:trPr>
        <w:tc>
          <w:tcPr>
            <w:tcW w:w="3420" w:type="dxa"/>
            <w:noWrap/>
            <w:vAlign w:val="center"/>
            <w:hideMark/>
          </w:tcPr>
          <w:p w14:paraId="08744658" w14:textId="77777777" w:rsidR="00762656" w:rsidRPr="004C12C9" w:rsidRDefault="00762656" w:rsidP="00112696">
            <w:pPr>
              <w:pStyle w:val="ICFTabletext"/>
              <w:rPr>
                <w:lang w:bidi="ar-SA"/>
              </w:rPr>
            </w:pPr>
            <w:r w:rsidRPr="004C12C9">
              <w:rPr>
                <w:lang w:bidi="ar-SA"/>
              </w:rPr>
              <w:t>Cement and Mortar Mixers</w:t>
            </w:r>
          </w:p>
        </w:tc>
        <w:tc>
          <w:tcPr>
            <w:tcW w:w="3440" w:type="dxa"/>
            <w:noWrap/>
            <w:vAlign w:val="center"/>
            <w:hideMark/>
          </w:tcPr>
          <w:p w14:paraId="6FBB5F74" w14:textId="77777777" w:rsidR="00762656" w:rsidRPr="004C12C9" w:rsidRDefault="00762656" w:rsidP="00112696">
            <w:pPr>
              <w:pStyle w:val="ICFTabletext"/>
              <w:rPr>
                <w:lang w:bidi="ar-SA"/>
              </w:rPr>
            </w:pPr>
            <w:r w:rsidRPr="004C12C9">
              <w:rPr>
                <w:lang w:bidi="ar-SA"/>
              </w:rPr>
              <w:t>Stationary Reciprocating Engine</w:t>
            </w:r>
          </w:p>
        </w:tc>
      </w:tr>
      <w:tr w:rsidR="00762656" w:rsidRPr="004C12C9" w14:paraId="046FC9BD" w14:textId="77777777" w:rsidTr="00112696">
        <w:trPr>
          <w:trHeight w:val="290"/>
        </w:trPr>
        <w:tc>
          <w:tcPr>
            <w:tcW w:w="3420" w:type="dxa"/>
            <w:noWrap/>
            <w:vAlign w:val="center"/>
            <w:hideMark/>
          </w:tcPr>
          <w:p w14:paraId="683F3F32" w14:textId="77777777" w:rsidR="00762656" w:rsidRPr="004C12C9" w:rsidRDefault="00762656" w:rsidP="00112696">
            <w:pPr>
              <w:pStyle w:val="ICFTabletext"/>
              <w:rPr>
                <w:lang w:bidi="ar-SA"/>
              </w:rPr>
            </w:pPr>
            <w:r w:rsidRPr="004C12C9">
              <w:rPr>
                <w:lang w:bidi="ar-SA"/>
              </w:rPr>
              <w:t>Concrete/Industrial Saws</w:t>
            </w:r>
          </w:p>
        </w:tc>
        <w:tc>
          <w:tcPr>
            <w:tcW w:w="3440" w:type="dxa"/>
            <w:noWrap/>
            <w:vAlign w:val="center"/>
            <w:hideMark/>
          </w:tcPr>
          <w:p w14:paraId="5D6846C5" w14:textId="77777777" w:rsidR="00762656" w:rsidRPr="004C12C9" w:rsidRDefault="00762656" w:rsidP="00112696">
            <w:pPr>
              <w:pStyle w:val="ICFTabletext"/>
              <w:rPr>
                <w:lang w:bidi="ar-SA"/>
              </w:rPr>
            </w:pPr>
            <w:r w:rsidRPr="004C12C9">
              <w:rPr>
                <w:lang w:bidi="ar-SA"/>
              </w:rPr>
              <w:t>Stationary Reciprocating Engine</w:t>
            </w:r>
          </w:p>
        </w:tc>
      </w:tr>
      <w:tr w:rsidR="00762656" w:rsidRPr="004C12C9" w14:paraId="4FF224B2" w14:textId="77777777" w:rsidTr="00112696">
        <w:trPr>
          <w:trHeight w:val="290"/>
        </w:trPr>
        <w:tc>
          <w:tcPr>
            <w:tcW w:w="3420" w:type="dxa"/>
            <w:noWrap/>
            <w:vAlign w:val="center"/>
            <w:hideMark/>
          </w:tcPr>
          <w:p w14:paraId="4F9B06CA" w14:textId="77777777" w:rsidR="00762656" w:rsidRPr="004C12C9" w:rsidRDefault="00762656" w:rsidP="00112696">
            <w:pPr>
              <w:pStyle w:val="ICFTabletext"/>
              <w:rPr>
                <w:lang w:bidi="ar-SA"/>
              </w:rPr>
            </w:pPr>
            <w:r w:rsidRPr="004C12C9">
              <w:rPr>
                <w:lang w:bidi="ar-SA"/>
              </w:rPr>
              <w:t>Cranes</w:t>
            </w:r>
          </w:p>
        </w:tc>
        <w:tc>
          <w:tcPr>
            <w:tcW w:w="3440" w:type="dxa"/>
            <w:noWrap/>
            <w:vAlign w:val="center"/>
            <w:hideMark/>
          </w:tcPr>
          <w:p w14:paraId="096056E4"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79B1CFD5" w14:textId="77777777" w:rsidTr="00112696">
        <w:trPr>
          <w:trHeight w:val="290"/>
        </w:trPr>
        <w:tc>
          <w:tcPr>
            <w:tcW w:w="3420" w:type="dxa"/>
            <w:noWrap/>
            <w:vAlign w:val="center"/>
            <w:hideMark/>
          </w:tcPr>
          <w:p w14:paraId="17769F87" w14:textId="77777777" w:rsidR="00762656" w:rsidRPr="004C12C9" w:rsidRDefault="00762656" w:rsidP="00112696">
            <w:pPr>
              <w:pStyle w:val="ICFTabletext"/>
              <w:rPr>
                <w:lang w:bidi="ar-SA"/>
              </w:rPr>
            </w:pPr>
            <w:r w:rsidRPr="004C12C9">
              <w:rPr>
                <w:lang w:bidi="ar-SA"/>
              </w:rPr>
              <w:t>Excavators</w:t>
            </w:r>
          </w:p>
        </w:tc>
        <w:tc>
          <w:tcPr>
            <w:tcW w:w="3440" w:type="dxa"/>
            <w:noWrap/>
            <w:vAlign w:val="center"/>
            <w:hideMark/>
          </w:tcPr>
          <w:p w14:paraId="3CD2AFDF"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67141D08" w14:textId="77777777" w:rsidTr="00112696">
        <w:trPr>
          <w:trHeight w:val="290"/>
        </w:trPr>
        <w:tc>
          <w:tcPr>
            <w:tcW w:w="3420" w:type="dxa"/>
            <w:noWrap/>
            <w:vAlign w:val="center"/>
            <w:hideMark/>
          </w:tcPr>
          <w:p w14:paraId="357F05B5" w14:textId="77777777" w:rsidR="00762656" w:rsidRPr="004C12C9" w:rsidRDefault="00762656" w:rsidP="00112696">
            <w:pPr>
              <w:pStyle w:val="ICFTabletext"/>
              <w:rPr>
                <w:lang w:bidi="ar-SA"/>
              </w:rPr>
            </w:pPr>
            <w:r w:rsidRPr="004C12C9">
              <w:rPr>
                <w:lang w:bidi="ar-SA"/>
              </w:rPr>
              <w:t>Forklifts</w:t>
            </w:r>
          </w:p>
        </w:tc>
        <w:tc>
          <w:tcPr>
            <w:tcW w:w="3440" w:type="dxa"/>
            <w:noWrap/>
            <w:vAlign w:val="center"/>
            <w:hideMark/>
          </w:tcPr>
          <w:p w14:paraId="650AB6CF" w14:textId="77777777" w:rsidR="00762656" w:rsidRPr="004C12C9" w:rsidRDefault="00762656" w:rsidP="00112696">
            <w:pPr>
              <w:pStyle w:val="ICFTabletext"/>
              <w:rPr>
                <w:lang w:bidi="ar-SA"/>
              </w:rPr>
            </w:pPr>
            <w:r w:rsidRPr="004C12C9">
              <w:rPr>
                <w:lang w:bidi="ar-SA"/>
              </w:rPr>
              <w:t>Light Duty Vocational Vehicle</w:t>
            </w:r>
          </w:p>
        </w:tc>
      </w:tr>
      <w:tr w:rsidR="00762656" w:rsidRPr="004C12C9" w14:paraId="7EC8C360" w14:textId="77777777" w:rsidTr="00112696">
        <w:trPr>
          <w:trHeight w:val="290"/>
        </w:trPr>
        <w:tc>
          <w:tcPr>
            <w:tcW w:w="3420" w:type="dxa"/>
            <w:noWrap/>
            <w:vAlign w:val="center"/>
            <w:hideMark/>
          </w:tcPr>
          <w:p w14:paraId="09AAA316" w14:textId="77777777" w:rsidR="00762656" w:rsidRPr="004C12C9" w:rsidRDefault="00762656" w:rsidP="00112696">
            <w:pPr>
              <w:pStyle w:val="ICFTabletext"/>
              <w:rPr>
                <w:lang w:bidi="ar-SA"/>
              </w:rPr>
            </w:pPr>
            <w:r w:rsidRPr="004C12C9">
              <w:rPr>
                <w:lang w:bidi="ar-SA"/>
              </w:rPr>
              <w:t>Generator Sets</w:t>
            </w:r>
          </w:p>
        </w:tc>
        <w:tc>
          <w:tcPr>
            <w:tcW w:w="3440" w:type="dxa"/>
            <w:noWrap/>
            <w:vAlign w:val="center"/>
            <w:hideMark/>
          </w:tcPr>
          <w:p w14:paraId="723F3B09" w14:textId="77777777" w:rsidR="00762656" w:rsidRPr="004C12C9" w:rsidRDefault="00762656" w:rsidP="00112696">
            <w:pPr>
              <w:pStyle w:val="ICFTabletext"/>
              <w:rPr>
                <w:lang w:bidi="ar-SA"/>
              </w:rPr>
            </w:pPr>
            <w:r w:rsidRPr="004C12C9">
              <w:rPr>
                <w:lang w:bidi="ar-SA"/>
              </w:rPr>
              <w:t>Stationary Reciprocating Engine</w:t>
            </w:r>
          </w:p>
        </w:tc>
      </w:tr>
      <w:tr w:rsidR="00762656" w:rsidRPr="004C12C9" w14:paraId="2276AA04" w14:textId="77777777" w:rsidTr="00112696">
        <w:trPr>
          <w:trHeight w:val="290"/>
        </w:trPr>
        <w:tc>
          <w:tcPr>
            <w:tcW w:w="3420" w:type="dxa"/>
            <w:noWrap/>
            <w:vAlign w:val="center"/>
            <w:hideMark/>
          </w:tcPr>
          <w:p w14:paraId="76FC247F" w14:textId="77777777" w:rsidR="00762656" w:rsidRPr="004C12C9" w:rsidRDefault="00762656" w:rsidP="00112696">
            <w:pPr>
              <w:pStyle w:val="ICFTabletext"/>
              <w:rPr>
                <w:lang w:bidi="ar-SA"/>
              </w:rPr>
            </w:pPr>
            <w:r w:rsidRPr="004C12C9">
              <w:rPr>
                <w:lang w:bidi="ar-SA"/>
              </w:rPr>
              <w:t>Graders</w:t>
            </w:r>
          </w:p>
        </w:tc>
        <w:tc>
          <w:tcPr>
            <w:tcW w:w="3440" w:type="dxa"/>
            <w:noWrap/>
            <w:vAlign w:val="center"/>
            <w:hideMark/>
          </w:tcPr>
          <w:p w14:paraId="42110842" w14:textId="77777777" w:rsidR="00762656" w:rsidRPr="004C12C9" w:rsidRDefault="00762656" w:rsidP="00112696">
            <w:pPr>
              <w:pStyle w:val="ICFTabletext"/>
              <w:rPr>
                <w:lang w:bidi="ar-SA"/>
              </w:rPr>
            </w:pPr>
            <w:r w:rsidRPr="004C12C9">
              <w:rPr>
                <w:lang w:bidi="ar-SA"/>
              </w:rPr>
              <w:t>Medium Duty Vocational Vehicle</w:t>
            </w:r>
          </w:p>
        </w:tc>
      </w:tr>
      <w:tr w:rsidR="00762656" w:rsidRPr="004C12C9" w14:paraId="63FE4C09" w14:textId="77777777" w:rsidTr="00112696">
        <w:trPr>
          <w:trHeight w:val="290"/>
        </w:trPr>
        <w:tc>
          <w:tcPr>
            <w:tcW w:w="3420" w:type="dxa"/>
            <w:noWrap/>
            <w:vAlign w:val="center"/>
            <w:hideMark/>
          </w:tcPr>
          <w:p w14:paraId="3D650D5B" w14:textId="77777777" w:rsidR="00762656" w:rsidRPr="004C12C9" w:rsidRDefault="00762656" w:rsidP="00112696">
            <w:pPr>
              <w:pStyle w:val="ICFTabletext"/>
              <w:rPr>
                <w:lang w:bidi="ar-SA"/>
              </w:rPr>
            </w:pPr>
            <w:r w:rsidRPr="004C12C9">
              <w:rPr>
                <w:lang w:bidi="ar-SA"/>
              </w:rPr>
              <w:t>Pavers</w:t>
            </w:r>
          </w:p>
        </w:tc>
        <w:tc>
          <w:tcPr>
            <w:tcW w:w="3440" w:type="dxa"/>
            <w:noWrap/>
            <w:vAlign w:val="center"/>
            <w:hideMark/>
          </w:tcPr>
          <w:p w14:paraId="68BE34D9" w14:textId="77777777" w:rsidR="00762656" w:rsidRPr="004C12C9" w:rsidRDefault="00762656" w:rsidP="00112696">
            <w:pPr>
              <w:pStyle w:val="ICFTabletext"/>
              <w:rPr>
                <w:lang w:bidi="ar-SA"/>
              </w:rPr>
            </w:pPr>
            <w:r w:rsidRPr="004C12C9">
              <w:rPr>
                <w:lang w:bidi="ar-SA"/>
              </w:rPr>
              <w:t>Medium Duty Vocational Vehicle</w:t>
            </w:r>
          </w:p>
        </w:tc>
      </w:tr>
      <w:tr w:rsidR="00762656" w:rsidRPr="004C12C9" w14:paraId="0E42124F" w14:textId="77777777" w:rsidTr="00112696">
        <w:trPr>
          <w:trHeight w:val="290"/>
        </w:trPr>
        <w:tc>
          <w:tcPr>
            <w:tcW w:w="3420" w:type="dxa"/>
            <w:noWrap/>
            <w:vAlign w:val="center"/>
            <w:hideMark/>
          </w:tcPr>
          <w:p w14:paraId="2DB7E1FE" w14:textId="77777777" w:rsidR="00762656" w:rsidRPr="004C12C9" w:rsidRDefault="00762656" w:rsidP="00112696">
            <w:pPr>
              <w:pStyle w:val="ICFTabletext"/>
              <w:rPr>
                <w:lang w:bidi="ar-SA"/>
              </w:rPr>
            </w:pPr>
            <w:r w:rsidRPr="004C12C9">
              <w:rPr>
                <w:lang w:bidi="ar-SA"/>
              </w:rPr>
              <w:t>Paving Equipment</w:t>
            </w:r>
          </w:p>
        </w:tc>
        <w:tc>
          <w:tcPr>
            <w:tcW w:w="3440" w:type="dxa"/>
            <w:noWrap/>
            <w:vAlign w:val="center"/>
            <w:hideMark/>
          </w:tcPr>
          <w:p w14:paraId="02659642" w14:textId="77777777" w:rsidR="00762656" w:rsidRPr="004C12C9" w:rsidRDefault="00762656" w:rsidP="00112696">
            <w:pPr>
              <w:pStyle w:val="ICFTabletext"/>
              <w:rPr>
                <w:lang w:bidi="ar-SA"/>
              </w:rPr>
            </w:pPr>
            <w:r w:rsidRPr="004C12C9">
              <w:rPr>
                <w:lang w:bidi="ar-SA"/>
              </w:rPr>
              <w:t>Stationary Reciprocating Engine</w:t>
            </w:r>
          </w:p>
        </w:tc>
      </w:tr>
      <w:tr w:rsidR="00762656" w:rsidRPr="004C12C9" w14:paraId="55C396A5" w14:textId="77777777" w:rsidTr="00112696">
        <w:trPr>
          <w:trHeight w:val="290"/>
        </w:trPr>
        <w:tc>
          <w:tcPr>
            <w:tcW w:w="3420" w:type="dxa"/>
            <w:noWrap/>
            <w:vAlign w:val="center"/>
            <w:hideMark/>
          </w:tcPr>
          <w:p w14:paraId="17C51A40" w14:textId="77777777" w:rsidR="00762656" w:rsidRPr="004C12C9" w:rsidRDefault="00762656" w:rsidP="00112696">
            <w:pPr>
              <w:pStyle w:val="ICFTabletext"/>
              <w:rPr>
                <w:lang w:bidi="ar-SA"/>
              </w:rPr>
            </w:pPr>
            <w:r w:rsidRPr="004C12C9">
              <w:rPr>
                <w:lang w:bidi="ar-SA"/>
              </w:rPr>
              <w:t>Rollers</w:t>
            </w:r>
          </w:p>
        </w:tc>
        <w:tc>
          <w:tcPr>
            <w:tcW w:w="3440" w:type="dxa"/>
            <w:noWrap/>
            <w:vAlign w:val="center"/>
            <w:hideMark/>
          </w:tcPr>
          <w:p w14:paraId="7F8CC08B"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06BA8A43" w14:textId="77777777" w:rsidTr="00112696">
        <w:trPr>
          <w:trHeight w:val="290"/>
        </w:trPr>
        <w:tc>
          <w:tcPr>
            <w:tcW w:w="3420" w:type="dxa"/>
            <w:noWrap/>
            <w:vAlign w:val="center"/>
            <w:hideMark/>
          </w:tcPr>
          <w:p w14:paraId="4B772569" w14:textId="77777777" w:rsidR="00762656" w:rsidRPr="004C12C9" w:rsidRDefault="00762656" w:rsidP="00112696">
            <w:pPr>
              <w:pStyle w:val="ICFTabletext"/>
              <w:rPr>
                <w:lang w:bidi="ar-SA"/>
              </w:rPr>
            </w:pPr>
            <w:r w:rsidRPr="004C12C9">
              <w:rPr>
                <w:lang w:bidi="ar-SA"/>
              </w:rPr>
              <w:t>Rubber Tired Dozers</w:t>
            </w:r>
          </w:p>
        </w:tc>
        <w:tc>
          <w:tcPr>
            <w:tcW w:w="3440" w:type="dxa"/>
            <w:noWrap/>
            <w:vAlign w:val="center"/>
            <w:hideMark/>
          </w:tcPr>
          <w:p w14:paraId="34E31572"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223EC4A7" w14:textId="77777777" w:rsidTr="00112696">
        <w:trPr>
          <w:trHeight w:val="290"/>
        </w:trPr>
        <w:tc>
          <w:tcPr>
            <w:tcW w:w="3420" w:type="dxa"/>
            <w:noWrap/>
            <w:vAlign w:val="center"/>
            <w:hideMark/>
          </w:tcPr>
          <w:p w14:paraId="3D56E9A2" w14:textId="77777777" w:rsidR="00762656" w:rsidRPr="004C12C9" w:rsidRDefault="00762656" w:rsidP="00112696">
            <w:pPr>
              <w:pStyle w:val="ICFTabletext"/>
              <w:rPr>
                <w:lang w:bidi="ar-SA"/>
              </w:rPr>
            </w:pPr>
            <w:r w:rsidRPr="004C12C9">
              <w:rPr>
                <w:lang w:bidi="ar-SA"/>
              </w:rPr>
              <w:t>Scrapers</w:t>
            </w:r>
          </w:p>
        </w:tc>
        <w:tc>
          <w:tcPr>
            <w:tcW w:w="3440" w:type="dxa"/>
            <w:noWrap/>
            <w:vAlign w:val="center"/>
            <w:hideMark/>
          </w:tcPr>
          <w:p w14:paraId="4A4DB5A8"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3088E23D" w14:textId="77777777" w:rsidTr="00112696">
        <w:trPr>
          <w:trHeight w:val="290"/>
        </w:trPr>
        <w:tc>
          <w:tcPr>
            <w:tcW w:w="3420" w:type="dxa"/>
            <w:noWrap/>
            <w:vAlign w:val="center"/>
            <w:hideMark/>
          </w:tcPr>
          <w:p w14:paraId="5D0AED3E" w14:textId="77777777" w:rsidR="00762656" w:rsidRPr="004C12C9" w:rsidRDefault="00762656" w:rsidP="00112696">
            <w:pPr>
              <w:pStyle w:val="ICFTabletext"/>
              <w:rPr>
                <w:lang w:bidi="ar-SA"/>
              </w:rPr>
            </w:pPr>
            <w:r w:rsidRPr="004C12C9">
              <w:rPr>
                <w:lang w:bidi="ar-SA"/>
              </w:rPr>
              <w:t>Tractors/Loaders/Backhoes</w:t>
            </w:r>
          </w:p>
        </w:tc>
        <w:tc>
          <w:tcPr>
            <w:tcW w:w="3440" w:type="dxa"/>
            <w:noWrap/>
            <w:vAlign w:val="center"/>
            <w:hideMark/>
          </w:tcPr>
          <w:p w14:paraId="073C54AB" w14:textId="77777777" w:rsidR="00762656" w:rsidRPr="004C12C9" w:rsidRDefault="00762656" w:rsidP="00112696">
            <w:pPr>
              <w:pStyle w:val="ICFTabletext"/>
              <w:rPr>
                <w:lang w:bidi="ar-SA"/>
              </w:rPr>
            </w:pPr>
            <w:r w:rsidRPr="004C12C9">
              <w:rPr>
                <w:lang w:bidi="ar-SA"/>
              </w:rPr>
              <w:t>Heavy Duty Vocational Vehicle</w:t>
            </w:r>
          </w:p>
        </w:tc>
      </w:tr>
      <w:tr w:rsidR="00762656" w:rsidRPr="004C12C9" w14:paraId="64B87661" w14:textId="77777777" w:rsidTr="00112696">
        <w:trPr>
          <w:trHeight w:val="290"/>
        </w:trPr>
        <w:tc>
          <w:tcPr>
            <w:tcW w:w="3420" w:type="dxa"/>
            <w:noWrap/>
            <w:vAlign w:val="center"/>
            <w:hideMark/>
          </w:tcPr>
          <w:p w14:paraId="0E5C07E5" w14:textId="77777777" w:rsidR="00762656" w:rsidRPr="004C12C9" w:rsidRDefault="00762656" w:rsidP="00112696">
            <w:pPr>
              <w:pStyle w:val="ICFTabletext"/>
              <w:rPr>
                <w:lang w:bidi="ar-SA"/>
              </w:rPr>
            </w:pPr>
            <w:r w:rsidRPr="004C12C9">
              <w:rPr>
                <w:lang w:bidi="ar-SA"/>
              </w:rPr>
              <w:t>Welders</w:t>
            </w:r>
          </w:p>
        </w:tc>
        <w:tc>
          <w:tcPr>
            <w:tcW w:w="3440" w:type="dxa"/>
            <w:noWrap/>
            <w:vAlign w:val="center"/>
            <w:hideMark/>
          </w:tcPr>
          <w:p w14:paraId="7BA78579" w14:textId="77777777" w:rsidR="00762656" w:rsidRPr="004C12C9" w:rsidRDefault="00762656" w:rsidP="00112696">
            <w:pPr>
              <w:pStyle w:val="ICFTabletext"/>
              <w:rPr>
                <w:lang w:bidi="ar-SA"/>
              </w:rPr>
            </w:pPr>
            <w:r w:rsidRPr="004C12C9">
              <w:rPr>
                <w:lang w:bidi="ar-SA"/>
              </w:rPr>
              <w:t>Stationary Reciprocating Engine</w:t>
            </w:r>
          </w:p>
        </w:tc>
      </w:tr>
    </w:tbl>
    <w:p w14:paraId="561CC61B" w14:textId="276F0102" w:rsidR="00762656" w:rsidRPr="004C12C9" w:rsidRDefault="00762656" w:rsidP="00972CF9">
      <w:pPr>
        <w:rPr>
          <w:lang w:eastAsia="ja-JP" w:bidi="ar-SA"/>
        </w:rPr>
      </w:pPr>
      <w:r w:rsidRPr="004C12C9">
        <w:rPr>
          <w:lang w:eastAsia="ja-JP" w:bidi="ar-SA"/>
        </w:rPr>
        <w:t>The combustion emission factors from GREET</w:t>
      </w:r>
      <w:r w:rsidR="00BF0DB3" w:rsidRPr="004C12C9">
        <w:rPr>
          <w:lang w:eastAsia="ja-JP" w:bidi="ar-SA"/>
        </w:rPr>
        <w:t xml:space="preserve"> </w:t>
      </w:r>
      <w:r w:rsidRPr="004C12C9">
        <w:rPr>
          <w:lang w:eastAsia="ja-JP" w:bidi="ar-SA"/>
        </w:rPr>
        <w:t>1 2024 by fuel and equipment type are summarized below in</w:t>
      </w:r>
      <w:r w:rsidR="00B11F4C">
        <w:rPr>
          <w:lang w:eastAsia="ja-JP" w:bidi="ar-SA"/>
        </w:rPr>
        <w:t xml:space="preserve"> </w:t>
      </w:r>
      <w:r w:rsidR="00B11F4C">
        <w:rPr>
          <w:lang w:eastAsia="ja-JP" w:bidi="ar-SA"/>
        </w:rPr>
        <w:fldChar w:fldCharType="begin"/>
      </w:r>
      <w:r w:rsidR="00B11F4C">
        <w:rPr>
          <w:lang w:eastAsia="ja-JP" w:bidi="ar-SA"/>
        </w:rPr>
        <w:instrText xml:space="preserve"> REF _Ref219816922 \h </w:instrText>
      </w:r>
      <w:r w:rsidR="00B11F4C">
        <w:rPr>
          <w:lang w:eastAsia="ja-JP" w:bidi="ar-SA"/>
        </w:rPr>
      </w:r>
      <w:r w:rsidR="00B11F4C">
        <w:rPr>
          <w:lang w:eastAsia="ja-JP" w:bidi="ar-SA"/>
        </w:rPr>
        <w:fldChar w:fldCharType="separate"/>
      </w:r>
      <w:r w:rsidR="00B11F4C" w:rsidRPr="004C12C9">
        <w:rPr>
          <w:lang w:eastAsia="ja-JP" w:bidi="ar-SA"/>
        </w:rPr>
        <w:t xml:space="preserve">Table </w:t>
      </w:r>
      <w:r w:rsidR="00B11F4C">
        <w:rPr>
          <w:noProof/>
          <w:lang w:eastAsia="ja-JP" w:bidi="ar-SA"/>
        </w:rPr>
        <w:t>2</w:t>
      </w:r>
      <w:r w:rsidR="00B11F4C">
        <w:rPr>
          <w:lang w:eastAsia="ja-JP" w:bidi="ar-SA"/>
        </w:rPr>
        <w:noBreakHyphen/>
      </w:r>
      <w:r w:rsidR="00B11F4C">
        <w:rPr>
          <w:noProof/>
          <w:lang w:eastAsia="ja-JP" w:bidi="ar-SA"/>
        </w:rPr>
        <w:t>33</w:t>
      </w:r>
      <w:r w:rsidR="00B11F4C">
        <w:rPr>
          <w:lang w:eastAsia="ja-JP" w:bidi="ar-SA"/>
        </w:rPr>
        <w:fldChar w:fldCharType="end"/>
      </w:r>
      <w:r w:rsidRPr="004C12C9">
        <w:rPr>
          <w:lang w:eastAsia="ja-JP" w:bidi="ar-SA"/>
        </w:rPr>
        <w:t>.</w:t>
      </w:r>
      <w:r w:rsidR="003C3CA0">
        <w:rPr>
          <w:rFonts w:ascii="ZWAdobeF" w:hAnsi="ZWAdobeF" w:cs="ZWAdobeF"/>
          <w:sz w:val="2"/>
          <w:szCs w:val="2"/>
          <w:lang w:eastAsia="ja-JP" w:bidi="ar-SA"/>
        </w:rPr>
        <w:t>45F</w:t>
      </w:r>
      <w:r w:rsidR="00AF7804" w:rsidRPr="004C12C9">
        <w:rPr>
          <w:rStyle w:val="FootnoteReference"/>
          <w:lang w:eastAsia="ja-JP" w:bidi="ar-SA"/>
        </w:rPr>
        <w:footnoteReference w:id="49"/>
      </w:r>
      <w:r w:rsidRPr="004C12C9">
        <w:rPr>
          <w:lang w:eastAsia="ja-JP" w:bidi="ar-SA"/>
        </w:rPr>
        <w:t xml:space="preserve"> These combustion emission factors reflect estimates for model year 2025 equipment. Due to the low variability in emission factors from 2025 to 2050, the emission factors for model year 2025 equipment are assumed to remain constant over time. All biofuels assume a soybean oil base and</w:t>
      </w:r>
      <w:r w:rsidRPr="004C12C9">
        <w:rPr>
          <w:vertAlign w:val="subscript"/>
          <w:lang w:eastAsia="ja-JP" w:bidi="ar-SA"/>
        </w:rPr>
        <w:t xml:space="preserve"> </w:t>
      </w:r>
      <w:r w:rsidRPr="004C12C9">
        <w:rPr>
          <w:lang w:eastAsia="ja-JP" w:bidi="ar-SA"/>
        </w:rPr>
        <w:t>exclude CO</w:t>
      </w:r>
      <w:r w:rsidRPr="004C12C9">
        <w:rPr>
          <w:vertAlign w:val="subscript"/>
          <w:lang w:eastAsia="ja-JP" w:bidi="ar-SA"/>
        </w:rPr>
        <w:t>2</w:t>
      </w:r>
      <w:r w:rsidRPr="004C12C9">
        <w:rPr>
          <w:lang w:eastAsia="ja-JP" w:bidi="ar-SA"/>
        </w:rPr>
        <w:t xml:space="preserve"> emissions, which are considered biogenic.</w:t>
      </w:r>
    </w:p>
    <w:p w14:paraId="50EB96E6" w14:textId="77777777" w:rsidR="00F95DF4" w:rsidRPr="004C12C9" w:rsidRDefault="00F95DF4">
      <w:pPr>
        <w:spacing w:before="120" w:after="0" w:line="271" w:lineRule="auto"/>
        <w:rPr>
          <w:b/>
          <w:bCs/>
          <w:iCs/>
          <w:color w:val="000000" w:themeColor="text2"/>
          <w:sz w:val="20"/>
          <w:szCs w:val="20"/>
          <w:lang w:eastAsia="ja-JP" w:bidi="ar-SA"/>
        </w:rPr>
      </w:pPr>
      <w:bookmarkStart w:id="97" w:name="_Ref188007257"/>
      <w:bookmarkStart w:id="98" w:name="_Ref195775043"/>
      <w:r w:rsidRPr="004C12C9">
        <w:rPr>
          <w:lang w:eastAsia="ja-JP" w:bidi="ar-SA"/>
        </w:rPr>
        <w:br w:type="page"/>
      </w:r>
    </w:p>
    <w:p w14:paraId="28E8CFE7" w14:textId="776F013F" w:rsidR="00762656" w:rsidRPr="004C12C9" w:rsidRDefault="00762656" w:rsidP="00112696">
      <w:pPr>
        <w:pStyle w:val="Caption"/>
        <w:rPr>
          <w:rFonts w:asciiTheme="minorHAnsi" w:hAnsiTheme="minorHAnsi" w:cstheme="minorHAnsi"/>
          <w:b w:val="0"/>
          <w:i/>
          <w:lang w:eastAsia="ja-JP" w:bidi="ar-SA"/>
        </w:rPr>
      </w:pPr>
      <w:bookmarkStart w:id="99" w:name="_Ref219816922"/>
      <w:r w:rsidRPr="004C12C9">
        <w:rPr>
          <w:lang w:eastAsia="ja-JP" w:bidi="ar-SA"/>
        </w:rPr>
        <w:lastRenderedPageBreak/>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33</w:t>
      </w:r>
      <w:r w:rsidR="00F72B41">
        <w:rPr>
          <w:lang w:eastAsia="ja-JP" w:bidi="ar-SA"/>
        </w:rPr>
        <w:fldChar w:fldCharType="end"/>
      </w:r>
      <w:bookmarkEnd w:id="97"/>
      <w:bookmarkEnd w:id="98"/>
      <w:bookmarkEnd w:id="99"/>
      <w:r w:rsidRPr="004C12C9">
        <w:rPr>
          <w:lang w:eastAsia="ja-JP" w:bidi="ar-SA"/>
        </w:rPr>
        <w:t xml:space="preserve">. Diesel and Biofuel Combustion Emission Factors Used in </w:t>
      </w:r>
      <w:r w:rsidR="000555CF" w:rsidRPr="004C12C9">
        <w:rPr>
          <w:lang w:eastAsia="ja-JP" w:bidi="ar-SA"/>
        </w:rPr>
        <w:t xml:space="preserve">the Climate </w:t>
      </w:r>
      <w:r w:rsidR="00307C70" w:rsidRPr="004C12C9">
        <w:rPr>
          <w:lang w:eastAsia="ja-JP" w:bidi="ar-SA"/>
        </w:rPr>
        <w:t>C</w:t>
      </w:r>
      <w:r w:rsidR="00307C70" w:rsidRPr="004C12C9">
        <w:t xml:space="preserve">alculator </w:t>
      </w:r>
      <w:r w:rsidRPr="004C12C9">
        <w:rPr>
          <w:lang w:eastAsia="ja-JP" w:bidi="ar-SA"/>
        </w:rPr>
        <w:t>by Equipment Type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83"/>
        <w:gridCol w:w="1646"/>
        <w:gridCol w:w="1647"/>
        <w:gridCol w:w="1647"/>
        <w:gridCol w:w="1647"/>
      </w:tblGrid>
      <w:tr w:rsidR="00762656" w:rsidRPr="004C12C9" w14:paraId="1CFD63B5" w14:textId="77777777" w:rsidTr="000318A9">
        <w:trPr>
          <w:trHeight w:val="285"/>
        </w:trPr>
        <w:tc>
          <w:tcPr>
            <w:tcW w:w="3483" w:type="dxa"/>
            <w:vMerge w:val="restart"/>
            <w:shd w:val="clear" w:color="auto" w:fill="D9D9D9" w:themeFill="background1" w:themeFillShade="D9"/>
            <w:vAlign w:val="center"/>
            <w:hideMark/>
          </w:tcPr>
          <w:p w14:paraId="067C9F72" w14:textId="77777777" w:rsidR="00762656" w:rsidRPr="004C12C9" w:rsidRDefault="00762656" w:rsidP="00112696">
            <w:pPr>
              <w:pStyle w:val="ICFTableHeading"/>
              <w:rPr>
                <w:lang w:bidi="ar-SA"/>
              </w:rPr>
            </w:pPr>
            <w:r w:rsidRPr="004C12C9">
              <w:rPr>
                <w:lang w:bidi="ar-SA"/>
              </w:rPr>
              <w:t xml:space="preserve">Equipment Type </w:t>
            </w:r>
          </w:p>
        </w:tc>
        <w:tc>
          <w:tcPr>
            <w:tcW w:w="6587" w:type="dxa"/>
            <w:gridSpan w:val="4"/>
            <w:shd w:val="clear" w:color="auto" w:fill="D9D9D9" w:themeFill="background1" w:themeFillShade="D9"/>
            <w:vAlign w:val="center"/>
            <w:hideMark/>
          </w:tcPr>
          <w:p w14:paraId="75FD99AC" w14:textId="1EA67C66" w:rsidR="00762656" w:rsidRPr="004C12C9" w:rsidRDefault="00762656" w:rsidP="00112696">
            <w:pPr>
              <w:pStyle w:val="ICFTableHeading"/>
              <w:rPr>
                <w:lang w:bidi="ar-SA"/>
              </w:rPr>
            </w:pPr>
            <w:r w:rsidRPr="004C12C9">
              <w:rPr>
                <w:lang w:bidi="ar-SA"/>
              </w:rPr>
              <w:t>Emission Factor (kgCO</w:t>
            </w:r>
            <w:r w:rsidRPr="004C12C9">
              <w:rPr>
                <w:vertAlign w:val="subscript"/>
                <w:lang w:bidi="ar-SA"/>
              </w:rPr>
              <w:t>2</w:t>
            </w:r>
            <w:r w:rsidRPr="004C12C9">
              <w:rPr>
                <w:lang w:bidi="ar-SA"/>
              </w:rPr>
              <w:t>e/MMBtu)</w:t>
            </w:r>
            <w:r w:rsidR="000318A9" w:rsidRPr="004C12C9">
              <w:rPr>
                <w:vertAlign w:val="superscript"/>
                <w:lang w:bidi="ar-SA"/>
              </w:rPr>
              <w:t>a</w:t>
            </w:r>
          </w:p>
        </w:tc>
      </w:tr>
      <w:tr w:rsidR="00762656" w:rsidRPr="004C12C9" w14:paraId="3FF8D2C6" w14:textId="77777777" w:rsidTr="000318A9">
        <w:trPr>
          <w:trHeight w:val="510"/>
        </w:trPr>
        <w:tc>
          <w:tcPr>
            <w:tcW w:w="3483" w:type="dxa"/>
            <w:vMerge/>
            <w:shd w:val="clear" w:color="auto" w:fill="D9D9D9" w:themeFill="background1" w:themeFillShade="D9"/>
            <w:vAlign w:val="center"/>
            <w:hideMark/>
          </w:tcPr>
          <w:p w14:paraId="3FE6D2EC" w14:textId="77777777" w:rsidR="00762656" w:rsidRPr="004C12C9" w:rsidRDefault="00762656" w:rsidP="00112696">
            <w:pPr>
              <w:pStyle w:val="ICFTableHeading"/>
              <w:rPr>
                <w:lang w:bidi="ar-SA"/>
              </w:rPr>
            </w:pPr>
          </w:p>
        </w:tc>
        <w:tc>
          <w:tcPr>
            <w:tcW w:w="1646" w:type="dxa"/>
            <w:shd w:val="clear" w:color="auto" w:fill="D9D9D9" w:themeFill="background1" w:themeFillShade="D9"/>
            <w:vAlign w:val="center"/>
            <w:hideMark/>
          </w:tcPr>
          <w:p w14:paraId="15367C1B" w14:textId="77777777" w:rsidR="00762656" w:rsidRPr="004C12C9" w:rsidRDefault="00762656" w:rsidP="00112696">
            <w:pPr>
              <w:pStyle w:val="ICFTableHeading"/>
              <w:rPr>
                <w:lang w:bidi="ar-SA"/>
              </w:rPr>
            </w:pPr>
            <w:r w:rsidRPr="004C12C9">
              <w:rPr>
                <w:lang w:bidi="ar-SA"/>
              </w:rPr>
              <w:t>Diesel</w:t>
            </w:r>
          </w:p>
        </w:tc>
        <w:tc>
          <w:tcPr>
            <w:tcW w:w="1647" w:type="dxa"/>
            <w:shd w:val="clear" w:color="auto" w:fill="D9D9D9" w:themeFill="background1" w:themeFillShade="D9"/>
            <w:vAlign w:val="center"/>
            <w:hideMark/>
          </w:tcPr>
          <w:p w14:paraId="6643DF83" w14:textId="1D8C11D3" w:rsidR="00762656" w:rsidRPr="004C12C9" w:rsidRDefault="00762656" w:rsidP="00112696">
            <w:pPr>
              <w:pStyle w:val="ICFTableHeading"/>
              <w:rPr>
                <w:lang w:bidi="ar-SA"/>
              </w:rPr>
            </w:pPr>
            <w:r w:rsidRPr="004C12C9">
              <w:rPr>
                <w:lang w:bidi="ar-SA"/>
              </w:rPr>
              <w:t>Biodiesel 100</w:t>
            </w:r>
            <w:r w:rsidR="000318A9" w:rsidRPr="004C12C9">
              <w:rPr>
                <w:vertAlign w:val="superscript"/>
                <w:lang w:eastAsia="ja-JP" w:bidi="ar-SA"/>
              </w:rPr>
              <w:t>b</w:t>
            </w:r>
          </w:p>
        </w:tc>
        <w:tc>
          <w:tcPr>
            <w:tcW w:w="1647" w:type="dxa"/>
            <w:shd w:val="clear" w:color="auto" w:fill="D9D9D9" w:themeFill="background1" w:themeFillShade="D9"/>
            <w:vAlign w:val="center"/>
            <w:hideMark/>
          </w:tcPr>
          <w:p w14:paraId="54E29E46" w14:textId="5D0576CF" w:rsidR="00762656" w:rsidRPr="004C12C9" w:rsidRDefault="00762656" w:rsidP="00112696">
            <w:pPr>
              <w:pStyle w:val="ICFTableHeading"/>
              <w:rPr>
                <w:lang w:bidi="ar-SA"/>
              </w:rPr>
            </w:pPr>
            <w:r w:rsidRPr="004C12C9">
              <w:rPr>
                <w:lang w:bidi="ar-SA"/>
              </w:rPr>
              <w:t>Biodiesel 20</w:t>
            </w:r>
            <w:r w:rsidR="000318A9" w:rsidRPr="004C12C9">
              <w:rPr>
                <w:vertAlign w:val="superscript"/>
                <w:lang w:eastAsia="ja-JP" w:bidi="ar-SA"/>
              </w:rPr>
              <w:t>b</w:t>
            </w:r>
          </w:p>
        </w:tc>
        <w:tc>
          <w:tcPr>
            <w:tcW w:w="1647" w:type="dxa"/>
            <w:shd w:val="clear" w:color="auto" w:fill="D9D9D9" w:themeFill="background1" w:themeFillShade="D9"/>
            <w:vAlign w:val="center"/>
            <w:hideMark/>
          </w:tcPr>
          <w:p w14:paraId="14DEBCAC" w14:textId="19E46A45" w:rsidR="00762656" w:rsidRPr="004C12C9" w:rsidRDefault="00762656" w:rsidP="00112696">
            <w:pPr>
              <w:pStyle w:val="ICFTableHeading"/>
              <w:rPr>
                <w:lang w:bidi="ar-SA"/>
              </w:rPr>
            </w:pPr>
            <w:r w:rsidRPr="004C12C9">
              <w:rPr>
                <w:lang w:bidi="ar-SA"/>
              </w:rPr>
              <w:t>Renewable Diesel</w:t>
            </w:r>
            <w:r w:rsidR="000318A9" w:rsidRPr="004C12C9">
              <w:rPr>
                <w:vertAlign w:val="superscript"/>
                <w:lang w:eastAsia="ja-JP" w:bidi="ar-SA"/>
              </w:rPr>
              <w:t>b</w:t>
            </w:r>
          </w:p>
        </w:tc>
      </w:tr>
      <w:tr w:rsidR="00762656" w:rsidRPr="004C12C9" w14:paraId="23A097AF" w14:textId="77777777" w:rsidTr="000318A9">
        <w:trPr>
          <w:trHeight w:val="300"/>
        </w:trPr>
        <w:tc>
          <w:tcPr>
            <w:tcW w:w="3483" w:type="dxa"/>
            <w:noWrap/>
            <w:vAlign w:val="center"/>
            <w:hideMark/>
          </w:tcPr>
          <w:p w14:paraId="47BAC9ED" w14:textId="77777777" w:rsidR="00762656" w:rsidRPr="004C12C9" w:rsidRDefault="00762656" w:rsidP="00112696">
            <w:pPr>
              <w:pStyle w:val="ICFTabletext"/>
              <w:rPr>
                <w:lang w:bidi="ar-SA"/>
              </w:rPr>
            </w:pPr>
            <w:r w:rsidRPr="004C12C9">
              <w:rPr>
                <w:lang w:bidi="ar-SA"/>
              </w:rPr>
              <w:t>Stationary Reciprocating Engine</w:t>
            </w:r>
          </w:p>
        </w:tc>
        <w:tc>
          <w:tcPr>
            <w:tcW w:w="1646" w:type="dxa"/>
            <w:shd w:val="clear" w:color="auto" w:fill="FFFFFF"/>
            <w:noWrap/>
            <w:vAlign w:val="center"/>
            <w:hideMark/>
          </w:tcPr>
          <w:p w14:paraId="63E15453" w14:textId="77777777" w:rsidR="00762656" w:rsidRPr="004C12C9" w:rsidRDefault="00762656" w:rsidP="00112696">
            <w:pPr>
              <w:pStyle w:val="ICFTabletext"/>
              <w:jc w:val="center"/>
              <w:rPr>
                <w:lang w:eastAsia="ja-JP" w:bidi="ar-SA"/>
              </w:rPr>
            </w:pPr>
            <w:r w:rsidRPr="004C12C9">
              <w:rPr>
                <w:lang w:eastAsia="ja-JP" w:bidi="ar-SA"/>
              </w:rPr>
              <w:t>77.63</w:t>
            </w:r>
          </w:p>
        </w:tc>
        <w:tc>
          <w:tcPr>
            <w:tcW w:w="1647" w:type="dxa"/>
            <w:shd w:val="clear" w:color="auto" w:fill="FFFFFF"/>
            <w:noWrap/>
            <w:vAlign w:val="center"/>
          </w:tcPr>
          <w:p w14:paraId="566CDC14" w14:textId="6E6C95F0" w:rsidR="00762656" w:rsidRPr="004C12C9" w:rsidRDefault="00762656" w:rsidP="00112696">
            <w:pPr>
              <w:pStyle w:val="ICFTabletext"/>
              <w:jc w:val="center"/>
              <w:rPr>
                <w:color w:val="000000"/>
                <w:lang w:bidi="ar-SA"/>
              </w:rPr>
            </w:pPr>
            <w:r w:rsidRPr="004C12C9">
              <w:rPr>
                <w:lang w:eastAsia="ja-JP" w:bidi="ar-SA"/>
              </w:rPr>
              <w:t>0.06</w:t>
            </w:r>
            <w:r w:rsidR="000318A9" w:rsidRPr="004C12C9">
              <w:rPr>
                <w:vertAlign w:val="superscript"/>
                <w:lang w:eastAsia="ja-JP" w:bidi="ar-SA"/>
              </w:rPr>
              <w:t>c</w:t>
            </w:r>
          </w:p>
        </w:tc>
        <w:tc>
          <w:tcPr>
            <w:tcW w:w="1647" w:type="dxa"/>
            <w:shd w:val="clear" w:color="auto" w:fill="FFFFFF"/>
            <w:noWrap/>
            <w:vAlign w:val="center"/>
          </w:tcPr>
          <w:p w14:paraId="2943C2A2" w14:textId="4481B7BC" w:rsidR="00762656" w:rsidRPr="004C12C9" w:rsidRDefault="00762656" w:rsidP="00112696">
            <w:pPr>
              <w:pStyle w:val="ICFTabletext"/>
              <w:jc w:val="center"/>
              <w:rPr>
                <w:color w:val="000000"/>
                <w:lang w:bidi="ar-SA"/>
              </w:rPr>
            </w:pPr>
            <w:r w:rsidRPr="004C12C9">
              <w:rPr>
                <w:lang w:eastAsia="ja-JP" w:bidi="ar-SA"/>
              </w:rPr>
              <w:t>65.5</w:t>
            </w:r>
            <w:r w:rsidR="00944801" w:rsidRPr="004C12C9">
              <w:rPr>
                <w:lang w:eastAsia="ja-JP" w:bidi="ar-SA"/>
              </w:rPr>
              <w:t>2</w:t>
            </w:r>
            <w:r w:rsidR="000318A9" w:rsidRPr="004C12C9">
              <w:rPr>
                <w:vertAlign w:val="superscript"/>
                <w:lang w:eastAsia="ja-JP" w:bidi="ar-SA"/>
              </w:rPr>
              <w:t>d</w:t>
            </w:r>
          </w:p>
        </w:tc>
        <w:tc>
          <w:tcPr>
            <w:tcW w:w="1647" w:type="dxa"/>
            <w:shd w:val="clear" w:color="auto" w:fill="FFFFFF"/>
            <w:noWrap/>
            <w:vAlign w:val="center"/>
          </w:tcPr>
          <w:p w14:paraId="278E92C0" w14:textId="293AF195" w:rsidR="00762656" w:rsidRPr="004C12C9" w:rsidRDefault="00762656" w:rsidP="00112696">
            <w:pPr>
              <w:pStyle w:val="ICFTabletext"/>
              <w:jc w:val="center"/>
              <w:rPr>
                <w:color w:val="000000"/>
                <w:lang w:bidi="ar-SA"/>
              </w:rPr>
            </w:pPr>
            <w:r w:rsidRPr="004C12C9">
              <w:rPr>
                <w:lang w:eastAsia="ja-JP" w:bidi="ar-SA"/>
              </w:rPr>
              <w:t>0.</w:t>
            </w:r>
            <w:r w:rsidR="00944801" w:rsidRPr="004C12C9">
              <w:rPr>
                <w:lang w:eastAsia="ja-JP" w:bidi="ar-SA"/>
              </w:rPr>
              <w:t>50</w:t>
            </w:r>
            <w:r w:rsidR="000318A9" w:rsidRPr="004C12C9">
              <w:rPr>
                <w:vertAlign w:val="superscript"/>
                <w:lang w:eastAsia="ja-JP" w:bidi="ar-SA"/>
              </w:rPr>
              <w:t>e</w:t>
            </w:r>
          </w:p>
        </w:tc>
      </w:tr>
      <w:tr w:rsidR="00762656" w:rsidRPr="004C12C9" w14:paraId="25A84CF8" w14:textId="77777777" w:rsidTr="000318A9">
        <w:trPr>
          <w:trHeight w:val="300"/>
        </w:trPr>
        <w:tc>
          <w:tcPr>
            <w:tcW w:w="3483" w:type="dxa"/>
            <w:noWrap/>
            <w:vAlign w:val="center"/>
            <w:hideMark/>
          </w:tcPr>
          <w:p w14:paraId="62E7D66F" w14:textId="77777777" w:rsidR="00762656" w:rsidRPr="004C12C9" w:rsidRDefault="00762656" w:rsidP="00112696">
            <w:pPr>
              <w:pStyle w:val="ICFTabletext"/>
              <w:rPr>
                <w:lang w:bidi="ar-SA"/>
              </w:rPr>
            </w:pPr>
            <w:r w:rsidRPr="004C12C9">
              <w:rPr>
                <w:lang w:bidi="ar-SA"/>
              </w:rPr>
              <w:t>Light Duty Vocational Vehicle</w:t>
            </w:r>
          </w:p>
        </w:tc>
        <w:tc>
          <w:tcPr>
            <w:tcW w:w="1646" w:type="dxa"/>
            <w:shd w:val="clear" w:color="auto" w:fill="FFFFFF"/>
            <w:noWrap/>
            <w:vAlign w:val="center"/>
            <w:hideMark/>
          </w:tcPr>
          <w:p w14:paraId="731A5390" w14:textId="30145B82" w:rsidR="00762656" w:rsidRPr="004C12C9" w:rsidRDefault="00762656" w:rsidP="00112696">
            <w:pPr>
              <w:pStyle w:val="ICFTabletext"/>
              <w:jc w:val="center"/>
              <w:rPr>
                <w:lang w:eastAsia="ja-JP" w:bidi="ar-SA"/>
              </w:rPr>
            </w:pPr>
            <w:r w:rsidRPr="004C12C9">
              <w:rPr>
                <w:lang w:eastAsia="ja-JP" w:bidi="ar-SA"/>
              </w:rPr>
              <w:t>81.3</w:t>
            </w:r>
            <w:r w:rsidR="00944801" w:rsidRPr="004C12C9">
              <w:rPr>
                <w:lang w:eastAsia="ja-JP" w:bidi="ar-SA"/>
              </w:rPr>
              <w:t>0</w:t>
            </w:r>
          </w:p>
        </w:tc>
        <w:tc>
          <w:tcPr>
            <w:tcW w:w="1647" w:type="dxa"/>
            <w:shd w:val="clear" w:color="auto" w:fill="FFFFFF"/>
            <w:noWrap/>
            <w:vAlign w:val="center"/>
          </w:tcPr>
          <w:p w14:paraId="5404A316" w14:textId="6A8BE067" w:rsidR="00762656" w:rsidRPr="004C12C9" w:rsidRDefault="00762656" w:rsidP="00112696">
            <w:pPr>
              <w:pStyle w:val="ICFTabletext"/>
              <w:jc w:val="center"/>
              <w:rPr>
                <w:color w:val="000000"/>
                <w:lang w:bidi="ar-SA"/>
              </w:rPr>
            </w:pPr>
            <w:r w:rsidRPr="004C12C9">
              <w:rPr>
                <w:lang w:eastAsia="ja-JP" w:bidi="ar-SA"/>
              </w:rPr>
              <w:t>6.4</w:t>
            </w:r>
            <w:r w:rsidR="00944801" w:rsidRPr="004C12C9">
              <w:rPr>
                <w:lang w:eastAsia="ja-JP" w:bidi="ar-SA"/>
              </w:rPr>
              <w:t>2</w:t>
            </w:r>
          </w:p>
        </w:tc>
        <w:tc>
          <w:tcPr>
            <w:tcW w:w="1647" w:type="dxa"/>
            <w:shd w:val="clear" w:color="auto" w:fill="FFFFFF"/>
            <w:noWrap/>
            <w:vAlign w:val="center"/>
          </w:tcPr>
          <w:p w14:paraId="50F172DC" w14:textId="0E6FFE6D" w:rsidR="00762656" w:rsidRPr="004C12C9" w:rsidRDefault="00762656" w:rsidP="00112696">
            <w:pPr>
              <w:pStyle w:val="ICFTabletext"/>
              <w:jc w:val="center"/>
              <w:rPr>
                <w:color w:val="000000"/>
                <w:lang w:bidi="ar-SA"/>
              </w:rPr>
            </w:pPr>
            <w:r w:rsidRPr="004C12C9">
              <w:rPr>
                <w:lang w:eastAsia="ja-JP" w:bidi="ar-SA"/>
              </w:rPr>
              <w:t>67.</w:t>
            </w:r>
            <w:r w:rsidR="00944801" w:rsidRPr="004C12C9">
              <w:rPr>
                <w:lang w:eastAsia="ja-JP" w:bidi="ar-SA"/>
              </w:rPr>
              <w:t>25</w:t>
            </w:r>
          </w:p>
        </w:tc>
        <w:tc>
          <w:tcPr>
            <w:tcW w:w="1647" w:type="dxa"/>
            <w:shd w:val="clear" w:color="auto" w:fill="FFFFFF"/>
            <w:noWrap/>
            <w:vAlign w:val="center"/>
          </w:tcPr>
          <w:p w14:paraId="59D04307" w14:textId="613D74E0" w:rsidR="00762656" w:rsidRPr="004C12C9" w:rsidRDefault="00762656" w:rsidP="00112696">
            <w:pPr>
              <w:pStyle w:val="ICFTabletext"/>
              <w:jc w:val="center"/>
              <w:rPr>
                <w:color w:val="000000"/>
                <w:lang w:bidi="ar-SA"/>
              </w:rPr>
            </w:pPr>
            <w:r w:rsidRPr="004C12C9">
              <w:rPr>
                <w:lang w:eastAsia="ja-JP" w:bidi="ar-SA"/>
              </w:rPr>
              <w:t>2.2</w:t>
            </w:r>
            <w:r w:rsidR="00944801" w:rsidRPr="004C12C9">
              <w:rPr>
                <w:lang w:eastAsia="ja-JP" w:bidi="ar-SA"/>
              </w:rPr>
              <w:t>3</w:t>
            </w:r>
            <w:r w:rsidR="000318A9" w:rsidRPr="004C12C9">
              <w:rPr>
                <w:vertAlign w:val="superscript"/>
                <w:lang w:eastAsia="ja-JP" w:bidi="ar-SA"/>
              </w:rPr>
              <w:t>f</w:t>
            </w:r>
          </w:p>
        </w:tc>
      </w:tr>
      <w:tr w:rsidR="00762656" w:rsidRPr="004C12C9" w14:paraId="07E6C719" w14:textId="77777777" w:rsidTr="000318A9">
        <w:trPr>
          <w:trHeight w:val="300"/>
        </w:trPr>
        <w:tc>
          <w:tcPr>
            <w:tcW w:w="3483" w:type="dxa"/>
            <w:noWrap/>
            <w:vAlign w:val="center"/>
            <w:hideMark/>
          </w:tcPr>
          <w:p w14:paraId="449D8F60" w14:textId="77777777" w:rsidR="00762656" w:rsidRPr="004C12C9" w:rsidRDefault="00762656" w:rsidP="00112696">
            <w:pPr>
              <w:pStyle w:val="ICFTabletext"/>
              <w:rPr>
                <w:lang w:bidi="ar-SA"/>
              </w:rPr>
            </w:pPr>
            <w:r w:rsidRPr="004C12C9">
              <w:rPr>
                <w:lang w:bidi="ar-SA"/>
              </w:rPr>
              <w:t>Medium Duty Vocational Vehicle</w:t>
            </w:r>
          </w:p>
        </w:tc>
        <w:tc>
          <w:tcPr>
            <w:tcW w:w="1646" w:type="dxa"/>
            <w:shd w:val="clear" w:color="auto" w:fill="FFFFFF"/>
            <w:noWrap/>
            <w:vAlign w:val="center"/>
            <w:hideMark/>
          </w:tcPr>
          <w:p w14:paraId="6B922213" w14:textId="0287BDD5" w:rsidR="00762656" w:rsidRPr="004C12C9" w:rsidRDefault="00762656" w:rsidP="00112696">
            <w:pPr>
              <w:pStyle w:val="ICFTabletext"/>
              <w:jc w:val="center"/>
              <w:rPr>
                <w:lang w:eastAsia="ja-JP" w:bidi="ar-SA"/>
              </w:rPr>
            </w:pPr>
            <w:r w:rsidRPr="004C12C9">
              <w:rPr>
                <w:lang w:eastAsia="ja-JP" w:bidi="ar-SA"/>
              </w:rPr>
              <w:t>82.0</w:t>
            </w:r>
            <w:r w:rsidR="00944801" w:rsidRPr="004C12C9">
              <w:rPr>
                <w:lang w:eastAsia="ja-JP" w:bidi="ar-SA"/>
              </w:rPr>
              <w:t>1</w:t>
            </w:r>
          </w:p>
        </w:tc>
        <w:tc>
          <w:tcPr>
            <w:tcW w:w="1647" w:type="dxa"/>
            <w:shd w:val="clear" w:color="auto" w:fill="FFFFFF"/>
            <w:noWrap/>
            <w:vAlign w:val="center"/>
          </w:tcPr>
          <w:p w14:paraId="603228B0" w14:textId="66CB656C" w:rsidR="00762656" w:rsidRPr="004C12C9" w:rsidRDefault="00762656" w:rsidP="00112696">
            <w:pPr>
              <w:pStyle w:val="ICFTabletext"/>
              <w:jc w:val="center"/>
              <w:rPr>
                <w:color w:val="000000"/>
                <w:lang w:bidi="ar-SA"/>
              </w:rPr>
            </w:pPr>
            <w:r w:rsidRPr="004C12C9">
              <w:rPr>
                <w:lang w:eastAsia="ja-JP" w:bidi="ar-SA"/>
              </w:rPr>
              <w:t>7.</w:t>
            </w:r>
            <w:r w:rsidR="00944801" w:rsidRPr="004C12C9">
              <w:rPr>
                <w:lang w:eastAsia="ja-JP" w:bidi="ar-SA"/>
              </w:rPr>
              <w:t>13</w:t>
            </w:r>
          </w:p>
        </w:tc>
        <w:tc>
          <w:tcPr>
            <w:tcW w:w="1647" w:type="dxa"/>
            <w:shd w:val="clear" w:color="auto" w:fill="FFFFFF"/>
            <w:noWrap/>
            <w:vAlign w:val="center"/>
          </w:tcPr>
          <w:p w14:paraId="7F4FD674" w14:textId="6C44A2EF" w:rsidR="00762656" w:rsidRPr="004C12C9" w:rsidRDefault="00762656" w:rsidP="00112696">
            <w:pPr>
              <w:pStyle w:val="ICFTabletext"/>
              <w:jc w:val="center"/>
              <w:rPr>
                <w:color w:val="000000"/>
                <w:lang w:bidi="ar-SA"/>
              </w:rPr>
            </w:pPr>
            <w:r w:rsidRPr="004C12C9">
              <w:rPr>
                <w:lang w:eastAsia="ja-JP" w:bidi="ar-SA"/>
              </w:rPr>
              <w:t>6</w:t>
            </w:r>
            <w:r w:rsidR="00944801" w:rsidRPr="004C12C9">
              <w:rPr>
                <w:lang w:eastAsia="ja-JP" w:bidi="ar-SA"/>
              </w:rPr>
              <w:t>7.96</w:t>
            </w:r>
          </w:p>
        </w:tc>
        <w:tc>
          <w:tcPr>
            <w:tcW w:w="1647" w:type="dxa"/>
            <w:shd w:val="clear" w:color="auto" w:fill="FFFFFF"/>
            <w:noWrap/>
            <w:vAlign w:val="center"/>
          </w:tcPr>
          <w:p w14:paraId="34E31D46" w14:textId="27DF674B" w:rsidR="00762656" w:rsidRPr="004C12C9" w:rsidRDefault="00944801" w:rsidP="00112696">
            <w:pPr>
              <w:pStyle w:val="ICFTabletext"/>
              <w:jc w:val="center"/>
              <w:rPr>
                <w:color w:val="000000"/>
                <w:lang w:bidi="ar-SA"/>
              </w:rPr>
            </w:pPr>
            <w:r w:rsidRPr="004C12C9">
              <w:rPr>
                <w:lang w:eastAsia="ja-JP" w:bidi="ar-SA"/>
              </w:rPr>
              <w:t>2.94</w:t>
            </w:r>
            <w:r w:rsidR="000318A9" w:rsidRPr="004C12C9">
              <w:rPr>
                <w:vertAlign w:val="superscript"/>
                <w:lang w:eastAsia="ja-JP" w:bidi="ar-SA"/>
              </w:rPr>
              <w:t>f</w:t>
            </w:r>
          </w:p>
        </w:tc>
      </w:tr>
      <w:tr w:rsidR="00762656" w:rsidRPr="004C12C9" w14:paraId="7C33CB15" w14:textId="77777777" w:rsidTr="000318A9">
        <w:trPr>
          <w:trHeight w:val="300"/>
        </w:trPr>
        <w:tc>
          <w:tcPr>
            <w:tcW w:w="3483" w:type="dxa"/>
            <w:noWrap/>
            <w:vAlign w:val="center"/>
            <w:hideMark/>
          </w:tcPr>
          <w:p w14:paraId="3B70B431" w14:textId="77777777" w:rsidR="00762656" w:rsidRPr="004C12C9" w:rsidRDefault="00762656" w:rsidP="00112696">
            <w:pPr>
              <w:pStyle w:val="ICFTabletext"/>
              <w:rPr>
                <w:lang w:bidi="ar-SA"/>
              </w:rPr>
            </w:pPr>
            <w:r w:rsidRPr="004C12C9">
              <w:rPr>
                <w:lang w:bidi="ar-SA"/>
              </w:rPr>
              <w:t>Heavy Duty Vocational Vehicle</w:t>
            </w:r>
          </w:p>
        </w:tc>
        <w:tc>
          <w:tcPr>
            <w:tcW w:w="1646" w:type="dxa"/>
            <w:shd w:val="clear" w:color="auto" w:fill="FFFFFF"/>
            <w:noWrap/>
            <w:vAlign w:val="center"/>
            <w:hideMark/>
          </w:tcPr>
          <w:p w14:paraId="6DBD98C9" w14:textId="350A3DCB" w:rsidR="00762656" w:rsidRPr="004C12C9" w:rsidRDefault="00762656" w:rsidP="00112696">
            <w:pPr>
              <w:pStyle w:val="ICFTabletext"/>
              <w:jc w:val="center"/>
              <w:rPr>
                <w:lang w:eastAsia="ja-JP" w:bidi="ar-SA"/>
              </w:rPr>
            </w:pPr>
            <w:r w:rsidRPr="004C12C9">
              <w:rPr>
                <w:lang w:eastAsia="ja-JP" w:bidi="ar-SA"/>
              </w:rPr>
              <w:t>8</w:t>
            </w:r>
            <w:r w:rsidR="00944801" w:rsidRPr="004C12C9">
              <w:rPr>
                <w:lang w:eastAsia="ja-JP" w:bidi="ar-SA"/>
              </w:rPr>
              <w:t>0</w:t>
            </w:r>
            <w:r w:rsidRPr="004C12C9">
              <w:rPr>
                <w:lang w:eastAsia="ja-JP" w:bidi="ar-SA"/>
              </w:rPr>
              <w:t>.</w:t>
            </w:r>
            <w:r w:rsidR="00944801" w:rsidRPr="004C12C9">
              <w:rPr>
                <w:lang w:eastAsia="ja-JP" w:bidi="ar-SA"/>
              </w:rPr>
              <w:t>97</w:t>
            </w:r>
          </w:p>
        </w:tc>
        <w:tc>
          <w:tcPr>
            <w:tcW w:w="1647" w:type="dxa"/>
            <w:shd w:val="clear" w:color="auto" w:fill="FFFFFF"/>
            <w:noWrap/>
            <w:vAlign w:val="center"/>
          </w:tcPr>
          <w:p w14:paraId="1D9B40D2" w14:textId="2D0006B0" w:rsidR="00762656" w:rsidRPr="004C12C9" w:rsidRDefault="00762656" w:rsidP="00112696">
            <w:pPr>
              <w:pStyle w:val="ICFTabletext"/>
              <w:jc w:val="center"/>
              <w:rPr>
                <w:color w:val="000000"/>
                <w:lang w:bidi="ar-SA"/>
              </w:rPr>
            </w:pPr>
            <w:r w:rsidRPr="004C12C9">
              <w:rPr>
                <w:lang w:eastAsia="ja-JP" w:bidi="ar-SA"/>
              </w:rPr>
              <w:t>6.</w:t>
            </w:r>
            <w:r w:rsidR="00944801" w:rsidRPr="004C12C9">
              <w:rPr>
                <w:lang w:eastAsia="ja-JP" w:bidi="ar-SA"/>
              </w:rPr>
              <w:t>09</w:t>
            </w:r>
          </w:p>
        </w:tc>
        <w:tc>
          <w:tcPr>
            <w:tcW w:w="1647" w:type="dxa"/>
            <w:shd w:val="clear" w:color="auto" w:fill="FFFFFF"/>
            <w:noWrap/>
            <w:vAlign w:val="center"/>
          </w:tcPr>
          <w:p w14:paraId="68127E0C" w14:textId="0634640A" w:rsidR="00762656" w:rsidRPr="004C12C9" w:rsidRDefault="00762656" w:rsidP="00112696">
            <w:pPr>
              <w:pStyle w:val="ICFTabletext"/>
              <w:jc w:val="center"/>
              <w:rPr>
                <w:color w:val="000000"/>
                <w:lang w:bidi="ar-SA"/>
              </w:rPr>
            </w:pPr>
            <w:r w:rsidRPr="004C12C9">
              <w:rPr>
                <w:lang w:eastAsia="ja-JP" w:bidi="ar-SA"/>
              </w:rPr>
              <w:t>67.</w:t>
            </w:r>
            <w:r w:rsidR="00944801" w:rsidRPr="004C12C9">
              <w:rPr>
                <w:lang w:eastAsia="ja-JP" w:bidi="ar-SA"/>
              </w:rPr>
              <w:t>25</w:t>
            </w:r>
          </w:p>
        </w:tc>
        <w:tc>
          <w:tcPr>
            <w:tcW w:w="1647" w:type="dxa"/>
            <w:shd w:val="clear" w:color="auto" w:fill="FFFFFF"/>
            <w:noWrap/>
            <w:vAlign w:val="center"/>
          </w:tcPr>
          <w:p w14:paraId="287A7052" w14:textId="1AD8CCBF" w:rsidR="00762656" w:rsidRPr="004C12C9" w:rsidRDefault="00762656" w:rsidP="00112696">
            <w:pPr>
              <w:pStyle w:val="ICFTabletext"/>
              <w:jc w:val="center"/>
              <w:rPr>
                <w:color w:val="000000"/>
                <w:lang w:bidi="ar-SA"/>
              </w:rPr>
            </w:pPr>
            <w:r w:rsidRPr="004C12C9">
              <w:rPr>
                <w:lang w:eastAsia="ja-JP" w:bidi="ar-SA"/>
              </w:rPr>
              <w:t>1.9</w:t>
            </w:r>
            <w:r w:rsidR="00944801" w:rsidRPr="004C12C9">
              <w:rPr>
                <w:lang w:eastAsia="ja-JP" w:bidi="ar-SA"/>
              </w:rPr>
              <w:t>0</w:t>
            </w:r>
            <w:r w:rsidR="000318A9" w:rsidRPr="004C12C9">
              <w:rPr>
                <w:vertAlign w:val="superscript"/>
                <w:lang w:eastAsia="ja-JP" w:bidi="ar-SA"/>
              </w:rPr>
              <w:t>f</w:t>
            </w:r>
          </w:p>
        </w:tc>
      </w:tr>
    </w:tbl>
    <w:p w14:paraId="3D4E7759" w14:textId="15713DF6" w:rsidR="000318A9" w:rsidRPr="004C12C9" w:rsidRDefault="000318A9" w:rsidP="000318A9">
      <w:pPr>
        <w:pStyle w:val="TableFooter"/>
        <w:rPr>
          <w:rFonts w:asciiTheme="minorHAnsi" w:hAnsiTheme="minorHAnsi" w:cstheme="minorHAnsi"/>
          <w:lang w:eastAsia="ja-JP" w:bidi="ar-SA"/>
        </w:rPr>
      </w:pPr>
      <w:r w:rsidRPr="004C12C9">
        <w:rPr>
          <w:vertAlign w:val="superscript"/>
          <w:lang w:eastAsia="ja-JP" w:bidi="ar-SA"/>
        </w:rPr>
        <w:t>a</w:t>
      </w:r>
      <w:r w:rsidRPr="004C12C9">
        <w:rPr>
          <w:lang w:eastAsia="ja-JP" w:bidi="ar-SA"/>
        </w:rPr>
        <w:t xml:space="preserve"> Values shown are based on AR5 global warming potentials.</w:t>
      </w:r>
    </w:p>
    <w:p w14:paraId="6A02E7E7" w14:textId="750DE4FA" w:rsidR="00762656" w:rsidRPr="004C12C9" w:rsidRDefault="000318A9" w:rsidP="00112696">
      <w:pPr>
        <w:pStyle w:val="TableFooter"/>
        <w:rPr>
          <w:rFonts w:asciiTheme="minorHAnsi" w:hAnsiTheme="minorHAnsi" w:cstheme="minorHAnsi"/>
          <w:lang w:eastAsia="ja-JP" w:bidi="ar-SA"/>
        </w:rPr>
      </w:pPr>
      <w:r w:rsidRPr="004C12C9">
        <w:rPr>
          <w:vertAlign w:val="superscript"/>
          <w:lang w:eastAsia="ja-JP" w:bidi="ar-SA"/>
        </w:rPr>
        <w:t>b</w:t>
      </w:r>
      <w:r w:rsidR="00762656" w:rsidRPr="004C12C9">
        <w:rPr>
          <w:lang w:eastAsia="ja-JP" w:bidi="ar-SA"/>
        </w:rPr>
        <w:t xml:space="preserve"> Exclude</w:t>
      </w:r>
      <w:r w:rsidR="000507B1" w:rsidRPr="004C12C9">
        <w:rPr>
          <w:lang w:eastAsia="ja-JP" w:bidi="ar-SA"/>
        </w:rPr>
        <w:t>s</w:t>
      </w:r>
      <w:r w:rsidR="00762656" w:rsidRPr="004C12C9">
        <w:rPr>
          <w:lang w:eastAsia="ja-JP" w:bidi="ar-SA"/>
        </w:rPr>
        <w:t xml:space="preserve"> CO</w:t>
      </w:r>
      <w:r w:rsidR="00762656" w:rsidRPr="004C12C9">
        <w:rPr>
          <w:rFonts w:asciiTheme="minorHAnsi" w:hAnsiTheme="minorHAnsi" w:cstheme="minorHAnsi"/>
          <w:vertAlign w:val="subscript"/>
          <w:lang w:eastAsia="ja-JP" w:bidi="ar-SA"/>
        </w:rPr>
        <w:t>2</w:t>
      </w:r>
      <w:r w:rsidR="00762656" w:rsidRPr="004C12C9">
        <w:rPr>
          <w:rFonts w:asciiTheme="minorHAnsi" w:hAnsiTheme="minorHAnsi" w:cstheme="minorHAnsi"/>
          <w:lang w:eastAsia="ja-JP" w:bidi="ar-SA"/>
        </w:rPr>
        <w:t xml:space="preserve"> emissions, which are considered biogenic.</w:t>
      </w:r>
    </w:p>
    <w:p w14:paraId="0C876BC0" w14:textId="58577DB5" w:rsidR="00762656" w:rsidRPr="004C12C9" w:rsidRDefault="000318A9" w:rsidP="00112696">
      <w:pPr>
        <w:pStyle w:val="TableFooter"/>
        <w:rPr>
          <w:rFonts w:asciiTheme="minorHAnsi" w:hAnsiTheme="minorHAnsi" w:cstheme="minorHAnsi"/>
          <w:lang w:eastAsia="ja-JP" w:bidi="ar-SA"/>
        </w:rPr>
      </w:pPr>
      <w:r w:rsidRPr="004C12C9">
        <w:rPr>
          <w:vertAlign w:val="superscript"/>
          <w:lang w:eastAsia="ja-JP" w:bidi="ar-SA"/>
        </w:rPr>
        <w:t>c</w:t>
      </w:r>
      <w:r w:rsidR="00762656" w:rsidRPr="004C12C9">
        <w:rPr>
          <w:rFonts w:asciiTheme="minorHAnsi" w:hAnsiTheme="minorHAnsi" w:cstheme="minorHAnsi"/>
          <w:lang w:eastAsia="ja-JP" w:bidi="ar-SA"/>
        </w:rPr>
        <w:t xml:space="preserve"> Not available from GREET</w:t>
      </w:r>
      <w:r w:rsidR="009D2E3F" w:rsidRPr="004C12C9">
        <w:rPr>
          <w:rFonts w:asciiTheme="minorHAnsi" w:hAnsiTheme="minorHAnsi" w:cstheme="minorHAnsi"/>
          <w:lang w:eastAsia="ja-JP" w:bidi="ar-SA"/>
        </w:rPr>
        <w:t xml:space="preserve"> 1 2024</w:t>
      </w:r>
      <w:r w:rsidR="00762656" w:rsidRPr="004C12C9">
        <w:rPr>
          <w:rFonts w:asciiTheme="minorHAnsi" w:hAnsiTheme="minorHAnsi" w:cstheme="minorHAnsi"/>
          <w:lang w:eastAsia="ja-JP" w:bidi="ar-SA"/>
        </w:rPr>
        <w:t>. Assumes the stationary combustion factor for biodiesel 100 from the EPA Emission Factors Hub.</w:t>
      </w:r>
    </w:p>
    <w:p w14:paraId="423D6EA1" w14:textId="1E5FB57B" w:rsidR="00762656" w:rsidRPr="004C12C9" w:rsidRDefault="000318A9" w:rsidP="00112696">
      <w:pPr>
        <w:pStyle w:val="TableFooter"/>
        <w:rPr>
          <w:rFonts w:asciiTheme="minorHAnsi" w:hAnsiTheme="minorHAnsi" w:cstheme="minorHAnsi"/>
          <w:lang w:eastAsia="ja-JP" w:bidi="ar-SA"/>
        </w:rPr>
      </w:pPr>
      <w:r w:rsidRPr="004C12C9">
        <w:rPr>
          <w:vertAlign w:val="superscript"/>
          <w:lang w:eastAsia="ja-JP" w:bidi="ar-SA"/>
        </w:rPr>
        <w:t>d</w:t>
      </w:r>
      <w:r w:rsidR="00762656" w:rsidRPr="004C12C9">
        <w:rPr>
          <w:rFonts w:asciiTheme="minorHAnsi" w:hAnsiTheme="minorHAnsi" w:cstheme="minorHAnsi"/>
          <w:lang w:eastAsia="ja-JP" w:bidi="ar-SA"/>
        </w:rPr>
        <w:t xml:space="preserve"> Assumes combustion emissions for soybean oil Biodiesel 20 CIDI vehicle from GREET</w:t>
      </w:r>
      <w:r w:rsidR="009D2E3F" w:rsidRPr="004C12C9">
        <w:rPr>
          <w:rFonts w:asciiTheme="minorHAnsi" w:hAnsiTheme="minorHAnsi" w:cstheme="minorHAnsi"/>
          <w:lang w:eastAsia="ja-JP" w:bidi="ar-SA"/>
        </w:rPr>
        <w:t xml:space="preserve"> 1 2024</w:t>
      </w:r>
      <w:r w:rsidR="00762656" w:rsidRPr="004C12C9">
        <w:rPr>
          <w:rFonts w:asciiTheme="minorHAnsi" w:hAnsiTheme="minorHAnsi" w:cstheme="minorHAnsi"/>
          <w:lang w:eastAsia="ja-JP" w:bidi="ar-SA"/>
        </w:rPr>
        <w:t>.</w:t>
      </w:r>
    </w:p>
    <w:p w14:paraId="49C9F413" w14:textId="21FDA484" w:rsidR="00762656" w:rsidRPr="004C12C9" w:rsidRDefault="000318A9" w:rsidP="00112696">
      <w:pPr>
        <w:pStyle w:val="TableFooter"/>
        <w:rPr>
          <w:rFonts w:asciiTheme="minorHAnsi" w:hAnsiTheme="minorHAnsi" w:cstheme="minorHAnsi"/>
          <w:lang w:eastAsia="ja-JP" w:bidi="ar-SA"/>
        </w:rPr>
      </w:pPr>
      <w:r w:rsidRPr="004C12C9">
        <w:rPr>
          <w:vertAlign w:val="superscript"/>
          <w:lang w:eastAsia="ja-JP" w:bidi="ar-SA"/>
        </w:rPr>
        <w:t>e</w:t>
      </w:r>
      <w:r w:rsidR="00762656" w:rsidRPr="004C12C9">
        <w:rPr>
          <w:rFonts w:asciiTheme="minorHAnsi" w:hAnsiTheme="minorHAnsi" w:cstheme="minorHAnsi"/>
          <w:lang w:eastAsia="ja-JP" w:bidi="ar-SA"/>
        </w:rPr>
        <w:t xml:space="preserve"> Assumes combustion emissions for soybean oil Renewable Diesel CIDI vehicle from GREET</w:t>
      </w:r>
      <w:r w:rsidR="009D2E3F" w:rsidRPr="004C12C9">
        <w:rPr>
          <w:rFonts w:asciiTheme="minorHAnsi" w:hAnsiTheme="minorHAnsi" w:cstheme="minorHAnsi"/>
          <w:lang w:eastAsia="ja-JP" w:bidi="ar-SA"/>
        </w:rPr>
        <w:t xml:space="preserve"> 1 2024</w:t>
      </w:r>
      <w:r w:rsidR="00762656" w:rsidRPr="004C12C9">
        <w:rPr>
          <w:rFonts w:asciiTheme="minorHAnsi" w:hAnsiTheme="minorHAnsi" w:cstheme="minorHAnsi"/>
          <w:lang w:eastAsia="ja-JP" w:bidi="ar-SA"/>
        </w:rPr>
        <w:t>.</w:t>
      </w:r>
    </w:p>
    <w:p w14:paraId="63A551B8" w14:textId="28192CB0" w:rsidR="00762656" w:rsidRPr="004C12C9" w:rsidRDefault="000318A9" w:rsidP="00112696">
      <w:pPr>
        <w:pStyle w:val="TableFooter"/>
        <w:rPr>
          <w:rFonts w:asciiTheme="minorHAnsi" w:hAnsiTheme="minorHAnsi" w:cstheme="minorHAnsi"/>
          <w:lang w:eastAsia="ja-JP" w:bidi="ar-SA"/>
        </w:rPr>
      </w:pPr>
      <w:r w:rsidRPr="004C12C9">
        <w:rPr>
          <w:vertAlign w:val="superscript"/>
          <w:lang w:eastAsia="ja-JP" w:bidi="ar-SA"/>
        </w:rPr>
        <w:t>f</w:t>
      </w:r>
      <w:r w:rsidR="00762656" w:rsidRPr="004C12C9">
        <w:rPr>
          <w:rFonts w:asciiTheme="minorHAnsi" w:hAnsiTheme="minorHAnsi" w:cstheme="minorHAnsi"/>
          <w:lang w:eastAsia="ja-JP" w:bidi="ar-SA"/>
        </w:rPr>
        <w:t xml:space="preserve"> Forest residue to renewable diesel pathway </w:t>
      </w:r>
      <w:r w:rsidR="006F332E" w:rsidRPr="004C12C9">
        <w:rPr>
          <w:rFonts w:asciiTheme="minorHAnsi" w:hAnsiTheme="minorHAnsi" w:cstheme="minorHAnsi"/>
          <w:lang w:eastAsia="ja-JP" w:bidi="ar-SA"/>
        </w:rPr>
        <w:t xml:space="preserve">is </w:t>
      </w:r>
      <w:r w:rsidR="00762656" w:rsidRPr="004C12C9">
        <w:rPr>
          <w:rFonts w:asciiTheme="minorHAnsi" w:hAnsiTheme="minorHAnsi" w:cstheme="minorHAnsi"/>
          <w:lang w:eastAsia="ja-JP" w:bidi="ar-SA"/>
        </w:rPr>
        <w:t xml:space="preserve">used as </w:t>
      </w:r>
      <w:r w:rsidR="006F332E" w:rsidRPr="004C12C9">
        <w:rPr>
          <w:rFonts w:asciiTheme="minorHAnsi" w:hAnsiTheme="minorHAnsi" w:cstheme="minorHAnsi"/>
          <w:lang w:eastAsia="ja-JP" w:bidi="ar-SA"/>
        </w:rPr>
        <w:t xml:space="preserve">a </w:t>
      </w:r>
      <w:r w:rsidR="00762656" w:rsidRPr="004C12C9">
        <w:rPr>
          <w:rFonts w:asciiTheme="minorHAnsi" w:hAnsiTheme="minorHAnsi" w:cstheme="minorHAnsi"/>
          <w:lang w:eastAsia="ja-JP" w:bidi="ar-SA"/>
        </w:rPr>
        <w:t xml:space="preserve">proxy because GREET </w:t>
      </w:r>
      <w:r w:rsidR="00477459" w:rsidRPr="004C12C9">
        <w:rPr>
          <w:rFonts w:asciiTheme="minorHAnsi" w:hAnsiTheme="minorHAnsi" w:cstheme="minorHAnsi"/>
          <w:lang w:eastAsia="ja-JP" w:bidi="ar-SA"/>
        </w:rPr>
        <w:t>1 2024</w:t>
      </w:r>
      <w:r w:rsidR="00762656" w:rsidRPr="004C12C9">
        <w:rPr>
          <w:rFonts w:asciiTheme="minorHAnsi" w:hAnsiTheme="minorHAnsi" w:cstheme="minorHAnsi"/>
          <w:lang w:eastAsia="ja-JP" w:bidi="ar-SA"/>
        </w:rPr>
        <w:t xml:space="preserve"> does</w:t>
      </w:r>
      <w:r w:rsidR="006F332E" w:rsidRPr="004C12C9">
        <w:rPr>
          <w:rFonts w:asciiTheme="minorHAnsi" w:hAnsiTheme="minorHAnsi" w:cstheme="minorHAnsi"/>
          <w:lang w:eastAsia="ja-JP" w:bidi="ar-SA"/>
        </w:rPr>
        <w:t xml:space="preserve"> no</w:t>
      </w:r>
      <w:r w:rsidR="00762656" w:rsidRPr="004C12C9">
        <w:rPr>
          <w:rFonts w:asciiTheme="minorHAnsi" w:hAnsiTheme="minorHAnsi" w:cstheme="minorHAnsi"/>
          <w:lang w:eastAsia="ja-JP" w:bidi="ar-SA"/>
        </w:rPr>
        <w:t>t provide soy oil to renewable diesel pathway combustion emissions for heavy duty vehicles.</w:t>
      </w:r>
    </w:p>
    <w:p w14:paraId="7DCD5FB9" w14:textId="73E87A44" w:rsidR="00762656" w:rsidRPr="004C12C9" w:rsidRDefault="00762656" w:rsidP="00972CF9">
      <w:pPr>
        <w:rPr>
          <w:lang w:eastAsia="ja-JP" w:bidi="ar-SA"/>
        </w:rPr>
      </w:pPr>
      <w:r w:rsidRPr="004C12C9">
        <w:rPr>
          <w:lang w:eastAsia="ja-JP" w:bidi="ar-SA"/>
        </w:rPr>
        <w:t>The resulting life cycle emission factors by fuel and equipment type, which reflect a sum of upstream (</w:t>
      </w:r>
      <w:r w:rsidR="005E4564">
        <w:rPr>
          <w:lang w:eastAsia="ja-JP" w:bidi="ar-SA"/>
        </w:rPr>
        <w:fldChar w:fldCharType="begin"/>
      </w:r>
      <w:r w:rsidR="005E4564">
        <w:rPr>
          <w:lang w:eastAsia="ja-JP" w:bidi="ar-SA"/>
        </w:rPr>
        <w:instrText xml:space="preserve"> REF _Ref219816446 \h </w:instrText>
      </w:r>
      <w:r w:rsidR="005E4564">
        <w:rPr>
          <w:lang w:eastAsia="ja-JP" w:bidi="ar-SA"/>
        </w:rPr>
      </w:r>
      <w:r w:rsidR="005E4564">
        <w:rPr>
          <w:lang w:eastAsia="ja-JP" w:bidi="ar-SA"/>
        </w:rPr>
        <w:fldChar w:fldCharType="separate"/>
      </w:r>
      <w:r w:rsidR="005E4564" w:rsidRPr="004C12C9">
        <w:rPr>
          <w:lang w:eastAsia="ja-JP" w:bidi="ar-SA"/>
        </w:rPr>
        <w:t xml:space="preserve">Table </w:t>
      </w:r>
      <w:r w:rsidR="005E4564">
        <w:rPr>
          <w:noProof/>
          <w:lang w:eastAsia="ja-JP" w:bidi="ar-SA"/>
        </w:rPr>
        <w:t>2</w:t>
      </w:r>
      <w:r w:rsidR="005E4564">
        <w:rPr>
          <w:lang w:eastAsia="ja-JP" w:bidi="ar-SA"/>
        </w:rPr>
        <w:noBreakHyphen/>
      </w:r>
      <w:r w:rsidR="005E4564">
        <w:rPr>
          <w:noProof/>
          <w:lang w:eastAsia="ja-JP" w:bidi="ar-SA"/>
        </w:rPr>
        <w:t>31</w:t>
      </w:r>
      <w:r w:rsidR="005E4564">
        <w:rPr>
          <w:lang w:eastAsia="ja-JP" w:bidi="ar-SA"/>
        </w:rPr>
        <w:fldChar w:fldCharType="end"/>
      </w:r>
      <w:r w:rsidRPr="004C12C9">
        <w:rPr>
          <w:lang w:eastAsia="ja-JP" w:bidi="ar-SA"/>
        </w:rPr>
        <w:t>) and combustion emissions (</w:t>
      </w:r>
      <w:r w:rsidR="00A7505E">
        <w:rPr>
          <w:lang w:eastAsia="ja-JP" w:bidi="ar-SA"/>
        </w:rPr>
        <w:fldChar w:fldCharType="begin"/>
      </w:r>
      <w:r w:rsidR="00A7505E">
        <w:rPr>
          <w:lang w:eastAsia="ja-JP" w:bidi="ar-SA"/>
        </w:rPr>
        <w:instrText xml:space="preserve"> REF _Ref219816922 \h </w:instrText>
      </w:r>
      <w:r w:rsidR="00A7505E">
        <w:rPr>
          <w:lang w:eastAsia="ja-JP" w:bidi="ar-SA"/>
        </w:rPr>
      </w:r>
      <w:r w:rsidR="00A7505E">
        <w:rPr>
          <w:lang w:eastAsia="ja-JP" w:bidi="ar-SA"/>
        </w:rPr>
        <w:fldChar w:fldCharType="separate"/>
      </w:r>
      <w:r w:rsidR="00A7505E" w:rsidRPr="004C12C9">
        <w:rPr>
          <w:lang w:eastAsia="ja-JP" w:bidi="ar-SA"/>
        </w:rPr>
        <w:t xml:space="preserve">Table </w:t>
      </w:r>
      <w:r w:rsidR="00A7505E">
        <w:rPr>
          <w:noProof/>
          <w:lang w:eastAsia="ja-JP" w:bidi="ar-SA"/>
        </w:rPr>
        <w:t>2</w:t>
      </w:r>
      <w:r w:rsidR="00A7505E">
        <w:rPr>
          <w:lang w:eastAsia="ja-JP" w:bidi="ar-SA"/>
        </w:rPr>
        <w:noBreakHyphen/>
      </w:r>
      <w:r w:rsidR="00A7505E">
        <w:rPr>
          <w:noProof/>
          <w:lang w:eastAsia="ja-JP" w:bidi="ar-SA"/>
        </w:rPr>
        <w:t>33</w:t>
      </w:r>
      <w:r w:rsidR="00A7505E">
        <w:rPr>
          <w:lang w:eastAsia="ja-JP" w:bidi="ar-SA"/>
        </w:rPr>
        <w:fldChar w:fldCharType="end"/>
      </w:r>
      <w:r w:rsidRPr="004C12C9">
        <w:rPr>
          <w:lang w:eastAsia="ja-JP" w:bidi="ar-SA"/>
        </w:rPr>
        <w:t xml:space="preserve">), are summarized in </w:t>
      </w:r>
      <w:r w:rsidR="00A7505E">
        <w:rPr>
          <w:lang w:eastAsia="ja-JP" w:bidi="ar-SA"/>
        </w:rPr>
        <w:fldChar w:fldCharType="begin"/>
      </w:r>
      <w:r w:rsidR="00A7505E">
        <w:rPr>
          <w:lang w:eastAsia="ja-JP" w:bidi="ar-SA"/>
        </w:rPr>
        <w:instrText xml:space="preserve"> REF _Ref219816960 \h </w:instrText>
      </w:r>
      <w:r w:rsidR="00A7505E">
        <w:rPr>
          <w:lang w:eastAsia="ja-JP" w:bidi="ar-SA"/>
        </w:rPr>
      </w:r>
      <w:r w:rsidR="00A7505E">
        <w:rPr>
          <w:lang w:eastAsia="ja-JP" w:bidi="ar-SA"/>
        </w:rPr>
        <w:fldChar w:fldCharType="separate"/>
      </w:r>
      <w:r w:rsidR="00A7505E" w:rsidRPr="004C12C9">
        <w:rPr>
          <w:lang w:eastAsia="ja-JP" w:bidi="ar-SA"/>
        </w:rPr>
        <w:t xml:space="preserve">Table </w:t>
      </w:r>
      <w:r w:rsidR="00A7505E">
        <w:rPr>
          <w:noProof/>
          <w:lang w:eastAsia="ja-JP" w:bidi="ar-SA"/>
        </w:rPr>
        <w:t>2</w:t>
      </w:r>
      <w:r w:rsidR="00A7505E">
        <w:rPr>
          <w:lang w:eastAsia="ja-JP" w:bidi="ar-SA"/>
        </w:rPr>
        <w:noBreakHyphen/>
      </w:r>
      <w:r w:rsidR="00A7505E">
        <w:rPr>
          <w:noProof/>
          <w:lang w:eastAsia="ja-JP" w:bidi="ar-SA"/>
        </w:rPr>
        <w:t>34</w:t>
      </w:r>
      <w:r w:rsidR="00A7505E">
        <w:rPr>
          <w:lang w:eastAsia="ja-JP" w:bidi="ar-SA"/>
        </w:rPr>
        <w:fldChar w:fldCharType="end"/>
      </w:r>
      <w:r w:rsidR="00A7505E">
        <w:rPr>
          <w:lang w:eastAsia="ja-JP" w:bidi="ar-SA"/>
        </w:rPr>
        <w:t xml:space="preserve"> </w:t>
      </w:r>
      <w:r w:rsidRPr="004C12C9">
        <w:rPr>
          <w:lang w:eastAsia="ja-JP" w:bidi="ar-SA"/>
        </w:rPr>
        <w:t>below.</w:t>
      </w:r>
    </w:p>
    <w:p w14:paraId="4ADE3418" w14:textId="2DA65FA6" w:rsidR="00762656" w:rsidRPr="004C12C9" w:rsidRDefault="00762656" w:rsidP="000507B1">
      <w:pPr>
        <w:pStyle w:val="Caption"/>
        <w:rPr>
          <w:rFonts w:asciiTheme="minorHAnsi" w:hAnsiTheme="minorHAnsi" w:cstheme="minorHAnsi"/>
          <w:b w:val="0"/>
          <w:i/>
          <w:lang w:eastAsia="ja-JP" w:bidi="ar-SA"/>
        </w:rPr>
      </w:pPr>
      <w:bookmarkStart w:id="100" w:name="_Ref219816960"/>
      <w:bookmarkStart w:id="101" w:name="_Ref187683509"/>
      <w:r w:rsidRPr="004C12C9">
        <w:rPr>
          <w:lang w:eastAsia="ja-JP" w:bidi="ar-SA"/>
        </w:rPr>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34</w:t>
      </w:r>
      <w:r w:rsidR="00F72B41">
        <w:rPr>
          <w:lang w:eastAsia="ja-JP" w:bidi="ar-SA"/>
        </w:rPr>
        <w:fldChar w:fldCharType="end"/>
      </w:r>
      <w:bookmarkEnd w:id="100"/>
      <w:bookmarkEnd w:id="101"/>
      <w:r w:rsidRPr="004C12C9">
        <w:rPr>
          <w:i/>
          <w:lang w:eastAsia="ja-JP" w:bidi="ar-SA"/>
        </w:rPr>
        <w:t>.</w:t>
      </w:r>
      <w:r w:rsidRPr="004C12C9">
        <w:rPr>
          <w:lang w:eastAsia="ja-JP" w:bidi="ar-SA"/>
        </w:rPr>
        <w:t xml:space="preserve"> Life Cycle Diesel and Biofuel Construction Equipment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81"/>
        <w:gridCol w:w="1622"/>
        <w:gridCol w:w="1622"/>
        <w:gridCol w:w="1622"/>
        <w:gridCol w:w="1623"/>
      </w:tblGrid>
      <w:tr w:rsidR="00762656" w:rsidRPr="004C12C9" w14:paraId="342AAB25" w14:textId="77777777" w:rsidTr="00944801">
        <w:trPr>
          <w:trHeight w:val="285"/>
        </w:trPr>
        <w:tc>
          <w:tcPr>
            <w:tcW w:w="3581" w:type="dxa"/>
            <w:vMerge w:val="restart"/>
            <w:shd w:val="clear" w:color="auto" w:fill="D9D9D9" w:themeFill="background1" w:themeFillShade="D9"/>
            <w:vAlign w:val="center"/>
            <w:hideMark/>
          </w:tcPr>
          <w:p w14:paraId="4981482C" w14:textId="77777777" w:rsidR="00762656" w:rsidRPr="004C12C9" w:rsidRDefault="00762656" w:rsidP="000507B1">
            <w:pPr>
              <w:pStyle w:val="ICFTableHeading"/>
              <w:rPr>
                <w:rFonts w:asciiTheme="minorHAnsi" w:hAnsiTheme="minorHAnsi" w:cstheme="minorHAnsi"/>
                <w:b w:val="0"/>
                <w:color w:val="FFFFFF"/>
                <w:sz w:val="20"/>
                <w:lang w:bidi="ar-SA"/>
              </w:rPr>
            </w:pPr>
            <w:r w:rsidRPr="004C12C9">
              <w:rPr>
                <w:lang w:bidi="ar-SA"/>
              </w:rPr>
              <w:t xml:space="preserve">Equipment Type </w:t>
            </w:r>
          </w:p>
        </w:tc>
        <w:tc>
          <w:tcPr>
            <w:tcW w:w="6489" w:type="dxa"/>
            <w:gridSpan w:val="4"/>
            <w:shd w:val="clear" w:color="auto" w:fill="D9D9D9" w:themeFill="background1" w:themeFillShade="D9"/>
            <w:vAlign w:val="center"/>
            <w:hideMark/>
          </w:tcPr>
          <w:p w14:paraId="7FBA9673" w14:textId="0BE18130" w:rsidR="00762656" w:rsidRPr="004C12C9" w:rsidRDefault="00762656" w:rsidP="000507B1">
            <w:pPr>
              <w:pStyle w:val="ICFTableHeading"/>
              <w:rPr>
                <w:rFonts w:asciiTheme="minorHAnsi" w:hAnsiTheme="minorHAnsi" w:cstheme="minorHAnsi"/>
                <w:b w:val="0"/>
                <w:color w:val="FFFFFF"/>
                <w:szCs w:val="22"/>
                <w:lang w:bidi="ar-SA"/>
              </w:rPr>
            </w:pPr>
            <w:r w:rsidRPr="004C12C9">
              <w:rPr>
                <w:lang w:bidi="ar-SA"/>
              </w:rPr>
              <w:t>Emission Factor (kgCO</w:t>
            </w:r>
            <w:r w:rsidRPr="004C12C9">
              <w:rPr>
                <w:rFonts w:asciiTheme="minorHAnsi" w:hAnsiTheme="minorHAnsi" w:cstheme="minorHAnsi"/>
                <w:szCs w:val="22"/>
                <w:vertAlign w:val="subscript"/>
                <w:lang w:bidi="ar-SA"/>
              </w:rPr>
              <w:t>2</w:t>
            </w:r>
            <w:r w:rsidRPr="004C12C9">
              <w:rPr>
                <w:rFonts w:asciiTheme="minorHAnsi" w:hAnsiTheme="minorHAnsi" w:cstheme="minorHAnsi"/>
                <w:szCs w:val="22"/>
                <w:lang w:bidi="ar-SA"/>
              </w:rPr>
              <w:t>e/MMBtu)</w:t>
            </w:r>
            <w:r w:rsidR="00D639B1" w:rsidRPr="004C12C9">
              <w:rPr>
                <w:rFonts w:asciiTheme="minorHAnsi" w:hAnsiTheme="minorHAnsi" w:cstheme="minorHAnsi"/>
                <w:szCs w:val="22"/>
                <w:vertAlign w:val="superscript"/>
                <w:lang w:bidi="ar-SA"/>
              </w:rPr>
              <w:t>a</w:t>
            </w:r>
          </w:p>
        </w:tc>
      </w:tr>
      <w:tr w:rsidR="00762656" w:rsidRPr="004C12C9" w14:paraId="34DBC615" w14:textId="77777777" w:rsidTr="00944801">
        <w:trPr>
          <w:trHeight w:val="510"/>
        </w:trPr>
        <w:tc>
          <w:tcPr>
            <w:tcW w:w="3581" w:type="dxa"/>
            <w:vMerge/>
            <w:shd w:val="clear" w:color="auto" w:fill="D9D9D9" w:themeFill="background1" w:themeFillShade="D9"/>
            <w:vAlign w:val="center"/>
            <w:hideMark/>
          </w:tcPr>
          <w:p w14:paraId="63F47D89" w14:textId="77777777" w:rsidR="00762656" w:rsidRPr="004C12C9" w:rsidRDefault="00762656" w:rsidP="000507B1">
            <w:pPr>
              <w:pStyle w:val="ICFTableHeading"/>
              <w:rPr>
                <w:lang w:bidi="ar-SA"/>
              </w:rPr>
            </w:pPr>
          </w:p>
        </w:tc>
        <w:tc>
          <w:tcPr>
            <w:tcW w:w="1622" w:type="dxa"/>
            <w:shd w:val="clear" w:color="auto" w:fill="D9D9D9" w:themeFill="background1" w:themeFillShade="D9"/>
            <w:vAlign w:val="center"/>
            <w:hideMark/>
          </w:tcPr>
          <w:p w14:paraId="3580DB78" w14:textId="77777777" w:rsidR="00762656" w:rsidRPr="004C12C9" w:rsidRDefault="00762656" w:rsidP="000507B1">
            <w:pPr>
              <w:pStyle w:val="ICFTableHeading"/>
              <w:rPr>
                <w:rFonts w:asciiTheme="minorHAnsi" w:hAnsiTheme="minorHAnsi" w:cstheme="minorHAnsi"/>
                <w:b w:val="0"/>
                <w:color w:val="FFFFFF"/>
                <w:sz w:val="20"/>
                <w:lang w:bidi="ar-SA"/>
              </w:rPr>
            </w:pPr>
            <w:r w:rsidRPr="004C12C9">
              <w:rPr>
                <w:lang w:bidi="ar-SA"/>
              </w:rPr>
              <w:t>Diesel</w:t>
            </w:r>
          </w:p>
        </w:tc>
        <w:tc>
          <w:tcPr>
            <w:tcW w:w="1622" w:type="dxa"/>
            <w:shd w:val="clear" w:color="auto" w:fill="D9D9D9" w:themeFill="background1" w:themeFillShade="D9"/>
            <w:vAlign w:val="center"/>
            <w:hideMark/>
          </w:tcPr>
          <w:p w14:paraId="2B70573F" w14:textId="77777777" w:rsidR="00762656" w:rsidRPr="004C12C9" w:rsidRDefault="00762656" w:rsidP="000507B1">
            <w:pPr>
              <w:pStyle w:val="ICFTableHeading"/>
              <w:rPr>
                <w:rFonts w:asciiTheme="minorHAnsi" w:hAnsiTheme="minorHAnsi" w:cstheme="minorHAnsi"/>
                <w:b w:val="0"/>
                <w:color w:val="FFFFFF"/>
                <w:sz w:val="20"/>
                <w:lang w:bidi="ar-SA"/>
              </w:rPr>
            </w:pPr>
            <w:r w:rsidRPr="004C12C9">
              <w:rPr>
                <w:lang w:bidi="ar-SA"/>
              </w:rPr>
              <w:t>Biodiesel 100</w:t>
            </w:r>
          </w:p>
        </w:tc>
        <w:tc>
          <w:tcPr>
            <w:tcW w:w="1622" w:type="dxa"/>
            <w:shd w:val="clear" w:color="auto" w:fill="D9D9D9" w:themeFill="background1" w:themeFillShade="D9"/>
            <w:vAlign w:val="center"/>
            <w:hideMark/>
          </w:tcPr>
          <w:p w14:paraId="0FCFDEC3" w14:textId="77777777" w:rsidR="00762656" w:rsidRPr="004C12C9" w:rsidRDefault="00762656" w:rsidP="000507B1">
            <w:pPr>
              <w:pStyle w:val="ICFTableHeading"/>
              <w:rPr>
                <w:rFonts w:asciiTheme="minorHAnsi" w:hAnsiTheme="minorHAnsi" w:cstheme="minorHAnsi"/>
                <w:b w:val="0"/>
                <w:color w:val="FFFFFF"/>
                <w:sz w:val="20"/>
                <w:lang w:bidi="ar-SA"/>
              </w:rPr>
            </w:pPr>
            <w:r w:rsidRPr="004C12C9">
              <w:rPr>
                <w:lang w:bidi="ar-SA"/>
              </w:rPr>
              <w:t>Biodiesel 20</w:t>
            </w:r>
          </w:p>
        </w:tc>
        <w:tc>
          <w:tcPr>
            <w:tcW w:w="1623" w:type="dxa"/>
            <w:shd w:val="clear" w:color="auto" w:fill="D9D9D9" w:themeFill="background1" w:themeFillShade="D9"/>
            <w:vAlign w:val="center"/>
            <w:hideMark/>
          </w:tcPr>
          <w:p w14:paraId="34A18E45" w14:textId="77777777" w:rsidR="00762656" w:rsidRPr="004C12C9" w:rsidRDefault="00762656" w:rsidP="000507B1">
            <w:pPr>
              <w:pStyle w:val="ICFTableHeading"/>
              <w:rPr>
                <w:rFonts w:asciiTheme="minorHAnsi" w:hAnsiTheme="minorHAnsi" w:cstheme="minorHAnsi"/>
                <w:b w:val="0"/>
                <w:color w:val="FFFFFF"/>
                <w:sz w:val="20"/>
                <w:lang w:bidi="ar-SA"/>
              </w:rPr>
            </w:pPr>
            <w:r w:rsidRPr="004C12C9">
              <w:rPr>
                <w:lang w:bidi="ar-SA"/>
              </w:rPr>
              <w:t>Renewable Diesel</w:t>
            </w:r>
          </w:p>
        </w:tc>
      </w:tr>
      <w:tr w:rsidR="00762656" w:rsidRPr="004C12C9" w14:paraId="5A2253AF" w14:textId="77777777" w:rsidTr="00944801">
        <w:trPr>
          <w:trHeight w:val="300"/>
        </w:trPr>
        <w:tc>
          <w:tcPr>
            <w:tcW w:w="3581" w:type="dxa"/>
            <w:noWrap/>
            <w:vAlign w:val="center"/>
            <w:hideMark/>
          </w:tcPr>
          <w:p w14:paraId="6E4AE560" w14:textId="77777777" w:rsidR="00762656" w:rsidRPr="004C12C9" w:rsidRDefault="00762656" w:rsidP="000507B1">
            <w:pPr>
              <w:pStyle w:val="ICFTabletext"/>
              <w:rPr>
                <w:lang w:bidi="ar-SA"/>
              </w:rPr>
            </w:pPr>
            <w:r w:rsidRPr="004C12C9">
              <w:rPr>
                <w:lang w:bidi="ar-SA"/>
              </w:rPr>
              <w:t>Stationary Reciprocating Engine</w:t>
            </w:r>
          </w:p>
        </w:tc>
        <w:tc>
          <w:tcPr>
            <w:tcW w:w="1622" w:type="dxa"/>
            <w:shd w:val="clear" w:color="auto" w:fill="FFFFFF"/>
            <w:noWrap/>
            <w:vAlign w:val="center"/>
            <w:hideMark/>
          </w:tcPr>
          <w:p w14:paraId="4A4E743C" w14:textId="0CE5EEC7" w:rsidR="00762656" w:rsidRPr="004C12C9" w:rsidRDefault="00762656" w:rsidP="000507B1">
            <w:pPr>
              <w:pStyle w:val="ICFTabletext"/>
              <w:jc w:val="center"/>
              <w:rPr>
                <w:lang w:eastAsia="ja-JP" w:bidi="ar-SA"/>
              </w:rPr>
            </w:pPr>
            <w:r w:rsidRPr="004C12C9">
              <w:rPr>
                <w:lang w:eastAsia="ja-JP" w:bidi="ar-SA"/>
              </w:rPr>
              <w:t>93.</w:t>
            </w:r>
            <w:r w:rsidR="00944801" w:rsidRPr="004C12C9">
              <w:rPr>
                <w:lang w:eastAsia="ja-JP" w:bidi="ar-SA"/>
              </w:rPr>
              <w:t>74</w:t>
            </w:r>
          </w:p>
        </w:tc>
        <w:tc>
          <w:tcPr>
            <w:tcW w:w="1622" w:type="dxa"/>
            <w:shd w:val="clear" w:color="auto" w:fill="FFFFFF"/>
            <w:noWrap/>
            <w:vAlign w:val="center"/>
            <w:hideMark/>
          </w:tcPr>
          <w:p w14:paraId="3ECDEC0D" w14:textId="57627FA1" w:rsidR="00762656" w:rsidRPr="004C12C9" w:rsidRDefault="00762656" w:rsidP="000507B1">
            <w:pPr>
              <w:pStyle w:val="ICFTabletext"/>
              <w:jc w:val="center"/>
              <w:rPr>
                <w:color w:val="000000"/>
                <w:lang w:bidi="ar-SA"/>
              </w:rPr>
            </w:pPr>
            <w:r w:rsidRPr="004C12C9">
              <w:rPr>
                <w:lang w:eastAsia="ja-JP" w:bidi="ar-SA"/>
              </w:rPr>
              <w:t>2</w:t>
            </w:r>
            <w:r w:rsidR="00944801" w:rsidRPr="004C12C9">
              <w:rPr>
                <w:lang w:eastAsia="ja-JP" w:bidi="ar-SA"/>
              </w:rPr>
              <w:t>6</w:t>
            </w:r>
            <w:r w:rsidRPr="004C12C9">
              <w:rPr>
                <w:lang w:eastAsia="ja-JP" w:bidi="ar-SA"/>
              </w:rPr>
              <w:t>.</w:t>
            </w:r>
            <w:r w:rsidR="00944801" w:rsidRPr="004C12C9">
              <w:rPr>
                <w:lang w:eastAsia="ja-JP" w:bidi="ar-SA"/>
              </w:rPr>
              <w:t>93</w:t>
            </w:r>
          </w:p>
        </w:tc>
        <w:tc>
          <w:tcPr>
            <w:tcW w:w="1622" w:type="dxa"/>
            <w:shd w:val="clear" w:color="auto" w:fill="FFFFFF"/>
            <w:noWrap/>
            <w:vAlign w:val="center"/>
            <w:hideMark/>
          </w:tcPr>
          <w:p w14:paraId="7CE588C8" w14:textId="395391B4" w:rsidR="00762656" w:rsidRPr="004C12C9" w:rsidRDefault="00762656" w:rsidP="000507B1">
            <w:pPr>
              <w:pStyle w:val="ICFTabletext"/>
              <w:jc w:val="center"/>
              <w:rPr>
                <w:color w:val="000000"/>
                <w:lang w:bidi="ar-SA"/>
              </w:rPr>
            </w:pPr>
            <w:r w:rsidRPr="004C12C9">
              <w:rPr>
                <w:lang w:eastAsia="ja-JP" w:bidi="ar-SA"/>
              </w:rPr>
              <w:t>83.</w:t>
            </w:r>
            <w:r w:rsidR="00944801" w:rsidRPr="004C12C9">
              <w:rPr>
                <w:lang w:eastAsia="ja-JP" w:bidi="ar-SA"/>
              </w:rPr>
              <w:t>33</w:t>
            </w:r>
          </w:p>
        </w:tc>
        <w:tc>
          <w:tcPr>
            <w:tcW w:w="1623" w:type="dxa"/>
            <w:shd w:val="clear" w:color="auto" w:fill="FFFFFF"/>
            <w:noWrap/>
            <w:vAlign w:val="center"/>
            <w:hideMark/>
          </w:tcPr>
          <w:p w14:paraId="0CBD6D9A" w14:textId="0917C9B4" w:rsidR="00762656" w:rsidRPr="004C12C9" w:rsidRDefault="00762656" w:rsidP="000507B1">
            <w:pPr>
              <w:pStyle w:val="ICFTabletext"/>
              <w:jc w:val="center"/>
              <w:rPr>
                <w:color w:val="000000"/>
                <w:lang w:bidi="ar-SA"/>
              </w:rPr>
            </w:pPr>
            <w:r w:rsidRPr="004C12C9">
              <w:rPr>
                <w:lang w:eastAsia="ja-JP" w:bidi="ar-SA"/>
              </w:rPr>
              <w:t>3</w:t>
            </w:r>
            <w:r w:rsidR="00944801" w:rsidRPr="004C12C9">
              <w:rPr>
                <w:lang w:eastAsia="ja-JP" w:bidi="ar-SA"/>
              </w:rPr>
              <w:t>7.87</w:t>
            </w:r>
          </w:p>
        </w:tc>
      </w:tr>
      <w:tr w:rsidR="00762656" w:rsidRPr="004C12C9" w14:paraId="5726E8BD" w14:textId="77777777" w:rsidTr="00944801">
        <w:trPr>
          <w:trHeight w:val="300"/>
        </w:trPr>
        <w:tc>
          <w:tcPr>
            <w:tcW w:w="3581" w:type="dxa"/>
            <w:noWrap/>
            <w:vAlign w:val="center"/>
            <w:hideMark/>
          </w:tcPr>
          <w:p w14:paraId="71F136E4" w14:textId="77777777" w:rsidR="00762656" w:rsidRPr="004C12C9" w:rsidRDefault="00762656" w:rsidP="000507B1">
            <w:pPr>
              <w:pStyle w:val="ICFTabletext"/>
              <w:rPr>
                <w:lang w:bidi="ar-SA"/>
              </w:rPr>
            </w:pPr>
            <w:r w:rsidRPr="004C12C9">
              <w:rPr>
                <w:lang w:bidi="ar-SA"/>
              </w:rPr>
              <w:t>Light Duty Vocational Vehicle</w:t>
            </w:r>
          </w:p>
        </w:tc>
        <w:tc>
          <w:tcPr>
            <w:tcW w:w="1622" w:type="dxa"/>
            <w:shd w:val="clear" w:color="auto" w:fill="FFFFFF"/>
            <w:noWrap/>
            <w:hideMark/>
          </w:tcPr>
          <w:p w14:paraId="4DD3AC42" w14:textId="75202B45" w:rsidR="00762656" w:rsidRPr="004C12C9" w:rsidRDefault="00762656" w:rsidP="000507B1">
            <w:pPr>
              <w:pStyle w:val="ICFTabletext"/>
              <w:jc w:val="center"/>
              <w:rPr>
                <w:lang w:eastAsia="ja-JP" w:bidi="ar-SA"/>
              </w:rPr>
            </w:pPr>
            <w:r w:rsidRPr="004C12C9">
              <w:t>97.</w:t>
            </w:r>
            <w:r w:rsidR="00944801" w:rsidRPr="004C12C9">
              <w:t xml:space="preserve">41 </w:t>
            </w:r>
          </w:p>
        </w:tc>
        <w:tc>
          <w:tcPr>
            <w:tcW w:w="1622" w:type="dxa"/>
            <w:shd w:val="clear" w:color="auto" w:fill="FFFFFF"/>
            <w:noWrap/>
            <w:hideMark/>
          </w:tcPr>
          <w:p w14:paraId="4C843B50" w14:textId="44313375" w:rsidR="00762656" w:rsidRPr="004C12C9" w:rsidRDefault="00762656" w:rsidP="000507B1">
            <w:pPr>
              <w:pStyle w:val="ICFTabletext"/>
              <w:jc w:val="center"/>
              <w:rPr>
                <w:color w:val="000000"/>
                <w:lang w:bidi="ar-SA"/>
              </w:rPr>
            </w:pPr>
            <w:r w:rsidRPr="004C12C9">
              <w:t>33.</w:t>
            </w:r>
            <w:r w:rsidR="00944801" w:rsidRPr="004C12C9">
              <w:t xml:space="preserve">28 </w:t>
            </w:r>
          </w:p>
        </w:tc>
        <w:tc>
          <w:tcPr>
            <w:tcW w:w="1622" w:type="dxa"/>
            <w:shd w:val="clear" w:color="auto" w:fill="FFFFFF"/>
            <w:noWrap/>
            <w:hideMark/>
          </w:tcPr>
          <w:p w14:paraId="07E45604" w14:textId="5597CB4E" w:rsidR="00762656" w:rsidRPr="004C12C9" w:rsidRDefault="00762656" w:rsidP="000507B1">
            <w:pPr>
              <w:pStyle w:val="ICFTabletext"/>
              <w:jc w:val="center"/>
              <w:rPr>
                <w:color w:val="000000"/>
                <w:lang w:bidi="ar-SA"/>
              </w:rPr>
            </w:pPr>
            <w:r w:rsidRPr="004C12C9">
              <w:t>85.06</w:t>
            </w:r>
            <w:r w:rsidR="00944801" w:rsidRPr="004C12C9">
              <w:t xml:space="preserve"> </w:t>
            </w:r>
          </w:p>
        </w:tc>
        <w:tc>
          <w:tcPr>
            <w:tcW w:w="1623" w:type="dxa"/>
            <w:shd w:val="clear" w:color="auto" w:fill="FFFFFF"/>
            <w:noWrap/>
            <w:hideMark/>
          </w:tcPr>
          <w:p w14:paraId="5DC484C9" w14:textId="5E4B5E1B" w:rsidR="00762656" w:rsidRPr="004C12C9" w:rsidRDefault="00762656" w:rsidP="000507B1">
            <w:pPr>
              <w:pStyle w:val="ICFTabletext"/>
              <w:jc w:val="center"/>
              <w:rPr>
                <w:color w:val="000000"/>
                <w:lang w:bidi="ar-SA"/>
              </w:rPr>
            </w:pPr>
            <w:r w:rsidRPr="004C12C9">
              <w:t>39.</w:t>
            </w:r>
            <w:r w:rsidR="00944801" w:rsidRPr="004C12C9">
              <w:t xml:space="preserve">60 </w:t>
            </w:r>
          </w:p>
        </w:tc>
      </w:tr>
      <w:tr w:rsidR="00762656" w:rsidRPr="004C12C9" w14:paraId="3BE9A13C" w14:textId="77777777" w:rsidTr="00944801">
        <w:trPr>
          <w:trHeight w:val="300"/>
        </w:trPr>
        <w:tc>
          <w:tcPr>
            <w:tcW w:w="3581" w:type="dxa"/>
            <w:noWrap/>
            <w:vAlign w:val="center"/>
            <w:hideMark/>
          </w:tcPr>
          <w:p w14:paraId="0ABB6CB6" w14:textId="77777777" w:rsidR="00762656" w:rsidRPr="004C12C9" w:rsidRDefault="00762656" w:rsidP="000507B1">
            <w:pPr>
              <w:pStyle w:val="ICFTabletext"/>
              <w:rPr>
                <w:lang w:bidi="ar-SA"/>
              </w:rPr>
            </w:pPr>
            <w:r w:rsidRPr="004C12C9">
              <w:rPr>
                <w:lang w:bidi="ar-SA"/>
              </w:rPr>
              <w:t>Medium Duty Vocational Vehicle</w:t>
            </w:r>
          </w:p>
        </w:tc>
        <w:tc>
          <w:tcPr>
            <w:tcW w:w="1622" w:type="dxa"/>
            <w:shd w:val="clear" w:color="auto" w:fill="FFFFFF"/>
            <w:noWrap/>
            <w:hideMark/>
          </w:tcPr>
          <w:p w14:paraId="5346319F" w14:textId="6E28EC27" w:rsidR="00762656" w:rsidRPr="004C12C9" w:rsidRDefault="00762656" w:rsidP="000507B1">
            <w:pPr>
              <w:pStyle w:val="ICFTabletext"/>
              <w:jc w:val="center"/>
              <w:rPr>
                <w:lang w:eastAsia="ja-JP" w:bidi="ar-SA"/>
              </w:rPr>
            </w:pPr>
            <w:r w:rsidRPr="004C12C9">
              <w:t>98.</w:t>
            </w:r>
            <w:r w:rsidR="00944801" w:rsidRPr="004C12C9">
              <w:t xml:space="preserve">12 </w:t>
            </w:r>
          </w:p>
        </w:tc>
        <w:tc>
          <w:tcPr>
            <w:tcW w:w="1622" w:type="dxa"/>
            <w:shd w:val="clear" w:color="auto" w:fill="FFFFFF"/>
            <w:noWrap/>
            <w:hideMark/>
          </w:tcPr>
          <w:p w14:paraId="46EA80BF" w14:textId="2E8FDB68" w:rsidR="00762656" w:rsidRPr="004C12C9" w:rsidRDefault="00762656" w:rsidP="000507B1">
            <w:pPr>
              <w:pStyle w:val="ICFTabletext"/>
              <w:jc w:val="center"/>
              <w:rPr>
                <w:color w:val="000000"/>
                <w:lang w:bidi="ar-SA"/>
              </w:rPr>
            </w:pPr>
            <w:r w:rsidRPr="004C12C9">
              <w:t>34.</w:t>
            </w:r>
            <w:r w:rsidR="00944801" w:rsidRPr="004C12C9">
              <w:t xml:space="preserve">00 </w:t>
            </w:r>
          </w:p>
        </w:tc>
        <w:tc>
          <w:tcPr>
            <w:tcW w:w="1622" w:type="dxa"/>
            <w:shd w:val="clear" w:color="auto" w:fill="FFFFFF"/>
            <w:noWrap/>
            <w:hideMark/>
          </w:tcPr>
          <w:p w14:paraId="2D59ED04" w14:textId="4F5CD600" w:rsidR="00762656" w:rsidRPr="004C12C9" w:rsidRDefault="00762656" w:rsidP="000507B1">
            <w:pPr>
              <w:pStyle w:val="ICFTabletext"/>
              <w:jc w:val="center"/>
              <w:rPr>
                <w:color w:val="000000"/>
                <w:lang w:bidi="ar-SA"/>
              </w:rPr>
            </w:pPr>
            <w:r w:rsidRPr="004C12C9">
              <w:t>85.</w:t>
            </w:r>
            <w:r w:rsidR="00944801" w:rsidRPr="004C12C9">
              <w:t xml:space="preserve">77 </w:t>
            </w:r>
          </w:p>
        </w:tc>
        <w:tc>
          <w:tcPr>
            <w:tcW w:w="1623" w:type="dxa"/>
            <w:shd w:val="clear" w:color="auto" w:fill="FFFFFF"/>
            <w:noWrap/>
            <w:hideMark/>
          </w:tcPr>
          <w:p w14:paraId="6DE66CD2" w14:textId="2BA9FA6D" w:rsidR="00762656" w:rsidRPr="004C12C9" w:rsidRDefault="00762656" w:rsidP="000507B1">
            <w:pPr>
              <w:pStyle w:val="ICFTabletext"/>
              <w:jc w:val="center"/>
              <w:rPr>
                <w:color w:val="000000"/>
                <w:lang w:bidi="ar-SA"/>
              </w:rPr>
            </w:pPr>
            <w:r w:rsidRPr="004C12C9">
              <w:t>40.</w:t>
            </w:r>
            <w:r w:rsidR="00944801" w:rsidRPr="004C12C9">
              <w:t xml:space="preserve">31 </w:t>
            </w:r>
          </w:p>
        </w:tc>
      </w:tr>
      <w:tr w:rsidR="00762656" w:rsidRPr="004C12C9" w14:paraId="16B9A6AC" w14:textId="77777777" w:rsidTr="00944801">
        <w:trPr>
          <w:trHeight w:val="300"/>
        </w:trPr>
        <w:tc>
          <w:tcPr>
            <w:tcW w:w="3581" w:type="dxa"/>
            <w:noWrap/>
            <w:vAlign w:val="center"/>
            <w:hideMark/>
          </w:tcPr>
          <w:p w14:paraId="0CDB58D6" w14:textId="77777777" w:rsidR="00762656" w:rsidRPr="004C12C9" w:rsidRDefault="00762656" w:rsidP="000507B1">
            <w:pPr>
              <w:pStyle w:val="ICFTabletext"/>
              <w:rPr>
                <w:lang w:bidi="ar-SA"/>
              </w:rPr>
            </w:pPr>
            <w:r w:rsidRPr="004C12C9">
              <w:rPr>
                <w:lang w:bidi="ar-SA"/>
              </w:rPr>
              <w:t>Heavy Duty Vocational Vehicle</w:t>
            </w:r>
          </w:p>
        </w:tc>
        <w:tc>
          <w:tcPr>
            <w:tcW w:w="1622" w:type="dxa"/>
            <w:shd w:val="clear" w:color="auto" w:fill="FFFFFF"/>
            <w:noWrap/>
            <w:hideMark/>
          </w:tcPr>
          <w:p w14:paraId="55EBBBA5" w14:textId="32F87833" w:rsidR="00762656" w:rsidRPr="004C12C9" w:rsidRDefault="00762656" w:rsidP="000507B1">
            <w:pPr>
              <w:pStyle w:val="ICFTabletext"/>
              <w:jc w:val="center"/>
              <w:rPr>
                <w:lang w:eastAsia="ja-JP" w:bidi="ar-SA"/>
              </w:rPr>
            </w:pPr>
            <w:r w:rsidRPr="004C12C9">
              <w:t>97.</w:t>
            </w:r>
            <w:r w:rsidR="00944801" w:rsidRPr="004C12C9">
              <w:t xml:space="preserve">08 </w:t>
            </w:r>
          </w:p>
        </w:tc>
        <w:tc>
          <w:tcPr>
            <w:tcW w:w="1622" w:type="dxa"/>
            <w:shd w:val="clear" w:color="auto" w:fill="FFFFFF"/>
            <w:noWrap/>
            <w:hideMark/>
          </w:tcPr>
          <w:p w14:paraId="4F8A81BB" w14:textId="5FE0FEB2" w:rsidR="00762656" w:rsidRPr="004C12C9" w:rsidRDefault="00944801" w:rsidP="000507B1">
            <w:pPr>
              <w:pStyle w:val="ICFTabletext"/>
              <w:jc w:val="center"/>
              <w:rPr>
                <w:color w:val="000000"/>
                <w:lang w:bidi="ar-SA"/>
              </w:rPr>
            </w:pPr>
            <w:r w:rsidRPr="004C12C9">
              <w:t xml:space="preserve">32.96 </w:t>
            </w:r>
          </w:p>
        </w:tc>
        <w:tc>
          <w:tcPr>
            <w:tcW w:w="1622" w:type="dxa"/>
            <w:shd w:val="clear" w:color="auto" w:fill="FFFFFF"/>
            <w:noWrap/>
            <w:hideMark/>
          </w:tcPr>
          <w:p w14:paraId="0F9FC624" w14:textId="378AAE3E" w:rsidR="00762656" w:rsidRPr="004C12C9" w:rsidRDefault="00762656" w:rsidP="000507B1">
            <w:pPr>
              <w:pStyle w:val="ICFTabletext"/>
              <w:jc w:val="center"/>
              <w:rPr>
                <w:color w:val="000000"/>
                <w:lang w:bidi="ar-SA"/>
              </w:rPr>
            </w:pPr>
            <w:r w:rsidRPr="004C12C9">
              <w:t>85.06</w:t>
            </w:r>
            <w:r w:rsidR="00944801" w:rsidRPr="004C12C9">
              <w:t xml:space="preserve"> </w:t>
            </w:r>
          </w:p>
        </w:tc>
        <w:tc>
          <w:tcPr>
            <w:tcW w:w="1623" w:type="dxa"/>
            <w:shd w:val="clear" w:color="auto" w:fill="FFFFFF"/>
            <w:noWrap/>
            <w:hideMark/>
          </w:tcPr>
          <w:p w14:paraId="7F81196F" w14:textId="32F8F30D" w:rsidR="00762656" w:rsidRPr="004C12C9" w:rsidRDefault="00762656" w:rsidP="000507B1">
            <w:pPr>
              <w:pStyle w:val="ICFTabletext"/>
              <w:jc w:val="center"/>
              <w:rPr>
                <w:color w:val="000000"/>
                <w:lang w:bidi="ar-SA"/>
              </w:rPr>
            </w:pPr>
            <w:r w:rsidRPr="004C12C9">
              <w:t>39.</w:t>
            </w:r>
            <w:r w:rsidR="00944801" w:rsidRPr="004C12C9">
              <w:t xml:space="preserve">28 </w:t>
            </w:r>
          </w:p>
        </w:tc>
      </w:tr>
    </w:tbl>
    <w:p w14:paraId="38CB5C9D" w14:textId="482B06B3" w:rsidR="00A80CDC" w:rsidRPr="004C12C9" w:rsidRDefault="00B635AD" w:rsidP="00AF1638">
      <w:pPr>
        <w:pStyle w:val="footnote"/>
        <w:rPr>
          <w:lang w:eastAsia="ja-JP" w:bidi="ar-SA"/>
        </w:rPr>
      </w:pPr>
      <w:r w:rsidRPr="004C12C9">
        <w:rPr>
          <w:vertAlign w:val="superscript"/>
          <w:lang w:eastAsia="ja-JP" w:bidi="ar-SA"/>
        </w:rPr>
        <w:t>a</w:t>
      </w:r>
      <w:r w:rsidR="00762656" w:rsidRPr="004C12C9">
        <w:rPr>
          <w:lang w:eastAsia="ja-JP" w:bidi="ar-SA"/>
        </w:rPr>
        <w:t xml:space="preserve"> Values shown are based on AR</w:t>
      </w:r>
      <w:r w:rsidR="00944801" w:rsidRPr="004C12C9">
        <w:rPr>
          <w:lang w:eastAsia="ja-JP" w:bidi="ar-SA"/>
        </w:rPr>
        <w:t>5</w:t>
      </w:r>
      <w:r w:rsidR="00762656" w:rsidRPr="004C12C9">
        <w:rPr>
          <w:lang w:eastAsia="ja-JP" w:bidi="ar-SA"/>
        </w:rPr>
        <w:t xml:space="preserve"> global warming potentials.</w:t>
      </w:r>
    </w:p>
    <w:p w14:paraId="433BEFF2" w14:textId="6B745789" w:rsidR="002D6C2D" w:rsidRPr="004C12C9" w:rsidRDefault="00252BE9" w:rsidP="006A7EA7">
      <w:pPr>
        <w:pStyle w:val="Heading5"/>
      </w:pPr>
      <w:r w:rsidRPr="004C12C9">
        <w:t>Electricity</w:t>
      </w:r>
    </w:p>
    <w:p w14:paraId="1200E322" w14:textId="698D4371" w:rsidR="00613344" w:rsidRPr="004C12C9" w:rsidRDefault="00613344" w:rsidP="00972CF9">
      <w:pPr>
        <w:rPr>
          <w:lang w:eastAsia="ja-JP" w:bidi="ar-SA"/>
        </w:rPr>
      </w:pPr>
      <w:r w:rsidRPr="004C12C9">
        <w:t xml:space="preserve">The grid average electricity emission factors by year for </w:t>
      </w:r>
      <w:r w:rsidR="00EB2440" w:rsidRPr="004C12C9">
        <w:rPr>
          <w:lang w:eastAsia="ja-JP" w:bidi="ar-SA"/>
        </w:rPr>
        <w:t>electricity consumed by electric construction equipment</w:t>
      </w:r>
      <w:r w:rsidR="00B671AC" w:rsidRPr="004C12C9">
        <w:rPr>
          <w:lang w:eastAsia="ja-JP" w:bidi="ar-SA"/>
        </w:rPr>
        <w:t>, as</w:t>
      </w:r>
      <w:r w:rsidR="00EB2440" w:rsidRPr="004C12C9">
        <w:t xml:space="preserve"> </w:t>
      </w:r>
      <w:r w:rsidR="00B671AC" w:rsidRPr="004C12C9">
        <w:t>shown in</w:t>
      </w:r>
      <w:r w:rsidR="005E4564">
        <w:t xml:space="preserve"> </w:t>
      </w:r>
      <w:r w:rsidR="005E4564">
        <w:fldChar w:fldCharType="begin"/>
      </w:r>
      <w:r w:rsidR="005E4564">
        <w:instrText xml:space="preserve"> REF _Ref219816994 \h </w:instrText>
      </w:r>
      <w:r w:rsidR="005E4564">
        <w:fldChar w:fldCharType="separate"/>
      </w:r>
      <w:r w:rsidR="005E4564" w:rsidRPr="004C12C9">
        <w:rPr>
          <w:lang w:eastAsia="ja-JP" w:bidi="ar-SA"/>
        </w:rPr>
        <w:t xml:space="preserve">Table </w:t>
      </w:r>
      <w:r w:rsidR="005E4564">
        <w:rPr>
          <w:noProof/>
          <w:lang w:eastAsia="ja-JP" w:bidi="ar-SA"/>
        </w:rPr>
        <w:t>2</w:t>
      </w:r>
      <w:r w:rsidR="005E4564">
        <w:rPr>
          <w:lang w:eastAsia="ja-JP" w:bidi="ar-SA"/>
        </w:rPr>
        <w:noBreakHyphen/>
      </w:r>
      <w:r w:rsidR="005E4564">
        <w:rPr>
          <w:noProof/>
          <w:lang w:eastAsia="ja-JP" w:bidi="ar-SA"/>
        </w:rPr>
        <w:t>35</w:t>
      </w:r>
      <w:r w:rsidR="005E4564">
        <w:fldChar w:fldCharType="end"/>
      </w:r>
      <w:r w:rsidR="00B671AC" w:rsidRPr="004C12C9">
        <w:t xml:space="preserve">, </w:t>
      </w:r>
      <w:r w:rsidR="005F4E45" w:rsidRPr="004C12C9">
        <w:t>are</w:t>
      </w:r>
      <w:r w:rsidRPr="004C12C9">
        <w:t xml:space="preserve"> derived based on the methodology described in </w:t>
      </w:r>
      <w:r w:rsidRPr="004C12C9">
        <w:fldChar w:fldCharType="begin" w:fldLock="1"/>
      </w:r>
      <w:r w:rsidRPr="004C12C9">
        <w:instrText xml:space="preserve"> REF _Ref195350188 \n \h </w:instrText>
      </w:r>
      <w:r w:rsidRPr="004C12C9">
        <w:fldChar w:fldCharType="separate"/>
      </w:r>
      <w:r w:rsidR="00127094" w:rsidRPr="004C12C9">
        <w:t>Appendix C</w:t>
      </w:r>
      <w:r w:rsidRPr="004C12C9">
        <w:fldChar w:fldCharType="end"/>
      </w:r>
      <w:r w:rsidR="00044E16" w:rsidRPr="004C12C9">
        <w:t>.</w:t>
      </w:r>
    </w:p>
    <w:p w14:paraId="6C9A1E09" w14:textId="1A3D21DF" w:rsidR="00725EAB" w:rsidRPr="004C12C9" w:rsidRDefault="00725EAB" w:rsidP="000507B1">
      <w:pPr>
        <w:pStyle w:val="Caption"/>
        <w:rPr>
          <w:rFonts w:asciiTheme="minorHAnsi" w:hAnsiTheme="minorHAnsi" w:cstheme="minorHAnsi"/>
          <w:b w:val="0"/>
          <w:i/>
          <w:lang w:eastAsia="ja-JP" w:bidi="ar-SA"/>
        </w:rPr>
      </w:pPr>
      <w:bookmarkStart w:id="102" w:name="_Ref219816994"/>
      <w:bookmarkStart w:id="103" w:name="_Ref195392532"/>
      <w:r w:rsidRPr="004C12C9">
        <w:rPr>
          <w:lang w:eastAsia="ja-JP" w:bidi="ar-SA"/>
        </w:rPr>
        <w:t xml:space="preserve">Table </w:t>
      </w:r>
      <w:r w:rsidR="00F72B41">
        <w:rPr>
          <w:lang w:eastAsia="ja-JP" w:bidi="ar-SA"/>
        </w:rPr>
        <w:fldChar w:fldCharType="begin"/>
      </w:r>
      <w:r w:rsidR="00F72B41">
        <w:rPr>
          <w:lang w:eastAsia="ja-JP" w:bidi="ar-SA"/>
        </w:rPr>
        <w:instrText xml:space="preserve"> STYLEREF 2 \s </w:instrText>
      </w:r>
      <w:r w:rsidR="00F72B41">
        <w:rPr>
          <w:lang w:eastAsia="ja-JP" w:bidi="ar-SA"/>
        </w:rPr>
        <w:fldChar w:fldCharType="separate"/>
      </w:r>
      <w:r w:rsidR="00F72B41">
        <w:rPr>
          <w:noProof/>
          <w:lang w:eastAsia="ja-JP" w:bidi="ar-SA"/>
        </w:rPr>
        <w:t>2</w:t>
      </w:r>
      <w:r w:rsidR="00F72B41">
        <w:rPr>
          <w:lang w:eastAsia="ja-JP" w:bidi="ar-SA"/>
        </w:rPr>
        <w:fldChar w:fldCharType="end"/>
      </w:r>
      <w:r w:rsidR="00F72B41">
        <w:rPr>
          <w:lang w:eastAsia="ja-JP" w:bidi="ar-SA"/>
        </w:rPr>
        <w:noBreakHyphen/>
      </w:r>
      <w:r w:rsidR="00F72B41">
        <w:rPr>
          <w:lang w:eastAsia="ja-JP" w:bidi="ar-SA"/>
        </w:rPr>
        <w:fldChar w:fldCharType="begin"/>
      </w:r>
      <w:r w:rsidR="00F72B41">
        <w:rPr>
          <w:lang w:eastAsia="ja-JP" w:bidi="ar-SA"/>
        </w:rPr>
        <w:instrText xml:space="preserve"> SEQ Table \* ARABIC \s 2 </w:instrText>
      </w:r>
      <w:r w:rsidR="00F72B41">
        <w:rPr>
          <w:lang w:eastAsia="ja-JP" w:bidi="ar-SA"/>
        </w:rPr>
        <w:fldChar w:fldCharType="separate"/>
      </w:r>
      <w:r w:rsidR="00F72B41">
        <w:rPr>
          <w:noProof/>
          <w:lang w:eastAsia="ja-JP" w:bidi="ar-SA"/>
        </w:rPr>
        <w:t>35</w:t>
      </w:r>
      <w:r w:rsidR="00F72B41">
        <w:rPr>
          <w:lang w:eastAsia="ja-JP" w:bidi="ar-SA"/>
        </w:rPr>
        <w:fldChar w:fldCharType="end"/>
      </w:r>
      <w:bookmarkEnd w:id="102"/>
      <w:bookmarkEnd w:id="103"/>
      <w:r w:rsidRPr="004C12C9">
        <w:rPr>
          <w:i/>
          <w:lang w:eastAsia="ja-JP" w:bidi="ar-SA"/>
        </w:rPr>
        <w:t>.</w:t>
      </w:r>
      <w:r w:rsidRPr="004C12C9">
        <w:rPr>
          <w:lang w:eastAsia="ja-JP" w:bidi="ar-SA"/>
        </w:rPr>
        <w:t xml:space="preserve"> Electricity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34"/>
        <w:gridCol w:w="1222"/>
        <w:gridCol w:w="1223"/>
        <w:gridCol w:w="1223"/>
        <w:gridCol w:w="1222"/>
        <w:gridCol w:w="1223"/>
        <w:gridCol w:w="1223"/>
      </w:tblGrid>
      <w:tr w:rsidR="00725EAB" w:rsidRPr="004C12C9" w14:paraId="2C53A2BE" w14:textId="77777777" w:rsidTr="007D1E83">
        <w:trPr>
          <w:trHeight w:val="290"/>
        </w:trPr>
        <w:tc>
          <w:tcPr>
            <w:tcW w:w="2734" w:type="dxa"/>
            <w:vMerge w:val="restart"/>
            <w:shd w:val="clear" w:color="auto" w:fill="D9D9D9" w:themeFill="background1" w:themeFillShade="D9"/>
            <w:vAlign w:val="center"/>
            <w:hideMark/>
          </w:tcPr>
          <w:p w14:paraId="6F7F417E" w14:textId="77777777" w:rsidR="00725EAB" w:rsidRPr="004C12C9" w:rsidRDefault="00725EAB" w:rsidP="000507B1">
            <w:pPr>
              <w:pStyle w:val="ICFTableHeading"/>
              <w:rPr>
                <w:bCs/>
                <w:lang w:bidi="ar-SA"/>
              </w:rPr>
            </w:pPr>
            <w:r w:rsidRPr="004C12C9">
              <w:rPr>
                <w:lang w:bidi="ar-SA"/>
              </w:rPr>
              <w:t>Electricity Provider</w:t>
            </w:r>
          </w:p>
        </w:tc>
        <w:tc>
          <w:tcPr>
            <w:tcW w:w="7336" w:type="dxa"/>
            <w:gridSpan w:val="6"/>
            <w:shd w:val="clear" w:color="auto" w:fill="D9D9D9" w:themeFill="background1" w:themeFillShade="D9"/>
            <w:vAlign w:val="center"/>
            <w:hideMark/>
          </w:tcPr>
          <w:p w14:paraId="0000734B" w14:textId="4429FEC0" w:rsidR="00725EAB" w:rsidRPr="004C12C9" w:rsidRDefault="00725EAB" w:rsidP="000507B1">
            <w:pPr>
              <w:pStyle w:val="ICFTableHeading"/>
              <w:rPr>
                <w:lang w:bidi="ar-SA"/>
              </w:rPr>
            </w:pPr>
            <w:r w:rsidRPr="004C12C9">
              <w:rPr>
                <w:lang w:bidi="ar-SA"/>
              </w:rPr>
              <w:t>Emission Factor (kgCO</w:t>
            </w:r>
            <w:r w:rsidRPr="004C12C9">
              <w:rPr>
                <w:vertAlign w:val="subscript"/>
                <w:lang w:bidi="ar-SA"/>
              </w:rPr>
              <w:t>2</w:t>
            </w:r>
            <w:r w:rsidRPr="004C12C9">
              <w:rPr>
                <w:lang w:bidi="ar-SA"/>
              </w:rPr>
              <w:t>e/MMBtu)</w:t>
            </w:r>
            <w:r w:rsidR="00B635AD" w:rsidRPr="004C12C9">
              <w:rPr>
                <w:vertAlign w:val="superscript"/>
                <w:lang w:bidi="ar-SA"/>
              </w:rPr>
              <w:t>a</w:t>
            </w:r>
          </w:p>
        </w:tc>
      </w:tr>
      <w:tr w:rsidR="00725EAB" w:rsidRPr="004C12C9" w14:paraId="09552CCE" w14:textId="77777777" w:rsidTr="007D1E83">
        <w:trPr>
          <w:trHeight w:val="280"/>
        </w:trPr>
        <w:tc>
          <w:tcPr>
            <w:tcW w:w="2734" w:type="dxa"/>
            <w:vMerge/>
            <w:shd w:val="clear" w:color="auto" w:fill="D9D9D9" w:themeFill="background1" w:themeFillShade="D9"/>
            <w:vAlign w:val="center"/>
            <w:hideMark/>
          </w:tcPr>
          <w:p w14:paraId="1F972A18" w14:textId="77777777" w:rsidR="00725EAB" w:rsidRPr="004C12C9" w:rsidRDefault="00725EAB" w:rsidP="000507B1">
            <w:pPr>
              <w:pStyle w:val="ICFTableHeading"/>
              <w:rPr>
                <w:lang w:bidi="ar-SA"/>
              </w:rPr>
            </w:pPr>
          </w:p>
        </w:tc>
        <w:tc>
          <w:tcPr>
            <w:tcW w:w="1222" w:type="dxa"/>
            <w:shd w:val="clear" w:color="auto" w:fill="D9D9D9" w:themeFill="background1" w:themeFillShade="D9"/>
            <w:vAlign w:val="center"/>
            <w:hideMark/>
          </w:tcPr>
          <w:p w14:paraId="05369E88" w14:textId="77777777" w:rsidR="00725EAB" w:rsidRPr="004C12C9" w:rsidRDefault="00725EAB" w:rsidP="000507B1">
            <w:pPr>
              <w:pStyle w:val="ICFTableHeading"/>
              <w:rPr>
                <w:lang w:bidi="ar-SA"/>
              </w:rPr>
            </w:pPr>
            <w:r w:rsidRPr="004C12C9">
              <w:rPr>
                <w:lang w:bidi="ar-SA"/>
              </w:rPr>
              <w:t>2025</w:t>
            </w:r>
          </w:p>
        </w:tc>
        <w:tc>
          <w:tcPr>
            <w:tcW w:w="1223" w:type="dxa"/>
            <w:shd w:val="clear" w:color="auto" w:fill="D9D9D9" w:themeFill="background1" w:themeFillShade="D9"/>
            <w:vAlign w:val="center"/>
            <w:hideMark/>
          </w:tcPr>
          <w:p w14:paraId="1B6C89A5" w14:textId="77777777" w:rsidR="00725EAB" w:rsidRPr="004C12C9" w:rsidRDefault="00725EAB" w:rsidP="000507B1">
            <w:pPr>
              <w:pStyle w:val="ICFTableHeading"/>
              <w:rPr>
                <w:lang w:bidi="ar-SA"/>
              </w:rPr>
            </w:pPr>
            <w:r w:rsidRPr="004C12C9">
              <w:rPr>
                <w:lang w:bidi="ar-SA"/>
              </w:rPr>
              <w:t>2030</w:t>
            </w:r>
          </w:p>
        </w:tc>
        <w:tc>
          <w:tcPr>
            <w:tcW w:w="1223" w:type="dxa"/>
            <w:shd w:val="clear" w:color="auto" w:fill="D9D9D9" w:themeFill="background1" w:themeFillShade="D9"/>
            <w:vAlign w:val="center"/>
            <w:hideMark/>
          </w:tcPr>
          <w:p w14:paraId="2DE9484C" w14:textId="77777777" w:rsidR="00725EAB" w:rsidRPr="004C12C9" w:rsidRDefault="00725EAB" w:rsidP="000507B1">
            <w:pPr>
              <w:pStyle w:val="ICFTableHeading"/>
              <w:rPr>
                <w:lang w:bidi="ar-SA"/>
              </w:rPr>
            </w:pPr>
            <w:r w:rsidRPr="004C12C9">
              <w:rPr>
                <w:lang w:bidi="ar-SA"/>
              </w:rPr>
              <w:t>2035</w:t>
            </w:r>
          </w:p>
        </w:tc>
        <w:tc>
          <w:tcPr>
            <w:tcW w:w="1222" w:type="dxa"/>
            <w:shd w:val="clear" w:color="auto" w:fill="D9D9D9" w:themeFill="background1" w:themeFillShade="D9"/>
            <w:vAlign w:val="center"/>
            <w:hideMark/>
          </w:tcPr>
          <w:p w14:paraId="69875EC7" w14:textId="77777777" w:rsidR="00725EAB" w:rsidRPr="004C12C9" w:rsidRDefault="00725EAB" w:rsidP="000507B1">
            <w:pPr>
              <w:pStyle w:val="ICFTableHeading"/>
              <w:rPr>
                <w:lang w:bidi="ar-SA"/>
              </w:rPr>
            </w:pPr>
            <w:r w:rsidRPr="004C12C9">
              <w:rPr>
                <w:lang w:bidi="ar-SA"/>
              </w:rPr>
              <w:t>2040</w:t>
            </w:r>
          </w:p>
        </w:tc>
        <w:tc>
          <w:tcPr>
            <w:tcW w:w="1223" w:type="dxa"/>
            <w:shd w:val="clear" w:color="auto" w:fill="D9D9D9" w:themeFill="background1" w:themeFillShade="D9"/>
            <w:vAlign w:val="center"/>
            <w:hideMark/>
          </w:tcPr>
          <w:p w14:paraId="094BE9F6" w14:textId="77777777" w:rsidR="00725EAB" w:rsidRPr="004C12C9" w:rsidRDefault="00725EAB" w:rsidP="000507B1">
            <w:pPr>
              <w:pStyle w:val="ICFTableHeading"/>
              <w:rPr>
                <w:lang w:bidi="ar-SA"/>
              </w:rPr>
            </w:pPr>
            <w:r w:rsidRPr="004C12C9">
              <w:rPr>
                <w:lang w:bidi="ar-SA"/>
              </w:rPr>
              <w:t>2045</w:t>
            </w:r>
          </w:p>
        </w:tc>
        <w:tc>
          <w:tcPr>
            <w:tcW w:w="1223" w:type="dxa"/>
            <w:shd w:val="clear" w:color="auto" w:fill="D9D9D9" w:themeFill="background1" w:themeFillShade="D9"/>
            <w:vAlign w:val="center"/>
            <w:hideMark/>
          </w:tcPr>
          <w:p w14:paraId="405B4AE6" w14:textId="77777777" w:rsidR="00725EAB" w:rsidRPr="004C12C9" w:rsidRDefault="00725EAB" w:rsidP="000507B1">
            <w:pPr>
              <w:pStyle w:val="ICFTableHeading"/>
              <w:rPr>
                <w:lang w:bidi="ar-SA"/>
              </w:rPr>
            </w:pPr>
            <w:r w:rsidRPr="004C12C9">
              <w:rPr>
                <w:lang w:bidi="ar-SA"/>
              </w:rPr>
              <w:t>2050</w:t>
            </w:r>
          </w:p>
        </w:tc>
      </w:tr>
      <w:tr w:rsidR="00725EAB" w:rsidRPr="004C12C9" w14:paraId="692B50BC" w14:textId="77777777" w:rsidTr="007D1E83">
        <w:trPr>
          <w:trHeight w:val="283"/>
        </w:trPr>
        <w:tc>
          <w:tcPr>
            <w:tcW w:w="2734" w:type="dxa"/>
            <w:noWrap/>
            <w:vAlign w:val="center"/>
            <w:hideMark/>
          </w:tcPr>
          <w:p w14:paraId="23A486BF" w14:textId="53F90938" w:rsidR="00725EAB" w:rsidRPr="004C12C9" w:rsidRDefault="009437F4" w:rsidP="000507B1">
            <w:pPr>
              <w:pStyle w:val="ICFTabletext"/>
              <w:rPr>
                <w:lang w:bidi="ar-SA"/>
              </w:rPr>
            </w:pPr>
            <w:r w:rsidRPr="004C12C9">
              <w:rPr>
                <w:lang w:bidi="ar-SA"/>
              </w:rPr>
              <w:t>Grid</w:t>
            </w:r>
            <w:r w:rsidR="00725EAB" w:rsidRPr="004C12C9">
              <w:rPr>
                <w:lang w:bidi="ar-SA"/>
              </w:rPr>
              <w:t xml:space="preserve"> Average</w:t>
            </w:r>
          </w:p>
        </w:tc>
        <w:tc>
          <w:tcPr>
            <w:tcW w:w="1222" w:type="dxa"/>
            <w:noWrap/>
            <w:vAlign w:val="center"/>
            <w:hideMark/>
          </w:tcPr>
          <w:p w14:paraId="79D211CB" w14:textId="4A1C444E" w:rsidR="00725EAB" w:rsidRPr="004C12C9" w:rsidRDefault="00725EAB" w:rsidP="000507B1">
            <w:pPr>
              <w:pStyle w:val="ICFTabletext"/>
              <w:jc w:val="center"/>
              <w:rPr>
                <w:color w:val="000000"/>
                <w:lang w:bidi="ar-SA"/>
              </w:rPr>
            </w:pPr>
            <w:r w:rsidRPr="004C12C9">
              <w:rPr>
                <w:lang w:eastAsia="ja-JP" w:bidi="ar-SA"/>
              </w:rPr>
              <w:t>11</w:t>
            </w:r>
            <w:r w:rsidR="004270A7" w:rsidRPr="004C12C9">
              <w:rPr>
                <w:lang w:eastAsia="ja-JP" w:bidi="ar-SA"/>
              </w:rPr>
              <w:t>6</w:t>
            </w:r>
            <w:r w:rsidRPr="004C12C9">
              <w:rPr>
                <w:lang w:eastAsia="ja-JP" w:bidi="ar-SA"/>
              </w:rPr>
              <w:t>.</w:t>
            </w:r>
            <w:r w:rsidR="004270A7" w:rsidRPr="004C12C9">
              <w:rPr>
                <w:lang w:eastAsia="ja-JP" w:bidi="ar-SA"/>
              </w:rPr>
              <w:t>62</w:t>
            </w:r>
          </w:p>
        </w:tc>
        <w:tc>
          <w:tcPr>
            <w:tcW w:w="1223" w:type="dxa"/>
            <w:noWrap/>
            <w:vAlign w:val="center"/>
            <w:hideMark/>
          </w:tcPr>
          <w:p w14:paraId="0B0192BC" w14:textId="1E9FEE24" w:rsidR="00725EAB" w:rsidRPr="004C12C9" w:rsidRDefault="00725EAB" w:rsidP="000507B1">
            <w:pPr>
              <w:pStyle w:val="ICFTabletext"/>
              <w:jc w:val="center"/>
              <w:rPr>
                <w:color w:val="000000"/>
                <w:lang w:bidi="ar-SA"/>
              </w:rPr>
            </w:pPr>
            <w:r w:rsidRPr="004C12C9">
              <w:rPr>
                <w:lang w:eastAsia="ja-JP" w:bidi="ar-SA"/>
              </w:rPr>
              <w:t>4</w:t>
            </w:r>
            <w:r w:rsidR="004270A7" w:rsidRPr="004C12C9">
              <w:rPr>
                <w:lang w:eastAsia="ja-JP" w:bidi="ar-SA"/>
              </w:rPr>
              <w:t>2</w:t>
            </w:r>
            <w:r w:rsidRPr="004C12C9">
              <w:rPr>
                <w:lang w:eastAsia="ja-JP" w:bidi="ar-SA"/>
              </w:rPr>
              <w:t>.</w:t>
            </w:r>
            <w:r w:rsidR="004270A7" w:rsidRPr="004C12C9">
              <w:rPr>
                <w:lang w:eastAsia="ja-JP" w:bidi="ar-SA"/>
              </w:rPr>
              <w:t>63</w:t>
            </w:r>
          </w:p>
        </w:tc>
        <w:tc>
          <w:tcPr>
            <w:tcW w:w="1223" w:type="dxa"/>
            <w:noWrap/>
            <w:vAlign w:val="center"/>
            <w:hideMark/>
          </w:tcPr>
          <w:p w14:paraId="5666DEAF" w14:textId="00546432" w:rsidR="00725EAB" w:rsidRPr="004C12C9" w:rsidRDefault="00725EAB" w:rsidP="000507B1">
            <w:pPr>
              <w:pStyle w:val="ICFTabletext"/>
              <w:jc w:val="center"/>
              <w:rPr>
                <w:color w:val="000000"/>
                <w:lang w:bidi="ar-SA"/>
              </w:rPr>
            </w:pPr>
            <w:r w:rsidRPr="004C12C9">
              <w:rPr>
                <w:lang w:eastAsia="ja-JP" w:bidi="ar-SA"/>
              </w:rPr>
              <w:t>21.</w:t>
            </w:r>
            <w:r w:rsidR="004270A7" w:rsidRPr="004C12C9">
              <w:rPr>
                <w:lang w:eastAsia="ja-JP" w:bidi="ar-SA"/>
              </w:rPr>
              <w:t>32</w:t>
            </w:r>
          </w:p>
        </w:tc>
        <w:tc>
          <w:tcPr>
            <w:tcW w:w="1222" w:type="dxa"/>
            <w:noWrap/>
            <w:vAlign w:val="center"/>
            <w:hideMark/>
          </w:tcPr>
          <w:p w14:paraId="4379B5BE" w14:textId="0BC5E84D" w:rsidR="00725EAB" w:rsidRPr="004C12C9" w:rsidRDefault="00725EAB" w:rsidP="000507B1">
            <w:pPr>
              <w:pStyle w:val="ICFTabletext"/>
              <w:jc w:val="center"/>
              <w:rPr>
                <w:lang w:bidi="ar-SA"/>
              </w:rPr>
            </w:pPr>
            <w:r w:rsidRPr="004C12C9">
              <w:rPr>
                <w:lang w:bidi="ar-SA"/>
              </w:rPr>
              <w:t>0</w:t>
            </w:r>
            <w:r w:rsidR="009C50B4" w:rsidRPr="004C12C9">
              <w:rPr>
                <w:lang w:bidi="ar-SA"/>
              </w:rPr>
              <w:t>.00</w:t>
            </w:r>
          </w:p>
        </w:tc>
        <w:tc>
          <w:tcPr>
            <w:tcW w:w="1223" w:type="dxa"/>
            <w:noWrap/>
            <w:vAlign w:val="center"/>
            <w:hideMark/>
          </w:tcPr>
          <w:p w14:paraId="2F3E0F85" w14:textId="6019C473" w:rsidR="00725EAB" w:rsidRPr="004C12C9" w:rsidRDefault="00725EAB" w:rsidP="000507B1">
            <w:pPr>
              <w:pStyle w:val="ICFTabletext"/>
              <w:jc w:val="center"/>
              <w:rPr>
                <w:lang w:bidi="ar-SA"/>
              </w:rPr>
            </w:pPr>
            <w:r w:rsidRPr="004C12C9">
              <w:rPr>
                <w:lang w:bidi="ar-SA"/>
              </w:rPr>
              <w:t>0</w:t>
            </w:r>
            <w:r w:rsidR="009C50B4" w:rsidRPr="004C12C9">
              <w:rPr>
                <w:lang w:bidi="ar-SA"/>
              </w:rPr>
              <w:t>.00</w:t>
            </w:r>
          </w:p>
        </w:tc>
        <w:tc>
          <w:tcPr>
            <w:tcW w:w="1223" w:type="dxa"/>
            <w:noWrap/>
            <w:vAlign w:val="center"/>
            <w:hideMark/>
          </w:tcPr>
          <w:p w14:paraId="7AE61E74" w14:textId="5756FB31" w:rsidR="00725EAB" w:rsidRPr="004C12C9" w:rsidRDefault="00725EAB" w:rsidP="000507B1">
            <w:pPr>
              <w:pStyle w:val="ICFTabletext"/>
              <w:jc w:val="center"/>
              <w:rPr>
                <w:lang w:bidi="ar-SA"/>
              </w:rPr>
            </w:pPr>
            <w:r w:rsidRPr="004C12C9">
              <w:rPr>
                <w:lang w:bidi="ar-SA"/>
              </w:rPr>
              <w:t>0</w:t>
            </w:r>
            <w:r w:rsidR="009C50B4" w:rsidRPr="004C12C9">
              <w:rPr>
                <w:lang w:bidi="ar-SA"/>
              </w:rPr>
              <w:t>.00</w:t>
            </w:r>
          </w:p>
        </w:tc>
      </w:tr>
    </w:tbl>
    <w:p w14:paraId="3DC51B3B" w14:textId="7CF3B407" w:rsidR="00725EAB" w:rsidRPr="004C12C9" w:rsidRDefault="00B635AD" w:rsidP="000507B1">
      <w:pPr>
        <w:pStyle w:val="TableFooter"/>
        <w:rPr>
          <w:rFonts w:asciiTheme="minorHAnsi" w:hAnsiTheme="minorHAnsi" w:cstheme="minorHAnsi"/>
          <w:lang w:eastAsia="ja-JP" w:bidi="ar-SA"/>
        </w:rPr>
      </w:pPr>
      <w:r w:rsidRPr="004C12C9">
        <w:rPr>
          <w:vertAlign w:val="superscript"/>
          <w:lang w:eastAsia="ja-JP" w:bidi="ar-SA"/>
        </w:rPr>
        <w:t>a</w:t>
      </w:r>
      <w:r w:rsidR="00725EAB" w:rsidRPr="004C12C9">
        <w:rPr>
          <w:lang w:eastAsia="ja-JP" w:bidi="ar-SA"/>
        </w:rPr>
        <w:t xml:space="preserve"> Values shown are based on AR</w:t>
      </w:r>
      <w:r w:rsidR="004270A7" w:rsidRPr="004C12C9">
        <w:rPr>
          <w:lang w:eastAsia="ja-JP" w:bidi="ar-SA"/>
        </w:rPr>
        <w:t>5</w:t>
      </w:r>
      <w:r w:rsidR="00725EAB" w:rsidRPr="004C12C9">
        <w:rPr>
          <w:lang w:eastAsia="ja-JP" w:bidi="ar-SA"/>
        </w:rPr>
        <w:t xml:space="preserve"> global warming potentials.</w:t>
      </w:r>
    </w:p>
    <w:p w14:paraId="2264127B" w14:textId="0C76E6F4" w:rsidR="002B1BEA" w:rsidRPr="004C12C9" w:rsidRDefault="00DC1AC1" w:rsidP="00E31E37">
      <w:pPr>
        <w:pStyle w:val="Heading4"/>
      </w:pPr>
      <w:r w:rsidRPr="004C12C9">
        <w:lastRenderedPageBreak/>
        <w:t>Limitations</w:t>
      </w:r>
    </w:p>
    <w:p w14:paraId="4E9AE3CF" w14:textId="02E4C0DF" w:rsidR="00B03131" w:rsidRPr="004C12C9" w:rsidRDefault="00B03131" w:rsidP="00B03131">
      <w:r w:rsidRPr="004C12C9">
        <w:t>Key limitations of the methodology used to quantify emissions from construction equipment include:</w:t>
      </w:r>
    </w:p>
    <w:p w14:paraId="4B781B12" w14:textId="4F15BED5" w:rsidR="007E3630" w:rsidRPr="004C12C9" w:rsidRDefault="00B03131" w:rsidP="003B5F7F">
      <w:pPr>
        <w:pStyle w:val="ListParagraph"/>
        <w:numPr>
          <w:ilvl w:val="0"/>
          <w:numId w:val="15"/>
        </w:numPr>
        <w:rPr>
          <w:rFonts w:cs="Calibri"/>
        </w:rPr>
      </w:pPr>
      <w:r w:rsidRPr="004C12C9">
        <w:t xml:space="preserve">The </w:t>
      </w:r>
      <w:r w:rsidR="007E3630" w:rsidRPr="004C12C9">
        <w:t xml:space="preserve">CalEEMod data used to develop default assumptions </w:t>
      </w:r>
      <w:r w:rsidR="00155722" w:rsidRPr="004C12C9">
        <w:t xml:space="preserve">for the number of construction days and </w:t>
      </w:r>
      <w:r w:rsidR="00D63303" w:rsidRPr="004C12C9">
        <w:t xml:space="preserve">the number of hours each </w:t>
      </w:r>
      <w:r w:rsidR="00155722" w:rsidRPr="004C12C9">
        <w:t xml:space="preserve">construction equipment </w:t>
      </w:r>
      <w:r w:rsidR="00D63303" w:rsidRPr="004C12C9">
        <w:t>type</w:t>
      </w:r>
      <w:r w:rsidR="00B64902" w:rsidRPr="004C12C9">
        <w:t xml:space="preserve"> </w:t>
      </w:r>
      <w:r w:rsidR="00D63303" w:rsidRPr="004C12C9">
        <w:t>is used</w:t>
      </w:r>
      <w:r w:rsidR="00B64902" w:rsidRPr="004C12C9">
        <w:t xml:space="preserve"> per day</w:t>
      </w:r>
      <w:r w:rsidR="00155722" w:rsidRPr="004C12C9">
        <w:t xml:space="preserve"> </w:t>
      </w:r>
      <w:r w:rsidR="00192F58" w:rsidRPr="004C12C9">
        <w:t xml:space="preserve">(based on project size in acres) </w:t>
      </w:r>
      <w:r w:rsidR="00751F8F" w:rsidRPr="004C12C9">
        <w:t>is</w:t>
      </w:r>
      <w:r w:rsidR="009C055A" w:rsidRPr="004C12C9">
        <w:t xml:space="preserve"> derived</w:t>
      </w:r>
      <w:r w:rsidR="00012229" w:rsidRPr="004C12C9">
        <w:rPr>
          <w:rFonts w:asciiTheme="minorHAnsi" w:eastAsiaTheme="minorEastAsia" w:hAnsiTheme="minorHAnsi" w:cstheme="minorBidi"/>
          <w:sz w:val="24"/>
          <w:szCs w:val="24"/>
          <w:lang w:eastAsia="ja-JP" w:bidi="ar-SA"/>
        </w:rPr>
        <w:t xml:space="preserve"> </w:t>
      </w:r>
      <w:r w:rsidR="00012229" w:rsidRPr="004C12C9">
        <w:t xml:space="preserve">using results from a construction survey conducted by the South Coast Air Quality Management District. This </w:t>
      </w:r>
      <w:r w:rsidR="00677A73" w:rsidRPr="004C12C9">
        <w:t>survey gathered data</w:t>
      </w:r>
      <w:r w:rsidR="005A7DD6" w:rsidRPr="004C12C9">
        <w:t xml:space="preserve"> exclusively</w:t>
      </w:r>
      <w:r w:rsidR="00677A73" w:rsidRPr="004C12C9">
        <w:t xml:space="preserve"> from building construction project</w:t>
      </w:r>
      <w:r w:rsidR="006F0EFD" w:rsidRPr="004C12C9">
        <w:t>s</w:t>
      </w:r>
      <w:r w:rsidR="005A7DD6" w:rsidRPr="004C12C9">
        <w:t xml:space="preserve"> in California</w:t>
      </w:r>
      <w:r w:rsidR="00677A73" w:rsidRPr="004C12C9">
        <w:t xml:space="preserve">. Therefore, it is only appropriate to use this data to develop default assumptions for proposed building construction projects. For other project types that are considered non-building construction (e.g., pipelines, roads, recreational trails), it is recommended that the user manually input data on the number of construction days. </w:t>
      </w:r>
      <w:r w:rsidR="007E1274" w:rsidRPr="004C12C9">
        <w:t xml:space="preserve">The </w:t>
      </w:r>
      <w:r w:rsidR="00307C70" w:rsidRPr="004C12C9">
        <w:t xml:space="preserve">calculator </w:t>
      </w:r>
      <w:r w:rsidR="007E1274" w:rsidRPr="004C12C9">
        <w:t>uses</w:t>
      </w:r>
      <w:r w:rsidR="00932D4B" w:rsidRPr="004C12C9">
        <w:t xml:space="preserve"> the data provided by CalEEMod</w:t>
      </w:r>
      <w:r w:rsidR="002B5C78" w:rsidRPr="004C12C9">
        <w:t>, despite its limitations,</w:t>
      </w:r>
      <w:r w:rsidR="00932D4B" w:rsidRPr="004C12C9">
        <w:t xml:space="preserve"> as it was the most comprehensive data publicly available to develop </w:t>
      </w:r>
      <w:r w:rsidR="00D468B4" w:rsidRPr="004C12C9">
        <w:t xml:space="preserve">default </w:t>
      </w:r>
      <w:r w:rsidR="00932D4B" w:rsidRPr="004C12C9">
        <w:t xml:space="preserve">assumptions on construction days, construction equipment </w:t>
      </w:r>
      <w:r w:rsidR="004C5AE7" w:rsidRPr="004C12C9">
        <w:t>use</w:t>
      </w:r>
      <w:r w:rsidR="0021592D" w:rsidRPr="004C12C9">
        <w:t xml:space="preserve"> per day</w:t>
      </w:r>
      <w:r w:rsidR="004C5AE7" w:rsidRPr="004C12C9">
        <w:t xml:space="preserve">, and </w:t>
      </w:r>
      <w:r w:rsidR="00D468B4" w:rsidRPr="004C12C9">
        <w:rPr>
          <w:rFonts w:cs="Calibri"/>
        </w:rPr>
        <w:t xml:space="preserve">construction </w:t>
      </w:r>
      <w:r w:rsidR="004C5AE7" w:rsidRPr="004C12C9">
        <w:rPr>
          <w:rFonts w:cs="Calibri"/>
        </w:rPr>
        <w:t>equipment capacity</w:t>
      </w:r>
      <w:r w:rsidR="004B685B" w:rsidRPr="004C12C9">
        <w:rPr>
          <w:rFonts w:cs="Calibri"/>
        </w:rPr>
        <w:t>.</w:t>
      </w:r>
    </w:p>
    <w:p w14:paraId="667E0530" w14:textId="2E3D35BF" w:rsidR="00B03131" w:rsidRPr="004C12C9" w:rsidRDefault="007707B9" w:rsidP="003B5F7F">
      <w:pPr>
        <w:pStyle w:val="ListParagraph"/>
        <w:numPr>
          <w:ilvl w:val="0"/>
          <w:numId w:val="15"/>
        </w:numPr>
        <w:rPr>
          <w:rFonts w:cs="Calibri"/>
        </w:rPr>
      </w:pPr>
      <w:r w:rsidRPr="004C12C9">
        <w:rPr>
          <w:rFonts w:cs="Calibri"/>
        </w:rPr>
        <w:t>The equipment types available in GREET</w:t>
      </w:r>
      <w:r w:rsidR="009D2E3F" w:rsidRPr="004C12C9">
        <w:rPr>
          <w:rFonts w:cs="Calibri"/>
        </w:rPr>
        <w:t xml:space="preserve"> </w:t>
      </w:r>
      <w:r w:rsidRPr="004C12C9">
        <w:rPr>
          <w:rFonts w:cs="Calibri"/>
        </w:rPr>
        <w:t>1</w:t>
      </w:r>
      <w:r w:rsidR="003C14D6" w:rsidRPr="004C12C9">
        <w:rPr>
          <w:rFonts w:cs="Calibri"/>
        </w:rPr>
        <w:t xml:space="preserve"> </w:t>
      </w:r>
      <w:r w:rsidRPr="004C12C9">
        <w:rPr>
          <w:rFonts w:cs="Calibri"/>
        </w:rPr>
        <w:t xml:space="preserve">2024 and the construction equipment types included in the </w:t>
      </w:r>
      <w:r w:rsidR="00307C70" w:rsidRPr="004C12C9">
        <w:t xml:space="preserve">calculator </w:t>
      </w:r>
      <w:r w:rsidR="003C14D6" w:rsidRPr="004C12C9">
        <w:rPr>
          <w:rFonts w:cs="Calibri"/>
        </w:rPr>
        <w:t>are</w:t>
      </w:r>
      <w:r w:rsidRPr="004C12C9">
        <w:rPr>
          <w:rFonts w:cs="Calibri"/>
        </w:rPr>
        <w:t xml:space="preserve"> not one</w:t>
      </w:r>
      <w:r w:rsidR="003C14D6" w:rsidRPr="004C12C9">
        <w:rPr>
          <w:rFonts w:cs="Calibri"/>
        </w:rPr>
        <w:t>-</w:t>
      </w:r>
      <w:r w:rsidRPr="004C12C9">
        <w:rPr>
          <w:rFonts w:cs="Calibri"/>
        </w:rPr>
        <w:t>to</w:t>
      </w:r>
      <w:r w:rsidR="003C14D6" w:rsidRPr="004C12C9">
        <w:rPr>
          <w:rFonts w:cs="Calibri"/>
        </w:rPr>
        <w:t>-</w:t>
      </w:r>
      <w:r w:rsidRPr="004C12C9">
        <w:rPr>
          <w:rFonts w:cs="Calibri"/>
        </w:rPr>
        <w:t>one. Therefore, to</w:t>
      </w:r>
      <w:r w:rsidR="009472B1" w:rsidRPr="004C12C9">
        <w:rPr>
          <w:rFonts w:cs="Calibri"/>
        </w:rPr>
        <w:t xml:space="preserve"> compile equipment-specific combustion emission factors from GREET</w:t>
      </w:r>
      <w:r w:rsidR="009D2E3F" w:rsidRPr="004C12C9">
        <w:rPr>
          <w:rFonts w:cs="Calibri"/>
        </w:rPr>
        <w:t xml:space="preserve"> </w:t>
      </w:r>
      <w:r w:rsidR="009472B1" w:rsidRPr="004C12C9">
        <w:rPr>
          <w:rFonts w:cs="Calibri"/>
        </w:rPr>
        <w:t>1 2024, each construction equipment type</w:t>
      </w:r>
      <w:r w:rsidR="00D468B4" w:rsidRPr="004C12C9">
        <w:rPr>
          <w:rFonts w:cs="Calibri"/>
        </w:rPr>
        <w:t xml:space="preserve"> in the </w:t>
      </w:r>
      <w:r w:rsidR="00307C70" w:rsidRPr="004C12C9">
        <w:t xml:space="preserve">calculator </w:t>
      </w:r>
      <w:r w:rsidR="001F3FEA" w:rsidRPr="004C12C9">
        <w:rPr>
          <w:rFonts w:cs="Calibri"/>
        </w:rPr>
        <w:t>is</w:t>
      </w:r>
      <w:r w:rsidR="009472B1" w:rsidRPr="004C12C9">
        <w:rPr>
          <w:rFonts w:cs="Calibri"/>
        </w:rPr>
        <w:t xml:space="preserve"> mapped to an equipment type category in GREET</w:t>
      </w:r>
      <w:r w:rsidRPr="004C12C9">
        <w:rPr>
          <w:rFonts w:cs="Calibri"/>
        </w:rPr>
        <w:t xml:space="preserve"> </w:t>
      </w:r>
      <w:r w:rsidR="009D2E3F" w:rsidRPr="004C12C9">
        <w:rPr>
          <w:rFonts w:cs="Calibri"/>
        </w:rPr>
        <w:t xml:space="preserve">1 2024 </w:t>
      </w:r>
      <w:r w:rsidRPr="004C12C9">
        <w:rPr>
          <w:rFonts w:cs="Calibri"/>
        </w:rPr>
        <w:t xml:space="preserve">using </w:t>
      </w:r>
      <w:r w:rsidR="00B03131" w:rsidRPr="004C12C9">
        <w:rPr>
          <w:rFonts w:cs="Calibri"/>
        </w:rPr>
        <w:t>expert</w:t>
      </w:r>
      <w:r w:rsidRPr="004C12C9">
        <w:rPr>
          <w:rFonts w:cs="Calibri"/>
        </w:rPr>
        <w:t xml:space="preserve"> judg</w:t>
      </w:r>
      <w:r w:rsidR="00AF2352" w:rsidRPr="004C12C9">
        <w:rPr>
          <w:rFonts w:cs="Calibri"/>
        </w:rPr>
        <w:t>ment</w:t>
      </w:r>
      <w:r w:rsidR="000619F1" w:rsidRPr="004C12C9">
        <w:rPr>
          <w:rFonts w:cs="Calibri"/>
        </w:rPr>
        <w:t xml:space="preserve"> (see</w:t>
      </w:r>
      <w:r w:rsidR="005E4564">
        <w:rPr>
          <w:rFonts w:cs="Calibri"/>
        </w:rPr>
        <w:t xml:space="preserve"> </w:t>
      </w:r>
      <w:r w:rsidR="005E4564">
        <w:rPr>
          <w:rFonts w:cs="Calibri"/>
        </w:rPr>
        <w:fldChar w:fldCharType="begin"/>
      </w:r>
      <w:r w:rsidR="005E4564">
        <w:rPr>
          <w:rFonts w:cs="Calibri"/>
        </w:rPr>
        <w:instrText xml:space="preserve"> REF _Ref187737348 \h </w:instrText>
      </w:r>
      <w:r w:rsidR="005E4564">
        <w:rPr>
          <w:rFonts w:cs="Calibri"/>
        </w:rPr>
      </w:r>
      <w:r w:rsidR="005E4564">
        <w:rPr>
          <w:rFonts w:cs="Calibri"/>
        </w:rPr>
        <w:fldChar w:fldCharType="separate"/>
      </w:r>
      <w:r w:rsidR="005E4564" w:rsidRPr="004C12C9">
        <w:rPr>
          <w:lang w:eastAsia="ja-JP" w:bidi="ar-SA"/>
        </w:rPr>
        <w:t xml:space="preserve">Table </w:t>
      </w:r>
      <w:r w:rsidR="005E4564">
        <w:rPr>
          <w:noProof/>
          <w:lang w:eastAsia="ja-JP" w:bidi="ar-SA"/>
        </w:rPr>
        <w:t>2</w:t>
      </w:r>
      <w:r w:rsidR="005E4564">
        <w:rPr>
          <w:lang w:eastAsia="ja-JP" w:bidi="ar-SA"/>
        </w:rPr>
        <w:noBreakHyphen/>
      </w:r>
      <w:r w:rsidR="005E4564">
        <w:rPr>
          <w:noProof/>
          <w:lang w:eastAsia="ja-JP" w:bidi="ar-SA"/>
        </w:rPr>
        <w:t>32</w:t>
      </w:r>
      <w:r w:rsidR="005E4564">
        <w:rPr>
          <w:rFonts w:cs="Calibri"/>
        </w:rPr>
        <w:fldChar w:fldCharType="end"/>
      </w:r>
      <w:r w:rsidR="000619F1" w:rsidRPr="004C12C9">
        <w:rPr>
          <w:rFonts w:cs="Calibri"/>
        </w:rPr>
        <w:t>)</w:t>
      </w:r>
      <w:r w:rsidR="00D468B4" w:rsidRPr="004C12C9">
        <w:rPr>
          <w:rFonts w:cs="Calibri"/>
        </w:rPr>
        <w:t>.</w:t>
      </w:r>
    </w:p>
    <w:p w14:paraId="4B57474B" w14:textId="28B6C6FB" w:rsidR="002B1BEA" w:rsidRPr="004C12C9" w:rsidRDefault="007E3630" w:rsidP="00B11F4C">
      <w:pPr>
        <w:pStyle w:val="ListParagraph"/>
        <w:numPr>
          <w:ilvl w:val="0"/>
          <w:numId w:val="15"/>
        </w:numPr>
        <w:contextualSpacing w:val="0"/>
        <w:rPr>
          <w:rFonts w:cs="Calibri"/>
        </w:rPr>
      </w:pPr>
      <w:r w:rsidRPr="004C12C9">
        <w:rPr>
          <w:rFonts w:cs="Calibri"/>
        </w:rPr>
        <w:t xml:space="preserve">There </w:t>
      </w:r>
      <w:r w:rsidR="00ED69D9" w:rsidRPr="004C12C9">
        <w:rPr>
          <w:rFonts w:cs="Calibri"/>
        </w:rPr>
        <w:t>are</w:t>
      </w:r>
      <w:r w:rsidR="008E3150" w:rsidRPr="004C12C9">
        <w:rPr>
          <w:rFonts w:cs="Calibri"/>
        </w:rPr>
        <w:t xml:space="preserve"> limitations in the data availability for biofuel</w:t>
      </w:r>
      <w:r w:rsidRPr="004C12C9">
        <w:rPr>
          <w:rFonts w:cs="Calibri"/>
        </w:rPr>
        <w:t xml:space="preserve"> </w:t>
      </w:r>
      <w:r w:rsidR="009615C5" w:rsidRPr="004C12C9">
        <w:rPr>
          <w:rFonts w:cs="Calibri"/>
        </w:rPr>
        <w:t>combustion</w:t>
      </w:r>
      <w:r w:rsidRPr="004C12C9">
        <w:rPr>
          <w:rFonts w:cs="Calibri"/>
        </w:rPr>
        <w:t xml:space="preserve"> emission factors </w:t>
      </w:r>
      <w:r w:rsidR="008E3150" w:rsidRPr="004C12C9">
        <w:rPr>
          <w:rFonts w:cs="Calibri"/>
        </w:rPr>
        <w:t>for certain equipment types in GREET</w:t>
      </w:r>
      <w:r w:rsidR="009D2E3F" w:rsidRPr="004C12C9">
        <w:rPr>
          <w:rFonts w:cs="Calibri"/>
        </w:rPr>
        <w:t xml:space="preserve"> </w:t>
      </w:r>
      <w:r w:rsidR="003C14D6" w:rsidRPr="004C12C9">
        <w:rPr>
          <w:rFonts w:cs="Calibri"/>
        </w:rPr>
        <w:t>1 2024</w:t>
      </w:r>
      <w:r w:rsidR="008E3150" w:rsidRPr="004C12C9">
        <w:rPr>
          <w:rFonts w:cs="Calibri"/>
        </w:rPr>
        <w:t xml:space="preserve">. As such, </w:t>
      </w:r>
      <w:r w:rsidR="0066021E" w:rsidRPr="004C12C9">
        <w:rPr>
          <w:rFonts w:cs="Calibri"/>
        </w:rPr>
        <w:t xml:space="preserve">the </w:t>
      </w:r>
      <w:r w:rsidR="00307C70" w:rsidRPr="004C12C9">
        <w:t xml:space="preserve">calculator </w:t>
      </w:r>
      <w:r w:rsidR="0066021E" w:rsidRPr="004C12C9">
        <w:rPr>
          <w:rFonts w:cs="Calibri"/>
        </w:rPr>
        <w:t>applies</w:t>
      </w:r>
      <w:r w:rsidRPr="004C12C9">
        <w:rPr>
          <w:rFonts w:cs="Calibri"/>
        </w:rPr>
        <w:t xml:space="preserve"> emission factor data from similar biofuels in some instances</w:t>
      </w:r>
      <w:r w:rsidR="0066021E" w:rsidRPr="004C12C9">
        <w:rPr>
          <w:rFonts w:cs="Calibri"/>
        </w:rPr>
        <w:t xml:space="preserve"> where biofuel specific combustion emission factor data </w:t>
      </w:r>
      <w:r w:rsidR="001249A4" w:rsidRPr="004C12C9">
        <w:rPr>
          <w:rFonts w:cs="Calibri"/>
        </w:rPr>
        <w:t>are</w:t>
      </w:r>
      <w:r w:rsidR="0066021E" w:rsidRPr="004C12C9">
        <w:rPr>
          <w:rFonts w:cs="Calibri"/>
        </w:rPr>
        <w:t xml:space="preserve"> not available</w:t>
      </w:r>
      <w:r w:rsidRPr="004C12C9">
        <w:rPr>
          <w:rFonts w:cs="Calibri"/>
        </w:rPr>
        <w:t xml:space="preserve">. </w:t>
      </w:r>
      <w:r w:rsidR="008E3150" w:rsidRPr="004C12C9">
        <w:rPr>
          <w:rFonts w:cs="Calibri"/>
        </w:rPr>
        <w:t xml:space="preserve">These </w:t>
      </w:r>
      <w:r w:rsidR="00D468B4" w:rsidRPr="004C12C9">
        <w:rPr>
          <w:rFonts w:cs="Calibri"/>
        </w:rPr>
        <w:t>instances</w:t>
      </w:r>
      <w:r w:rsidR="008E3150" w:rsidRPr="004C12C9">
        <w:rPr>
          <w:rFonts w:cs="Calibri"/>
        </w:rPr>
        <w:t xml:space="preserve"> are detailed in </w:t>
      </w:r>
      <w:r w:rsidR="00D468B4" w:rsidRPr="004C12C9">
        <w:rPr>
          <w:rFonts w:cs="Calibri"/>
        </w:rPr>
        <w:t xml:space="preserve">the </w:t>
      </w:r>
      <w:r w:rsidR="008E3150" w:rsidRPr="004C12C9">
        <w:rPr>
          <w:rFonts w:cs="Calibri"/>
        </w:rPr>
        <w:t>text below</w:t>
      </w:r>
      <w:r w:rsidR="00F140EE">
        <w:rPr>
          <w:rFonts w:cs="Calibri"/>
        </w:rPr>
        <w:t xml:space="preserve"> </w:t>
      </w:r>
      <w:r w:rsidR="00F140EE">
        <w:rPr>
          <w:rFonts w:cs="Calibri"/>
        </w:rPr>
        <w:fldChar w:fldCharType="begin"/>
      </w:r>
      <w:r w:rsidR="00F140EE">
        <w:rPr>
          <w:rFonts w:cs="Calibri"/>
        </w:rPr>
        <w:instrText xml:space="preserve"> REF _Ref219816922 \h </w:instrText>
      </w:r>
      <w:r w:rsidR="00F140EE">
        <w:rPr>
          <w:rFonts w:cs="Calibri"/>
        </w:rPr>
      </w:r>
      <w:r w:rsidR="00F140EE">
        <w:rPr>
          <w:rFonts w:cs="Calibri"/>
        </w:rPr>
        <w:fldChar w:fldCharType="separate"/>
      </w:r>
      <w:r w:rsidR="00F140EE" w:rsidRPr="004C12C9">
        <w:rPr>
          <w:lang w:eastAsia="ja-JP" w:bidi="ar-SA"/>
        </w:rPr>
        <w:t xml:space="preserve">Table </w:t>
      </w:r>
      <w:r w:rsidR="00F140EE">
        <w:rPr>
          <w:noProof/>
          <w:lang w:eastAsia="ja-JP" w:bidi="ar-SA"/>
        </w:rPr>
        <w:t>2</w:t>
      </w:r>
      <w:r w:rsidR="00F140EE">
        <w:rPr>
          <w:lang w:eastAsia="ja-JP" w:bidi="ar-SA"/>
        </w:rPr>
        <w:noBreakHyphen/>
      </w:r>
      <w:r w:rsidR="00F140EE">
        <w:rPr>
          <w:noProof/>
          <w:lang w:eastAsia="ja-JP" w:bidi="ar-SA"/>
        </w:rPr>
        <w:t>33</w:t>
      </w:r>
      <w:r w:rsidR="00F140EE">
        <w:rPr>
          <w:rFonts w:cs="Calibri"/>
        </w:rPr>
        <w:fldChar w:fldCharType="end"/>
      </w:r>
      <w:r w:rsidR="008E3150" w:rsidRPr="004C12C9">
        <w:rPr>
          <w:rFonts w:cs="Calibri"/>
        </w:rPr>
        <w:t>.</w:t>
      </w:r>
    </w:p>
    <w:p w14:paraId="23FB182C" w14:textId="77777777" w:rsidR="0011614F" w:rsidRPr="004C12C9" w:rsidRDefault="00FC5F6E" w:rsidP="003763B5">
      <w:pPr>
        <w:pStyle w:val="Heading3"/>
      </w:pPr>
      <w:bookmarkStart w:id="104" w:name="_Ref195426682"/>
      <w:bookmarkStart w:id="105" w:name="_Toc219887770"/>
      <w:r w:rsidRPr="004C12C9">
        <w:t>Land Use Change</w:t>
      </w:r>
      <w:bookmarkEnd w:id="104"/>
      <w:bookmarkEnd w:id="105"/>
    </w:p>
    <w:p w14:paraId="777D724E" w14:textId="03453057" w:rsidR="006B2BBA" w:rsidRPr="004C12C9" w:rsidRDefault="0011614F" w:rsidP="006B2BBA">
      <w:bookmarkStart w:id="106" w:name="_Hlk172528161"/>
      <w:r w:rsidRPr="004C12C9">
        <w:t xml:space="preserve">This emissions source (or sink) includes the net carbon change from the transition of one land use type to another during project construction. This may include clearing land for construction or otherwise converting it </w:t>
      </w:r>
      <w:bookmarkEnd w:id="106"/>
      <w:r w:rsidRPr="004C12C9">
        <w:t xml:space="preserve">to another land type. The method described below uses a stock change approach to calculate carbon gains or losses, which are used as a proxy for emissions. To account for lifecycle emissions, the net carbon change calculations assume full realization of the land transition. </w:t>
      </w:r>
      <w:r w:rsidR="006B2BBA" w:rsidRPr="004C12C9">
        <w:t xml:space="preserve">The </w:t>
      </w:r>
      <w:r w:rsidR="002D08EA" w:rsidRPr="004C12C9">
        <w:t xml:space="preserve">calculator </w:t>
      </w:r>
      <w:r w:rsidR="006B2BBA" w:rsidRPr="004C12C9">
        <w:t xml:space="preserve">quantifies </w:t>
      </w:r>
      <w:r w:rsidR="00BC36BE" w:rsidRPr="004C12C9">
        <w:t xml:space="preserve">net carbon change from land use change </w:t>
      </w:r>
      <w:r w:rsidR="006B2BBA" w:rsidRPr="004C12C9">
        <w:t>based on</w:t>
      </w:r>
      <w:r w:rsidR="005D70B7" w:rsidRPr="004C12C9">
        <w:t xml:space="preserve"> </w:t>
      </w:r>
      <w:r w:rsidR="002F351A" w:rsidRPr="004C12C9">
        <w:t>land area pr</w:t>
      </w:r>
      <w:r w:rsidR="00F46465" w:rsidRPr="004C12C9">
        <w:t>e</w:t>
      </w:r>
      <w:r w:rsidR="002F351A" w:rsidRPr="004C12C9">
        <w:t>- and post-construction</w:t>
      </w:r>
      <w:r w:rsidR="007265E5" w:rsidRPr="004C12C9">
        <w:t>, the number of trees removed and/or added during construction</w:t>
      </w:r>
      <w:r w:rsidR="0068175B" w:rsidRPr="004C12C9">
        <w:t xml:space="preserve"> (</w:t>
      </w:r>
      <w:r w:rsidR="004B2A44" w:rsidRPr="004C12C9">
        <w:t>outside of</w:t>
      </w:r>
      <w:r w:rsidR="0068175B" w:rsidRPr="004C12C9">
        <w:t xml:space="preserve"> </w:t>
      </w:r>
      <w:r w:rsidR="00B931BB" w:rsidRPr="004C12C9">
        <w:t>forests)</w:t>
      </w:r>
      <w:r w:rsidR="007265E5" w:rsidRPr="004C12C9">
        <w:t>, and the carbon stock of each land type</w:t>
      </w:r>
      <w:r w:rsidR="00F769D9" w:rsidRPr="004C12C9">
        <w:t xml:space="preserve"> and tree</w:t>
      </w:r>
      <w:r w:rsidR="006B2BBA" w:rsidRPr="004C12C9">
        <w:t>, as shown in</w:t>
      </w:r>
      <w:r w:rsidR="0097490A">
        <w:t xml:space="preserve"> </w:t>
      </w:r>
      <w:r w:rsidR="0097490A">
        <w:fldChar w:fldCharType="begin"/>
      </w:r>
      <w:r w:rsidR="0097490A">
        <w:instrText xml:space="preserve"> REF _Ref195389291 \h </w:instrText>
      </w:r>
      <w:r w:rsidR="0097490A">
        <w:fldChar w:fldCharType="separate"/>
      </w:r>
      <w:r w:rsidR="0097490A" w:rsidRPr="004C12C9">
        <w:t xml:space="preserve">Equation </w:t>
      </w:r>
      <w:r w:rsidR="0097490A">
        <w:rPr>
          <w:noProof/>
        </w:rPr>
        <w:t>9</w:t>
      </w:r>
      <w:r w:rsidR="0097490A">
        <w:fldChar w:fldCharType="end"/>
      </w:r>
      <w:r w:rsidR="006B2BBA" w:rsidRPr="004C12C9">
        <w:t>.</w:t>
      </w:r>
    </w:p>
    <w:p w14:paraId="229700B1" w14:textId="105C3DDE" w:rsidR="006B2BBA" w:rsidRPr="004C12C9" w:rsidRDefault="006B2BBA" w:rsidP="0097490A">
      <w:pPr>
        <w:pStyle w:val="Caption"/>
      </w:pPr>
      <w:bookmarkStart w:id="107" w:name="_Ref195389291"/>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9</w:t>
      </w:r>
      <w:r w:rsidR="00127094">
        <w:fldChar w:fldCharType="end"/>
      </w:r>
      <w:bookmarkEnd w:id="107"/>
      <w:r w:rsidRPr="004C12C9">
        <w:t xml:space="preserve">. </w:t>
      </w:r>
      <w:r w:rsidR="005D70B7" w:rsidRPr="004C12C9">
        <w:t>Net Change in Carbon Stock from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30"/>
        <w:gridCol w:w="7640"/>
      </w:tblGrid>
      <w:tr w:rsidR="006B2BBA" w:rsidRPr="004C12C9" w14:paraId="524F4E1F" w14:textId="77777777">
        <w:tc>
          <w:tcPr>
            <w:tcW w:w="10070" w:type="dxa"/>
            <w:gridSpan w:val="2"/>
            <w:shd w:val="clear" w:color="auto" w:fill="F2F2F2" w:themeFill="background1" w:themeFillShade="F2"/>
          </w:tcPr>
          <w:p w14:paraId="7B482A86" w14:textId="3AD03C42" w:rsidR="005D70B7" w:rsidRPr="004C12C9" w:rsidRDefault="000663F1" w:rsidP="00AF1B63">
            <w:pPr>
              <w:pStyle w:val="Equation"/>
              <w:keepNext/>
              <w:rPr>
                <w:noProof w:val="0"/>
              </w:rPr>
            </w:pPr>
            <m:oMathPara>
              <m:oMath>
                <m:r>
                  <w:rPr>
                    <w:noProof w:val="0"/>
                  </w:rPr>
                  <m:t>GHGs emitted or sequestered=</m:t>
                </m:r>
                <m:d>
                  <m:dPr>
                    <m:ctrlPr>
                      <w:rPr>
                        <w:noProof w:val="0"/>
                      </w:rPr>
                    </m:ctrlPr>
                  </m:dPr>
                  <m:e>
                    <m:r>
                      <w:rPr>
                        <w:noProof w:val="0"/>
                      </w:rPr>
                      <m:t xml:space="preserve"> </m:t>
                    </m:r>
                    <m:nary>
                      <m:naryPr>
                        <m:chr m:val="∑"/>
                        <m:limLoc m:val="undOvr"/>
                        <m:subHide m:val="1"/>
                        <m:supHide m:val="1"/>
                        <m:ctrlPr>
                          <w:rPr>
                            <w:noProof w:val="0"/>
                          </w:rPr>
                        </m:ctrlPr>
                      </m:naryPr>
                      <m:sub/>
                      <m:sup/>
                      <m:e>
                        <m:r>
                          <w:rPr>
                            <w:noProof w:val="0"/>
                          </w:rPr>
                          <m:t>(</m:t>
                        </m:r>
                        <m:sSub>
                          <m:sSubPr>
                            <m:ctrlPr>
                              <w:rPr>
                                <w:noProof w:val="0"/>
                              </w:rPr>
                            </m:ctrlPr>
                          </m:sSubPr>
                          <m:e>
                            <m:r>
                              <w:rPr>
                                <w:noProof w:val="0"/>
                              </w:rPr>
                              <m:t>area pre construction</m:t>
                            </m:r>
                          </m:e>
                          <m:sub>
                            <m:r>
                              <w:rPr>
                                <w:noProof w:val="0"/>
                              </w:rPr>
                              <m:t>t</m:t>
                            </m:r>
                          </m:sub>
                        </m:sSub>
                        <m:r>
                          <w:rPr>
                            <w:noProof w:val="0"/>
                          </w:rPr>
                          <m:t xml:space="preserve">- </m:t>
                        </m:r>
                      </m:e>
                    </m:nary>
                    <m:sSub>
                      <m:sSubPr>
                        <m:ctrlPr>
                          <w:rPr>
                            <w:noProof w:val="0"/>
                          </w:rPr>
                        </m:ctrlPr>
                      </m:sSubPr>
                      <m:e>
                        <m:r>
                          <w:rPr>
                            <w:noProof w:val="0"/>
                          </w:rPr>
                          <m:t>area post construction</m:t>
                        </m:r>
                      </m:e>
                      <m:sub>
                        <m:r>
                          <w:rPr>
                            <w:noProof w:val="0"/>
                          </w:rPr>
                          <m:t>t</m:t>
                        </m:r>
                      </m:sub>
                    </m:sSub>
                    <m:r>
                      <w:rPr>
                        <w:noProof w:val="0"/>
                      </w:rPr>
                      <m:t xml:space="preserve">)× </m:t>
                    </m:r>
                    <m:sSub>
                      <m:sSubPr>
                        <m:ctrlPr>
                          <w:rPr>
                            <w:noProof w:val="0"/>
                          </w:rPr>
                        </m:ctrlPr>
                      </m:sSubPr>
                      <m:e>
                        <m:r>
                          <w:rPr>
                            <w:noProof w:val="0"/>
                          </w:rPr>
                          <m:t>carbon stock</m:t>
                        </m:r>
                      </m:e>
                      <m:sub>
                        <m:r>
                          <w:rPr>
                            <w:noProof w:val="0"/>
                          </w:rPr>
                          <m:t>t</m:t>
                        </m:r>
                      </m:sub>
                    </m:sSub>
                    <m:r>
                      <w:rPr>
                        <w:noProof w:val="0"/>
                      </w:rPr>
                      <m:t xml:space="preserve"> × </m:t>
                    </m:r>
                    <m:f>
                      <m:fPr>
                        <m:ctrlPr>
                          <w:rPr>
                            <w:noProof w:val="0"/>
                          </w:rPr>
                        </m:ctrlPr>
                      </m:fPr>
                      <m:num>
                        <m:r>
                          <w:rPr>
                            <w:noProof w:val="0"/>
                          </w:rPr>
                          <m:t>44</m:t>
                        </m:r>
                      </m:num>
                      <m:den>
                        <m:r>
                          <w:rPr>
                            <w:noProof w:val="0"/>
                          </w:rPr>
                          <m:t>12</m:t>
                        </m:r>
                      </m:den>
                    </m:f>
                  </m:e>
                </m:d>
                <m:r>
                  <w:rPr>
                    <w:noProof w:val="0"/>
                  </w:rPr>
                  <m:t>+[</m:t>
                </m:r>
                <m:d>
                  <m:dPr>
                    <m:ctrlPr>
                      <w:rPr>
                        <w:noProof w:val="0"/>
                      </w:rPr>
                    </m:ctrlPr>
                  </m:dPr>
                  <m:e>
                    <m:r>
                      <w:rPr>
                        <w:noProof w:val="0"/>
                      </w:rPr>
                      <m:t>trees removed-trees added</m:t>
                    </m:r>
                  </m:e>
                </m:d>
                <m:r>
                  <w:rPr>
                    <w:noProof w:val="0"/>
                  </w:rPr>
                  <m:t xml:space="preserve"> ×</m:t>
                </m:r>
                <m:sSub>
                  <m:sSubPr>
                    <m:ctrlPr>
                      <w:rPr>
                        <w:noProof w:val="0"/>
                      </w:rPr>
                    </m:ctrlPr>
                  </m:sSubPr>
                  <m:e>
                    <m:r>
                      <w:rPr>
                        <w:noProof w:val="0"/>
                      </w:rPr>
                      <m:t>carbon stock</m:t>
                    </m:r>
                  </m:e>
                  <m:sub>
                    <m:r>
                      <w:rPr>
                        <w:noProof w:val="0"/>
                      </w:rPr>
                      <m:t>tree</m:t>
                    </m:r>
                  </m:sub>
                </m:sSub>
                <m:r>
                  <w:rPr>
                    <w:noProof w:val="0"/>
                  </w:rPr>
                  <m:t xml:space="preserve"> × </m:t>
                </m:r>
                <m:f>
                  <m:fPr>
                    <m:ctrlPr>
                      <w:rPr>
                        <w:noProof w:val="0"/>
                      </w:rPr>
                    </m:ctrlPr>
                  </m:fPr>
                  <m:num>
                    <m:r>
                      <w:rPr>
                        <w:noProof w:val="0"/>
                      </w:rPr>
                      <m:t>44</m:t>
                    </m:r>
                  </m:num>
                  <m:den>
                    <m:r>
                      <w:rPr>
                        <w:noProof w:val="0"/>
                      </w:rPr>
                      <m:t>12</m:t>
                    </m:r>
                  </m:den>
                </m:f>
                <m:r>
                  <w:rPr>
                    <w:noProof w:val="0"/>
                  </w:rPr>
                  <m:t>]</m:t>
                </m:r>
              </m:oMath>
            </m:oMathPara>
          </w:p>
          <w:p w14:paraId="6F2750AF" w14:textId="77777777" w:rsidR="006B2BBA" w:rsidRPr="004C12C9" w:rsidRDefault="006B2BBA" w:rsidP="00AF1B63">
            <w:pPr>
              <w:keepNext/>
              <w:rPr>
                <w:i/>
                <w:iCs/>
              </w:rPr>
            </w:pPr>
            <w:r w:rsidRPr="004C12C9">
              <w:rPr>
                <w:i/>
                <w:iCs/>
                <w:sz w:val="20"/>
                <w:szCs w:val="20"/>
              </w:rPr>
              <w:t xml:space="preserve">where, </w:t>
            </w:r>
          </w:p>
        </w:tc>
      </w:tr>
      <w:tr w:rsidR="006B2BBA" w:rsidRPr="004C12C9" w14:paraId="5157A86D" w14:textId="77777777" w:rsidTr="00063C48">
        <w:tc>
          <w:tcPr>
            <w:tcW w:w="2430" w:type="dxa"/>
            <w:shd w:val="clear" w:color="auto" w:fill="F2F2F2" w:themeFill="background1" w:themeFillShade="F2"/>
          </w:tcPr>
          <w:p w14:paraId="2013806D" w14:textId="59374A45" w:rsidR="00F769D9" w:rsidRPr="004C12C9" w:rsidRDefault="00F769D9" w:rsidP="00AF1B63">
            <w:pPr>
              <w:keepNext/>
              <w:tabs>
                <w:tab w:val="left" w:pos="2160"/>
              </w:tabs>
              <w:contextualSpacing/>
              <w:rPr>
                <w:rFonts w:eastAsia="Arial"/>
                <w:sz w:val="20"/>
                <w:szCs w:val="20"/>
              </w:rPr>
            </w:pPr>
            <w:r w:rsidRPr="004C12C9">
              <w:rPr>
                <w:rFonts w:eastAsia="Arial"/>
                <w:sz w:val="20"/>
                <w:szCs w:val="20"/>
              </w:rPr>
              <w:t>Area pre-construction</w:t>
            </w:r>
          </w:p>
          <w:p w14:paraId="4C57B982" w14:textId="219F895D" w:rsidR="00F769D9" w:rsidRPr="004C12C9" w:rsidRDefault="00F769D9" w:rsidP="00AF1B63">
            <w:pPr>
              <w:keepNext/>
              <w:tabs>
                <w:tab w:val="left" w:pos="2160"/>
              </w:tabs>
              <w:contextualSpacing/>
              <w:rPr>
                <w:rFonts w:eastAsia="Arial"/>
                <w:sz w:val="20"/>
                <w:szCs w:val="20"/>
              </w:rPr>
            </w:pPr>
            <w:r w:rsidRPr="004C12C9">
              <w:rPr>
                <w:rFonts w:eastAsia="Arial"/>
                <w:sz w:val="20"/>
                <w:szCs w:val="20"/>
              </w:rPr>
              <w:t>Area post-construction</w:t>
            </w:r>
          </w:p>
          <w:p w14:paraId="2F941B4E" w14:textId="77777777"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carbon stock</w:t>
            </w:r>
            <w:r w:rsidRPr="004C12C9">
              <w:rPr>
                <w:rFonts w:eastAsia="Arial"/>
                <w:sz w:val="20"/>
                <w:szCs w:val="20"/>
                <w:vertAlign w:val="subscript"/>
              </w:rPr>
              <w:t>t</w:t>
            </w:r>
          </w:p>
          <w:p w14:paraId="1D65C096" w14:textId="5FE8508E" w:rsidR="006B2BBA" w:rsidRPr="004C12C9" w:rsidRDefault="00F769D9" w:rsidP="00AF1B63">
            <w:pPr>
              <w:keepNext/>
              <w:tabs>
                <w:tab w:val="left" w:pos="2160"/>
              </w:tabs>
              <w:contextualSpacing/>
              <w:rPr>
                <w:rFonts w:eastAsia="Arial"/>
                <w:sz w:val="20"/>
                <w:szCs w:val="20"/>
              </w:rPr>
            </w:pPr>
            <w:r w:rsidRPr="004C12C9">
              <w:rPr>
                <w:rFonts w:eastAsia="Arial"/>
                <w:sz w:val="20"/>
                <w:szCs w:val="20"/>
              </w:rPr>
              <w:t>44/12</w:t>
            </w:r>
          </w:p>
          <w:p w14:paraId="395F5183" w14:textId="77777777" w:rsidR="00F769D9" w:rsidRPr="004C12C9" w:rsidRDefault="00F769D9" w:rsidP="00AF1B63">
            <w:pPr>
              <w:keepNext/>
              <w:tabs>
                <w:tab w:val="left" w:pos="2160"/>
              </w:tabs>
              <w:contextualSpacing/>
              <w:rPr>
                <w:rFonts w:eastAsia="Arial"/>
                <w:sz w:val="20"/>
                <w:szCs w:val="20"/>
              </w:rPr>
            </w:pPr>
            <w:r w:rsidRPr="004C12C9">
              <w:rPr>
                <w:rFonts w:eastAsia="Arial"/>
                <w:sz w:val="20"/>
                <w:szCs w:val="20"/>
              </w:rPr>
              <w:t>trees removed</w:t>
            </w:r>
          </w:p>
          <w:p w14:paraId="6F987D24" w14:textId="77777777" w:rsidR="00F769D9" w:rsidRPr="004C12C9" w:rsidRDefault="00F769D9" w:rsidP="00AF1B63">
            <w:pPr>
              <w:keepNext/>
              <w:tabs>
                <w:tab w:val="left" w:pos="2160"/>
              </w:tabs>
              <w:contextualSpacing/>
              <w:rPr>
                <w:rFonts w:eastAsia="Arial"/>
                <w:sz w:val="20"/>
                <w:szCs w:val="20"/>
              </w:rPr>
            </w:pPr>
            <w:r w:rsidRPr="004C12C9">
              <w:rPr>
                <w:rFonts w:eastAsia="Arial"/>
                <w:sz w:val="20"/>
                <w:szCs w:val="20"/>
              </w:rPr>
              <w:t>trees added</w:t>
            </w:r>
          </w:p>
          <w:p w14:paraId="69FD42A6" w14:textId="4805B51B"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carbon stock</w:t>
            </w:r>
            <w:r w:rsidRPr="004C12C9">
              <w:rPr>
                <w:rFonts w:eastAsia="Arial"/>
                <w:sz w:val="20"/>
                <w:szCs w:val="20"/>
                <w:vertAlign w:val="subscript"/>
              </w:rPr>
              <w:t>tree</w:t>
            </w:r>
          </w:p>
        </w:tc>
        <w:tc>
          <w:tcPr>
            <w:tcW w:w="7640" w:type="dxa"/>
            <w:shd w:val="clear" w:color="auto" w:fill="F2F2F2" w:themeFill="background1" w:themeFillShade="F2"/>
          </w:tcPr>
          <w:p w14:paraId="33F2BA24" w14:textId="726C3EAD" w:rsidR="006B2BBA" w:rsidRPr="004C12C9" w:rsidRDefault="006B2BBA" w:rsidP="00AF1B63">
            <w:pPr>
              <w:keepNext/>
              <w:tabs>
                <w:tab w:val="left" w:pos="2160"/>
              </w:tabs>
              <w:contextualSpacing/>
              <w:rPr>
                <w:rFonts w:eastAsia="Arial"/>
                <w:sz w:val="20"/>
                <w:szCs w:val="20"/>
              </w:rPr>
            </w:pPr>
            <w:r w:rsidRPr="004C12C9">
              <w:rPr>
                <w:rFonts w:eastAsia="Arial"/>
                <w:sz w:val="20"/>
                <w:szCs w:val="20"/>
              </w:rPr>
              <w:t xml:space="preserve">= </w:t>
            </w:r>
            <w:r w:rsidR="00063C48" w:rsidRPr="004C12C9">
              <w:rPr>
                <w:rFonts w:eastAsia="Arial"/>
                <w:sz w:val="20"/>
                <w:szCs w:val="20"/>
              </w:rPr>
              <w:t>Number of acres of land by type, t, pre-construction (acres)</w:t>
            </w:r>
          </w:p>
          <w:p w14:paraId="04CF1DB5" w14:textId="77777777" w:rsidR="00063C48" w:rsidRPr="004C12C9" w:rsidRDefault="006B2BBA" w:rsidP="00AF1B63">
            <w:pPr>
              <w:keepNext/>
              <w:tabs>
                <w:tab w:val="left" w:pos="2160"/>
              </w:tabs>
              <w:contextualSpacing/>
              <w:rPr>
                <w:rFonts w:eastAsia="Arial"/>
                <w:sz w:val="20"/>
                <w:szCs w:val="20"/>
              </w:rPr>
            </w:pPr>
            <w:r w:rsidRPr="004C12C9">
              <w:rPr>
                <w:rFonts w:eastAsia="Arial"/>
                <w:sz w:val="20"/>
                <w:szCs w:val="20"/>
              </w:rPr>
              <w:t xml:space="preserve">= </w:t>
            </w:r>
            <w:r w:rsidR="00063C48" w:rsidRPr="004C12C9">
              <w:rPr>
                <w:rFonts w:eastAsia="Arial"/>
                <w:sz w:val="20"/>
                <w:szCs w:val="20"/>
              </w:rPr>
              <w:t>Number of acres of land by type, t, post-construction (acres)</w:t>
            </w:r>
          </w:p>
          <w:p w14:paraId="2E754C66" w14:textId="2C7D022A" w:rsidR="006B2BBA" w:rsidRPr="004C12C9" w:rsidRDefault="006B2BBA" w:rsidP="00AF1B63">
            <w:pPr>
              <w:keepNext/>
              <w:tabs>
                <w:tab w:val="left" w:pos="2160"/>
              </w:tabs>
              <w:contextualSpacing/>
              <w:rPr>
                <w:rFonts w:eastAsia="Arial"/>
                <w:sz w:val="20"/>
                <w:szCs w:val="20"/>
              </w:rPr>
            </w:pPr>
            <w:r w:rsidRPr="004C12C9">
              <w:rPr>
                <w:rFonts w:eastAsia="Arial"/>
                <w:sz w:val="20"/>
                <w:szCs w:val="20"/>
              </w:rPr>
              <w:t xml:space="preserve">= </w:t>
            </w:r>
            <w:r w:rsidR="00063C48" w:rsidRPr="004C12C9">
              <w:rPr>
                <w:rFonts w:eastAsia="Arial"/>
                <w:sz w:val="20"/>
                <w:szCs w:val="20"/>
              </w:rPr>
              <w:t>Amount of carbon stored per acre for land type, t (MTC/acre)</w:t>
            </w:r>
          </w:p>
          <w:p w14:paraId="57C3833D" w14:textId="4A86DC6C"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 Conversion factor of C to CO</w:t>
            </w:r>
            <w:r w:rsidRPr="004C12C9">
              <w:rPr>
                <w:rFonts w:eastAsia="Arial"/>
                <w:sz w:val="20"/>
                <w:szCs w:val="20"/>
                <w:vertAlign w:val="subscript"/>
              </w:rPr>
              <w:t>2</w:t>
            </w:r>
          </w:p>
          <w:p w14:paraId="7D409EBB" w14:textId="7B8CFD61"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 Number of trees removed during construction</w:t>
            </w:r>
            <w:r w:rsidR="003C3CA0">
              <w:rPr>
                <w:rFonts w:ascii="ZWAdobeF" w:eastAsia="Arial" w:hAnsi="ZWAdobeF" w:cs="ZWAdobeF"/>
                <w:sz w:val="2"/>
                <w:szCs w:val="2"/>
              </w:rPr>
              <w:t>46F</w:t>
            </w:r>
            <w:r w:rsidR="00045BC2" w:rsidRPr="004C12C9">
              <w:rPr>
                <w:rStyle w:val="FootnoteReference"/>
                <w:rFonts w:eastAsia="Arial"/>
                <w:sz w:val="20"/>
                <w:szCs w:val="20"/>
              </w:rPr>
              <w:footnoteReference w:id="50"/>
            </w:r>
          </w:p>
          <w:p w14:paraId="343D52D1" w14:textId="6AE167CC"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 Number of trees planted during construction</w:t>
            </w:r>
            <w:r w:rsidR="003C3CA0">
              <w:rPr>
                <w:rFonts w:ascii="ZWAdobeF" w:eastAsia="Arial" w:hAnsi="ZWAdobeF" w:cs="ZWAdobeF"/>
                <w:sz w:val="2"/>
                <w:szCs w:val="2"/>
              </w:rPr>
              <w:t>47F</w:t>
            </w:r>
            <w:r w:rsidR="009B5552" w:rsidRPr="004C12C9">
              <w:rPr>
                <w:rStyle w:val="FootnoteReference"/>
                <w:rFonts w:eastAsia="Arial"/>
                <w:sz w:val="20"/>
                <w:szCs w:val="20"/>
              </w:rPr>
              <w:footnoteReference w:id="51"/>
            </w:r>
          </w:p>
          <w:p w14:paraId="0F9AE8B2" w14:textId="5A6E2DDB" w:rsidR="00063C48" w:rsidRPr="004C12C9" w:rsidRDefault="00063C48" w:rsidP="00AF1B63">
            <w:pPr>
              <w:keepNext/>
              <w:tabs>
                <w:tab w:val="left" w:pos="2160"/>
              </w:tabs>
              <w:contextualSpacing/>
              <w:rPr>
                <w:rFonts w:eastAsia="Arial"/>
                <w:sz w:val="20"/>
                <w:szCs w:val="20"/>
              </w:rPr>
            </w:pPr>
            <w:r w:rsidRPr="004C12C9">
              <w:rPr>
                <w:rFonts w:eastAsia="Arial"/>
                <w:sz w:val="20"/>
                <w:szCs w:val="20"/>
              </w:rPr>
              <w:t>= Amount of carbon (MT C) stored by an individual tree</w:t>
            </w:r>
          </w:p>
          <w:p w14:paraId="34FFB88C" w14:textId="2F9EE4AF" w:rsidR="00063C48" w:rsidRPr="004C12C9" w:rsidRDefault="00063C48" w:rsidP="00AF1B63">
            <w:pPr>
              <w:keepNext/>
              <w:tabs>
                <w:tab w:val="left" w:pos="2160"/>
              </w:tabs>
              <w:contextualSpacing/>
              <w:rPr>
                <w:rFonts w:eastAsia="Arial"/>
                <w:sz w:val="20"/>
                <w:szCs w:val="20"/>
              </w:rPr>
            </w:pPr>
          </w:p>
        </w:tc>
      </w:tr>
    </w:tbl>
    <w:p w14:paraId="009302B0" w14:textId="7284CB7D" w:rsidR="00FC5F6E" w:rsidRPr="004C12C9" w:rsidRDefault="00E55EBB" w:rsidP="00E31E37">
      <w:pPr>
        <w:pStyle w:val="Heading4"/>
      </w:pPr>
      <w:r w:rsidRPr="004C12C9">
        <w:t>Land Types</w:t>
      </w:r>
    </w:p>
    <w:p w14:paraId="57AC0256" w14:textId="7D2CC4C3" w:rsidR="00BA49E5" w:rsidRPr="004C12C9" w:rsidRDefault="005D26D1" w:rsidP="00BA49E5">
      <w:r w:rsidRPr="004C12C9">
        <w:t>Users are required to provide the number of acres by land cover type p</w:t>
      </w:r>
      <w:r w:rsidR="000C2A29" w:rsidRPr="004C12C9">
        <w:t>r</w:t>
      </w:r>
      <w:r w:rsidRPr="004C12C9">
        <w:t xml:space="preserve">e-construction and post-construction. </w:t>
      </w:r>
      <w:r w:rsidR="007A074F" w:rsidRPr="004C12C9">
        <w:t xml:space="preserve">Consistent with the EAW, </w:t>
      </w:r>
      <w:r w:rsidR="00FC4A8B" w:rsidRPr="004C12C9">
        <w:t>t</w:t>
      </w:r>
      <w:r w:rsidRPr="004C12C9">
        <w:t xml:space="preserve">he land cover types for which users may provide data </w:t>
      </w:r>
      <w:r w:rsidR="005445F6" w:rsidRPr="004C12C9">
        <w:t>include:</w:t>
      </w:r>
    </w:p>
    <w:p w14:paraId="470F5120" w14:textId="1F86A2D8" w:rsidR="005445F6" w:rsidRPr="004C12C9" w:rsidRDefault="005445F6" w:rsidP="003B5F7F">
      <w:pPr>
        <w:pStyle w:val="ListParagraph"/>
        <w:numPr>
          <w:ilvl w:val="0"/>
          <w:numId w:val="25"/>
        </w:numPr>
      </w:pPr>
      <w:r w:rsidRPr="004C12C9">
        <w:t>Wetlands</w:t>
      </w:r>
      <w:r w:rsidR="00CA2FD3">
        <w:t>: peatland</w:t>
      </w:r>
      <w:r w:rsidRPr="004C12C9">
        <w:t>, forested</w:t>
      </w:r>
    </w:p>
    <w:p w14:paraId="31A81A08" w14:textId="3DBE3356" w:rsidR="005445F6" w:rsidRDefault="005445F6" w:rsidP="003B5F7F">
      <w:pPr>
        <w:pStyle w:val="ListParagraph"/>
        <w:numPr>
          <w:ilvl w:val="0"/>
          <w:numId w:val="25"/>
        </w:numPr>
      </w:pPr>
      <w:r w:rsidRPr="004C12C9">
        <w:t>Wetlands</w:t>
      </w:r>
      <w:r w:rsidR="00CA2FD3">
        <w:t>: peatland</w:t>
      </w:r>
      <w:r w:rsidRPr="004C12C9">
        <w:t>, no</w:t>
      </w:r>
      <w:r w:rsidR="00211CDB">
        <w:t>n-</w:t>
      </w:r>
      <w:r w:rsidRPr="004C12C9">
        <w:t>forested</w:t>
      </w:r>
    </w:p>
    <w:p w14:paraId="12CE7EA9" w14:textId="26FA2ED6" w:rsidR="00C56CAC" w:rsidRDefault="00CA2FD3" w:rsidP="003B5F7F">
      <w:pPr>
        <w:pStyle w:val="ListParagraph"/>
        <w:numPr>
          <w:ilvl w:val="0"/>
          <w:numId w:val="25"/>
        </w:numPr>
      </w:pPr>
      <w:r>
        <w:t>Wetlands: mineral soil, non</w:t>
      </w:r>
      <w:r w:rsidR="00211CDB">
        <w:t>-</w:t>
      </w:r>
      <w:r>
        <w:t>forested</w:t>
      </w:r>
    </w:p>
    <w:p w14:paraId="701E1947" w14:textId="460B47E3" w:rsidR="00CA2FD3" w:rsidRPr="004C12C9" w:rsidRDefault="00CA2FD3" w:rsidP="003B5F7F">
      <w:pPr>
        <w:pStyle w:val="ListParagraph"/>
        <w:numPr>
          <w:ilvl w:val="0"/>
          <w:numId w:val="25"/>
        </w:numPr>
      </w:pPr>
      <w:r>
        <w:t>Wetlands: mineral soil, forested</w:t>
      </w:r>
    </w:p>
    <w:p w14:paraId="18FB83D8" w14:textId="53AD92C5" w:rsidR="005445F6" w:rsidRPr="004C12C9" w:rsidRDefault="005445F6" w:rsidP="003B5F7F">
      <w:pPr>
        <w:pStyle w:val="ListParagraph"/>
        <w:numPr>
          <w:ilvl w:val="0"/>
          <w:numId w:val="25"/>
        </w:numPr>
      </w:pPr>
      <w:r w:rsidRPr="004C12C9">
        <w:t>Forest</w:t>
      </w:r>
    </w:p>
    <w:p w14:paraId="03FDAE45" w14:textId="77777777" w:rsidR="005445F6" w:rsidRPr="004C12C9" w:rsidRDefault="005445F6" w:rsidP="003B5F7F">
      <w:pPr>
        <w:pStyle w:val="ListParagraph"/>
        <w:numPr>
          <w:ilvl w:val="0"/>
          <w:numId w:val="25"/>
        </w:numPr>
      </w:pPr>
      <w:r w:rsidRPr="004C12C9">
        <w:t>Rivers and streams</w:t>
      </w:r>
    </w:p>
    <w:p w14:paraId="36133468" w14:textId="77777777" w:rsidR="005445F6" w:rsidRPr="004C12C9" w:rsidRDefault="005445F6" w:rsidP="003B5F7F">
      <w:pPr>
        <w:pStyle w:val="ListParagraph"/>
        <w:numPr>
          <w:ilvl w:val="0"/>
          <w:numId w:val="25"/>
        </w:numPr>
      </w:pPr>
      <w:r w:rsidRPr="004C12C9">
        <w:t>Brush and grassland</w:t>
      </w:r>
    </w:p>
    <w:p w14:paraId="19CE3B1F" w14:textId="77777777" w:rsidR="005445F6" w:rsidRPr="004C12C9" w:rsidRDefault="005445F6" w:rsidP="003B5F7F">
      <w:pPr>
        <w:pStyle w:val="ListParagraph"/>
        <w:numPr>
          <w:ilvl w:val="0"/>
          <w:numId w:val="25"/>
        </w:numPr>
      </w:pPr>
      <w:r w:rsidRPr="004C12C9">
        <w:t>Cropland</w:t>
      </w:r>
    </w:p>
    <w:p w14:paraId="17BED6BA" w14:textId="77777777" w:rsidR="005445F6" w:rsidRPr="004C12C9" w:rsidRDefault="005445F6" w:rsidP="003B5F7F">
      <w:pPr>
        <w:pStyle w:val="ListParagraph"/>
        <w:numPr>
          <w:ilvl w:val="0"/>
          <w:numId w:val="25"/>
        </w:numPr>
      </w:pPr>
      <w:r w:rsidRPr="004C12C9">
        <w:t>Livestock rangeland/pastureland</w:t>
      </w:r>
    </w:p>
    <w:p w14:paraId="0F405578" w14:textId="77777777" w:rsidR="005445F6" w:rsidRPr="004C12C9" w:rsidRDefault="005445F6" w:rsidP="003B5F7F">
      <w:pPr>
        <w:pStyle w:val="ListParagraph"/>
        <w:numPr>
          <w:ilvl w:val="0"/>
          <w:numId w:val="25"/>
        </w:numPr>
      </w:pPr>
      <w:r w:rsidRPr="004C12C9">
        <w:t>Lawn/landscaping</w:t>
      </w:r>
    </w:p>
    <w:p w14:paraId="321BA367" w14:textId="60779B10" w:rsidR="005445F6" w:rsidRPr="004C12C9" w:rsidRDefault="005445F6" w:rsidP="003B5F7F">
      <w:pPr>
        <w:pStyle w:val="ListParagraph"/>
        <w:numPr>
          <w:ilvl w:val="0"/>
          <w:numId w:val="25"/>
        </w:numPr>
      </w:pPr>
      <w:r w:rsidRPr="004C12C9">
        <w:t xml:space="preserve">Green </w:t>
      </w:r>
      <w:r w:rsidR="00EF73BB" w:rsidRPr="004C12C9">
        <w:t>i</w:t>
      </w:r>
      <w:r w:rsidRPr="004C12C9">
        <w:t xml:space="preserve">nfrastructure: </w:t>
      </w:r>
      <w:r w:rsidR="00EF73BB" w:rsidRPr="004C12C9">
        <w:t>c</w:t>
      </w:r>
      <w:r w:rsidRPr="004C12C9">
        <w:t>onstructed wetlands, vegetated</w:t>
      </w:r>
    </w:p>
    <w:p w14:paraId="695872D8" w14:textId="44E4662F" w:rsidR="005445F6" w:rsidRPr="004C12C9" w:rsidRDefault="005445F6" w:rsidP="003B5F7F">
      <w:pPr>
        <w:pStyle w:val="ListParagraph"/>
        <w:numPr>
          <w:ilvl w:val="0"/>
          <w:numId w:val="25"/>
        </w:numPr>
      </w:pPr>
      <w:r w:rsidRPr="004C12C9">
        <w:t xml:space="preserve">Green </w:t>
      </w:r>
      <w:r w:rsidR="00EF73BB" w:rsidRPr="004C12C9">
        <w:t>i</w:t>
      </w:r>
      <w:r w:rsidRPr="004C12C9">
        <w:t xml:space="preserve">nfrastructure: </w:t>
      </w:r>
      <w:r w:rsidR="00EF73BB" w:rsidRPr="004C12C9">
        <w:t>c</w:t>
      </w:r>
      <w:r w:rsidRPr="004C12C9">
        <w:t>onstructed wetlands, paved</w:t>
      </w:r>
    </w:p>
    <w:p w14:paraId="013AACCD" w14:textId="2B47BA6E" w:rsidR="005445F6" w:rsidRPr="004C12C9" w:rsidRDefault="005445F6" w:rsidP="003B5F7F">
      <w:pPr>
        <w:pStyle w:val="ListParagraph"/>
        <w:numPr>
          <w:ilvl w:val="0"/>
          <w:numId w:val="25"/>
        </w:numPr>
      </w:pPr>
      <w:r w:rsidRPr="004C12C9">
        <w:t xml:space="preserve">Green </w:t>
      </w:r>
      <w:r w:rsidR="00EF73BB" w:rsidRPr="004C12C9">
        <w:t>i</w:t>
      </w:r>
      <w:r w:rsidRPr="004C12C9">
        <w:t xml:space="preserve">nfrastructure: </w:t>
      </w:r>
      <w:r w:rsidR="00EF73BB" w:rsidRPr="004C12C9">
        <w:t>c</w:t>
      </w:r>
      <w:r w:rsidRPr="004C12C9">
        <w:t>onstructed green roofs</w:t>
      </w:r>
    </w:p>
    <w:p w14:paraId="4303F044" w14:textId="0930F205" w:rsidR="005445F6" w:rsidRPr="004C12C9" w:rsidRDefault="005445F6" w:rsidP="003B5F7F">
      <w:pPr>
        <w:pStyle w:val="ListParagraph"/>
        <w:numPr>
          <w:ilvl w:val="0"/>
          <w:numId w:val="25"/>
        </w:numPr>
      </w:pPr>
      <w:r w:rsidRPr="004C12C9">
        <w:t xml:space="preserve">Green </w:t>
      </w:r>
      <w:r w:rsidR="00EF73BB" w:rsidRPr="004C12C9">
        <w:t>i</w:t>
      </w:r>
      <w:r w:rsidRPr="004C12C9">
        <w:t xml:space="preserve">nfrastructure: </w:t>
      </w:r>
      <w:r w:rsidR="00EF73BB" w:rsidRPr="004C12C9">
        <w:t>c</w:t>
      </w:r>
      <w:r w:rsidRPr="004C12C9">
        <w:t>onstructed permeable pavements</w:t>
      </w:r>
    </w:p>
    <w:p w14:paraId="09253899" w14:textId="35C14E3C" w:rsidR="005445F6" w:rsidRPr="004C12C9" w:rsidRDefault="005445F6" w:rsidP="003B5F7F">
      <w:pPr>
        <w:pStyle w:val="ListParagraph"/>
        <w:numPr>
          <w:ilvl w:val="0"/>
          <w:numId w:val="25"/>
        </w:numPr>
      </w:pPr>
      <w:r w:rsidRPr="004C12C9">
        <w:t>Impervious surface</w:t>
      </w:r>
    </w:p>
    <w:p w14:paraId="58F5C847" w14:textId="73F906FE" w:rsidR="005445F6" w:rsidRPr="004C12C9" w:rsidRDefault="005445F6" w:rsidP="003B5F7F">
      <w:pPr>
        <w:pStyle w:val="ListParagraph"/>
        <w:numPr>
          <w:ilvl w:val="0"/>
          <w:numId w:val="25"/>
        </w:numPr>
      </w:pPr>
      <w:r w:rsidRPr="004C12C9">
        <w:t>Stormwater pond (wet sedimentation basin)</w:t>
      </w:r>
    </w:p>
    <w:p w14:paraId="548767F4" w14:textId="53E311E9" w:rsidR="0001674D" w:rsidRPr="004C12C9" w:rsidRDefault="00A21A69" w:rsidP="00E31E37">
      <w:pPr>
        <w:pStyle w:val="Heading4"/>
      </w:pPr>
      <w:r w:rsidRPr="004C12C9">
        <w:lastRenderedPageBreak/>
        <w:t>Carbon Stocks by Land Type</w:t>
      </w:r>
    </w:p>
    <w:p w14:paraId="58AB90E4" w14:textId="35BA2ABA" w:rsidR="003572CC" w:rsidRPr="004C12C9" w:rsidRDefault="003572CC" w:rsidP="00972CF9">
      <w:r w:rsidRPr="004C12C9">
        <w:t xml:space="preserve">Carbon stocks by land type were derived from various sources including </w:t>
      </w:r>
      <w:r w:rsidR="00226561" w:rsidRPr="004C12C9">
        <w:t>Minnesota-specific studies, national reports, and Intergovernmental Panel on Climate Change (IPCC</w:t>
      </w:r>
      <w:r w:rsidR="00FC4A8B" w:rsidRPr="004C12C9">
        <w:t>)</w:t>
      </w:r>
      <w:r w:rsidR="00226561" w:rsidRPr="004C12C9">
        <w:t xml:space="preserve"> Guidelines. </w:t>
      </w:r>
      <w:r w:rsidR="00BC03B8" w:rsidRPr="004C12C9">
        <w:t xml:space="preserve">Numerous sources were used to </w:t>
      </w:r>
      <w:r w:rsidR="00B05C8D" w:rsidRPr="004C12C9">
        <w:t xml:space="preserve">derive the best available estimates </w:t>
      </w:r>
      <w:r w:rsidR="004B4E2C" w:rsidRPr="004C12C9">
        <w:t xml:space="preserve">for the state for the </w:t>
      </w:r>
      <w:r w:rsidR="00E71B04" w:rsidRPr="004C12C9">
        <w:t xml:space="preserve">land types defined by the EAW. </w:t>
      </w:r>
      <w:r w:rsidRPr="004C12C9">
        <w:t>The values represent carbon stocks from aboveground biomass, belowground biomass, soil carbon, and dead organic matter, including litter and woody debris. The carbon stocks by land type are summarized below in</w:t>
      </w:r>
      <w:r w:rsidR="0097490A">
        <w:t xml:space="preserve"> </w:t>
      </w:r>
      <w:r w:rsidR="0097490A">
        <w:fldChar w:fldCharType="begin"/>
      </w:r>
      <w:r w:rsidR="0097490A">
        <w:instrText xml:space="preserve"> REF _Ref219828424 \h </w:instrText>
      </w:r>
      <w:r w:rsidR="0097490A">
        <w:fldChar w:fldCharType="separate"/>
      </w:r>
      <w:r w:rsidR="0097490A" w:rsidRPr="004C12C9">
        <w:t xml:space="preserve">Table </w:t>
      </w:r>
      <w:r w:rsidR="0097490A">
        <w:rPr>
          <w:noProof/>
        </w:rPr>
        <w:t>2</w:t>
      </w:r>
      <w:r w:rsidR="0097490A">
        <w:noBreakHyphen/>
      </w:r>
      <w:r w:rsidR="0097490A">
        <w:rPr>
          <w:noProof/>
        </w:rPr>
        <w:t>36</w:t>
      </w:r>
      <w:r w:rsidR="0097490A">
        <w:fldChar w:fldCharType="end"/>
      </w:r>
      <w:r w:rsidRPr="004C12C9">
        <w:t>. The basis for these values is described in the sections that follow.</w:t>
      </w:r>
    </w:p>
    <w:p w14:paraId="1C6F170E" w14:textId="5EFCCF95" w:rsidR="009478EB" w:rsidRPr="004C12C9" w:rsidRDefault="009478EB" w:rsidP="00972CF9">
      <w:pPr>
        <w:pStyle w:val="Caption"/>
      </w:pPr>
      <w:bookmarkStart w:id="108" w:name="_Ref219828424"/>
      <w:bookmarkStart w:id="109" w:name="_Ref184210190"/>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36</w:t>
      </w:r>
      <w:r w:rsidR="00F72B41">
        <w:fldChar w:fldCharType="end"/>
      </w:r>
      <w:bookmarkEnd w:id="108"/>
      <w:bookmarkEnd w:id="109"/>
      <w:r w:rsidRPr="004C12C9">
        <w:t>. Carbon Stocks by Land Type</w:t>
      </w:r>
    </w:p>
    <w:tbl>
      <w:tblPr>
        <w:tblW w:w="8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025"/>
        <w:gridCol w:w="2070"/>
      </w:tblGrid>
      <w:tr w:rsidR="009478EB" w:rsidRPr="004C12C9" w14:paraId="12BFF667" w14:textId="77777777" w:rsidTr="00CF1EA9">
        <w:trPr>
          <w:trHeight w:val="233"/>
          <w:tblHeader/>
        </w:trPr>
        <w:tc>
          <w:tcPr>
            <w:tcW w:w="6025" w:type="dxa"/>
            <w:shd w:val="clear" w:color="auto" w:fill="D9D9D9" w:themeFill="background1" w:themeFillShade="D9"/>
            <w:noWrap/>
            <w:vAlign w:val="center"/>
            <w:hideMark/>
          </w:tcPr>
          <w:p w14:paraId="6CD426A9" w14:textId="55ED929B" w:rsidR="009478EB" w:rsidRPr="004C12C9" w:rsidRDefault="009478EB" w:rsidP="002F6FA1">
            <w:pPr>
              <w:pStyle w:val="ICFTableHeading"/>
            </w:pPr>
            <w:r w:rsidRPr="004C12C9">
              <w:t xml:space="preserve">Land </w:t>
            </w:r>
            <w:r w:rsidR="00B84281" w:rsidRPr="004C12C9">
              <w:t>T</w:t>
            </w:r>
            <w:r w:rsidRPr="004C12C9">
              <w:t xml:space="preserve">ype </w:t>
            </w:r>
          </w:p>
        </w:tc>
        <w:tc>
          <w:tcPr>
            <w:tcW w:w="2070" w:type="dxa"/>
            <w:shd w:val="clear" w:color="auto" w:fill="D9D9D9" w:themeFill="background1" w:themeFillShade="D9"/>
            <w:vAlign w:val="center"/>
          </w:tcPr>
          <w:p w14:paraId="21DC128A" w14:textId="692FE0E2" w:rsidR="009478EB" w:rsidRPr="004C12C9" w:rsidRDefault="009478EB" w:rsidP="002F6FA1">
            <w:pPr>
              <w:pStyle w:val="ICFTableHeading"/>
            </w:pPr>
            <w:r w:rsidRPr="004C12C9">
              <w:t xml:space="preserve">MTC per </w:t>
            </w:r>
            <w:r w:rsidR="005F2B10" w:rsidRPr="004C12C9">
              <w:t>A</w:t>
            </w:r>
            <w:r w:rsidRPr="004C12C9">
              <w:t>cre</w:t>
            </w:r>
          </w:p>
        </w:tc>
      </w:tr>
      <w:tr w:rsidR="009478EB" w:rsidRPr="004C12C9" w14:paraId="007FD2D9" w14:textId="77777777" w:rsidTr="002F6FA1">
        <w:trPr>
          <w:trHeight w:val="144"/>
        </w:trPr>
        <w:tc>
          <w:tcPr>
            <w:tcW w:w="6025" w:type="dxa"/>
            <w:noWrap/>
            <w:vAlign w:val="center"/>
          </w:tcPr>
          <w:p w14:paraId="695C7EB8" w14:textId="23B462EB" w:rsidR="009478EB" w:rsidRPr="004C12C9" w:rsidRDefault="009478EB" w:rsidP="002F6FA1">
            <w:pPr>
              <w:pStyle w:val="ICFTabletext"/>
            </w:pPr>
            <w:r w:rsidRPr="004C12C9">
              <w:t>Wetlands</w:t>
            </w:r>
            <w:r w:rsidR="00EC2E39">
              <w:t>: peatland, no</w:t>
            </w:r>
            <w:r w:rsidR="00D04305">
              <w:t>n</w:t>
            </w:r>
            <w:r w:rsidR="00A84163">
              <w:t>-</w:t>
            </w:r>
            <w:r w:rsidR="00EC2E39">
              <w:t>forested</w:t>
            </w:r>
          </w:p>
        </w:tc>
        <w:tc>
          <w:tcPr>
            <w:tcW w:w="2070" w:type="dxa"/>
            <w:vAlign w:val="center"/>
          </w:tcPr>
          <w:p w14:paraId="1C76469E" w14:textId="6E3A88BF" w:rsidR="009478EB" w:rsidRPr="004C12C9" w:rsidRDefault="00160C07" w:rsidP="002F6FA1">
            <w:pPr>
              <w:pStyle w:val="ICFTabletext"/>
              <w:jc w:val="center"/>
            </w:pPr>
            <w:r>
              <w:t>367.</w:t>
            </w:r>
            <w:r w:rsidR="00AE52E2">
              <w:t>9</w:t>
            </w:r>
          </w:p>
        </w:tc>
      </w:tr>
      <w:tr w:rsidR="0072707A" w:rsidRPr="004C12C9" w14:paraId="6AECCE31" w14:textId="77777777" w:rsidTr="002F6FA1">
        <w:trPr>
          <w:trHeight w:val="144"/>
        </w:trPr>
        <w:tc>
          <w:tcPr>
            <w:tcW w:w="6025" w:type="dxa"/>
            <w:noWrap/>
            <w:vAlign w:val="center"/>
          </w:tcPr>
          <w:p w14:paraId="77647B3D" w14:textId="13FF19F1" w:rsidR="0072707A" w:rsidRPr="004C12C9" w:rsidRDefault="00EC2E39" w:rsidP="002F6FA1">
            <w:pPr>
              <w:pStyle w:val="ICFTabletext"/>
            </w:pPr>
            <w:r>
              <w:t>Wetlands: peatland, forested</w:t>
            </w:r>
          </w:p>
        </w:tc>
        <w:tc>
          <w:tcPr>
            <w:tcW w:w="2070" w:type="dxa"/>
            <w:vAlign w:val="center"/>
          </w:tcPr>
          <w:p w14:paraId="64D8C43A" w14:textId="626A918E" w:rsidR="0072707A" w:rsidRPr="004C12C9" w:rsidRDefault="00160C07" w:rsidP="002F6FA1">
            <w:pPr>
              <w:pStyle w:val="ICFTabletext"/>
              <w:jc w:val="center"/>
            </w:pPr>
            <w:r>
              <w:t>436.</w:t>
            </w:r>
            <w:r w:rsidR="00AE52E2">
              <w:t>2</w:t>
            </w:r>
          </w:p>
        </w:tc>
      </w:tr>
      <w:tr w:rsidR="0072707A" w:rsidRPr="004C12C9" w14:paraId="69E1106C" w14:textId="77777777" w:rsidTr="002F6FA1">
        <w:trPr>
          <w:trHeight w:val="144"/>
        </w:trPr>
        <w:tc>
          <w:tcPr>
            <w:tcW w:w="6025" w:type="dxa"/>
            <w:noWrap/>
            <w:vAlign w:val="center"/>
          </w:tcPr>
          <w:p w14:paraId="0DAC7FEA" w14:textId="5F5E5947" w:rsidR="0072707A" w:rsidRPr="004C12C9" w:rsidRDefault="00EC2E39" w:rsidP="002F6FA1">
            <w:pPr>
              <w:pStyle w:val="ICFTabletext"/>
            </w:pPr>
            <w:r>
              <w:t>Wetlands: mineral soil, no</w:t>
            </w:r>
            <w:r w:rsidR="00D04305">
              <w:t>n</w:t>
            </w:r>
            <w:r w:rsidR="00A84163">
              <w:t>-</w:t>
            </w:r>
            <w:r>
              <w:t>forested</w:t>
            </w:r>
          </w:p>
        </w:tc>
        <w:tc>
          <w:tcPr>
            <w:tcW w:w="2070" w:type="dxa"/>
            <w:vAlign w:val="center"/>
          </w:tcPr>
          <w:p w14:paraId="2DB3E83C" w14:textId="2D5EE0EF" w:rsidR="0072707A" w:rsidRPr="004C12C9" w:rsidRDefault="00160C07" w:rsidP="002F6FA1">
            <w:pPr>
              <w:pStyle w:val="ICFTabletext"/>
              <w:jc w:val="center"/>
            </w:pPr>
            <w:r>
              <w:t>55.6</w:t>
            </w:r>
          </w:p>
        </w:tc>
      </w:tr>
      <w:tr w:rsidR="009478EB" w:rsidRPr="004C12C9" w14:paraId="63B7EC2F" w14:textId="77777777" w:rsidTr="002F6FA1">
        <w:trPr>
          <w:trHeight w:val="144"/>
        </w:trPr>
        <w:tc>
          <w:tcPr>
            <w:tcW w:w="6025" w:type="dxa"/>
            <w:noWrap/>
            <w:vAlign w:val="center"/>
          </w:tcPr>
          <w:p w14:paraId="42C89231" w14:textId="569D05B7" w:rsidR="009478EB" w:rsidRPr="004C12C9" w:rsidRDefault="009478EB" w:rsidP="002F6FA1">
            <w:pPr>
              <w:pStyle w:val="ICFTabletext"/>
            </w:pPr>
            <w:r w:rsidRPr="004C12C9">
              <w:t>Wetlands</w:t>
            </w:r>
            <w:r w:rsidR="00EC2E39">
              <w:t xml:space="preserve">: mineral soil, </w:t>
            </w:r>
            <w:r w:rsidRPr="004C12C9">
              <w:t>forested</w:t>
            </w:r>
          </w:p>
        </w:tc>
        <w:tc>
          <w:tcPr>
            <w:tcW w:w="2070" w:type="dxa"/>
            <w:vAlign w:val="center"/>
          </w:tcPr>
          <w:p w14:paraId="239D46F5" w14:textId="1D8865E9" w:rsidR="009478EB" w:rsidRPr="004C12C9" w:rsidRDefault="007B5BED" w:rsidP="002F6FA1">
            <w:pPr>
              <w:pStyle w:val="ICFTabletext"/>
              <w:jc w:val="center"/>
            </w:pPr>
            <w:r>
              <w:t>77.</w:t>
            </w:r>
            <w:r w:rsidR="00AE52E2">
              <w:t>2</w:t>
            </w:r>
          </w:p>
        </w:tc>
      </w:tr>
      <w:tr w:rsidR="009478EB" w:rsidRPr="004C12C9" w14:paraId="7EABF354" w14:textId="77777777" w:rsidTr="002F6FA1">
        <w:trPr>
          <w:trHeight w:val="144"/>
        </w:trPr>
        <w:tc>
          <w:tcPr>
            <w:tcW w:w="6025" w:type="dxa"/>
            <w:noWrap/>
            <w:vAlign w:val="center"/>
          </w:tcPr>
          <w:p w14:paraId="21ECB658" w14:textId="77777777" w:rsidR="009478EB" w:rsidRPr="004C12C9" w:rsidRDefault="009478EB" w:rsidP="002F6FA1">
            <w:pPr>
              <w:pStyle w:val="ICFTabletext"/>
            </w:pPr>
            <w:r w:rsidRPr="004C12C9">
              <w:t xml:space="preserve">Forest </w:t>
            </w:r>
          </w:p>
        </w:tc>
        <w:tc>
          <w:tcPr>
            <w:tcW w:w="2070" w:type="dxa"/>
            <w:vAlign w:val="center"/>
          </w:tcPr>
          <w:p w14:paraId="111C1DB2" w14:textId="36D65346" w:rsidR="009478EB" w:rsidRPr="004C12C9" w:rsidRDefault="009478EB" w:rsidP="002F6FA1">
            <w:pPr>
              <w:pStyle w:val="ICFTabletext"/>
              <w:jc w:val="center"/>
            </w:pPr>
            <w:r w:rsidRPr="004C12C9">
              <w:t>99</w:t>
            </w:r>
            <w:r w:rsidR="00DD5E44" w:rsidRPr="004C12C9">
              <w:t>.0</w:t>
            </w:r>
          </w:p>
        </w:tc>
      </w:tr>
      <w:tr w:rsidR="009478EB" w:rsidRPr="004C12C9" w14:paraId="36E9449F" w14:textId="77777777" w:rsidTr="002F6FA1">
        <w:trPr>
          <w:trHeight w:val="144"/>
        </w:trPr>
        <w:tc>
          <w:tcPr>
            <w:tcW w:w="6025" w:type="dxa"/>
            <w:noWrap/>
            <w:vAlign w:val="center"/>
          </w:tcPr>
          <w:p w14:paraId="25A2CA2A" w14:textId="77777777" w:rsidR="009478EB" w:rsidRPr="004C12C9" w:rsidRDefault="009478EB" w:rsidP="002F6FA1">
            <w:pPr>
              <w:pStyle w:val="ICFTabletext"/>
            </w:pPr>
            <w:r w:rsidRPr="004C12C9">
              <w:t>Rivers and streams</w:t>
            </w:r>
          </w:p>
        </w:tc>
        <w:tc>
          <w:tcPr>
            <w:tcW w:w="2070" w:type="dxa"/>
            <w:vAlign w:val="center"/>
          </w:tcPr>
          <w:p w14:paraId="71326F6B" w14:textId="77777777" w:rsidR="009478EB" w:rsidRPr="004C12C9" w:rsidRDefault="009478EB" w:rsidP="002F6FA1">
            <w:pPr>
              <w:pStyle w:val="ICFTabletext"/>
              <w:jc w:val="center"/>
            </w:pPr>
            <w:r w:rsidRPr="004C12C9">
              <w:t>0</w:t>
            </w:r>
          </w:p>
        </w:tc>
      </w:tr>
      <w:tr w:rsidR="009478EB" w:rsidRPr="004C12C9" w14:paraId="5492A449" w14:textId="77777777" w:rsidTr="002F6FA1">
        <w:trPr>
          <w:trHeight w:val="144"/>
        </w:trPr>
        <w:tc>
          <w:tcPr>
            <w:tcW w:w="6025" w:type="dxa"/>
            <w:noWrap/>
          </w:tcPr>
          <w:p w14:paraId="2DFA5F34" w14:textId="77777777" w:rsidR="009478EB" w:rsidRPr="004C12C9" w:rsidRDefault="009478EB" w:rsidP="002F6FA1">
            <w:pPr>
              <w:pStyle w:val="ICFTabletext"/>
            </w:pPr>
            <w:r w:rsidRPr="004C12C9">
              <w:t>Brush and grassland</w:t>
            </w:r>
          </w:p>
        </w:tc>
        <w:tc>
          <w:tcPr>
            <w:tcW w:w="2070" w:type="dxa"/>
            <w:vAlign w:val="center"/>
          </w:tcPr>
          <w:p w14:paraId="792326C1" w14:textId="574574C0" w:rsidR="009478EB" w:rsidRPr="004C12C9" w:rsidRDefault="004A66D7" w:rsidP="002F6FA1">
            <w:pPr>
              <w:pStyle w:val="ICFTabletext"/>
              <w:jc w:val="center"/>
            </w:pPr>
            <w:r w:rsidRPr="004C12C9">
              <w:t>40.8</w:t>
            </w:r>
          </w:p>
        </w:tc>
      </w:tr>
      <w:tr w:rsidR="009478EB" w:rsidRPr="004C12C9" w14:paraId="1FFF7576" w14:textId="77777777" w:rsidTr="002F6FA1">
        <w:trPr>
          <w:trHeight w:val="144"/>
        </w:trPr>
        <w:tc>
          <w:tcPr>
            <w:tcW w:w="6025" w:type="dxa"/>
            <w:noWrap/>
          </w:tcPr>
          <w:p w14:paraId="18B56D32" w14:textId="77777777" w:rsidR="009478EB" w:rsidRPr="004C12C9" w:rsidRDefault="009478EB" w:rsidP="002F6FA1">
            <w:pPr>
              <w:pStyle w:val="ICFTabletext"/>
            </w:pPr>
            <w:r w:rsidRPr="004C12C9">
              <w:t>Cropland</w:t>
            </w:r>
          </w:p>
        </w:tc>
        <w:tc>
          <w:tcPr>
            <w:tcW w:w="2070" w:type="dxa"/>
            <w:vAlign w:val="center"/>
          </w:tcPr>
          <w:p w14:paraId="032AE77E" w14:textId="032A19F0" w:rsidR="009478EB" w:rsidRPr="004C12C9" w:rsidRDefault="004A66D7" w:rsidP="002F6FA1">
            <w:pPr>
              <w:pStyle w:val="ICFTabletext"/>
              <w:jc w:val="center"/>
            </w:pPr>
            <w:r w:rsidRPr="004C12C9">
              <w:t>32.</w:t>
            </w:r>
            <w:r w:rsidR="002B31F1" w:rsidRPr="004C12C9">
              <w:t>5</w:t>
            </w:r>
          </w:p>
        </w:tc>
      </w:tr>
      <w:tr w:rsidR="009478EB" w:rsidRPr="004C12C9" w14:paraId="6FA217F2" w14:textId="77777777" w:rsidTr="002F6FA1">
        <w:trPr>
          <w:trHeight w:val="144"/>
        </w:trPr>
        <w:tc>
          <w:tcPr>
            <w:tcW w:w="6025" w:type="dxa"/>
            <w:noWrap/>
          </w:tcPr>
          <w:p w14:paraId="2649FB8D" w14:textId="77777777" w:rsidR="009478EB" w:rsidRPr="004C12C9" w:rsidRDefault="009478EB" w:rsidP="002F6FA1">
            <w:pPr>
              <w:pStyle w:val="ICFTabletext"/>
            </w:pPr>
            <w:r w:rsidRPr="004C12C9">
              <w:t>Livestock rangeland/pastureland</w:t>
            </w:r>
          </w:p>
        </w:tc>
        <w:tc>
          <w:tcPr>
            <w:tcW w:w="2070" w:type="dxa"/>
            <w:vAlign w:val="center"/>
          </w:tcPr>
          <w:p w14:paraId="7F4405DE" w14:textId="0131D133" w:rsidR="009478EB" w:rsidRPr="004C12C9" w:rsidRDefault="004A66D7" w:rsidP="002F6FA1">
            <w:pPr>
              <w:pStyle w:val="ICFTabletext"/>
              <w:jc w:val="center"/>
            </w:pPr>
            <w:r w:rsidRPr="004C12C9">
              <w:t>40.8</w:t>
            </w:r>
          </w:p>
        </w:tc>
      </w:tr>
      <w:tr w:rsidR="009478EB" w:rsidRPr="004C12C9" w14:paraId="2ABA084C" w14:textId="77777777" w:rsidTr="002F6FA1">
        <w:trPr>
          <w:trHeight w:val="144"/>
        </w:trPr>
        <w:tc>
          <w:tcPr>
            <w:tcW w:w="6025" w:type="dxa"/>
            <w:noWrap/>
          </w:tcPr>
          <w:p w14:paraId="387D9A52" w14:textId="77777777" w:rsidR="009478EB" w:rsidRPr="004C12C9" w:rsidRDefault="009478EB" w:rsidP="002F6FA1">
            <w:pPr>
              <w:pStyle w:val="ICFTabletext"/>
            </w:pPr>
            <w:r w:rsidRPr="004C12C9">
              <w:t>Lawn/landscaping</w:t>
            </w:r>
          </w:p>
        </w:tc>
        <w:tc>
          <w:tcPr>
            <w:tcW w:w="2070" w:type="dxa"/>
            <w:vAlign w:val="center"/>
          </w:tcPr>
          <w:p w14:paraId="45961BEC" w14:textId="1E976CC4" w:rsidR="009478EB" w:rsidRPr="004C12C9" w:rsidRDefault="009478EB" w:rsidP="002F6FA1">
            <w:pPr>
              <w:pStyle w:val="ICFTabletext"/>
              <w:jc w:val="center"/>
            </w:pPr>
            <w:r w:rsidRPr="004C12C9">
              <w:t>19</w:t>
            </w:r>
            <w:r w:rsidR="004A66D7" w:rsidRPr="004C12C9">
              <w:t>.</w:t>
            </w:r>
            <w:r w:rsidR="002B31F1" w:rsidRPr="004C12C9">
              <w:t>1</w:t>
            </w:r>
          </w:p>
        </w:tc>
      </w:tr>
      <w:tr w:rsidR="009478EB" w:rsidRPr="004C12C9" w14:paraId="1BF66923" w14:textId="77777777" w:rsidTr="002F6FA1">
        <w:trPr>
          <w:trHeight w:val="144"/>
        </w:trPr>
        <w:tc>
          <w:tcPr>
            <w:tcW w:w="6025" w:type="dxa"/>
            <w:noWrap/>
          </w:tcPr>
          <w:p w14:paraId="3DDD241A" w14:textId="411DAC3D" w:rsidR="009478EB" w:rsidRPr="004C12C9" w:rsidRDefault="009478EB" w:rsidP="002F6FA1">
            <w:pPr>
              <w:pStyle w:val="ICFTabletext"/>
            </w:pPr>
            <w:r w:rsidRPr="004C12C9">
              <w:t xml:space="preserve">Green </w:t>
            </w:r>
            <w:r w:rsidR="00E96E66" w:rsidRPr="004C12C9">
              <w:t>i</w:t>
            </w:r>
            <w:r w:rsidRPr="004C12C9">
              <w:t xml:space="preserve">nfrastructure: </w:t>
            </w:r>
            <w:r w:rsidR="00E96E66" w:rsidRPr="004C12C9">
              <w:t>c</w:t>
            </w:r>
            <w:r w:rsidRPr="004C12C9">
              <w:t>onstructed wetlands, vegetated</w:t>
            </w:r>
          </w:p>
        </w:tc>
        <w:tc>
          <w:tcPr>
            <w:tcW w:w="2070" w:type="dxa"/>
            <w:vAlign w:val="center"/>
          </w:tcPr>
          <w:p w14:paraId="67BEC0C6" w14:textId="32345845" w:rsidR="009478EB" w:rsidRPr="004C12C9" w:rsidDel="00A41283" w:rsidRDefault="009478EB" w:rsidP="002F6FA1">
            <w:pPr>
              <w:pStyle w:val="ICFTabletext"/>
              <w:jc w:val="center"/>
            </w:pPr>
            <w:r w:rsidRPr="004C12C9">
              <w:t>43</w:t>
            </w:r>
            <w:r w:rsidR="002C54F7" w:rsidRPr="004C12C9">
              <w:t>.4</w:t>
            </w:r>
          </w:p>
        </w:tc>
      </w:tr>
      <w:tr w:rsidR="009478EB" w:rsidRPr="004C12C9" w14:paraId="1A916028" w14:textId="77777777" w:rsidTr="002F6FA1">
        <w:trPr>
          <w:trHeight w:val="144"/>
        </w:trPr>
        <w:tc>
          <w:tcPr>
            <w:tcW w:w="6025" w:type="dxa"/>
            <w:noWrap/>
          </w:tcPr>
          <w:p w14:paraId="572C2B32" w14:textId="13A4110D" w:rsidR="009478EB" w:rsidRPr="004C12C9" w:rsidRDefault="009478EB" w:rsidP="002F6FA1">
            <w:pPr>
              <w:pStyle w:val="ICFTabletext"/>
            </w:pPr>
            <w:r w:rsidRPr="004C12C9">
              <w:t xml:space="preserve">Green </w:t>
            </w:r>
            <w:r w:rsidR="00E96E66" w:rsidRPr="004C12C9">
              <w:t>i</w:t>
            </w:r>
            <w:r w:rsidRPr="004C12C9">
              <w:t xml:space="preserve">nfrastructure: </w:t>
            </w:r>
            <w:r w:rsidR="00E96E66" w:rsidRPr="004C12C9">
              <w:t>c</w:t>
            </w:r>
            <w:r w:rsidRPr="004C12C9">
              <w:t xml:space="preserve">onstructed wetlands, paved </w:t>
            </w:r>
          </w:p>
        </w:tc>
        <w:tc>
          <w:tcPr>
            <w:tcW w:w="2070" w:type="dxa"/>
            <w:vAlign w:val="center"/>
          </w:tcPr>
          <w:p w14:paraId="548201F1" w14:textId="77777777" w:rsidR="009478EB" w:rsidRPr="004C12C9" w:rsidDel="00A41283" w:rsidRDefault="009478EB" w:rsidP="002F6FA1">
            <w:pPr>
              <w:pStyle w:val="ICFTabletext"/>
              <w:jc w:val="center"/>
            </w:pPr>
            <w:r w:rsidRPr="004C12C9">
              <w:t>0</w:t>
            </w:r>
          </w:p>
        </w:tc>
      </w:tr>
      <w:tr w:rsidR="009478EB" w:rsidRPr="004C12C9" w14:paraId="292B3164" w14:textId="77777777" w:rsidTr="002F6FA1">
        <w:trPr>
          <w:trHeight w:val="144"/>
        </w:trPr>
        <w:tc>
          <w:tcPr>
            <w:tcW w:w="6025" w:type="dxa"/>
            <w:noWrap/>
          </w:tcPr>
          <w:p w14:paraId="56229DB2" w14:textId="5A65BACC" w:rsidR="009478EB" w:rsidRPr="004C12C9" w:rsidRDefault="009478EB" w:rsidP="002F6FA1">
            <w:pPr>
              <w:pStyle w:val="ICFTabletext"/>
            </w:pPr>
            <w:r w:rsidRPr="004C12C9">
              <w:t xml:space="preserve">Green </w:t>
            </w:r>
            <w:r w:rsidR="00E96E66" w:rsidRPr="004C12C9">
              <w:t>i</w:t>
            </w:r>
            <w:r w:rsidRPr="004C12C9">
              <w:t xml:space="preserve">nfrastructure: </w:t>
            </w:r>
            <w:r w:rsidR="00E96E66" w:rsidRPr="004C12C9">
              <w:t>c</w:t>
            </w:r>
            <w:r w:rsidRPr="004C12C9">
              <w:t>onstructed green roofs</w:t>
            </w:r>
          </w:p>
        </w:tc>
        <w:tc>
          <w:tcPr>
            <w:tcW w:w="2070" w:type="dxa"/>
            <w:vAlign w:val="center"/>
          </w:tcPr>
          <w:p w14:paraId="0908943A" w14:textId="1C03BB80" w:rsidR="009478EB" w:rsidRPr="004C12C9" w:rsidDel="00A41283" w:rsidRDefault="009478EB" w:rsidP="002F6FA1">
            <w:pPr>
              <w:pStyle w:val="ICFTabletext"/>
              <w:jc w:val="center"/>
            </w:pPr>
            <w:r w:rsidRPr="004C12C9">
              <w:t>19</w:t>
            </w:r>
            <w:r w:rsidR="002C54F7" w:rsidRPr="004C12C9">
              <w:t>.</w:t>
            </w:r>
            <w:r w:rsidR="002B31F1" w:rsidRPr="004C12C9">
              <w:t>1</w:t>
            </w:r>
          </w:p>
        </w:tc>
      </w:tr>
      <w:tr w:rsidR="009478EB" w:rsidRPr="004C12C9" w14:paraId="5C435E56" w14:textId="77777777" w:rsidTr="002F6FA1">
        <w:trPr>
          <w:trHeight w:val="144"/>
        </w:trPr>
        <w:tc>
          <w:tcPr>
            <w:tcW w:w="6025" w:type="dxa"/>
            <w:noWrap/>
          </w:tcPr>
          <w:p w14:paraId="79128545" w14:textId="486B8988" w:rsidR="009478EB" w:rsidRPr="004C12C9" w:rsidRDefault="009478EB" w:rsidP="002F6FA1">
            <w:pPr>
              <w:pStyle w:val="ICFTabletext"/>
            </w:pPr>
            <w:r w:rsidRPr="004C12C9">
              <w:t xml:space="preserve">Green </w:t>
            </w:r>
            <w:r w:rsidR="00E96E66" w:rsidRPr="004C12C9">
              <w:t>i</w:t>
            </w:r>
            <w:r w:rsidRPr="004C12C9">
              <w:t xml:space="preserve">nfrastructure: </w:t>
            </w:r>
            <w:r w:rsidR="00E96E66" w:rsidRPr="004C12C9">
              <w:t>c</w:t>
            </w:r>
            <w:r w:rsidRPr="004C12C9">
              <w:t xml:space="preserve">onstructed permeable pavements </w:t>
            </w:r>
          </w:p>
        </w:tc>
        <w:tc>
          <w:tcPr>
            <w:tcW w:w="2070" w:type="dxa"/>
            <w:vAlign w:val="center"/>
          </w:tcPr>
          <w:p w14:paraId="568F8DE5" w14:textId="77777777" w:rsidR="009478EB" w:rsidRPr="004C12C9" w:rsidDel="00A41283" w:rsidRDefault="009478EB" w:rsidP="002F6FA1">
            <w:pPr>
              <w:pStyle w:val="ICFTabletext"/>
              <w:jc w:val="center"/>
            </w:pPr>
            <w:r w:rsidRPr="004C12C9">
              <w:t>0</w:t>
            </w:r>
          </w:p>
        </w:tc>
      </w:tr>
      <w:tr w:rsidR="009478EB" w:rsidRPr="004C12C9" w14:paraId="2194A059" w14:textId="77777777" w:rsidTr="002F6FA1">
        <w:trPr>
          <w:trHeight w:val="144"/>
        </w:trPr>
        <w:tc>
          <w:tcPr>
            <w:tcW w:w="6025" w:type="dxa"/>
            <w:noWrap/>
          </w:tcPr>
          <w:p w14:paraId="1F86E269" w14:textId="77777777" w:rsidR="009478EB" w:rsidRPr="004C12C9" w:rsidRDefault="009478EB" w:rsidP="002F6FA1">
            <w:pPr>
              <w:pStyle w:val="ICFTabletext"/>
            </w:pPr>
            <w:r w:rsidRPr="004C12C9">
              <w:t xml:space="preserve">Impervious surface </w:t>
            </w:r>
          </w:p>
        </w:tc>
        <w:tc>
          <w:tcPr>
            <w:tcW w:w="2070" w:type="dxa"/>
            <w:vAlign w:val="center"/>
          </w:tcPr>
          <w:p w14:paraId="14A88F78" w14:textId="77777777" w:rsidR="009478EB" w:rsidRPr="004C12C9" w:rsidRDefault="009478EB" w:rsidP="002F6FA1">
            <w:pPr>
              <w:pStyle w:val="ICFTabletext"/>
              <w:jc w:val="center"/>
            </w:pPr>
            <w:r w:rsidRPr="004C12C9">
              <w:t>0</w:t>
            </w:r>
          </w:p>
        </w:tc>
      </w:tr>
      <w:tr w:rsidR="009478EB" w:rsidRPr="004C12C9" w14:paraId="3DAD414A" w14:textId="77777777" w:rsidTr="002F6FA1">
        <w:trPr>
          <w:trHeight w:val="144"/>
        </w:trPr>
        <w:tc>
          <w:tcPr>
            <w:tcW w:w="6025" w:type="dxa"/>
            <w:noWrap/>
          </w:tcPr>
          <w:p w14:paraId="5DD8412F" w14:textId="77777777" w:rsidR="009478EB" w:rsidRPr="004C12C9" w:rsidRDefault="009478EB" w:rsidP="002F6FA1">
            <w:pPr>
              <w:pStyle w:val="ICFTabletext"/>
            </w:pPr>
            <w:r w:rsidRPr="004C12C9">
              <w:t>Stormwater pond (wet sedimentation basin)</w:t>
            </w:r>
          </w:p>
        </w:tc>
        <w:tc>
          <w:tcPr>
            <w:tcW w:w="2070" w:type="dxa"/>
            <w:vAlign w:val="center"/>
          </w:tcPr>
          <w:p w14:paraId="4C499385" w14:textId="77777777" w:rsidR="009478EB" w:rsidRPr="004C12C9" w:rsidRDefault="009478EB" w:rsidP="002F6FA1">
            <w:pPr>
              <w:pStyle w:val="ICFTabletext"/>
              <w:jc w:val="center"/>
            </w:pPr>
            <w:r w:rsidRPr="004C12C9">
              <w:t>0</w:t>
            </w:r>
          </w:p>
        </w:tc>
      </w:tr>
    </w:tbl>
    <w:p w14:paraId="5ECB29BF" w14:textId="72518CC2" w:rsidR="00FC16E7" w:rsidRPr="004C12C9" w:rsidRDefault="00FC16E7" w:rsidP="006A7EA7">
      <w:pPr>
        <w:pStyle w:val="Heading5"/>
      </w:pPr>
      <w:r w:rsidRPr="004C12C9">
        <w:t>Wetlands</w:t>
      </w:r>
    </w:p>
    <w:p w14:paraId="330D6F29" w14:textId="2E1C0058" w:rsidR="00FC16E7" w:rsidRPr="004C12C9" w:rsidRDefault="00FC16E7" w:rsidP="00972CF9">
      <w:r w:rsidRPr="004C12C9">
        <w:t xml:space="preserve">Wetlands store the most carbon per acre of all land types in Minnesota. This is in part due to the prevalence of prairie pothole wetlands in the state. Carbon stock values for wetlands were obtained from the U.S. Forest Service's </w:t>
      </w:r>
      <w:r w:rsidRPr="004C12C9">
        <w:rPr>
          <w:i/>
          <w:iCs/>
        </w:rPr>
        <w:t>Second State of the Carbon Cycle Report</w:t>
      </w:r>
      <w:r w:rsidRPr="004C12C9">
        <w:t>.</w:t>
      </w:r>
      <w:r w:rsidR="003C3CA0">
        <w:rPr>
          <w:rFonts w:ascii="ZWAdobeF" w:hAnsi="ZWAdobeF" w:cs="ZWAdobeF"/>
          <w:sz w:val="2"/>
          <w:szCs w:val="2"/>
        </w:rPr>
        <w:t>48F</w:t>
      </w:r>
      <w:r w:rsidR="00817C4A" w:rsidRPr="004C12C9">
        <w:rPr>
          <w:rStyle w:val="FootnoteReference"/>
        </w:rPr>
        <w:footnoteReference w:id="52"/>
      </w:r>
      <w:r w:rsidRPr="004C12C9">
        <w:t xml:space="preserve"> Specifically, the values are based on area and carbon pool </w:t>
      </w:r>
      <w:r w:rsidRPr="004C12C9">
        <w:lastRenderedPageBreak/>
        <w:t>estimates for the conterminous United States, as obtained from Chapter 13, Table 13.1 and summarized below in</w:t>
      </w:r>
      <w:r w:rsidR="00296120">
        <w:t xml:space="preserve"> </w:t>
      </w:r>
      <w:r w:rsidR="00296120">
        <w:fldChar w:fldCharType="begin"/>
      </w:r>
      <w:r w:rsidR="00296120">
        <w:instrText xml:space="preserve"> REF _Ref219828466 \h </w:instrText>
      </w:r>
      <w:r w:rsidR="00296120">
        <w:fldChar w:fldCharType="separate"/>
      </w:r>
      <w:r w:rsidR="00296120" w:rsidRPr="004C12C9">
        <w:t xml:space="preserve">Table </w:t>
      </w:r>
      <w:r w:rsidR="00296120">
        <w:rPr>
          <w:noProof/>
        </w:rPr>
        <w:t>2</w:t>
      </w:r>
      <w:r w:rsidR="00296120">
        <w:noBreakHyphen/>
      </w:r>
      <w:r w:rsidR="00296120">
        <w:rPr>
          <w:noProof/>
        </w:rPr>
        <w:t>37</w:t>
      </w:r>
      <w:r w:rsidR="00296120">
        <w:fldChar w:fldCharType="end"/>
      </w:r>
      <w:r w:rsidRPr="004C12C9">
        <w:t xml:space="preserve">. The carbon pool </w:t>
      </w:r>
      <w:r w:rsidR="007F66D6" w:rsidRPr="004C12C9">
        <w:t>(in petagram of carbon, or Pg C)</w:t>
      </w:r>
      <w:r w:rsidRPr="004C12C9">
        <w:t xml:space="preserve"> was divided by the area to derive a per acre carbon stock. </w:t>
      </w:r>
    </w:p>
    <w:p w14:paraId="256E4B84" w14:textId="74034876" w:rsidR="00FC16E7" w:rsidRPr="004C12C9" w:rsidRDefault="00FC16E7" w:rsidP="00972CF9">
      <w:pPr>
        <w:pStyle w:val="Caption"/>
      </w:pPr>
      <w:bookmarkStart w:id="111" w:name="_Ref219828466"/>
      <w:bookmarkStart w:id="112" w:name="_Ref193108446"/>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37</w:t>
      </w:r>
      <w:r w:rsidR="00F72B41">
        <w:fldChar w:fldCharType="end"/>
      </w:r>
      <w:bookmarkEnd w:id="111"/>
      <w:bookmarkEnd w:id="112"/>
      <w:r w:rsidRPr="004C12C9">
        <w:t>. Area and Carbon Pool by Wetland Type</w:t>
      </w:r>
    </w:p>
    <w:tbl>
      <w:tblPr>
        <w:tblW w:w="7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85"/>
        <w:gridCol w:w="1980"/>
        <w:gridCol w:w="2430"/>
      </w:tblGrid>
      <w:tr w:rsidR="00FC16E7" w:rsidRPr="004C12C9" w14:paraId="21A1D98F" w14:textId="77777777" w:rsidTr="004340E6">
        <w:trPr>
          <w:trHeight w:val="70"/>
          <w:tblHeader/>
        </w:trPr>
        <w:tc>
          <w:tcPr>
            <w:tcW w:w="2785" w:type="dxa"/>
            <w:shd w:val="clear" w:color="auto" w:fill="D9D9D9" w:themeFill="background1" w:themeFillShade="D9"/>
            <w:noWrap/>
            <w:vAlign w:val="center"/>
            <w:hideMark/>
          </w:tcPr>
          <w:p w14:paraId="1353D5B5" w14:textId="77777777" w:rsidR="00FC16E7" w:rsidRPr="004C12C9" w:rsidRDefault="00FC16E7" w:rsidP="004340E6">
            <w:pPr>
              <w:pStyle w:val="ICFTableHeading"/>
              <w:rPr>
                <w:b w:val="0"/>
                <w:color w:val="FFFFFF" w:themeColor="background1"/>
                <w:sz w:val="20"/>
              </w:rPr>
            </w:pPr>
            <w:r w:rsidRPr="004C12C9">
              <w:t xml:space="preserve">Wetland Type </w:t>
            </w:r>
          </w:p>
        </w:tc>
        <w:tc>
          <w:tcPr>
            <w:tcW w:w="1980" w:type="dxa"/>
            <w:shd w:val="clear" w:color="auto" w:fill="D9D9D9" w:themeFill="background1" w:themeFillShade="D9"/>
            <w:vAlign w:val="center"/>
          </w:tcPr>
          <w:p w14:paraId="123A3090" w14:textId="03FEB05B" w:rsidR="00FC16E7" w:rsidRPr="004C12C9" w:rsidRDefault="00FC16E7" w:rsidP="004340E6">
            <w:pPr>
              <w:pStyle w:val="ICFTableHeading"/>
              <w:rPr>
                <w:b w:val="0"/>
                <w:color w:val="FFFFFF" w:themeColor="background1"/>
                <w:sz w:val="20"/>
              </w:rPr>
            </w:pPr>
            <w:r w:rsidRPr="004C12C9">
              <w:t>Area (</w:t>
            </w:r>
            <w:r w:rsidR="002770F5" w:rsidRPr="004C12C9">
              <w:t>k</w:t>
            </w:r>
            <w:r w:rsidRPr="004C12C9">
              <w:t>m</w:t>
            </w:r>
            <w:r w:rsidRPr="004C12C9">
              <w:rPr>
                <w:b w:val="0"/>
                <w:sz w:val="20"/>
                <w:vertAlign w:val="superscript"/>
              </w:rPr>
              <w:t>2</w:t>
            </w:r>
            <w:r w:rsidRPr="004C12C9">
              <w:rPr>
                <w:b w:val="0"/>
                <w:sz w:val="20"/>
              </w:rPr>
              <w:t>)</w:t>
            </w:r>
          </w:p>
        </w:tc>
        <w:tc>
          <w:tcPr>
            <w:tcW w:w="2430" w:type="dxa"/>
            <w:shd w:val="clear" w:color="auto" w:fill="D9D9D9" w:themeFill="background1" w:themeFillShade="D9"/>
          </w:tcPr>
          <w:p w14:paraId="5D65B371" w14:textId="77777777" w:rsidR="00FC16E7" w:rsidRPr="004C12C9" w:rsidRDefault="00FC16E7" w:rsidP="004340E6">
            <w:pPr>
              <w:pStyle w:val="ICFTableHeading"/>
              <w:rPr>
                <w:b w:val="0"/>
                <w:color w:val="FFFFFF" w:themeColor="background1"/>
                <w:sz w:val="20"/>
              </w:rPr>
            </w:pPr>
            <w:r w:rsidRPr="004C12C9">
              <w:t>Carbon Pool (Pg C)</w:t>
            </w:r>
          </w:p>
        </w:tc>
      </w:tr>
      <w:tr w:rsidR="00FC16E7" w:rsidRPr="004C12C9" w14:paraId="55A04A70" w14:textId="77777777" w:rsidTr="004340E6">
        <w:trPr>
          <w:trHeight w:val="144"/>
        </w:trPr>
        <w:tc>
          <w:tcPr>
            <w:tcW w:w="2785" w:type="dxa"/>
            <w:noWrap/>
            <w:vAlign w:val="center"/>
          </w:tcPr>
          <w:p w14:paraId="5923FED1" w14:textId="2C54D580" w:rsidR="00FC16E7" w:rsidRPr="004C12C9" w:rsidRDefault="00FC16E7" w:rsidP="004340E6">
            <w:pPr>
              <w:pStyle w:val="ICFTabletext"/>
            </w:pPr>
            <w:r w:rsidRPr="004C12C9">
              <w:t>Peatland, Non</w:t>
            </w:r>
            <w:r w:rsidR="00A84163">
              <w:t>-</w:t>
            </w:r>
            <w:r w:rsidRPr="004C12C9">
              <w:t>forested</w:t>
            </w:r>
          </w:p>
        </w:tc>
        <w:tc>
          <w:tcPr>
            <w:tcW w:w="1980" w:type="dxa"/>
            <w:vAlign w:val="center"/>
          </w:tcPr>
          <w:p w14:paraId="54F376C9" w14:textId="77777777" w:rsidR="00FC16E7" w:rsidRPr="004C12C9" w:rsidRDefault="00FC16E7" w:rsidP="004340E6">
            <w:pPr>
              <w:pStyle w:val="ICFTabletext"/>
              <w:jc w:val="center"/>
            </w:pPr>
            <w:r w:rsidRPr="004C12C9">
              <w:t>42,903</w:t>
            </w:r>
          </w:p>
        </w:tc>
        <w:tc>
          <w:tcPr>
            <w:tcW w:w="2430" w:type="dxa"/>
          </w:tcPr>
          <w:p w14:paraId="1B20D536" w14:textId="77777777" w:rsidR="00FC16E7" w:rsidRPr="004C12C9" w:rsidRDefault="00FC16E7" w:rsidP="004340E6">
            <w:pPr>
              <w:pStyle w:val="ICFTabletext"/>
              <w:jc w:val="center"/>
            </w:pPr>
            <w:r w:rsidRPr="004C12C9">
              <w:t>3.9</w:t>
            </w:r>
          </w:p>
        </w:tc>
      </w:tr>
      <w:tr w:rsidR="00FC16E7" w:rsidRPr="004C12C9" w14:paraId="454ABA3C" w14:textId="77777777" w:rsidTr="004340E6">
        <w:trPr>
          <w:trHeight w:val="144"/>
        </w:trPr>
        <w:tc>
          <w:tcPr>
            <w:tcW w:w="2785" w:type="dxa"/>
            <w:noWrap/>
            <w:vAlign w:val="center"/>
          </w:tcPr>
          <w:p w14:paraId="01549205" w14:textId="77777777" w:rsidR="00FC16E7" w:rsidRPr="004C12C9" w:rsidRDefault="00FC16E7" w:rsidP="004340E6">
            <w:pPr>
              <w:pStyle w:val="ICFTabletext"/>
            </w:pPr>
            <w:r w:rsidRPr="004C12C9">
              <w:t>Peatland, Forested</w:t>
            </w:r>
          </w:p>
        </w:tc>
        <w:tc>
          <w:tcPr>
            <w:tcW w:w="1980" w:type="dxa"/>
            <w:vAlign w:val="center"/>
          </w:tcPr>
          <w:p w14:paraId="24726970" w14:textId="77777777" w:rsidR="00FC16E7" w:rsidRPr="004C12C9" w:rsidRDefault="00FC16E7" w:rsidP="004340E6">
            <w:pPr>
              <w:pStyle w:val="ICFTabletext"/>
              <w:jc w:val="center"/>
            </w:pPr>
            <w:r w:rsidRPr="004C12C9">
              <w:t>40,823</w:t>
            </w:r>
          </w:p>
        </w:tc>
        <w:tc>
          <w:tcPr>
            <w:tcW w:w="2430" w:type="dxa"/>
          </w:tcPr>
          <w:p w14:paraId="5443BA31" w14:textId="77777777" w:rsidR="00FC16E7" w:rsidRPr="004C12C9" w:rsidRDefault="00FC16E7" w:rsidP="004340E6">
            <w:pPr>
              <w:pStyle w:val="ICFTabletext"/>
              <w:jc w:val="center"/>
            </w:pPr>
            <w:r w:rsidRPr="004C12C9">
              <w:t>4.4</w:t>
            </w:r>
          </w:p>
        </w:tc>
      </w:tr>
      <w:tr w:rsidR="00FC16E7" w:rsidRPr="004C12C9" w14:paraId="6C1546AD" w14:textId="77777777" w:rsidTr="004340E6">
        <w:trPr>
          <w:trHeight w:val="144"/>
        </w:trPr>
        <w:tc>
          <w:tcPr>
            <w:tcW w:w="2785" w:type="dxa"/>
            <w:noWrap/>
            <w:vAlign w:val="center"/>
          </w:tcPr>
          <w:p w14:paraId="5ED77C71" w14:textId="6886BE43" w:rsidR="00FC16E7" w:rsidRPr="004C12C9" w:rsidRDefault="00FC16E7" w:rsidP="004340E6">
            <w:pPr>
              <w:pStyle w:val="ICFTabletext"/>
            </w:pPr>
            <w:r w:rsidRPr="004C12C9">
              <w:t>Mineral Soil, Non</w:t>
            </w:r>
            <w:r w:rsidR="00A84163">
              <w:t>-</w:t>
            </w:r>
            <w:r w:rsidRPr="004C12C9">
              <w:t>forested</w:t>
            </w:r>
          </w:p>
        </w:tc>
        <w:tc>
          <w:tcPr>
            <w:tcW w:w="1980" w:type="dxa"/>
            <w:vAlign w:val="center"/>
          </w:tcPr>
          <w:p w14:paraId="0BCDE36E" w14:textId="77777777" w:rsidR="00FC16E7" w:rsidRPr="004C12C9" w:rsidRDefault="00FC16E7" w:rsidP="004340E6">
            <w:pPr>
              <w:pStyle w:val="ICFTabletext"/>
              <w:jc w:val="center"/>
            </w:pPr>
            <w:r w:rsidRPr="004C12C9">
              <w:t>138,381</w:t>
            </w:r>
          </w:p>
        </w:tc>
        <w:tc>
          <w:tcPr>
            <w:tcW w:w="2430" w:type="dxa"/>
          </w:tcPr>
          <w:p w14:paraId="749AA768" w14:textId="77777777" w:rsidR="00FC16E7" w:rsidRPr="004C12C9" w:rsidRDefault="00FC16E7" w:rsidP="004340E6">
            <w:pPr>
              <w:pStyle w:val="ICFTabletext"/>
              <w:jc w:val="center"/>
            </w:pPr>
            <w:r w:rsidRPr="004C12C9">
              <w:t>1.9</w:t>
            </w:r>
          </w:p>
        </w:tc>
      </w:tr>
      <w:tr w:rsidR="00FC16E7" w:rsidRPr="004C12C9" w14:paraId="11A66A93" w14:textId="77777777" w:rsidTr="004340E6">
        <w:trPr>
          <w:trHeight w:val="144"/>
        </w:trPr>
        <w:tc>
          <w:tcPr>
            <w:tcW w:w="2785" w:type="dxa"/>
            <w:noWrap/>
            <w:vAlign w:val="center"/>
          </w:tcPr>
          <w:p w14:paraId="07454B78" w14:textId="77777777" w:rsidR="00FC16E7" w:rsidRPr="004C12C9" w:rsidRDefault="00FC16E7" w:rsidP="004340E6">
            <w:pPr>
              <w:pStyle w:val="ICFTabletext"/>
            </w:pPr>
            <w:r w:rsidRPr="004C12C9">
              <w:t>Mineral Soil, Forested</w:t>
            </w:r>
          </w:p>
        </w:tc>
        <w:tc>
          <w:tcPr>
            <w:tcW w:w="1980" w:type="dxa"/>
            <w:vAlign w:val="center"/>
          </w:tcPr>
          <w:p w14:paraId="086CEE5F" w14:textId="77777777" w:rsidR="00FC16E7" w:rsidRPr="004C12C9" w:rsidRDefault="00FC16E7" w:rsidP="004340E6">
            <w:pPr>
              <w:pStyle w:val="ICFTabletext"/>
              <w:jc w:val="center"/>
            </w:pPr>
            <w:r w:rsidRPr="004C12C9">
              <w:t>173,091</w:t>
            </w:r>
          </w:p>
        </w:tc>
        <w:tc>
          <w:tcPr>
            <w:tcW w:w="2430" w:type="dxa"/>
          </w:tcPr>
          <w:p w14:paraId="560179B1" w14:textId="77777777" w:rsidR="00FC16E7" w:rsidRPr="004C12C9" w:rsidRDefault="00FC16E7" w:rsidP="004340E6">
            <w:pPr>
              <w:pStyle w:val="ICFTabletext"/>
              <w:jc w:val="center"/>
            </w:pPr>
            <w:r w:rsidRPr="004C12C9">
              <w:t>3.3</w:t>
            </w:r>
          </w:p>
        </w:tc>
      </w:tr>
    </w:tbl>
    <w:p w14:paraId="3281D1CC" w14:textId="77777777" w:rsidR="0017555F" w:rsidRPr="004C12C9" w:rsidRDefault="0017555F" w:rsidP="0017555F">
      <w:pPr>
        <w:pStyle w:val="Heading5"/>
      </w:pPr>
      <w:r w:rsidRPr="004C12C9">
        <w:t>Forest</w:t>
      </w:r>
    </w:p>
    <w:p w14:paraId="6ACF46DE" w14:textId="3C1EB3FB" w:rsidR="00FC16E7" w:rsidRPr="004C12C9" w:rsidRDefault="00FC16E7" w:rsidP="00972CF9">
      <w:r w:rsidRPr="004C12C9">
        <w:t>The carbon stock for forests is based on the findings from a report on the potential for terrestrial carbon sequestration in Minnesota, prepared for the Minnesota Department of Natural Resources</w:t>
      </w:r>
      <w:r w:rsidR="007B5829" w:rsidRPr="004C12C9">
        <w:t>, as summarized in</w:t>
      </w:r>
      <w:r w:rsidR="00296120">
        <w:t xml:space="preserve"> </w:t>
      </w:r>
      <w:r w:rsidR="00296120">
        <w:fldChar w:fldCharType="begin"/>
      </w:r>
      <w:r w:rsidR="00296120">
        <w:instrText xml:space="preserve"> REF _Ref219828477 \h </w:instrText>
      </w:r>
      <w:r w:rsidR="00296120">
        <w:fldChar w:fldCharType="separate"/>
      </w:r>
      <w:r w:rsidR="00296120" w:rsidRPr="004C12C9">
        <w:t xml:space="preserve">Table </w:t>
      </w:r>
      <w:r w:rsidR="00296120">
        <w:rPr>
          <w:noProof/>
        </w:rPr>
        <w:t>2</w:t>
      </w:r>
      <w:r w:rsidR="00296120">
        <w:noBreakHyphen/>
      </w:r>
      <w:r w:rsidR="00296120">
        <w:rPr>
          <w:noProof/>
        </w:rPr>
        <w:t>38</w:t>
      </w:r>
      <w:r w:rsidR="00296120">
        <w:fldChar w:fldCharType="end"/>
      </w:r>
      <w:r w:rsidRPr="004C12C9">
        <w:t>.</w:t>
      </w:r>
      <w:r w:rsidR="003C3CA0">
        <w:rPr>
          <w:rFonts w:ascii="ZWAdobeF" w:hAnsi="ZWAdobeF" w:cs="ZWAdobeF"/>
          <w:sz w:val="2"/>
          <w:szCs w:val="2"/>
        </w:rPr>
        <w:t>49F</w:t>
      </w:r>
      <w:r w:rsidRPr="004C12C9">
        <w:rPr>
          <w:rStyle w:val="FootnoteReference"/>
        </w:rPr>
        <w:footnoteReference w:id="53"/>
      </w:r>
      <w:r w:rsidRPr="004C12C9">
        <w:t xml:space="preserve"> </w:t>
      </w:r>
      <w:r w:rsidR="00A55919" w:rsidRPr="004C12C9">
        <w:t xml:space="preserve">The value represents the average carbon stock </w:t>
      </w:r>
      <w:r w:rsidR="003A3F10" w:rsidRPr="004C12C9">
        <w:t>of an acre of forest across the state</w:t>
      </w:r>
      <w:r w:rsidR="00C140AA" w:rsidRPr="004C12C9">
        <w:t>, even though t</w:t>
      </w:r>
      <w:r w:rsidR="003A3F10" w:rsidRPr="004C12C9">
        <w:t xml:space="preserve">he actual carbon stock </w:t>
      </w:r>
      <w:r w:rsidR="00C140AA" w:rsidRPr="004C12C9">
        <w:t>for a give</w:t>
      </w:r>
      <w:r w:rsidR="005D4907" w:rsidRPr="004C12C9">
        <w:t>n acre</w:t>
      </w:r>
      <w:r w:rsidR="00C140AA" w:rsidRPr="004C12C9">
        <w:t xml:space="preserve"> </w:t>
      </w:r>
      <w:r w:rsidR="00CD52FB" w:rsidRPr="004C12C9">
        <w:t xml:space="preserve">will vary based on the type and age of the forest. </w:t>
      </w:r>
      <w:r w:rsidR="003A3F10" w:rsidRPr="004C12C9">
        <w:t xml:space="preserve"> </w:t>
      </w:r>
      <w:r w:rsidR="008E2A35" w:rsidRPr="004C12C9">
        <w:t xml:space="preserve">  </w:t>
      </w:r>
      <w:r w:rsidR="00AF7687" w:rsidRPr="004C12C9">
        <w:t xml:space="preserve"> </w:t>
      </w:r>
    </w:p>
    <w:p w14:paraId="2334DF2C" w14:textId="631C15B4" w:rsidR="000A2B85" w:rsidRPr="004C12C9" w:rsidRDefault="000A2B85" w:rsidP="000A2B85">
      <w:pPr>
        <w:pStyle w:val="Caption"/>
      </w:pPr>
      <w:bookmarkStart w:id="113" w:name="_Ref219828477"/>
      <w:bookmarkStart w:id="114" w:name="_Ref19924856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38</w:t>
      </w:r>
      <w:r w:rsidR="00F72B41">
        <w:fldChar w:fldCharType="end"/>
      </w:r>
      <w:bookmarkEnd w:id="113"/>
      <w:bookmarkEnd w:id="114"/>
      <w:r w:rsidRPr="004C12C9">
        <w:t xml:space="preserve">. </w:t>
      </w:r>
      <w:r w:rsidR="00A63BBA" w:rsidRPr="004C12C9">
        <w:t xml:space="preserve">Minnesota Forest </w:t>
      </w:r>
      <w:r w:rsidR="00B46D5B" w:rsidRPr="004C12C9">
        <w:t>Carbon</w:t>
      </w:r>
      <w:r w:rsidR="00A63BBA" w:rsidRPr="004C12C9">
        <w:t xml:space="preserve"> Stock</w:t>
      </w:r>
      <w:r w:rsidR="00B46D5B" w:rsidRPr="004C12C9">
        <w:t xml:space="preserve"> </w:t>
      </w:r>
    </w:p>
    <w:tbl>
      <w:tblPr>
        <w:tblW w:w="8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85"/>
        <w:gridCol w:w="2970"/>
        <w:gridCol w:w="3060"/>
      </w:tblGrid>
      <w:tr w:rsidR="000A2B85" w:rsidRPr="004C12C9" w14:paraId="6853A149" w14:textId="77777777" w:rsidTr="00F97740">
        <w:trPr>
          <w:trHeight w:val="70"/>
          <w:tblHeader/>
        </w:trPr>
        <w:tc>
          <w:tcPr>
            <w:tcW w:w="2785" w:type="dxa"/>
            <w:shd w:val="clear" w:color="auto" w:fill="D9D9D9" w:themeFill="background1" w:themeFillShade="D9"/>
            <w:noWrap/>
            <w:vAlign w:val="center"/>
            <w:hideMark/>
          </w:tcPr>
          <w:p w14:paraId="3E625368" w14:textId="0A153852" w:rsidR="000A2B85" w:rsidRPr="004C12C9" w:rsidRDefault="00A63BBA">
            <w:pPr>
              <w:pStyle w:val="ICFTableHeading"/>
              <w:rPr>
                <w:b w:val="0"/>
                <w:color w:val="FFFFFF" w:themeColor="background1"/>
                <w:sz w:val="20"/>
              </w:rPr>
            </w:pPr>
            <w:r w:rsidRPr="004C12C9">
              <w:t>Area (</w:t>
            </w:r>
            <w:r w:rsidR="00981406" w:rsidRPr="004C12C9">
              <w:t>million a</w:t>
            </w:r>
            <w:r w:rsidRPr="004C12C9">
              <w:t>cres)</w:t>
            </w:r>
            <w:r w:rsidR="000A2B85" w:rsidRPr="004C12C9">
              <w:t xml:space="preserve"> </w:t>
            </w:r>
          </w:p>
        </w:tc>
        <w:tc>
          <w:tcPr>
            <w:tcW w:w="2970" w:type="dxa"/>
            <w:shd w:val="clear" w:color="auto" w:fill="D9D9D9" w:themeFill="background1" w:themeFillShade="D9"/>
            <w:vAlign w:val="center"/>
          </w:tcPr>
          <w:p w14:paraId="5D268E01" w14:textId="29EF0DED" w:rsidR="000A2B85" w:rsidRPr="004C12C9" w:rsidRDefault="00A52E57">
            <w:pPr>
              <w:pStyle w:val="ICFTableHeading"/>
              <w:rPr>
                <w:b w:val="0"/>
                <w:color w:val="FFFFFF" w:themeColor="background1"/>
                <w:sz w:val="20"/>
              </w:rPr>
            </w:pPr>
            <w:r w:rsidRPr="004C12C9">
              <w:t>Carbon Stock (</w:t>
            </w:r>
            <w:r w:rsidR="000D7FAF" w:rsidRPr="004C12C9">
              <w:t xml:space="preserve">million </w:t>
            </w:r>
            <w:r w:rsidR="004B0F05" w:rsidRPr="004C12C9">
              <w:t>MT C)</w:t>
            </w:r>
          </w:p>
        </w:tc>
        <w:tc>
          <w:tcPr>
            <w:tcW w:w="3060" w:type="dxa"/>
            <w:shd w:val="clear" w:color="auto" w:fill="D9D9D9" w:themeFill="background1" w:themeFillShade="D9"/>
          </w:tcPr>
          <w:p w14:paraId="2B22924F" w14:textId="77BEB82F" w:rsidR="000A2B85" w:rsidRPr="004C12C9" w:rsidRDefault="00F97740">
            <w:pPr>
              <w:pStyle w:val="ICFTableHeading"/>
              <w:rPr>
                <w:b w:val="0"/>
                <w:color w:val="FFFFFF" w:themeColor="background1"/>
                <w:sz w:val="20"/>
              </w:rPr>
            </w:pPr>
            <w:r w:rsidRPr="004C12C9">
              <w:t>Carbon Stock (</w:t>
            </w:r>
            <w:r w:rsidR="000D7FAF" w:rsidRPr="004C12C9">
              <w:t>MT</w:t>
            </w:r>
            <w:r w:rsidRPr="004C12C9">
              <w:t xml:space="preserve"> </w:t>
            </w:r>
            <w:r w:rsidR="000D7FAF" w:rsidRPr="004C12C9">
              <w:t xml:space="preserve">C per </w:t>
            </w:r>
            <w:r w:rsidRPr="004C12C9">
              <w:t>a</w:t>
            </w:r>
            <w:r w:rsidR="000D7FAF" w:rsidRPr="004C12C9">
              <w:t>cre</w:t>
            </w:r>
            <w:r w:rsidRPr="004C12C9">
              <w:t>)</w:t>
            </w:r>
          </w:p>
        </w:tc>
      </w:tr>
      <w:tr w:rsidR="000A2B85" w:rsidRPr="004C12C9" w14:paraId="49419C03" w14:textId="77777777" w:rsidTr="00F97740">
        <w:trPr>
          <w:trHeight w:val="144"/>
        </w:trPr>
        <w:tc>
          <w:tcPr>
            <w:tcW w:w="2785" w:type="dxa"/>
            <w:noWrap/>
            <w:vAlign w:val="center"/>
          </w:tcPr>
          <w:p w14:paraId="6B5F5D63" w14:textId="3D6CD6DD" w:rsidR="000A2B85" w:rsidRPr="004C12C9" w:rsidRDefault="00981406" w:rsidP="00981406">
            <w:pPr>
              <w:pStyle w:val="ICFTabletext"/>
              <w:jc w:val="center"/>
            </w:pPr>
            <w:r w:rsidRPr="004C12C9">
              <w:t>16.21</w:t>
            </w:r>
          </w:p>
        </w:tc>
        <w:tc>
          <w:tcPr>
            <w:tcW w:w="2970" w:type="dxa"/>
            <w:vAlign w:val="center"/>
          </w:tcPr>
          <w:p w14:paraId="448E8012" w14:textId="0116D471" w:rsidR="000A2B85" w:rsidRPr="004C12C9" w:rsidRDefault="000D7FAF">
            <w:pPr>
              <w:pStyle w:val="ICFTabletext"/>
              <w:jc w:val="center"/>
            </w:pPr>
            <w:r w:rsidRPr="004C12C9">
              <w:t>1,607</w:t>
            </w:r>
          </w:p>
        </w:tc>
        <w:tc>
          <w:tcPr>
            <w:tcW w:w="3060" w:type="dxa"/>
          </w:tcPr>
          <w:p w14:paraId="29D41BF7" w14:textId="5E6E9587" w:rsidR="000A2B85" w:rsidRPr="004C12C9" w:rsidRDefault="000D7FAF">
            <w:pPr>
              <w:pStyle w:val="ICFTabletext"/>
              <w:jc w:val="center"/>
            </w:pPr>
            <w:r w:rsidRPr="004C12C9">
              <w:t>99</w:t>
            </w:r>
          </w:p>
        </w:tc>
      </w:tr>
    </w:tbl>
    <w:p w14:paraId="2CDE9F4C" w14:textId="77777777" w:rsidR="00FC16E7" w:rsidRPr="004C12C9" w:rsidRDefault="00FC16E7" w:rsidP="006A7EA7">
      <w:pPr>
        <w:pStyle w:val="Heading5"/>
      </w:pPr>
      <w:r w:rsidRPr="004C12C9">
        <w:t>Brush, Grasslands, and Rangelands</w:t>
      </w:r>
    </w:p>
    <w:p w14:paraId="49309CAF" w14:textId="65D6F403" w:rsidR="00E74B8E" w:rsidRPr="004C12C9" w:rsidRDefault="00FC16E7" w:rsidP="00972CF9">
      <w:r w:rsidRPr="004C12C9">
        <w:t>The carbon stock for brush and grasslands was derived by combining the estimated carbon stocks of aboveground biomass, belowground biomass, and soil organic carbon pools. Aboveground and belowground biomass estimates for cool temperate and wet climates</w:t>
      </w:r>
      <w:r w:rsidRPr="004C12C9" w:rsidDel="0038318F">
        <w:t xml:space="preserve"> </w:t>
      </w:r>
      <w:r w:rsidRPr="004C12C9">
        <w:t>were obtained from the 2006 IPCC Guidelines</w:t>
      </w:r>
      <w:r w:rsidR="003C3CA0">
        <w:rPr>
          <w:rFonts w:ascii="ZWAdobeF" w:hAnsi="ZWAdobeF" w:cs="ZWAdobeF"/>
          <w:sz w:val="2"/>
          <w:szCs w:val="2"/>
        </w:rPr>
        <w:t>50F</w:t>
      </w:r>
      <w:r w:rsidR="009627EB" w:rsidRPr="004C12C9">
        <w:rPr>
          <w:rStyle w:val="FootnoteReference"/>
        </w:rPr>
        <w:footnoteReference w:id="54"/>
      </w:r>
      <w:r w:rsidRPr="004C12C9">
        <w:t xml:space="preserve"> (see</w:t>
      </w:r>
      <w:r w:rsidR="00257B18">
        <w:t xml:space="preserve"> </w:t>
      </w:r>
      <w:r w:rsidR="00257B18">
        <w:fldChar w:fldCharType="begin"/>
      </w:r>
      <w:r w:rsidR="00257B18">
        <w:instrText xml:space="preserve"> REF _Ref219828512 \h </w:instrText>
      </w:r>
      <w:r w:rsidR="00257B18">
        <w:fldChar w:fldCharType="separate"/>
      </w:r>
      <w:r w:rsidR="00257B18" w:rsidRPr="004C12C9">
        <w:t xml:space="preserve">Table </w:t>
      </w:r>
      <w:r w:rsidR="00257B18">
        <w:rPr>
          <w:noProof/>
        </w:rPr>
        <w:t>2</w:t>
      </w:r>
      <w:r w:rsidR="00257B18">
        <w:noBreakHyphen/>
      </w:r>
      <w:r w:rsidR="00257B18">
        <w:rPr>
          <w:noProof/>
        </w:rPr>
        <w:t>39</w:t>
      </w:r>
      <w:r w:rsidR="00257B18">
        <w:fldChar w:fldCharType="end"/>
      </w:r>
      <w:r w:rsidRPr="004C12C9">
        <w:t xml:space="preserve">). </w:t>
      </w:r>
      <w:r w:rsidR="00196D65" w:rsidRPr="004C12C9">
        <w:t>The s</w:t>
      </w:r>
      <w:r w:rsidRPr="004C12C9">
        <w:t xml:space="preserve">oil organic carbon </w:t>
      </w:r>
      <w:r w:rsidR="00C47956" w:rsidRPr="004C12C9">
        <w:t>stock</w:t>
      </w:r>
      <w:r w:rsidRPr="004C12C9">
        <w:t xml:space="preserve"> assumption w</w:t>
      </w:r>
      <w:r w:rsidR="00196D65" w:rsidRPr="004C12C9">
        <w:t>as</w:t>
      </w:r>
      <w:r w:rsidRPr="004C12C9">
        <w:t xml:space="preserve"> </w:t>
      </w:r>
      <w:r w:rsidR="00D70757" w:rsidRPr="004C12C9">
        <w:t xml:space="preserve">derived based on </w:t>
      </w:r>
      <w:r w:rsidR="00DD70EB" w:rsidRPr="004C12C9">
        <w:t>carbon stock estimates by soil type for grazing land systems</w:t>
      </w:r>
      <w:r w:rsidR="00264CCC" w:rsidRPr="004C12C9">
        <w:t xml:space="preserve"> for cold temperate, moist climates</w:t>
      </w:r>
      <w:r w:rsidR="00913B0D" w:rsidRPr="004C12C9">
        <w:t>,</w:t>
      </w:r>
      <w:r w:rsidR="005A32D6" w:rsidRPr="004C12C9">
        <w:t xml:space="preserve"> </w:t>
      </w:r>
      <w:r w:rsidR="007C3BC1" w:rsidRPr="004C12C9">
        <w:t xml:space="preserve">as obtained </w:t>
      </w:r>
      <w:r w:rsidR="005A32D6" w:rsidRPr="004C12C9">
        <w:t xml:space="preserve">from </w:t>
      </w:r>
      <w:r w:rsidR="0073032B" w:rsidRPr="004C12C9">
        <w:t>the United States Department of Agriculture</w:t>
      </w:r>
      <w:r w:rsidR="007C3BC1" w:rsidRPr="004C12C9">
        <w:t xml:space="preserve"> (</w:t>
      </w:r>
      <w:r w:rsidR="005A32D6" w:rsidRPr="004C12C9">
        <w:t>USDA</w:t>
      </w:r>
      <w:r w:rsidR="007C3BC1" w:rsidRPr="004C12C9">
        <w:t>)</w:t>
      </w:r>
      <w:r w:rsidRPr="004C12C9">
        <w:t xml:space="preserve"> (see</w:t>
      </w:r>
      <w:r w:rsidR="00257B18">
        <w:t xml:space="preserve"> </w:t>
      </w:r>
      <w:r w:rsidR="00257B18">
        <w:fldChar w:fldCharType="begin"/>
      </w:r>
      <w:r w:rsidR="00257B18">
        <w:instrText xml:space="preserve"> REF _Ref219828520 \h </w:instrText>
      </w:r>
      <w:r w:rsidR="00257B18">
        <w:fldChar w:fldCharType="separate"/>
      </w:r>
      <w:r w:rsidR="00257B18" w:rsidRPr="004C12C9">
        <w:t xml:space="preserve">Table </w:t>
      </w:r>
      <w:r w:rsidR="00257B18">
        <w:rPr>
          <w:noProof/>
        </w:rPr>
        <w:t>2</w:t>
      </w:r>
      <w:r w:rsidR="00257B18">
        <w:noBreakHyphen/>
      </w:r>
      <w:r w:rsidR="00257B18">
        <w:rPr>
          <w:noProof/>
        </w:rPr>
        <w:t>40</w:t>
      </w:r>
      <w:r w:rsidR="00257B18">
        <w:fldChar w:fldCharType="end"/>
      </w:r>
      <w:r w:rsidRPr="004C12C9">
        <w:t>)</w:t>
      </w:r>
      <w:r w:rsidR="00913B0D" w:rsidRPr="004C12C9">
        <w:t>,</w:t>
      </w:r>
      <w:r w:rsidR="003C3CA0">
        <w:rPr>
          <w:rFonts w:ascii="ZWAdobeF" w:hAnsi="ZWAdobeF" w:cs="ZWAdobeF"/>
          <w:sz w:val="2"/>
          <w:szCs w:val="2"/>
        </w:rPr>
        <w:t>51F</w:t>
      </w:r>
      <w:r w:rsidRPr="004C12C9">
        <w:rPr>
          <w:rStyle w:val="FootnoteReference"/>
        </w:rPr>
        <w:footnoteReference w:id="55"/>
      </w:r>
      <w:r w:rsidR="00AD69D3" w:rsidRPr="004C12C9">
        <w:t xml:space="preserve"> and </w:t>
      </w:r>
      <w:r w:rsidR="00F01D6D" w:rsidRPr="004C12C9">
        <w:t xml:space="preserve">the </w:t>
      </w:r>
      <w:r w:rsidR="00D05308" w:rsidRPr="004C12C9">
        <w:t>breakdown</w:t>
      </w:r>
      <w:r w:rsidR="00F01D6D" w:rsidRPr="004C12C9">
        <w:t xml:space="preserve"> of </w:t>
      </w:r>
      <w:r w:rsidR="0069547D" w:rsidRPr="004C12C9">
        <w:t>soil type</w:t>
      </w:r>
      <w:r w:rsidR="00F01D6D" w:rsidRPr="004C12C9">
        <w:t>s</w:t>
      </w:r>
      <w:r w:rsidR="0069547D" w:rsidRPr="004C12C9">
        <w:t xml:space="preserve"> </w:t>
      </w:r>
      <w:r w:rsidR="00D05308" w:rsidRPr="004C12C9">
        <w:t>across grassland in Minnesota</w:t>
      </w:r>
      <w:r w:rsidR="00C934B1" w:rsidRPr="004C12C9">
        <w:t>, as obtained from the Gridded Soil Survey Geographic (gSSURGO) Database</w:t>
      </w:r>
      <w:r w:rsidR="00670126" w:rsidRPr="004C12C9">
        <w:t xml:space="preserve"> (see</w:t>
      </w:r>
      <w:r w:rsidR="00257B18">
        <w:t xml:space="preserve"> </w:t>
      </w:r>
      <w:r w:rsidR="00257B18">
        <w:fldChar w:fldCharType="begin"/>
      </w:r>
      <w:r w:rsidR="00257B18">
        <w:instrText xml:space="preserve"> REF _Ref219828536 \h </w:instrText>
      </w:r>
      <w:r w:rsidR="00257B18">
        <w:fldChar w:fldCharType="separate"/>
      </w:r>
      <w:r w:rsidR="00257B18" w:rsidRPr="004C12C9">
        <w:t xml:space="preserve">Table </w:t>
      </w:r>
      <w:r w:rsidR="00257B18">
        <w:rPr>
          <w:noProof/>
        </w:rPr>
        <w:t>2</w:t>
      </w:r>
      <w:r w:rsidR="00257B18">
        <w:noBreakHyphen/>
      </w:r>
      <w:r w:rsidR="00257B18">
        <w:rPr>
          <w:noProof/>
        </w:rPr>
        <w:t>41</w:t>
      </w:r>
      <w:r w:rsidR="00257B18">
        <w:fldChar w:fldCharType="end"/>
      </w:r>
      <w:r w:rsidR="00670126" w:rsidRPr="004C12C9">
        <w:t>)</w:t>
      </w:r>
      <w:r w:rsidR="00C934B1" w:rsidRPr="004C12C9">
        <w:t>.</w:t>
      </w:r>
      <w:r w:rsidR="003C3CA0">
        <w:rPr>
          <w:rFonts w:ascii="ZWAdobeF" w:hAnsi="ZWAdobeF" w:cs="ZWAdobeF"/>
          <w:sz w:val="2"/>
          <w:szCs w:val="2"/>
        </w:rPr>
        <w:t>52F</w:t>
      </w:r>
      <w:r w:rsidR="00C934B1" w:rsidRPr="004C12C9">
        <w:rPr>
          <w:rStyle w:val="FootnoteReference"/>
        </w:rPr>
        <w:footnoteReference w:id="56"/>
      </w:r>
      <w:r w:rsidRPr="004C12C9">
        <w:t xml:space="preserve"> </w:t>
      </w:r>
      <w:r w:rsidR="00273F41" w:rsidRPr="004C12C9">
        <w:t xml:space="preserve">The resulting </w:t>
      </w:r>
      <w:r w:rsidR="00273F41" w:rsidRPr="004C12C9">
        <w:lastRenderedPageBreak/>
        <w:t xml:space="preserve">estimate of </w:t>
      </w:r>
      <w:r w:rsidR="007B0844" w:rsidRPr="004C12C9">
        <w:t>64.8</w:t>
      </w:r>
      <w:r w:rsidR="00B1326E" w:rsidRPr="004C12C9">
        <w:t xml:space="preserve"> metric tons </w:t>
      </w:r>
      <w:r w:rsidR="00CC786F" w:rsidRPr="004C12C9">
        <w:t xml:space="preserve">carbon </w:t>
      </w:r>
      <w:r w:rsidR="00B1326E" w:rsidRPr="004C12C9">
        <w:t>per hectare was then multiplied by a factor of 1.37</w:t>
      </w:r>
      <w:r w:rsidR="002B360C" w:rsidRPr="004C12C9">
        <w:t xml:space="preserve"> to account for </w:t>
      </w:r>
      <w:r w:rsidR="00870954" w:rsidRPr="004C12C9">
        <w:t>the carbon stock change factor for uncultivated land in cool moist climates</w:t>
      </w:r>
      <w:r w:rsidR="00CC786F" w:rsidRPr="004C12C9">
        <w:t>,</w:t>
      </w:r>
      <w:r w:rsidR="003C3CA0">
        <w:rPr>
          <w:rFonts w:ascii="ZWAdobeF" w:hAnsi="ZWAdobeF" w:cs="ZWAdobeF"/>
          <w:sz w:val="2"/>
          <w:szCs w:val="2"/>
        </w:rPr>
        <w:t>53F</w:t>
      </w:r>
      <w:r w:rsidR="00772207" w:rsidRPr="004C12C9">
        <w:rPr>
          <w:rStyle w:val="FootnoteReference"/>
        </w:rPr>
        <w:footnoteReference w:id="57"/>
      </w:r>
      <w:r w:rsidR="00CC786F" w:rsidRPr="004C12C9">
        <w:t xml:space="preserve"> resulting in a soil carbon stock assumption of 88.8 metric tons carbon per hectare for grassland</w:t>
      </w:r>
      <w:r w:rsidR="00870954" w:rsidRPr="004C12C9">
        <w:t xml:space="preserve">. </w:t>
      </w:r>
      <w:r w:rsidRPr="004C12C9">
        <w:t>Carbon stocks for rangelands are assumed equal to those of brush and grasslands.</w:t>
      </w:r>
      <w:r w:rsidR="00C934B1" w:rsidRPr="004C12C9">
        <w:t xml:space="preserve"> </w:t>
      </w:r>
    </w:p>
    <w:p w14:paraId="3F9BB651" w14:textId="0AAFD155" w:rsidR="00FC16E7" w:rsidRPr="004C12C9" w:rsidRDefault="00FC16E7" w:rsidP="00972CF9">
      <w:pPr>
        <w:pStyle w:val="Caption"/>
      </w:pPr>
      <w:bookmarkStart w:id="115" w:name="_Ref219828512"/>
      <w:bookmarkStart w:id="116" w:name="_Ref193205007"/>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39</w:t>
      </w:r>
      <w:r w:rsidR="00F72B41">
        <w:fldChar w:fldCharType="end"/>
      </w:r>
      <w:bookmarkEnd w:id="115"/>
      <w:bookmarkEnd w:id="116"/>
      <w:r w:rsidRPr="004C12C9">
        <w:t xml:space="preserve">. Biomass Stocks Present on Grassland </w:t>
      </w:r>
      <w:r w:rsidR="00EC0A01" w:rsidRPr="004C12C9">
        <w:t>(MT C per hectare)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3240"/>
        <w:gridCol w:w="3595"/>
      </w:tblGrid>
      <w:tr w:rsidR="00FC16E7" w:rsidRPr="004C12C9" w14:paraId="7100C5F3" w14:textId="77777777" w:rsidTr="00935B34">
        <w:tc>
          <w:tcPr>
            <w:tcW w:w="2515" w:type="dxa"/>
            <w:shd w:val="clear" w:color="auto" w:fill="D9D9D9" w:themeFill="background1" w:themeFillShade="D9"/>
            <w:vAlign w:val="center"/>
          </w:tcPr>
          <w:p w14:paraId="53AE18DE" w14:textId="0999B140" w:rsidR="00FC16E7" w:rsidRPr="004C12C9" w:rsidRDefault="00FC16E7" w:rsidP="00935B34">
            <w:pPr>
              <w:pStyle w:val="ICFTableHeading"/>
            </w:pPr>
            <w:r w:rsidRPr="004C12C9">
              <w:t xml:space="preserve">IPCC </w:t>
            </w:r>
            <w:r w:rsidR="009627EB" w:rsidRPr="004C12C9">
              <w:t>c</w:t>
            </w:r>
            <w:r w:rsidRPr="004C12C9">
              <w:t xml:space="preserve">limate </w:t>
            </w:r>
            <w:r w:rsidR="009627EB" w:rsidRPr="004C12C9">
              <w:t>z</w:t>
            </w:r>
            <w:r w:rsidRPr="004C12C9">
              <w:t>one</w:t>
            </w:r>
          </w:p>
        </w:tc>
        <w:tc>
          <w:tcPr>
            <w:tcW w:w="3240" w:type="dxa"/>
            <w:shd w:val="clear" w:color="auto" w:fill="D9D9D9" w:themeFill="background1" w:themeFillShade="D9"/>
            <w:vAlign w:val="center"/>
          </w:tcPr>
          <w:p w14:paraId="7697ECC3" w14:textId="767F5339" w:rsidR="00FC16E7" w:rsidRPr="004C12C9" w:rsidRDefault="00FC16E7" w:rsidP="00EC0A01">
            <w:pPr>
              <w:pStyle w:val="ICFTableHeading"/>
            </w:pPr>
            <w:r w:rsidRPr="004C12C9">
              <w:t>Peak above</w:t>
            </w:r>
            <w:r w:rsidR="00D06122" w:rsidRPr="004C12C9">
              <w:t>ground</w:t>
            </w:r>
            <w:r w:rsidRPr="004C12C9">
              <w:t xml:space="preserve"> biomass</w:t>
            </w:r>
          </w:p>
        </w:tc>
        <w:tc>
          <w:tcPr>
            <w:tcW w:w="3595" w:type="dxa"/>
            <w:shd w:val="clear" w:color="auto" w:fill="D9D9D9" w:themeFill="background1" w:themeFillShade="D9"/>
            <w:vAlign w:val="center"/>
          </w:tcPr>
          <w:p w14:paraId="14D60169" w14:textId="1CE61C26" w:rsidR="00FC16E7" w:rsidRPr="004C12C9" w:rsidRDefault="00FC16E7" w:rsidP="00EC0A01">
            <w:pPr>
              <w:pStyle w:val="ICFTableHeading"/>
            </w:pPr>
            <w:r w:rsidRPr="004C12C9">
              <w:t>Total (above</w:t>
            </w:r>
            <w:r w:rsidR="00D06122" w:rsidRPr="004C12C9">
              <w:t>ground</w:t>
            </w:r>
            <w:r w:rsidRPr="004C12C9">
              <w:t xml:space="preserve"> and below</w:t>
            </w:r>
            <w:r w:rsidR="005422EC" w:rsidRPr="004C12C9">
              <w:t xml:space="preserve"> </w:t>
            </w:r>
            <w:r w:rsidRPr="004C12C9">
              <w:t>ground) non-woody biomass</w:t>
            </w:r>
          </w:p>
        </w:tc>
      </w:tr>
      <w:tr w:rsidR="00FC16E7" w:rsidRPr="004C12C9" w14:paraId="200ADF8F" w14:textId="77777777" w:rsidTr="00935B34">
        <w:tc>
          <w:tcPr>
            <w:tcW w:w="2515" w:type="dxa"/>
          </w:tcPr>
          <w:p w14:paraId="45B6ECF2" w14:textId="77777777" w:rsidR="00FC16E7" w:rsidRPr="004C12C9" w:rsidRDefault="00FC16E7" w:rsidP="00935B34">
            <w:pPr>
              <w:pStyle w:val="ICFTabletext"/>
            </w:pPr>
            <w:r w:rsidRPr="004C12C9">
              <w:t>Cold Temperate - Wet</w:t>
            </w:r>
          </w:p>
        </w:tc>
        <w:tc>
          <w:tcPr>
            <w:tcW w:w="3240" w:type="dxa"/>
          </w:tcPr>
          <w:p w14:paraId="15ACC886" w14:textId="77777777" w:rsidR="00FC16E7" w:rsidRPr="004C12C9" w:rsidRDefault="00FC16E7" w:rsidP="00935B34">
            <w:pPr>
              <w:pStyle w:val="ICFTabletext"/>
              <w:jc w:val="center"/>
            </w:pPr>
            <w:r w:rsidRPr="004C12C9">
              <w:t>2.4</w:t>
            </w:r>
          </w:p>
        </w:tc>
        <w:tc>
          <w:tcPr>
            <w:tcW w:w="3595" w:type="dxa"/>
          </w:tcPr>
          <w:p w14:paraId="20957088" w14:textId="0D525AB2" w:rsidR="00FC16E7" w:rsidRPr="004C12C9" w:rsidRDefault="00FC16E7" w:rsidP="00935B34">
            <w:pPr>
              <w:pStyle w:val="ICFTabletext"/>
              <w:jc w:val="center"/>
            </w:pPr>
            <w:r w:rsidRPr="004C12C9">
              <w:t>12</w:t>
            </w:r>
            <w:r w:rsidR="005964CE" w:rsidRPr="004C12C9">
              <w:t>.0</w:t>
            </w:r>
          </w:p>
        </w:tc>
      </w:tr>
    </w:tbl>
    <w:p w14:paraId="1A2D3D66" w14:textId="05DFF22D" w:rsidR="00FC16E7" w:rsidRPr="004C12C9" w:rsidRDefault="00FC16E7" w:rsidP="00972CF9">
      <w:pPr>
        <w:pStyle w:val="Caption"/>
      </w:pPr>
      <w:bookmarkStart w:id="117" w:name="_Ref219828520"/>
      <w:bookmarkStart w:id="118" w:name="_Ref19318476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40</w:t>
      </w:r>
      <w:r w:rsidR="00F72B41">
        <w:fldChar w:fldCharType="end"/>
      </w:r>
      <w:bookmarkEnd w:id="117"/>
      <w:bookmarkEnd w:id="118"/>
      <w:r w:rsidRPr="004C12C9">
        <w:t xml:space="preserve">. Soil Organic Carbon Stocks </w:t>
      </w:r>
      <w:r w:rsidR="008E0AC1" w:rsidRPr="004C12C9">
        <w:t xml:space="preserve">for Grazing Land Systems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3595"/>
      </w:tblGrid>
      <w:tr w:rsidR="00FC16E7" w:rsidRPr="004C12C9" w14:paraId="171D194E" w14:textId="77777777" w:rsidTr="004F3ED3">
        <w:trPr>
          <w:tblHeader/>
        </w:trPr>
        <w:tc>
          <w:tcPr>
            <w:tcW w:w="3145" w:type="dxa"/>
            <w:shd w:val="clear" w:color="auto" w:fill="D9D9D9" w:themeFill="background1" w:themeFillShade="D9"/>
            <w:vAlign w:val="center"/>
          </w:tcPr>
          <w:p w14:paraId="54992C33" w14:textId="7BD68C49" w:rsidR="00FC16E7" w:rsidRPr="004C12C9" w:rsidRDefault="00102742" w:rsidP="00284985">
            <w:pPr>
              <w:pStyle w:val="ICFTableHeading"/>
              <w:keepNext/>
            </w:pPr>
            <w:r w:rsidRPr="004C12C9">
              <w:t xml:space="preserve">IPCC </w:t>
            </w:r>
            <w:r w:rsidR="00352765" w:rsidRPr="004C12C9">
              <w:t>Soil Category</w:t>
            </w:r>
          </w:p>
        </w:tc>
        <w:tc>
          <w:tcPr>
            <w:tcW w:w="3595" w:type="dxa"/>
            <w:shd w:val="clear" w:color="auto" w:fill="D9D9D9" w:themeFill="background1" w:themeFillShade="D9"/>
          </w:tcPr>
          <w:p w14:paraId="51BB3CEC" w14:textId="7582DA1E" w:rsidR="00FC16E7" w:rsidRPr="004C12C9" w:rsidRDefault="00352765" w:rsidP="00284985">
            <w:pPr>
              <w:pStyle w:val="ICFTableHeading"/>
              <w:keepNext/>
            </w:pPr>
            <w:r w:rsidRPr="004C12C9">
              <w:t>Carbon Stock</w:t>
            </w:r>
            <w:r w:rsidR="00FC16E7" w:rsidRPr="004C12C9">
              <w:t xml:space="preserve"> (MT C per hectare)</w:t>
            </w:r>
          </w:p>
        </w:tc>
      </w:tr>
      <w:tr w:rsidR="00FC16E7" w:rsidRPr="004C12C9" w14:paraId="07250047" w14:textId="77777777" w:rsidTr="004F3ED3">
        <w:tc>
          <w:tcPr>
            <w:tcW w:w="3145" w:type="dxa"/>
          </w:tcPr>
          <w:p w14:paraId="52608A92" w14:textId="114B058D" w:rsidR="00FC16E7" w:rsidRPr="004C12C9" w:rsidRDefault="004F3ED3" w:rsidP="00284985">
            <w:pPr>
              <w:pStyle w:val="ICFTabletext"/>
              <w:keepNext/>
              <w:rPr>
                <w:highlight w:val="yellow"/>
              </w:rPr>
            </w:pPr>
            <w:r w:rsidRPr="004C12C9">
              <w:t xml:space="preserve">High clay activity mineral soils </w:t>
            </w:r>
          </w:p>
        </w:tc>
        <w:tc>
          <w:tcPr>
            <w:tcW w:w="3595" w:type="dxa"/>
          </w:tcPr>
          <w:p w14:paraId="5CB0D695" w14:textId="31334B27" w:rsidR="00FC16E7" w:rsidRPr="004C12C9" w:rsidRDefault="004F3ED3" w:rsidP="00284985">
            <w:pPr>
              <w:pStyle w:val="ICFTabletext"/>
              <w:keepNext/>
              <w:jc w:val="center"/>
              <w:rPr>
                <w:highlight w:val="yellow"/>
              </w:rPr>
            </w:pPr>
            <w:r w:rsidRPr="004C12C9">
              <w:t>65</w:t>
            </w:r>
          </w:p>
        </w:tc>
      </w:tr>
      <w:tr w:rsidR="004F3ED3" w:rsidRPr="004C12C9" w14:paraId="35145369" w14:textId="77777777" w:rsidTr="004F3ED3">
        <w:tc>
          <w:tcPr>
            <w:tcW w:w="3145" w:type="dxa"/>
          </w:tcPr>
          <w:p w14:paraId="47CE37BB" w14:textId="17D6E373" w:rsidR="004F3ED3" w:rsidRPr="004C12C9" w:rsidRDefault="004F3ED3" w:rsidP="004F3ED3">
            <w:pPr>
              <w:pStyle w:val="ICFTabletext"/>
              <w:rPr>
                <w:highlight w:val="yellow"/>
              </w:rPr>
            </w:pPr>
            <w:r w:rsidRPr="004C12C9">
              <w:t xml:space="preserve">Low clay activity mineral soils </w:t>
            </w:r>
          </w:p>
        </w:tc>
        <w:tc>
          <w:tcPr>
            <w:tcW w:w="3595" w:type="dxa"/>
          </w:tcPr>
          <w:p w14:paraId="4D3CEB1B" w14:textId="29E062CF" w:rsidR="004F3ED3" w:rsidRPr="004C12C9" w:rsidRDefault="004F3ED3" w:rsidP="004F3ED3">
            <w:pPr>
              <w:pStyle w:val="ICFTabletext"/>
              <w:jc w:val="center"/>
              <w:rPr>
                <w:highlight w:val="yellow"/>
              </w:rPr>
            </w:pPr>
            <w:r w:rsidRPr="004C12C9">
              <w:t>52</w:t>
            </w:r>
          </w:p>
        </w:tc>
      </w:tr>
      <w:tr w:rsidR="004F3ED3" w:rsidRPr="004C12C9" w14:paraId="56FC517B" w14:textId="77777777" w:rsidTr="004F3ED3">
        <w:tc>
          <w:tcPr>
            <w:tcW w:w="3145" w:type="dxa"/>
          </w:tcPr>
          <w:p w14:paraId="003A2DED" w14:textId="203B633D" w:rsidR="004F3ED3" w:rsidRPr="004C12C9" w:rsidRDefault="004F3ED3" w:rsidP="004F3ED3">
            <w:pPr>
              <w:pStyle w:val="ICFTabletext"/>
              <w:rPr>
                <w:highlight w:val="yellow"/>
              </w:rPr>
            </w:pPr>
            <w:r w:rsidRPr="004C12C9">
              <w:t xml:space="preserve">Sandy soils </w:t>
            </w:r>
          </w:p>
        </w:tc>
        <w:tc>
          <w:tcPr>
            <w:tcW w:w="3595" w:type="dxa"/>
          </w:tcPr>
          <w:p w14:paraId="53008BB4" w14:textId="215ACBF1" w:rsidR="004F3ED3" w:rsidRPr="004C12C9" w:rsidRDefault="004F3ED3" w:rsidP="004F3ED3">
            <w:pPr>
              <w:pStyle w:val="ICFTabletext"/>
              <w:jc w:val="center"/>
              <w:rPr>
                <w:highlight w:val="yellow"/>
              </w:rPr>
            </w:pPr>
            <w:r w:rsidRPr="004C12C9">
              <w:t>40</w:t>
            </w:r>
          </w:p>
        </w:tc>
      </w:tr>
      <w:tr w:rsidR="004F3ED3" w:rsidRPr="004C12C9" w14:paraId="1620A072" w14:textId="77777777" w:rsidTr="004F3ED3">
        <w:tc>
          <w:tcPr>
            <w:tcW w:w="3145" w:type="dxa"/>
          </w:tcPr>
          <w:p w14:paraId="34FF8470" w14:textId="334E998B" w:rsidR="004F3ED3" w:rsidRPr="004C12C9" w:rsidRDefault="004F3ED3" w:rsidP="004F3ED3">
            <w:pPr>
              <w:pStyle w:val="ICFTabletext"/>
              <w:rPr>
                <w:highlight w:val="yellow"/>
              </w:rPr>
            </w:pPr>
            <w:r w:rsidRPr="004C12C9">
              <w:t>Spodic soils</w:t>
            </w:r>
          </w:p>
        </w:tc>
        <w:tc>
          <w:tcPr>
            <w:tcW w:w="3595" w:type="dxa"/>
          </w:tcPr>
          <w:p w14:paraId="498889F0" w14:textId="69653DCA" w:rsidR="004F3ED3" w:rsidRPr="004C12C9" w:rsidRDefault="004F3ED3" w:rsidP="004F3ED3">
            <w:pPr>
              <w:pStyle w:val="ICFTabletext"/>
              <w:jc w:val="center"/>
              <w:rPr>
                <w:highlight w:val="yellow"/>
              </w:rPr>
            </w:pPr>
            <w:r w:rsidRPr="004C12C9">
              <w:t>74</w:t>
            </w:r>
          </w:p>
        </w:tc>
      </w:tr>
      <w:tr w:rsidR="004F3ED3" w:rsidRPr="004C12C9" w14:paraId="2F3C7B49" w14:textId="77777777" w:rsidTr="004F3ED3">
        <w:tc>
          <w:tcPr>
            <w:tcW w:w="3145" w:type="dxa"/>
          </w:tcPr>
          <w:p w14:paraId="62AE79D4" w14:textId="6C00557B" w:rsidR="004F3ED3" w:rsidRPr="004C12C9" w:rsidRDefault="004F3ED3" w:rsidP="004F3ED3">
            <w:pPr>
              <w:pStyle w:val="ICFTabletext"/>
              <w:rPr>
                <w:highlight w:val="yellow"/>
              </w:rPr>
            </w:pPr>
            <w:r w:rsidRPr="004C12C9">
              <w:t>Aquic soils</w:t>
            </w:r>
          </w:p>
        </w:tc>
        <w:tc>
          <w:tcPr>
            <w:tcW w:w="3595" w:type="dxa"/>
          </w:tcPr>
          <w:p w14:paraId="5A84AF0D" w14:textId="63DC4D7D" w:rsidR="004F3ED3" w:rsidRPr="004C12C9" w:rsidRDefault="004F3ED3" w:rsidP="004F3ED3">
            <w:pPr>
              <w:pStyle w:val="ICFTabletext"/>
              <w:jc w:val="center"/>
              <w:rPr>
                <w:highlight w:val="yellow"/>
              </w:rPr>
            </w:pPr>
            <w:r w:rsidRPr="004C12C9">
              <w:t>89</w:t>
            </w:r>
          </w:p>
        </w:tc>
      </w:tr>
    </w:tbl>
    <w:p w14:paraId="53525AAC" w14:textId="0C731BE0" w:rsidR="005E02F5" w:rsidRPr="004C12C9" w:rsidRDefault="005E02F5" w:rsidP="005E02F5">
      <w:pPr>
        <w:pStyle w:val="Caption"/>
      </w:pPr>
      <w:bookmarkStart w:id="119" w:name="_Ref219828536"/>
      <w:bookmarkStart w:id="120" w:name="_Ref199231376"/>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41</w:t>
      </w:r>
      <w:r w:rsidR="00F72B41">
        <w:fldChar w:fldCharType="end"/>
      </w:r>
      <w:bookmarkEnd w:id="119"/>
      <w:bookmarkEnd w:id="120"/>
      <w:r w:rsidRPr="004C12C9">
        <w:t>. Soil Type</w:t>
      </w:r>
      <w:r w:rsidR="00670126" w:rsidRPr="004C12C9">
        <w:t xml:space="preserve"> Across Grassland in Minnesota</w:t>
      </w:r>
      <w:r w:rsidRPr="004C12C9">
        <w:t xml:space="preserve"> </w:t>
      </w:r>
    </w:p>
    <w:tbl>
      <w:tblPr>
        <w:tblStyle w:val="TableGrid"/>
        <w:tblW w:w="10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25"/>
        <w:gridCol w:w="1530"/>
        <w:gridCol w:w="1958"/>
        <w:gridCol w:w="1828"/>
        <w:gridCol w:w="3324"/>
      </w:tblGrid>
      <w:tr w:rsidR="00C44E58" w:rsidRPr="004C12C9" w14:paraId="1A56373E" w14:textId="77777777" w:rsidTr="000A5946">
        <w:trPr>
          <w:tblHeader/>
        </w:trPr>
        <w:tc>
          <w:tcPr>
            <w:tcW w:w="1525" w:type="dxa"/>
            <w:shd w:val="clear" w:color="auto" w:fill="D9D9D9" w:themeFill="background1" w:themeFillShade="D9"/>
            <w:vAlign w:val="center"/>
          </w:tcPr>
          <w:p w14:paraId="2FABFB47" w14:textId="12D8A657" w:rsidR="00C44E58" w:rsidRPr="004C12C9" w:rsidRDefault="00C44E58">
            <w:pPr>
              <w:pStyle w:val="ICFTableHeading"/>
            </w:pPr>
            <w:r w:rsidRPr="004C12C9">
              <w:t>Order</w:t>
            </w:r>
          </w:p>
        </w:tc>
        <w:tc>
          <w:tcPr>
            <w:tcW w:w="1530" w:type="dxa"/>
            <w:shd w:val="clear" w:color="auto" w:fill="D9D9D9" w:themeFill="background1" w:themeFillShade="D9"/>
          </w:tcPr>
          <w:p w14:paraId="416A66BA" w14:textId="2EF6F664" w:rsidR="00C44E58" w:rsidRPr="004C12C9" w:rsidRDefault="00C44E58">
            <w:pPr>
              <w:pStyle w:val="ICFTableHeading"/>
            </w:pPr>
            <w:r w:rsidRPr="004C12C9">
              <w:t>Suborder</w:t>
            </w:r>
          </w:p>
        </w:tc>
        <w:tc>
          <w:tcPr>
            <w:tcW w:w="1958" w:type="dxa"/>
            <w:shd w:val="clear" w:color="auto" w:fill="D9D9D9" w:themeFill="background1" w:themeFillShade="D9"/>
          </w:tcPr>
          <w:p w14:paraId="2BBABCB8" w14:textId="14413C44" w:rsidR="00C44E58" w:rsidRPr="004C12C9" w:rsidRDefault="00C44E58">
            <w:pPr>
              <w:pStyle w:val="ICFTableHeading"/>
            </w:pPr>
            <w:r w:rsidRPr="004C12C9">
              <w:t>Area (</w:t>
            </w:r>
            <w:r w:rsidR="00DF7EA4" w:rsidRPr="004C12C9">
              <w:t>m</w:t>
            </w:r>
            <w:r w:rsidRPr="004C12C9">
              <w:rPr>
                <w:vertAlign w:val="superscript"/>
              </w:rPr>
              <w:t>2</w:t>
            </w:r>
            <w:r w:rsidRPr="004C12C9">
              <w:t>)</w:t>
            </w:r>
          </w:p>
        </w:tc>
        <w:tc>
          <w:tcPr>
            <w:tcW w:w="1828" w:type="dxa"/>
            <w:shd w:val="clear" w:color="auto" w:fill="D9D9D9" w:themeFill="background1" w:themeFillShade="D9"/>
          </w:tcPr>
          <w:p w14:paraId="4C748E9A" w14:textId="585D6BDB" w:rsidR="00C44E58" w:rsidRPr="004C12C9" w:rsidRDefault="00C44E58">
            <w:pPr>
              <w:pStyle w:val="ICFTableHeading"/>
            </w:pPr>
            <w:r w:rsidRPr="004C12C9">
              <w:t>Percent</w:t>
            </w:r>
          </w:p>
        </w:tc>
        <w:tc>
          <w:tcPr>
            <w:tcW w:w="3324" w:type="dxa"/>
            <w:shd w:val="clear" w:color="auto" w:fill="D9D9D9" w:themeFill="background1" w:themeFillShade="D9"/>
          </w:tcPr>
          <w:p w14:paraId="73D3AB0E" w14:textId="00FEDD18" w:rsidR="00C44E58" w:rsidRPr="004C12C9" w:rsidRDefault="00C44E58">
            <w:pPr>
              <w:pStyle w:val="ICFTableHeading"/>
            </w:pPr>
            <w:r w:rsidRPr="004C12C9">
              <w:t>IPCC Soil Category</w:t>
            </w:r>
          </w:p>
        </w:tc>
      </w:tr>
      <w:tr w:rsidR="000A5946" w:rsidRPr="004C12C9" w14:paraId="52EE2C19" w14:textId="77777777" w:rsidTr="000A5946">
        <w:tc>
          <w:tcPr>
            <w:tcW w:w="1525" w:type="dxa"/>
            <w:vAlign w:val="center"/>
          </w:tcPr>
          <w:p w14:paraId="78920270" w14:textId="61B80C93" w:rsidR="000A5946" w:rsidRPr="004C12C9" w:rsidRDefault="000A5946" w:rsidP="000A5946">
            <w:pPr>
              <w:pStyle w:val="ICFTabletext"/>
              <w:rPr>
                <w:highlight w:val="yellow"/>
              </w:rPr>
            </w:pPr>
            <w:r w:rsidRPr="004C12C9">
              <w:t>Mollisols</w:t>
            </w:r>
          </w:p>
        </w:tc>
        <w:tc>
          <w:tcPr>
            <w:tcW w:w="1530" w:type="dxa"/>
            <w:vAlign w:val="center"/>
          </w:tcPr>
          <w:p w14:paraId="581FC83A" w14:textId="6CC7536B" w:rsidR="000A5946" w:rsidRPr="004C12C9" w:rsidRDefault="000A5946" w:rsidP="000A5946">
            <w:pPr>
              <w:pStyle w:val="ICFTabletext"/>
              <w:rPr>
                <w:highlight w:val="yellow"/>
              </w:rPr>
            </w:pPr>
            <w:r w:rsidRPr="004C12C9">
              <w:t>Aquolls</w:t>
            </w:r>
          </w:p>
        </w:tc>
        <w:tc>
          <w:tcPr>
            <w:tcW w:w="1958" w:type="dxa"/>
            <w:vAlign w:val="center"/>
          </w:tcPr>
          <w:p w14:paraId="14211735" w14:textId="333DB0D6" w:rsidR="000A5946" w:rsidRPr="004C12C9" w:rsidRDefault="000A5946" w:rsidP="000A5946">
            <w:pPr>
              <w:pStyle w:val="ICFTabletext"/>
              <w:jc w:val="center"/>
              <w:rPr>
                <w:highlight w:val="yellow"/>
              </w:rPr>
            </w:pPr>
            <w:r w:rsidRPr="004C12C9">
              <w:t>56,979,000</w:t>
            </w:r>
          </w:p>
        </w:tc>
        <w:tc>
          <w:tcPr>
            <w:tcW w:w="1828" w:type="dxa"/>
            <w:vAlign w:val="center"/>
          </w:tcPr>
          <w:p w14:paraId="03947B52" w14:textId="49420CFE" w:rsidR="000A5946" w:rsidRPr="004C12C9" w:rsidRDefault="000A5946" w:rsidP="000A5946">
            <w:pPr>
              <w:pStyle w:val="ICFTabletext"/>
              <w:jc w:val="center"/>
              <w:rPr>
                <w:highlight w:val="yellow"/>
              </w:rPr>
            </w:pPr>
            <w:r w:rsidRPr="004C12C9">
              <w:t>6.96%</w:t>
            </w:r>
          </w:p>
        </w:tc>
        <w:tc>
          <w:tcPr>
            <w:tcW w:w="3324" w:type="dxa"/>
            <w:vAlign w:val="center"/>
          </w:tcPr>
          <w:p w14:paraId="14747661" w14:textId="110FFB67" w:rsidR="000A5946" w:rsidRPr="004C12C9" w:rsidRDefault="000A5946" w:rsidP="000A5946">
            <w:pPr>
              <w:pStyle w:val="ICFTabletext"/>
              <w:rPr>
                <w:highlight w:val="yellow"/>
              </w:rPr>
            </w:pPr>
            <w:r w:rsidRPr="004C12C9">
              <w:t>Aquic soils</w:t>
            </w:r>
          </w:p>
        </w:tc>
      </w:tr>
      <w:tr w:rsidR="000A5946" w:rsidRPr="004C12C9" w14:paraId="0FB06838" w14:textId="77777777" w:rsidTr="000A5946">
        <w:tc>
          <w:tcPr>
            <w:tcW w:w="1525" w:type="dxa"/>
            <w:vAlign w:val="center"/>
          </w:tcPr>
          <w:p w14:paraId="161E9227" w14:textId="35D81EEA" w:rsidR="000A5946" w:rsidRPr="004C12C9" w:rsidRDefault="000A5946" w:rsidP="000A5946">
            <w:pPr>
              <w:pStyle w:val="ICFTabletext"/>
              <w:rPr>
                <w:highlight w:val="yellow"/>
              </w:rPr>
            </w:pPr>
            <w:r w:rsidRPr="004C12C9">
              <w:t>Alfisols</w:t>
            </w:r>
          </w:p>
        </w:tc>
        <w:tc>
          <w:tcPr>
            <w:tcW w:w="1530" w:type="dxa"/>
            <w:vAlign w:val="center"/>
          </w:tcPr>
          <w:p w14:paraId="4B03393F" w14:textId="3F26D857" w:rsidR="000A5946" w:rsidRPr="004C12C9" w:rsidRDefault="000A5946" w:rsidP="000A5946">
            <w:pPr>
              <w:pStyle w:val="ICFTabletext"/>
              <w:rPr>
                <w:highlight w:val="yellow"/>
              </w:rPr>
            </w:pPr>
            <w:r w:rsidRPr="004C12C9">
              <w:t>Aqualfs</w:t>
            </w:r>
          </w:p>
        </w:tc>
        <w:tc>
          <w:tcPr>
            <w:tcW w:w="1958" w:type="dxa"/>
            <w:vAlign w:val="center"/>
          </w:tcPr>
          <w:p w14:paraId="1BBB8142" w14:textId="374EE77F" w:rsidR="000A5946" w:rsidRPr="004C12C9" w:rsidRDefault="000A5946" w:rsidP="000A5946">
            <w:pPr>
              <w:pStyle w:val="ICFTabletext"/>
              <w:jc w:val="center"/>
              <w:rPr>
                <w:highlight w:val="yellow"/>
              </w:rPr>
            </w:pPr>
            <w:r w:rsidRPr="004C12C9">
              <w:t>52,473,600</w:t>
            </w:r>
          </w:p>
        </w:tc>
        <w:tc>
          <w:tcPr>
            <w:tcW w:w="1828" w:type="dxa"/>
            <w:vAlign w:val="center"/>
          </w:tcPr>
          <w:p w14:paraId="7D1E6208" w14:textId="5497DB1B" w:rsidR="000A5946" w:rsidRPr="004C12C9" w:rsidRDefault="000A5946" w:rsidP="000A5946">
            <w:pPr>
              <w:pStyle w:val="ICFTabletext"/>
              <w:jc w:val="center"/>
              <w:rPr>
                <w:highlight w:val="yellow"/>
              </w:rPr>
            </w:pPr>
            <w:r w:rsidRPr="004C12C9">
              <w:t>6.41%</w:t>
            </w:r>
          </w:p>
        </w:tc>
        <w:tc>
          <w:tcPr>
            <w:tcW w:w="3324" w:type="dxa"/>
            <w:vAlign w:val="center"/>
          </w:tcPr>
          <w:p w14:paraId="2DD99831" w14:textId="1BC9A7C6" w:rsidR="000A5946" w:rsidRPr="004C12C9" w:rsidRDefault="000A5946" w:rsidP="000A5946">
            <w:pPr>
              <w:pStyle w:val="ICFTabletext"/>
              <w:rPr>
                <w:highlight w:val="yellow"/>
              </w:rPr>
            </w:pPr>
            <w:r w:rsidRPr="004C12C9">
              <w:t>Aquic soils</w:t>
            </w:r>
          </w:p>
        </w:tc>
      </w:tr>
      <w:tr w:rsidR="000A5946" w:rsidRPr="004C12C9" w14:paraId="7AA97819" w14:textId="77777777" w:rsidTr="000A5946">
        <w:tc>
          <w:tcPr>
            <w:tcW w:w="1525" w:type="dxa"/>
            <w:vAlign w:val="center"/>
          </w:tcPr>
          <w:p w14:paraId="7D9AECB4" w14:textId="50465992" w:rsidR="000A5946" w:rsidRPr="004C12C9" w:rsidRDefault="000A5946" w:rsidP="000A5946">
            <w:pPr>
              <w:pStyle w:val="ICFTabletext"/>
              <w:rPr>
                <w:highlight w:val="yellow"/>
              </w:rPr>
            </w:pPr>
            <w:r w:rsidRPr="004C12C9">
              <w:t>Inceptisols</w:t>
            </w:r>
          </w:p>
        </w:tc>
        <w:tc>
          <w:tcPr>
            <w:tcW w:w="1530" w:type="dxa"/>
            <w:vAlign w:val="center"/>
          </w:tcPr>
          <w:p w14:paraId="05F3E5D5" w14:textId="35E71952" w:rsidR="000A5946" w:rsidRPr="004C12C9" w:rsidRDefault="000A5946" w:rsidP="000A5946">
            <w:pPr>
              <w:pStyle w:val="ICFTabletext"/>
              <w:rPr>
                <w:highlight w:val="yellow"/>
              </w:rPr>
            </w:pPr>
            <w:r w:rsidRPr="004C12C9">
              <w:t>Udepts</w:t>
            </w:r>
          </w:p>
        </w:tc>
        <w:tc>
          <w:tcPr>
            <w:tcW w:w="1958" w:type="dxa"/>
            <w:vAlign w:val="center"/>
          </w:tcPr>
          <w:p w14:paraId="0E4F7977" w14:textId="383B1E07" w:rsidR="000A5946" w:rsidRPr="004C12C9" w:rsidRDefault="000A5946" w:rsidP="000A5946">
            <w:pPr>
              <w:pStyle w:val="ICFTabletext"/>
              <w:jc w:val="center"/>
              <w:rPr>
                <w:highlight w:val="yellow"/>
              </w:rPr>
            </w:pPr>
            <w:r w:rsidRPr="004C12C9">
              <w:t>169,608,600</w:t>
            </w:r>
          </w:p>
        </w:tc>
        <w:tc>
          <w:tcPr>
            <w:tcW w:w="1828" w:type="dxa"/>
            <w:vAlign w:val="center"/>
          </w:tcPr>
          <w:p w14:paraId="69DF0700" w14:textId="3BCB5E85" w:rsidR="000A5946" w:rsidRPr="004C12C9" w:rsidRDefault="000A5946" w:rsidP="000A5946">
            <w:pPr>
              <w:pStyle w:val="ICFTabletext"/>
              <w:jc w:val="center"/>
              <w:rPr>
                <w:highlight w:val="yellow"/>
              </w:rPr>
            </w:pPr>
            <w:r w:rsidRPr="004C12C9">
              <w:t>20.73%</w:t>
            </w:r>
          </w:p>
        </w:tc>
        <w:tc>
          <w:tcPr>
            <w:tcW w:w="3324" w:type="dxa"/>
            <w:vAlign w:val="center"/>
          </w:tcPr>
          <w:p w14:paraId="3B77B6B8" w14:textId="122DDBEF" w:rsidR="000A5946" w:rsidRPr="004C12C9" w:rsidRDefault="000A5946" w:rsidP="000A5946">
            <w:pPr>
              <w:pStyle w:val="ICFTabletext"/>
              <w:rPr>
                <w:highlight w:val="yellow"/>
              </w:rPr>
            </w:pPr>
            <w:r w:rsidRPr="004C12C9">
              <w:t>Low clay activity mineral soils</w:t>
            </w:r>
          </w:p>
        </w:tc>
      </w:tr>
      <w:tr w:rsidR="000A5946" w:rsidRPr="004C12C9" w14:paraId="002AB67A" w14:textId="77777777" w:rsidTr="000A5946">
        <w:tc>
          <w:tcPr>
            <w:tcW w:w="1525" w:type="dxa"/>
            <w:vAlign w:val="center"/>
          </w:tcPr>
          <w:p w14:paraId="52714D51" w14:textId="7DC32C1D" w:rsidR="000A5946" w:rsidRPr="004C12C9" w:rsidRDefault="000A5946" w:rsidP="000A5946">
            <w:pPr>
              <w:pStyle w:val="ICFTabletext"/>
              <w:rPr>
                <w:highlight w:val="yellow"/>
              </w:rPr>
            </w:pPr>
            <w:r w:rsidRPr="004C12C9">
              <w:t>Histosols</w:t>
            </w:r>
          </w:p>
        </w:tc>
        <w:tc>
          <w:tcPr>
            <w:tcW w:w="1530" w:type="dxa"/>
            <w:vAlign w:val="center"/>
          </w:tcPr>
          <w:p w14:paraId="5B1FA800" w14:textId="43803FC2" w:rsidR="000A5946" w:rsidRPr="004C12C9" w:rsidRDefault="000A5946" w:rsidP="000A5946">
            <w:pPr>
              <w:pStyle w:val="ICFTabletext"/>
              <w:rPr>
                <w:highlight w:val="yellow"/>
              </w:rPr>
            </w:pPr>
            <w:r w:rsidRPr="004C12C9">
              <w:t>Saprists</w:t>
            </w:r>
          </w:p>
        </w:tc>
        <w:tc>
          <w:tcPr>
            <w:tcW w:w="1958" w:type="dxa"/>
            <w:vAlign w:val="center"/>
          </w:tcPr>
          <w:p w14:paraId="02BF55B5" w14:textId="2AA9369F" w:rsidR="000A5946" w:rsidRPr="004C12C9" w:rsidRDefault="000A5946" w:rsidP="000A5946">
            <w:pPr>
              <w:pStyle w:val="ICFTabletext"/>
              <w:jc w:val="center"/>
              <w:rPr>
                <w:highlight w:val="yellow"/>
              </w:rPr>
            </w:pPr>
            <w:r w:rsidRPr="004C12C9">
              <w:t>21,278,700</w:t>
            </w:r>
          </w:p>
        </w:tc>
        <w:tc>
          <w:tcPr>
            <w:tcW w:w="1828" w:type="dxa"/>
            <w:vAlign w:val="center"/>
          </w:tcPr>
          <w:p w14:paraId="0A13AB03" w14:textId="0CAEFFB7" w:rsidR="000A5946" w:rsidRPr="004C12C9" w:rsidRDefault="000A5946" w:rsidP="000A5946">
            <w:pPr>
              <w:pStyle w:val="ICFTabletext"/>
              <w:jc w:val="center"/>
              <w:rPr>
                <w:highlight w:val="yellow"/>
              </w:rPr>
            </w:pPr>
            <w:r w:rsidRPr="004C12C9">
              <w:t>2.60%</w:t>
            </w:r>
          </w:p>
        </w:tc>
        <w:tc>
          <w:tcPr>
            <w:tcW w:w="3324" w:type="dxa"/>
            <w:vAlign w:val="center"/>
          </w:tcPr>
          <w:p w14:paraId="5FB00E8A" w14:textId="3602F702" w:rsidR="000A5946" w:rsidRPr="004C12C9" w:rsidRDefault="000A5946" w:rsidP="000A5946">
            <w:pPr>
              <w:pStyle w:val="ICFTabletext"/>
              <w:rPr>
                <w:highlight w:val="yellow"/>
              </w:rPr>
            </w:pPr>
            <w:r w:rsidRPr="004C12C9">
              <w:t>Aquic soils</w:t>
            </w:r>
          </w:p>
        </w:tc>
      </w:tr>
      <w:tr w:rsidR="000A5946" w:rsidRPr="004C12C9" w14:paraId="03FF597B" w14:textId="77777777" w:rsidTr="000A5946">
        <w:tc>
          <w:tcPr>
            <w:tcW w:w="1525" w:type="dxa"/>
            <w:vAlign w:val="center"/>
          </w:tcPr>
          <w:p w14:paraId="22268109" w14:textId="2A1ACC9F" w:rsidR="000A5946" w:rsidRPr="004C12C9" w:rsidRDefault="000A5946" w:rsidP="000A5946">
            <w:pPr>
              <w:pStyle w:val="ICFTabletext"/>
              <w:rPr>
                <w:highlight w:val="yellow"/>
              </w:rPr>
            </w:pPr>
            <w:r w:rsidRPr="004C12C9">
              <w:t>Mollisols</w:t>
            </w:r>
          </w:p>
        </w:tc>
        <w:tc>
          <w:tcPr>
            <w:tcW w:w="1530" w:type="dxa"/>
            <w:vAlign w:val="center"/>
          </w:tcPr>
          <w:p w14:paraId="3CE1455A" w14:textId="6128ACC0" w:rsidR="000A5946" w:rsidRPr="004C12C9" w:rsidRDefault="000A5946" w:rsidP="000A5946">
            <w:pPr>
              <w:pStyle w:val="ICFTabletext"/>
              <w:rPr>
                <w:highlight w:val="yellow"/>
              </w:rPr>
            </w:pPr>
            <w:r w:rsidRPr="004C12C9">
              <w:t>Udolls</w:t>
            </w:r>
          </w:p>
        </w:tc>
        <w:tc>
          <w:tcPr>
            <w:tcW w:w="1958" w:type="dxa"/>
            <w:vAlign w:val="center"/>
          </w:tcPr>
          <w:p w14:paraId="74EA7BF6" w14:textId="1F1D61C6" w:rsidR="000A5946" w:rsidRPr="004C12C9" w:rsidRDefault="000A5946" w:rsidP="000A5946">
            <w:pPr>
              <w:pStyle w:val="ICFTabletext"/>
              <w:jc w:val="center"/>
              <w:rPr>
                <w:highlight w:val="yellow"/>
              </w:rPr>
            </w:pPr>
            <w:r w:rsidRPr="004C12C9">
              <w:t>145,549,800</w:t>
            </w:r>
          </w:p>
        </w:tc>
        <w:tc>
          <w:tcPr>
            <w:tcW w:w="1828" w:type="dxa"/>
            <w:vAlign w:val="center"/>
          </w:tcPr>
          <w:p w14:paraId="137A7547" w14:textId="3BD39660" w:rsidR="000A5946" w:rsidRPr="004C12C9" w:rsidRDefault="000A5946" w:rsidP="000A5946">
            <w:pPr>
              <w:pStyle w:val="ICFTabletext"/>
              <w:jc w:val="center"/>
              <w:rPr>
                <w:highlight w:val="yellow"/>
              </w:rPr>
            </w:pPr>
            <w:r w:rsidRPr="004C12C9">
              <w:t>17.79%</w:t>
            </w:r>
          </w:p>
        </w:tc>
        <w:tc>
          <w:tcPr>
            <w:tcW w:w="3324" w:type="dxa"/>
            <w:vAlign w:val="center"/>
          </w:tcPr>
          <w:p w14:paraId="3A30FA4E" w14:textId="4053F65A" w:rsidR="000A5946" w:rsidRPr="004C12C9" w:rsidRDefault="000A5946" w:rsidP="000A5946">
            <w:pPr>
              <w:pStyle w:val="ICFTabletext"/>
              <w:rPr>
                <w:highlight w:val="yellow"/>
              </w:rPr>
            </w:pPr>
            <w:r w:rsidRPr="004C12C9">
              <w:t>High clay activity mineral soils</w:t>
            </w:r>
          </w:p>
        </w:tc>
      </w:tr>
      <w:tr w:rsidR="000A5946" w:rsidRPr="004C12C9" w14:paraId="0A255ACC" w14:textId="77777777" w:rsidTr="000A5946">
        <w:tc>
          <w:tcPr>
            <w:tcW w:w="1525" w:type="dxa"/>
            <w:vAlign w:val="center"/>
          </w:tcPr>
          <w:p w14:paraId="400D57FC" w14:textId="70783C68" w:rsidR="000A5946" w:rsidRPr="004C12C9" w:rsidRDefault="000A5946" w:rsidP="000A5946">
            <w:pPr>
              <w:pStyle w:val="ICFTabletext"/>
              <w:rPr>
                <w:highlight w:val="yellow"/>
              </w:rPr>
            </w:pPr>
            <w:r w:rsidRPr="004C12C9">
              <w:t>Alfisols</w:t>
            </w:r>
          </w:p>
        </w:tc>
        <w:tc>
          <w:tcPr>
            <w:tcW w:w="1530" w:type="dxa"/>
            <w:vAlign w:val="center"/>
          </w:tcPr>
          <w:p w14:paraId="749F25BC" w14:textId="4FB248E2" w:rsidR="000A5946" w:rsidRPr="004C12C9" w:rsidRDefault="000A5946" w:rsidP="000A5946">
            <w:pPr>
              <w:pStyle w:val="ICFTabletext"/>
              <w:rPr>
                <w:highlight w:val="yellow"/>
              </w:rPr>
            </w:pPr>
            <w:r w:rsidRPr="004C12C9">
              <w:t>Udalfs</w:t>
            </w:r>
          </w:p>
        </w:tc>
        <w:tc>
          <w:tcPr>
            <w:tcW w:w="1958" w:type="dxa"/>
            <w:vAlign w:val="center"/>
          </w:tcPr>
          <w:p w14:paraId="7762B22C" w14:textId="44E0EA12" w:rsidR="000A5946" w:rsidRPr="004C12C9" w:rsidRDefault="000A5946" w:rsidP="000A5946">
            <w:pPr>
              <w:pStyle w:val="ICFTabletext"/>
              <w:jc w:val="center"/>
              <w:rPr>
                <w:highlight w:val="yellow"/>
              </w:rPr>
            </w:pPr>
            <w:r w:rsidRPr="004C12C9">
              <w:t>158,363,100</w:t>
            </w:r>
          </w:p>
        </w:tc>
        <w:tc>
          <w:tcPr>
            <w:tcW w:w="1828" w:type="dxa"/>
            <w:vAlign w:val="center"/>
          </w:tcPr>
          <w:p w14:paraId="312B7E39" w14:textId="696F5B34" w:rsidR="000A5946" w:rsidRPr="004C12C9" w:rsidRDefault="000A5946" w:rsidP="000A5946">
            <w:pPr>
              <w:pStyle w:val="ICFTabletext"/>
              <w:jc w:val="center"/>
              <w:rPr>
                <w:highlight w:val="yellow"/>
              </w:rPr>
            </w:pPr>
            <w:r w:rsidRPr="004C12C9">
              <w:t>19.35%</w:t>
            </w:r>
          </w:p>
        </w:tc>
        <w:tc>
          <w:tcPr>
            <w:tcW w:w="3324" w:type="dxa"/>
            <w:vAlign w:val="center"/>
          </w:tcPr>
          <w:p w14:paraId="5AF528A6" w14:textId="6722E4DE" w:rsidR="000A5946" w:rsidRPr="004C12C9" w:rsidRDefault="000A5946" w:rsidP="000A5946">
            <w:pPr>
              <w:pStyle w:val="ICFTabletext"/>
              <w:rPr>
                <w:highlight w:val="yellow"/>
              </w:rPr>
            </w:pPr>
            <w:r w:rsidRPr="004C12C9">
              <w:t>Low clay activity mineral soils</w:t>
            </w:r>
          </w:p>
        </w:tc>
      </w:tr>
      <w:tr w:rsidR="000A5946" w:rsidRPr="004C12C9" w14:paraId="789CEF04" w14:textId="77777777" w:rsidTr="000A5946">
        <w:tc>
          <w:tcPr>
            <w:tcW w:w="1525" w:type="dxa"/>
            <w:vAlign w:val="center"/>
          </w:tcPr>
          <w:p w14:paraId="7AC8210F" w14:textId="05A2DD8C" w:rsidR="000A5946" w:rsidRPr="004C12C9" w:rsidRDefault="000A5946" w:rsidP="000A5946">
            <w:pPr>
              <w:pStyle w:val="ICFTabletext"/>
              <w:rPr>
                <w:highlight w:val="yellow"/>
              </w:rPr>
            </w:pPr>
            <w:r w:rsidRPr="004C12C9">
              <w:t>Entisols</w:t>
            </w:r>
          </w:p>
        </w:tc>
        <w:tc>
          <w:tcPr>
            <w:tcW w:w="1530" w:type="dxa"/>
            <w:vAlign w:val="center"/>
          </w:tcPr>
          <w:p w14:paraId="55655B3F" w14:textId="5419F65C" w:rsidR="000A5946" w:rsidRPr="004C12C9" w:rsidRDefault="000A5946" w:rsidP="000A5946">
            <w:pPr>
              <w:pStyle w:val="ICFTabletext"/>
              <w:rPr>
                <w:highlight w:val="yellow"/>
              </w:rPr>
            </w:pPr>
            <w:r w:rsidRPr="004C12C9">
              <w:t>Aquents</w:t>
            </w:r>
          </w:p>
        </w:tc>
        <w:tc>
          <w:tcPr>
            <w:tcW w:w="1958" w:type="dxa"/>
            <w:vAlign w:val="center"/>
          </w:tcPr>
          <w:p w14:paraId="13D0CB63" w14:textId="73A9CA84" w:rsidR="000A5946" w:rsidRPr="004C12C9" w:rsidRDefault="000A5946" w:rsidP="000A5946">
            <w:pPr>
              <w:pStyle w:val="ICFTabletext"/>
              <w:jc w:val="center"/>
              <w:rPr>
                <w:highlight w:val="yellow"/>
              </w:rPr>
            </w:pPr>
            <w:r w:rsidRPr="004C12C9">
              <w:t>9,690,300</w:t>
            </w:r>
          </w:p>
        </w:tc>
        <w:tc>
          <w:tcPr>
            <w:tcW w:w="1828" w:type="dxa"/>
            <w:vAlign w:val="center"/>
          </w:tcPr>
          <w:p w14:paraId="79376A52" w14:textId="61FD7505" w:rsidR="000A5946" w:rsidRPr="004C12C9" w:rsidRDefault="000A5946" w:rsidP="000A5946">
            <w:pPr>
              <w:pStyle w:val="ICFTabletext"/>
              <w:jc w:val="center"/>
              <w:rPr>
                <w:highlight w:val="yellow"/>
              </w:rPr>
            </w:pPr>
            <w:r w:rsidRPr="004C12C9">
              <w:t>1.18%</w:t>
            </w:r>
          </w:p>
        </w:tc>
        <w:tc>
          <w:tcPr>
            <w:tcW w:w="3324" w:type="dxa"/>
            <w:vAlign w:val="center"/>
          </w:tcPr>
          <w:p w14:paraId="6AA93681" w14:textId="2F6050CE" w:rsidR="000A5946" w:rsidRPr="004C12C9" w:rsidRDefault="000A5946" w:rsidP="000A5946">
            <w:pPr>
              <w:pStyle w:val="ICFTabletext"/>
              <w:rPr>
                <w:highlight w:val="yellow"/>
              </w:rPr>
            </w:pPr>
            <w:r w:rsidRPr="004C12C9">
              <w:t>Aquic soils</w:t>
            </w:r>
          </w:p>
        </w:tc>
      </w:tr>
      <w:tr w:rsidR="000A5946" w:rsidRPr="004C12C9" w14:paraId="3959945A" w14:textId="77777777" w:rsidTr="000A5946">
        <w:tc>
          <w:tcPr>
            <w:tcW w:w="1525" w:type="dxa"/>
            <w:vAlign w:val="center"/>
          </w:tcPr>
          <w:p w14:paraId="2737069C" w14:textId="030D1199" w:rsidR="000A5946" w:rsidRPr="004C12C9" w:rsidRDefault="000A5946" w:rsidP="000A5946">
            <w:pPr>
              <w:pStyle w:val="ICFTabletext"/>
              <w:rPr>
                <w:highlight w:val="yellow"/>
              </w:rPr>
            </w:pPr>
            <w:r w:rsidRPr="004C12C9">
              <w:t>Entisols</w:t>
            </w:r>
          </w:p>
        </w:tc>
        <w:tc>
          <w:tcPr>
            <w:tcW w:w="1530" w:type="dxa"/>
            <w:vAlign w:val="center"/>
          </w:tcPr>
          <w:p w14:paraId="7330C35D" w14:textId="2768DCD2" w:rsidR="000A5946" w:rsidRPr="004C12C9" w:rsidRDefault="000A5946" w:rsidP="000A5946">
            <w:pPr>
              <w:pStyle w:val="ICFTabletext"/>
              <w:rPr>
                <w:highlight w:val="yellow"/>
              </w:rPr>
            </w:pPr>
            <w:r w:rsidRPr="004C12C9">
              <w:t>Psamments</w:t>
            </w:r>
          </w:p>
        </w:tc>
        <w:tc>
          <w:tcPr>
            <w:tcW w:w="1958" w:type="dxa"/>
            <w:vAlign w:val="center"/>
          </w:tcPr>
          <w:p w14:paraId="1CA4CD14" w14:textId="2FD8C36C" w:rsidR="000A5946" w:rsidRPr="004C12C9" w:rsidRDefault="000A5946" w:rsidP="000A5946">
            <w:pPr>
              <w:pStyle w:val="ICFTabletext"/>
              <w:jc w:val="center"/>
              <w:rPr>
                <w:highlight w:val="yellow"/>
              </w:rPr>
            </w:pPr>
            <w:r w:rsidRPr="004C12C9">
              <w:t>67,998,600</w:t>
            </w:r>
          </w:p>
        </w:tc>
        <w:tc>
          <w:tcPr>
            <w:tcW w:w="1828" w:type="dxa"/>
            <w:vAlign w:val="center"/>
          </w:tcPr>
          <w:p w14:paraId="6D65710B" w14:textId="2ED82DC0" w:rsidR="000A5946" w:rsidRPr="004C12C9" w:rsidRDefault="000A5946" w:rsidP="000A5946">
            <w:pPr>
              <w:pStyle w:val="ICFTabletext"/>
              <w:jc w:val="center"/>
              <w:rPr>
                <w:highlight w:val="yellow"/>
              </w:rPr>
            </w:pPr>
            <w:r w:rsidRPr="004C12C9">
              <w:t>8.31%</w:t>
            </w:r>
          </w:p>
        </w:tc>
        <w:tc>
          <w:tcPr>
            <w:tcW w:w="3324" w:type="dxa"/>
            <w:vAlign w:val="center"/>
          </w:tcPr>
          <w:p w14:paraId="050559FB" w14:textId="70615C0F" w:rsidR="000A5946" w:rsidRPr="004C12C9" w:rsidRDefault="000A5946" w:rsidP="000A5946">
            <w:pPr>
              <w:pStyle w:val="ICFTabletext"/>
              <w:rPr>
                <w:highlight w:val="yellow"/>
              </w:rPr>
            </w:pPr>
            <w:r w:rsidRPr="004C12C9">
              <w:t>Sandy soils</w:t>
            </w:r>
          </w:p>
        </w:tc>
      </w:tr>
      <w:tr w:rsidR="000A5946" w:rsidRPr="004C12C9" w14:paraId="6DDE716D" w14:textId="77777777" w:rsidTr="000A5946">
        <w:tc>
          <w:tcPr>
            <w:tcW w:w="1525" w:type="dxa"/>
            <w:vAlign w:val="center"/>
          </w:tcPr>
          <w:p w14:paraId="6E21AD61" w14:textId="7CEC2DA5" w:rsidR="000A5946" w:rsidRPr="004C12C9" w:rsidRDefault="000A5946" w:rsidP="000A5946">
            <w:pPr>
              <w:pStyle w:val="ICFTabletext"/>
              <w:rPr>
                <w:highlight w:val="yellow"/>
              </w:rPr>
            </w:pPr>
            <w:r w:rsidRPr="004C12C9">
              <w:t>Inceptisols</w:t>
            </w:r>
          </w:p>
        </w:tc>
        <w:tc>
          <w:tcPr>
            <w:tcW w:w="1530" w:type="dxa"/>
            <w:vAlign w:val="center"/>
          </w:tcPr>
          <w:p w14:paraId="7FBE07EA" w14:textId="0B9FFD1E" w:rsidR="000A5946" w:rsidRPr="004C12C9" w:rsidRDefault="000A5946" w:rsidP="000A5946">
            <w:pPr>
              <w:pStyle w:val="ICFTabletext"/>
              <w:rPr>
                <w:highlight w:val="yellow"/>
              </w:rPr>
            </w:pPr>
            <w:r w:rsidRPr="004C12C9">
              <w:t>Aquepts</w:t>
            </w:r>
          </w:p>
        </w:tc>
        <w:tc>
          <w:tcPr>
            <w:tcW w:w="1958" w:type="dxa"/>
            <w:vAlign w:val="center"/>
          </w:tcPr>
          <w:p w14:paraId="6FF73A2E" w14:textId="5A0BAB38" w:rsidR="000A5946" w:rsidRPr="004C12C9" w:rsidRDefault="000A5946" w:rsidP="000A5946">
            <w:pPr>
              <w:pStyle w:val="ICFTabletext"/>
              <w:jc w:val="center"/>
              <w:rPr>
                <w:highlight w:val="yellow"/>
              </w:rPr>
            </w:pPr>
            <w:r w:rsidRPr="004C12C9">
              <w:t>104,538,600</w:t>
            </w:r>
          </w:p>
        </w:tc>
        <w:tc>
          <w:tcPr>
            <w:tcW w:w="1828" w:type="dxa"/>
            <w:vAlign w:val="center"/>
          </w:tcPr>
          <w:p w14:paraId="26A48555" w14:textId="3E665023" w:rsidR="000A5946" w:rsidRPr="004C12C9" w:rsidRDefault="000A5946" w:rsidP="000A5946">
            <w:pPr>
              <w:pStyle w:val="ICFTabletext"/>
              <w:jc w:val="center"/>
              <w:rPr>
                <w:highlight w:val="yellow"/>
              </w:rPr>
            </w:pPr>
            <w:r w:rsidRPr="004C12C9">
              <w:t>12.77%</w:t>
            </w:r>
          </w:p>
        </w:tc>
        <w:tc>
          <w:tcPr>
            <w:tcW w:w="3324" w:type="dxa"/>
            <w:vAlign w:val="center"/>
          </w:tcPr>
          <w:p w14:paraId="1D0542C0" w14:textId="714D9B1B" w:rsidR="000A5946" w:rsidRPr="004C12C9" w:rsidRDefault="000A5946" w:rsidP="000A5946">
            <w:pPr>
              <w:pStyle w:val="ICFTabletext"/>
              <w:rPr>
                <w:highlight w:val="yellow"/>
              </w:rPr>
            </w:pPr>
            <w:r w:rsidRPr="004C12C9">
              <w:t>Aquic soils</w:t>
            </w:r>
          </w:p>
        </w:tc>
      </w:tr>
      <w:tr w:rsidR="000A5946" w:rsidRPr="004C12C9" w14:paraId="20975A18" w14:textId="77777777" w:rsidTr="000A5946">
        <w:tc>
          <w:tcPr>
            <w:tcW w:w="1525" w:type="dxa"/>
            <w:vAlign w:val="center"/>
          </w:tcPr>
          <w:p w14:paraId="4B726F91" w14:textId="13BE2A37" w:rsidR="000A5946" w:rsidRPr="004C12C9" w:rsidRDefault="000A5946" w:rsidP="000A5946">
            <w:pPr>
              <w:pStyle w:val="ICFTabletext"/>
              <w:rPr>
                <w:highlight w:val="yellow"/>
              </w:rPr>
            </w:pPr>
            <w:r w:rsidRPr="004C12C9">
              <w:t>Histosols</w:t>
            </w:r>
          </w:p>
        </w:tc>
        <w:tc>
          <w:tcPr>
            <w:tcW w:w="1530" w:type="dxa"/>
            <w:vAlign w:val="center"/>
          </w:tcPr>
          <w:p w14:paraId="63FCAEC9" w14:textId="016629F2" w:rsidR="000A5946" w:rsidRPr="004C12C9" w:rsidRDefault="000A5946" w:rsidP="000A5946">
            <w:pPr>
              <w:pStyle w:val="ICFTabletext"/>
              <w:rPr>
                <w:highlight w:val="yellow"/>
              </w:rPr>
            </w:pPr>
            <w:r w:rsidRPr="004C12C9">
              <w:t>Hemists</w:t>
            </w:r>
          </w:p>
        </w:tc>
        <w:tc>
          <w:tcPr>
            <w:tcW w:w="1958" w:type="dxa"/>
            <w:vAlign w:val="center"/>
          </w:tcPr>
          <w:p w14:paraId="3748E238" w14:textId="016CE2F6" w:rsidR="000A5946" w:rsidRPr="004C12C9" w:rsidRDefault="000A5946" w:rsidP="000A5946">
            <w:pPr>
              <w:pStyle w:val="ICFTabletext"/>
              <w:jc w:val="center"/>
              <w:rPr>
                <w:highlight w:val="yellow"/>
              </w:rPr>
            </w:pPr>
            <w:r w:rsidRPr="004C12C9">
              <w:t>10,688,400</w:t>
            </w:r>
          </w:p>
        </w:tc>
        <w:tc>
          <w:tcPr>
            <w:tcW w:w="1828" w:type="dxa"/>
            <w:vAlign w:val="center"/>
          </w:tcPr>
          <w:p w14:paraId="66C7FFBD" w14:textId="456CBDFB" w:rsidR="000A5946" w:rsidRPr="004C12C9" w:rsidRDefault="000A5946" w:rsidP="000A5946">
            <w:pPr>
              <w:pStyle w:val="ICFTabletext"/>
              <w:jc w:val="center"/>
              <w:rPr>
                <w:highlight w:val="yellow"/>
              </w:rPr>
            </w:pPr>
            <w:r w:rsidRPr="004C12C9">
              <w:t>1.31%</w:t>
            </w:r>
          </w:p>
        </w:tc>
        <w:tc>
          <w:tcPr>
            <w:tcW w:w="3324" w:type="dxa"/>
            <w:vAlign w:val="center"/>
          </w:tcPr>
          <w:p w14:paraId="002EDB15" w14:textId="5D58FFF0" w:rsidR="000A5946" w:rsidRPr="004C12C9" w:rsidRDefault="000A5946" w:rsidP="000A5946">
            <w:pPr>
              <w:pStyle w:val="ICFTabletext"/>
              <w:rPr>
                <w:highlight w:val="yellow"/>
              </w:rPr>
            </w:pPr>
            <w:r w:rsidRPr="004C12C9">
              <w:t>Aquic soils</w:t>
            </w:r>
          </w:p>
        </w:tc>
      </w:tr>
      <w:tr w:rsidR="000A5946" w:rsidRPr="004C12C9" w14:paraId="72E5ECF7" w14:textId="77777777" w:rsidTr="000A5946">
        <w:tc>
          <w:tcPr>
            <w:tcW w:w="1525" w:type="dxa"/>
            <w:vAlign w:val="center"/>
          </w:tcPr>
          <w:p w14:paraId="643C1DD9" w14:textId="4763D19A" w:rsidR="000A5946" w:rsidRPr="004C12C9" w:rsidRDefault="000A5946" w:rsidP="000A5946">
            <w:pPr>
              <w:pStyle w:val="ICFTabletext"/>
              <w:rPr>
                <w:highlight w:val="yellow"/>
              </w:rPr>
            </w:pPr>
            <w:r w:rsidRPr="004C12C9">
              <w:t>Entisols</w:t>
            </w:r>
          </w:p>
        </w:tc>
        <w:tc>
          <w:tcPr>
            <w:tcW w:w="1530" w:type="dxa"/>
            <w:vAlign w:val="center"/>
          </w:tcPr>
          <w:p w14:paraId="3F480A49" w14:textId="5B6CCC9F" w:rsidR="000A5946" w:rsidRPr="004C12C9" w:rsidRDefault="000A5946" w:rsidP="000A5946">
            <w:pPr>
              <w:pStyle w:val="ICFTabletext"/>
              <w:rPr>
                <w:highlight w:val="yellow"/>
              </w:rPr>
            </w:pPr>
            <w:r w:rsidRPr="004C12C9">
              <w:t>Fluvents</w:t>
            </w:r>
          </w:p>
        </w:tc>
        <w:tc>
          <w:tcPr>
            <w:tcW w:w="1958" w:type="dxa"/>
            <w:vAlign w:val="center"/>
          </w:tcPr>
          <w:p w14:paraId="0CB91AF9" w14:textId="776D0C0F" w:rsidR="000A5946" w:rsidRPr="004C12C9" w:rsidRDefault="000A5946" w:rsidP="000A5946">
            <w:pPr>
              <w:pStyle w:val="ICFTabletext"/>
              <w:jc w:val="center"/>
              <w:rPr>
                <w:highlight w:val="yellow"/>
              </w:rPr>
            </w:pPr>
            <w:r w:rsidRPr="004C12C9">
              <w:t>829,800</w:t>
            </w:r>
          </w:p>
        </w:tc>
        <w:tc>
          <w:tcPr>
            <w:tcW w:w="1828" w:type="dxa"/>
            <w:vAlign w:val="center"/>
          </w:tcPr>
          <w:p w14:paraId="78A97F7E" w14:textId="0B419C2E" w:rsidR="000A5946" w:rsidRPr="004C12C9" w:rsidRDefault="000A5946" w:rsidP="000A5946">
            <w:pPr>
              <w:pStyle w:val="ICFTabletext"/>
              <w:jc w:val="center"/>
              <w:rPr>
                <w:highlight w:val="yellow"/>
              </w:rPr>
            </w:pPr>
            <w:r w:rsidRPr="004C12C9">
              <w:t>0.10%</w:t>
            </w:r>
          </w:p>
        </w:tc>
        <w:tc>
          <w:tcPr>
            <w:tcW w:w="3324" w:type="dxa"/>
            <w:vAlign w:val="center"/>
          </w:tcPr>
          <w:p w14:paraId="71520710" w14:textId="7CEA0B94" w:rsidR="000A5946" w:rsidRPr="004C12C9" w:rsidRDefault="000A5946" w:rsidP="000A5946">
            <w:pPr>
              <w:pStyle w:val="ICFTabletext"/>
              <w:rPr>
                <w:highlight w:val="yellow"/>
              </w:rPr>
            </w:pPr>
            <w:r w:rsidRPr="004C12C9">
              <w:t>Aquic soils</w:t>
            </w:r>
          </w:p>
        </w:tc>
      </w:tr>
      <w:tr w:rsidR="000A5946" w:rsidRPr="004C12C9" w14:paraId="23FB4658" w14:textId="77777777" w:rsidTr="000A5946">
        <w:tc>
          <w:tcPr>
            <w:tcW w:w="1525" w:type="dxa"/>
            <w:vAlign w:val="center"/>
          </w:tcPr>
          <w:p w14:paraId="64A37AF7" w14:textId="77F2E698" w:rsidR="000A5946" w:rsidRPr="004C12C9" w:rsidRDefault="000A5946" w:rsidP="000A5946">
            <w:pPr>
              <w:pStyle w:val="ICFTabletext"/>
              <w:rPr>
                <w:highlight w:val="yellow"/>
              </w:rPr>
            </w:pPr>
            <w:r w:rsidRPr="004C12C9">
              <w:lastRenderedPageBreak/>
              <w:t>Vertisols</w:t>
            </w:r>
          </w:p>
        </w:tc>
        <w:tc>
          <w:tcPr>
            <w:tcW w:w="1530" w:type="dxa"/>
            <w:vAlign w:val="center"/>
          </w:tcPr>
          <w:p w14:paraId="4D3E1F71" w14:textId="3C855892" w:rsidR="000A5946" w:rsidRPr="004C12C9" w:rsidRDefault="000A5946" w:rsidP="000A5946">
            <w:pPr>
              <w:pStyle w:val="ICFTabletext"/>
              <w:rPr>
                <w:highlight w:val="yellow"/>
              </w:rPr>
            </w:pPr>
            <w:r w:rsidRPr="004C12C9">
              <w:t>Aquerts</w:t>
            </w:r>
          </w:p>
        </w:tc>
        <w:tc>
          <w:tcPr>
            <w:tcW w:w="1958" w:type="dxa"/>
            <w:vAlign w:val="center"/>
          </w:tcPr>
          <w:p w14:paraId="638817EC" w14:textId="6EE2D7A2" w:rsidR="000A5946" w:rsidRPr="004C12C9" w:rsidRDefault="000A5946" w:rsidP="000A5946">
            <w:pPr>
              <w:pStyle w:val="ICFTabletext"/>
              <w:jc w:val="center"/>
              <w:rPr>
                <w:highlight w:val="yellow"/>
              </w:rPr>
            </w:pPr>
            <w:r w:rsidRPr="004C12C9">
              <w:t>346,500</w:t>
            </w:r>
          </w:p>
        </w:tc>
        <w:tc>
          <w:tcPr>
            <w:tcW w:w="1828" w:type="dxa"/>
            <w:vAlign w:val="center"/>
          </w:tcPr>
          <w:p w14:paraId="24E7D113" w14:textId="5ADB4FFD" w:rsidR="000A5946" w:rsidRPr="004C12C9" w:rsidRDefault="000A5946" w:rsidP="000A5946">
            <w:pPr>
              <w:pStyle w:val="ICFTabletext"/>
              <w:jc w:val="center"/>
              <w:rPr>
                <w:highlight w:val="yellow"/>
              </w:rPr>
            </w:pPr>
            <w:r w:rsidRPr="004C12C9">
              <w:t>0.04%</w:t>
            </w:r>
          </w:p>
        </w:tc>
        <w:tc>
          <w:tcPr>
            <w:tcW w:w="3324" w:type="dxa"/>
            <w:vAlign w:val="center"/>
          </w:tcPr>
          <w:p w14:paraId="6EB15448" w14:textId="439FCB39" w:rsidR="000A5946" w:rsidRPr="004C12C9" w:rsidRDefault="000A5946" w:rsidP="000A5946">
            <w:pPr>
              <w:pStyle w:val="ICFTabletext"/>
              <w:rPr>
                <w:highlight w:val="yellow"/>
              </w:rPr>
            </w:pPr>
            <w:r w:rsidRPr="004C12C9">
              <w:t>High clay activity mineral soils</w:t>
            </w:r>
          </w:p>
        </w:tc>
      </w:tr>
      <w:tr w:rsidR="000A5946" w:rsidRPr="004C12C9" w14:paraId="654E2000" w14:textId="77777777" w:rsidTr="000A5946">
        <w:tc>
          <w:tcPr>
            <w:tcW w:w="1525" w:type="dxa"/>
            <w:vAlign w:val="center"/>
          </w:tcPr>
          <w:p w14:paraId="4FBAD7F9" w14:textId="62A39C8C" w:rsidR="000A5946" w:rsidRPr="004C12C9" w:rsidRDefault="000A5946" w:rsidP="000A5946">
            <w:pPr>
              <w:pStyle w:val="ICFTabletext"/>
              <w:rPr>
                <w:highlight w:val="yellow"/>
              </w:rPr>
            </w:pPr>
            <w:r w:rsidRPr="004C12C9">
              <w:t>Entisols</w:t>
            </w:r>
          </w:p>
        </w:tc>
        <w:tc>
          <w:tcPr>
            <w:tcW w:w="1530" w:type="dxa"/>
            <w:vAlign w:val="center"/>
          </w:tcPr>
          <w:p w14:paraId="5B3DFECB" w14:textId="39B999F3" w:rsidR="000A5946" w:rsidRPr="004C12C9" w:rsidRDefault="000A5946" w:rsidP="000A5946">
            <w:pPr>
              <w:pStyle w:val="ICFTabletext"/>
              <w:rPr>
                <w:highlight w:val="yellow"/>
              </w:rPr>
            </w:pPr>
            <w:r w:rsidRPr="004C12C9">
              <w:t>Orthents</w:t>
            </w:r>
          </w:p>
        </w:tc>
        <w:tc>
          <w:tcPr>
            <w:tcW w:w="1958" w:type="dxa"/>
            <w:vAlign w:val="center"/>
          </w:tcPr>
          <w:p w14:paraId="54760B91" w14:textId="7258607D" w:rsidR="000A5946" w:rsidRPr="004C12C9" w:rsidRDefault="000A5946" w:rsidP="000A5946">
            <w:pPr>
              <w:pStyle w:val="ICFTabletext"/>
              <w:jc w:val="center"/>
              <w:rPr>
                <w:highlight w:val="yellow"/>
              </w:rPr>
            </w:pPr>
            <w:r w:rsidRPr="004C12C9">
              <w:t>12,484,800</w:t>
            </w:r>
          </w:p>
        </w:tc>
        <w:tc>
          <w:tcPr>
            <w:tcW w:w="1828" w:type="dxa"/>
            <w:vAlign w:val="center"/>
          </w:tcPr>
          <w:p w14:paraId="55AFD9F1" w14:textId="5F15DB80" w:rsidR="000A5946" w:rsidRPr="004C12C9" w:rsidRDefault="000A5946" w:rsidP="000A5946">
            <w:pPr>
              <w:pStyle w:val="ICFTabletext"/>
              <w:jc w:val="center"/>
              <w:rPr>
                <w:highlight w:val="yellow"/>
              </w:rPr>
            </w:pPr>
            <w:r w:rsidRPr="004C12C9">
              <w:t>1.53%</w:t>
            </w:r>
          </w:p>
        </w:tc>
        <w:tc>
          <w:tcPr>
            <w:tcW w:w="3324" w:type="dxa"/>
            <w:vAlign w:val="center"/>
          </w:tcPr>
          <w:p w14:paraId="4DFC5B79" w14:textId="2299401D" w:rsidR="000A5946" w:rsidRPr="004C12C9" w:rsidRDefault="000A5946" w:rsidP="000A5946">
            <w:pPr>
              <w:pStyle w:val="ICFTabletext"/>
              <w:rPr>
                <w:highlight w:val="yellow"/>
              </w:rPr>
            </w:pPr>
            <w:r w:rsidRPr="004C12C9">
              <w:t>Sandy soils</w:t>
            </w:r>
          </w:p>
        </w:tc>
      </w:tr>
      <w:tr w:rsidR="000A5946" w:rsidRPr="004C12C9" w14:paraId="3285FF3A" w14:textId="77777777" w:rsidTr="000A5946">
        <w:tc>
          <w:tcPr>
            <w:tcW w:w="1525" w:type="dxa"/>
            <w:vAlign w:val="center"/>
          </w:tcPr>
          <w:p w14:paraId="4FB466B2" w14:textId="2053D91E" w:rsidR="000A5946" w:rsidRPr="004C12C9" w:rsidRDefault="000A5946" w:rsidP="000A5946">
            <w:pPr>
              <w:pStyle w:val="ICFTabletext"/>
              <w:rPr>
                <w:highlight w:val="yellow"/>
              </w:rPr>
            </w:pPr>
            <w:r w:rsidRPr="004C12C9">
              <w:t>Mollisols</w:t>
            </w:r>
          </w:p>
        </w:tc>
        <w:tc>
          <w:tcPr>
            <w:tcW w:w="1530" w:type="dxa"/>
            <w:vAlign w:val="center"/>
          </w:tcPr>
          <w:p w14:paraId="779FA7C7" w14:textId="4BBD2592" w:rsidR="000A5946" w:rsidRPr="004C12C9" w:rsidRDefault="000A5946" w:rsidP="000A5946">
            <w:pPr>
              <w:pStyle w:val="ICFTabletext"/>
              <w:rPr>
                <w:highlight w:val="yellow"/>
              </w:rPr>
            </w:pPr>
            <w:r w:rsidRPr="004C12C9">
              <w:t>Albolls</w:t>
            </w:r>
          </w:p>
        </w:tc>
        <w:tc>
          <w:tcPr>
            <w:tcW w:w="1958" w:type="dxa"/>
            <w:vAlign w:val="center"/>
          </w:tcPr>
          <w:p w14:paraId="24EED183" w14:textId="4E7D6CB7" w:rsidR="000A5946" w:rsidRPr="004C12C9" w:rsidRDefault="000A5946" w:rsidP="000A5946">
            <w:pPr>
              <w:pStyle w:val="ICFTabletext"/>
              <w:jc w:val="center"/>
              <w:rPr>
                <w:highlight w:val="yellow"/>
              </w:rPr>
            </w:pPr>
            <w:r w:rsidRPr="004C12C9">
              <w:t>293,400</w:t>
            </w:r>
          </w:p>
        </w:tc>
        <w:tc>
          <w:tcPr>
            <w:tcW w:w="1828" w:type="dxa"/>
            <w:vAlign w:val="center"/>
          </w:tcPr>
          <w:p w14:paraId="17C19B10" w14:textId="73DB4AD4" w:rsidR="000A5946" w:rsidRPr="004C12C9" w:rsidRDefault="000A5946" w:rsidP="000A5946">
            <w:pPr>
              <w:pStyle w:val="ICFTabletext"/>
              <w:jc w:val="center"/>
              <w:rPr>
                <w:highlight w:val="yellow"/>
              </w:rPr>
            </w:pPr>
            <w:r w:rsidRPr="004C12C9">
              <w:t>0.04%</w:t>
            </w:r>
          </w:p>
        </w:tc>
        <w:tc>
          <w:tcPr>
            <w:tcW w:w="3324" w:type="dxa"/>
            <w:vAlign w:val="center"/>
          </w:tcPr>
          <w:p w14:paraId="56D48883" w14:textId="0ACA1087" w:rsidR="000A5946" w:rsidRPr="004C12C9" w:rsidRDefault="000A5946" w:rsidP="000A5946">
            <w:pPr>
              <w:pStyle w:val="ICFTabletext"/>
              <w:rPr>
                <w:highlight w:val="yellow"/>
              </w:rPr>
            </w:pPr>
            <w:r w:rsidRPr="004C12C9">
              <w:t>Aquic soils</w:t>
            </w:r>
          </w:p>
        </w:tc>
      </w:tr>
      <w:tr w:rsidR="000A5946" w:rsidRPr="004C12C9" w14:paraId="255F7AFC" w14:textId="77777777" w:rsidTr="000A5946">
        <w:tc>
          <w:tcPr>
            <w:tcW w:w="1525" w:type="dxa"/>
            <w:vAlign w:val="center"/>
          </w:tcPr>
          <w:p w14:paraId="03CC87E4" w14:textId="32572B6E" w:rsidR="000A5946" w:rsidRPr="004C12C9" w:rsidRDefault="000A5946" w:rsidP="000A5946">
            <w:pPr>
              <w:pStyle w:val="ICFTabletext"/>
              <w:rPr>
                <w:highlight w:val="yellow"/>
              </w:rPr>
            </w:pPr>
            <w:r w:rsidRPr="004C12C9">
              <w:t>Spodosols</w:t>
            </w:r>
          </w:p>
        </w:tc>
        <w:tc>
          <w:tcPr>
            <w:tcW w:w="1530" w:type="dxa"/>
            <w:vAlign w:val="center"/>
          </w:tcPr>
          <w:p w14:paraId="696B6931" w14:textId="5529E92F" w:rsidR="000A5946" w:rsidRPr="004C12C9" w:rsidRDefault="000A5946" w:rsidP="000A5946">
            <w:pPr>
              <w:pStyle w:val="ICFTabletext"/>
              <w:rPr>
                <w:highlight w:val="yellow"/>
              </w:rPr>
            </w:pPr>
            <w:r w:rsidRPr="004C12C9">
              <w:t>Orthods</w:t>
            </w:r>
          </w:p>
        </w:tc>
        <w:tc>
          <w:tcPr>
            <w:tcW w:w="1958" w:type="dxa"/>
            <w:vAlign w:val="center"/>
          </w:tcPr>
          <w:p w14:paraId="7FC58630" w14:textId="402377A9" w:rsidR="000A5946" w:rsidRPr="004C12C9" w:rsidRDefault="000A5946" w:rsidP="000A5946">
            <w:pPr>
              <w:pStyle w:val="ICFTabletext"/>
              <w:jc w:val="center"/>
              <w:rPr>
                <w:highlight w:val="yellow"/>
              </w:rPr>
            </w:pPr>
            <w:r w:rsidRPr="004C12C9">
              <w:t>1,446,300</w:t>
            </w:r>
          </w:p>
        </w:tc>
        <w:tc>
          <w:tcPr>
            <w:tcW w:w="1828" w:type="dxa"/>
            <w:vAlign w:val="center"/>
          </w:tcPr>
          <w:p w14:paraId="12369A9E" w14:textId="3C9FD0DF" w:rsidR="000A5946" w:rsidRPr="004C12C9" w:rsidRDefault="000A5946" w:rsidP="000A5946">
            <w:pPr>
              <w:pStyle w:val="ICFTabletext"/>
              <w:jc w:val="center"/>
              <w:rPr>
                <w:highlight w:val="yellow"/>
              </w:rPr>
            </w:pPr>
            <w:r w:rsidRPr="004C12C9">
              <w:t>0.18%</w:t>
            </w:r>
          </w:p>
        </w:tc>
        <w:tc>
          <w:tcPr>
            <w:tcW w:w="3324" w:type="dxa"/>
            <w:vAlign w:val="center"/>
          </w:tcPr>
          <w:p w14:paraId="5885F045" w14:textId="6F6ECB29" w:rsidR="000A5946" w:rsidRPr="004C12C9" w:rsidRDefault="000A5946" w:rsidP="000A5946">
            <w:pPr>
              <w:pStyle w:val="ICFTabletext"/>
              <w:rPr>
                <w:highlight w:val="yellow"/>
              </w:rPr>
            </w:pPr>
            <w:r w:rsidRPr="004C12C9">
              <w:t>Spodic soils</w:t>
            </w:r>
          </w:p>
        </w:tc>
      </w:tr>
      <w:tr w:rsidR="000A5946" w:rsidRPr="004C12C9" w14:paraId="0FC51928" w14:textId="77777777" w:rsidTr="000A5946">
        <w:tc>
          <w:tcPr>
            <w:tcW w:w="1525" w:type="dxa"/>
            <w:vAlign w:val="center"/>
          </w:tcPr>
          <w:p w14:paraId="791E8E05" w14:textId="29019C2D" w:rsidR="000A5946" w:rsidRPr="004C12C9" w:rsidRDefault="000A5946" w:rsidP="000A5946">
            <w:pPr>
              <w:pStyle w:val="ICFTabletext"/>
              <w:rPr>
                <w:highlight w:val="yellow"/>
              </w:rPr>
            </w:pPr>
            <w:r w:rsidRPr="004C12C9">
              <w:t>Vertisols</w:t>
            </w:r>
          </w:p>
        </w:tc>
        <w:tc>
          <w:tcPr>
            <w:tcW w:w="1530" w:type="dxa"/>
            <w:vAlign w:val="center"/>
          </w:tcPr>
          <w:p w14:paraId="236ABA46" w14:textId="3DD13EDE" w:rsidR="000A5946" w:rsidRPr="004C12C9" w:rsidRDefault="000A5946" w:rsidP="000A5946">
            <w:pPr>
              <w:pStyle w:val="ICFTabletext"/>
              <w:rPr>
                <w:highlight w:val="yellow"/>
              </w:rPr>
            </w:pPr>
            <w:r w:rsidRPr="004C12C9">
              <w:t>Uderts</w:t>
            </w:r>
          </w:p>
        </w:tc>
        <w:tc>
          <w:tcPr>
            <w:tcW w:w="1958" w:type="dxa"/>
            <w:vAlign w:val="center"/>
          </w:tcPr>
          <w:p w14:paraId="0793A594" w14:textId="607F645E" w:rsidR="000A5946" w:rsidRPr="004C12C9" w:rsidRDefault="000A5946" w:rsidP="000A5946">
            <w:pPr>
              <w:pStyle w:val="ICFTabletext"/>
              <w:jc w:val="center"/>
              <w:rPr>
                <w:highlight w:val="yellow"/>
              </w:rPr>
            </w:pPr>
            <w:r w:rsidRPr="004C12C9">
              <w:t>233,100</w:t>
            </w:r>
          </w:p>
        </w:tc>
        <w:tc>
          <w:tcPr>
            <w:tcW w:w="1828" w:type="dxa"/>
            <w:vAlign w:val="center"/>
          </w:tcPr>
          <w:p w14:paraId="67C487EF" w14:textId="5C94324F" w:rsidR="000A5946" w:rsidRPr="004C12C9" w:rsidRDefault="000A5946" w:rsidP="000A5946">
            <w:pPr>
              <w:pStyle w:val="ICFTabletext"/>
              <w:jc w:val="center"/>
              <w:rPr>
                <w:highlight w:val="yellow"/>
              </w:rPr>
            </w:pPr>
            <w:r w:rsidRPr="004C12C9">
              <w:t>0.03%</w:t>
            </w:r>
          </w:p>
        </w:tc>
        <w:tc>
          <w:tcPr>
            <w:tcW w:w="3324" w:type="dxa"/>
            <w:vAlign w:val="center"/>
          </w:tcPr>
          <w:p w14:paraId="243B3DF8" w14:textId="366FF7C5" w:rsidR="000A5946" w:rsidRPr="004C12C9" w:rsidRDefault="000A5946" w:rsidP="000A5946">
            <w:pPr>
              <w:pStyle w:val="ICFTabletext"/>
              <w:rPr>
                <w:highlight w:val="yellow"/>
              </w:rPr>
            </w:pPr>
            <w:r w:rsidRPr="004C12C9">
              <w:t>High clay activity mineral soils</w:t>
            </w:r>
          </w:p>
        </w:tc>
      </w:tr>
      <w:tr w:rsidR="000A5946" w:rsidRPr="004C12C9" w14:paraId="0F0E9ADD" w14:textId="77777777" w:rsidTr="000A5946">
        <w:tc>
          <w:tcPr>
            <w:tcW w:w="1525" w:type="dxa"/>
            <w:vAlign w:val="center"/>
          </w:tcPr>
          <w:p w14:paraId="3FC0FB3F" w14:textId="1F65A04B" w:rsidR="000A5946" w:rsidRPr="004C12C9" w:rsidRDefault="000A5946" w:rsidP="000A5946">
            <w:pPr>
              <w:pStyle w:val="ICFTabletext"/>
              <w:rPr>
                <w:highlight w:val="yellow"/>
              </w:rPr>
            </w:pPr>
            <w:r w:rsidRPr="004C12C9">
              <w:t>Mollisols</w:t>
            </w:r>
          </w:p>
        </w:tc>
        <w:tc>
          <w:tcPr>
            <w:tcW w:w="1530" w:type="dxa"/>
            <w:vAlign w:val="center"/>
          </w:tcPr>
          <w:p w14:paraId="7EB7D57C" w14:textId="18C32854" w:rsidR="000A5946" w:rsidRPr="004C12C9" w:rsidRDefault="000A5946" w:rsidP="000A5946">
            <w:pPr>
              <w:pStyle w:val="ICFTabletext"/>
              <w:rPr>
                <w:highlight w:val="yellow"/>
              </w:rPr>
            </w:pPr>
            <w:r w:rsidRPr="004C12C9">
              <w:t>Ustolls</w:t>
            </w:r>
          </w:p>
        </w:tc>
        <w:tc>
          <w:tcPr>
            <w:tcW w:w="1958" w:type="dxa"/>
            <w:vAlign w:val="center"/>
          </w:tcPr>
          <w:p w14:paraId="6D8B27FD" w14:textId="64C15F5E" w:rsidR="000A5946" w:rsidRPr="004C12C9" w:rsidRDefault="000A5946" w:rsidP="000A5946">
            <w:pPr>
              <w:pStyle w:val="ICFTabletext"/>
              <w:jc w:val="center"/>
              <w:rPr>
                <w:highlight w:val="yellow"/>
              </w:rPr>
            </w:pPr>
            <w:r w:rsidRPr="004C12C9">
              <w:t>1,818,900</w:t>
            </w:r>
          </w:p>
        </w:tc>
        <w:tc>
          <w:tcPr>
            <w:tcW w:w="1828" w:type="dxa"/>
            <w:vAlign w:val="center"/>
          </w:tcPr>
          <w:p w14:paraId="7DB58C16" w14:textId="3686C1B3" w:rsidR="000A5946" w:rsidRPr="004C12C9" w:rsidRDefault="000A5946" w:rsidP="000A5946">
            <w:pPr>
              <w:pStyle w:val="ICFTabletext"/>
              <w:jc w:val="center"/>
              <w:rPr>
                <w:highlight w:val="yellow"/>
              </w:rPr>
            </w:pPr>
            <w:r w:rsidRPr="004C12C9">
              <w:t>0.22%</w:t>
            </w:r>
          </w:p>
        </w:tc>
        <w:tc>
          <w:tcPr>
            <w:tcW w:w="3324" w:type="dxa"/>
            <w:vAlign w:val="center"/>
          </w:tcPr>
          <w:p w14:paraId="69738051" w14:textId="72F3240E" w:rsidR="000A5946" w:rsidRPr="004C12C9" w:rsidRDefault="000A5946" w:rsidP="000A5946">
            <w:pPr>
              <w:pStyle w:val="ICFTabletext"/>
              <w:rPr>
                <w:highlight w:val="yellow"/>
              </w:rPr>
            </w:pPr>
            <w:r w:rsidRPr="004C12C9">
              <w:t>High clay activity mineral soils</w:t>
            </w:r>
          </w:p>
        </w:tc>
      </w:tr>
      <w:tr w:rsidR="000A5946" w:rsidRPr="004C12C9" w14:paraId="0A7650BF" w14:textId="77777777" w:rsidTr="000A5946">
        <w:tc>
          <w:tcPr>
            <w:tcW w:w="1525" w:type="dxa"/>
            <w:vAlign w:val="center"/>
          </w:tcPr>
          <w:p w14:paraId="41674F1C" w14:textId="11EED225" w:rsidR="000A5946" w:rsidRPr="004C12C9" w:rsidRDefault="000A5946" w:rsidP="000A5946">
            <w:pPr>
              <w:pStyle w:val="ICFTabletext"/>
              <w:rPr>
                <w:highlight w:val="yellow"/>
              </w:rPr>
            </w:pPr>
            <w:r w:rsidRPr="004C12C9">
              <w:t>Alfisols</w:t>
            </w:r>
          </w:p>
        </w:tc>
        <w:tc>
          <w:tcPr>
            <w:tcW w:w="1530" w:type="dxa"/>
            <w:vAlign w:val="center"/>
          </w:tcPr>
          <w:p w14:paraId="2DB4DFE5" w14:textId="12008EB1" w:rsidR="000A5946" w:rsidRPr="004C12C9" w:rsidRDefault="000A5946" w:rsidP="000A5946">
            <w:pPr>
              <w:pStyle w:val="ICFTabletext"/>
              <w:rPr>
                <w:highlight w:val="yellow"/>
              </w:rPr>
            </w:pPr>
            <w:r w:rsidRPr="004C12C9">
              <w:t>Ustalfs</w:t>
            </w:r>
          </w:p>
        </w:tc>
        <w:tc>
          <w:tcPr>
            <w:tcW w:w="1958" w:type="dxa"/>
            <w:vAlign w:val="center"/>
          </w:tcPr>
          <w:p w14:paraId="75594C11" w14:textId="360147D7" w:rsidR="000A5946" w:rsidRPr="004C12C9" w:rsidRDefault="000A5946" w:rsidP="000A5946">
            <w:pPr>
              <w:pStyle w:val="ICFTabletext"/>
              <w:jc w:val="center"/>
              <w:rPr>
                <w:highlight w:val="yellow"/>
              </w:rPr>
            </w:pPr>
            <w:r w:rsidRPr="004C12C9">
              <w:t>218,700</w:t>
            </w:r>
          </w:p>
        </w:tc>
        <w:tc>
          <w:tcPr>
            <w:tcW w:w="1828" w:type="dxa"/>
            <w:vAlign w:val="center"/>
          </w:tcPr>
          <w:p w14:paraId="50216C74" w14:textId="327ABB7A" w:rsidR="000A5946" w:rsidRPr="004C12C9" w:rsidRDefault="000A5946" w:rsidP="000A5946">
            <w:pPr>
              <w:pStyle w:val="ICFTabletext"/>
              <w:jc w:val="center"/>
              <w:rPr>
                <w:highlight w:val="yellow"/>
              </w:rPr>
            </w:pPr>
            <w:r w:rsidRPr="004C12C9">
              <w:t>0.03%</w:t>
            </w:r>
          </w:p>
        </w:tc>
        <w:tc>
          <w:tcPr>
            <w:tcW w:w="3324" w:type="dxa"/>
            <w:vAlign w:val="center"/>
          </w:tcPr>
          <w:p w14:paraId="3352CC59" w14:textId="4A9A5A9E" w:rsidR="000A5946" w:rsidRPr="004C12C9" w:rsidRDefault="000A5946" w:rsidP="000A5946">
            <w:pPr>
              <w:pStyle w:val="ICFTabletext"/>
              <w:rPr>
                <w:highlight w:val="yellow"/>
              </w:rPr>
            </w:pPr>
            <w:r w:rsidRPr="004C12C9">
              <w:t>High clay activity mineral soils</w:t>
            </w:r>
          </w:p>
        </w:tc>
      </w:tr>
      <w:tr w:rsidR="000A5946" w:rsidRPr="004C12C9" w14:paraId="39225A24" w14:textId="77777777" w:rsidTr="000A5946">
        <w:tc>
          <w:tcPr>
            <w:tcW w:w="1525" w:type="dxa"/>
            <w:vAlign w:val="center"/>
          </w:tcPr>
          <w:p w14:paraId="01A720D8" w14:textId="76CC9FCD" w:rsidR="000A5946" w:rsidRPr="004C12C9" w:rsidRDefault="000A5946" w:rsidP="000A5946">
            <w:pPr>
              <w:pStyle w:val="ICFTabletext"/>
              <w:rPr>
                <w:highlight w:val="yellow"/>
              </w:rPr>
            </w:pPr>
            <w:r w:rsidRPr="004C12C9">
              <w:t>Inceptisols</w:t>
            </w:r>
          </w:p>
        </w:tc>
        <w:tc>
          <w:tcPr>
            <w:tcW w:w="1530" w:type="dxa"/>
            <w:vAlign w:val="center"/>
          </w:tcPr>
          <w:p w14:paraId="1EDA5A00" w14:textId="231B6AF8" w:rsidR="000A5946" w:rsidRPr="004C12C9" w:rsidRDefault="000A5946" w:rsidP="000A5946">
            <w:pPr>
              <w:pStyle w:val="ICFTabletext"/>
              <w:rPr>
                <w:highlight w:val="yellow"/>
              </w:rPr>
            </w:pPr>
            <w:r w:rsidRPr="004C12C9">
              <w:t>Ochrepts</w:t>
            </w:r>
          </w:p>
        </w:tc>
        <w:tc>
          <w:tcPr>
            <w:tcW w:w="1958" w:type="dxa"/>
            <w:vAlign w:val="center"/>
          </w:tcPr>
          <w:p w14:paraId="7BF67C31" w14:textId="1D4B791F" w:rsidR="000A5946" w:rsidRPr="004C12C9" w:rsidRDefault="000A5946" w:rsidP="000A5946">
            <w:pPr>
              <w:pStyle w:val="ICFTabletext"/>
              <w:jc w:val="center"/>
              <w:rPr>
                <w:highlight w:val="yellow"/>
              </w:rPr>
            </w:pPr>
            <w:r w:rsidRPr="004C12C9">
              <w:t>424,800</w:t>
            </w:r>
          </w:p>
        </w:tc>
        <w:tc>
          <w:tcPr>
            <w:tcW w:w="1828" w:type="dxa"/>
            <w:vAlign w:val="center"/>
          </w:tcPr>
          <w:p w14:paraId="5395CD47" w14:textId="3C06A25A" w:rsidR="000A5946" w:rsidRPr="004C12C9" w:rsidRDefault="000A5946" w:rsidP="000A5946">
            <w:pPr>
              <w:pStyle w:val="ICFTabletext"/>
              <w:jc w:val="center"/>
              <w:rPr>
                <w:highlight w:val="yellow"/>
              </w:rPr>
            </w:pPr>
            <w:r w:rsidRPr="004C12C9">
              <w:t>0.05%</w:t>
            </w:r>
          </w:p>
        </w:tc>
        <w:tc>
          <w:tcPr>
            <w:tcW w:w="3324" w:type="dxa"/>
            <w:vAlign w:val="center"/>
          </w:tcPr>
          <w:p w14:paraId="03A3ACA1" w14:textId="1356C2A5" w:rsidR="000A5946" w:rsidRPr="004C12C9" w:rsidRDefault="000A5946" w:rsidP="000A5946">
            <w:pPr>
              <w:pStyle w:val="ICFTabletext"/>
              <w:rPr>
                <w:highlight w:val="yellow"/>
              </w:rPr>
            </w:pPr>
            <w:r w:rsidRPr="004C12C9">
              <w:t>High clay activity mineral soils</w:t>
            </w:r>
          </w:p>
        </w:tc>
      </w:tr>
      <w:tr w:rsidR="000A5946" w:rsidRPr="004C12C9" w14:paraId="011285BB" w14:textId="77777777" w:rsidTr="000A5946">
        <w:tc>
          <w:tcPr>
            <w:tcW w:w="1525" w:type="dxa"/>
            <w:vAlign w:val="center"/>
          </w:tcPr>
          <w:p w14:paraId="35C93EFA" w14:textId="6DE36A5B" w:rsidR="000A5946" w:rsidRPr="004C12C9" w:rsidRDefault="000A5946" w:rsidP="000A5946">
            <w:pPr>
              <w:pStyle w:val="ICFTabletext"/>
            </w:pPr>
            <w:r w:rsidRPr="004C12C9">
              <w:t>Alfisols</w:t>
            </w:r>
          </w:p>
        </w:tc>
        <w:tc>
          <w:tcPr>
            <w:tcW w:w="1530" w:type="dxa"/>
            <w:vAlign w:val="center"/>
          </w:tcPr>
          <w:p w14:paraId="6B993944" w14:textId="48742316" w:rsidR="000A5946" w:rsidRPr="004C12C9" w:rsidRDefault="000A5946" w:rsidP="000A5946">
            <w:pPr>
              <w:pStyle w:val="ICFTabletext"/>
            </w:pPr>
            <w:r w:rsidRPr="004C12C9">
              <w:t>Boralfs</w:t>
            </w:r>
          </w:p>
        </w:tc>
        <w:tc>
          <w:tcPr>
            <w:tcW w:w="1958" w:type="dxa"/>
            <w:vAlign w:val="center"/>
          </w:tcPr>
          <w:p w14:paraId="0B55188E" w14:textId="03B8565A" w:rsidR="000A5946" w:rsidRPr="004C12C9" w:rsidRDefault="000A5946" w:rsidP="000A5946">
            <w:pPr>
              <w:pStyle w:val="ICFTabletext"/>
              <w:jc w:val="center"/>
            </w:pPr>
            <w:r w:rsidRPr="004C12C9">
              <w:t>3,085,200</w:t>
            </w:r>
          </w:p>
        </w:tc>
        <w:tc>
          <w:tcPr>
            <w:tcW w:w="1828" w:type="dxa"/>
            <w:vAlign w:val="center"/>
          </w:tcPr>
          <w:p w14:paraId="12E07DFC" w14:textId="383578EF" w:rsidR="000A5946" w:rsidRPr="004C12C9" w:rsidRDefault="000A5946" w:rsidP="000A5946">
            <w:pPr>
              <w:pStyle w:val="ICFTabletext"/>
              <w:jc w:val="center"/>
            </w:pPr>
            <w:r w:rsidRPr="004C12C9">
              <w:t>0.38%</w:t>
            </w:r>
          </w:p>
        </w:tc>
        <w:tc>
          <w:tcPr>
            <w:tcW w:w="3324" w:type="dxa"/>
            <w:vAlign w:val="center"/>
          </w:tcPr>
          <w:p w14:paraId="0481C295" w14:textId="7EDD1551" w:rsidR="000A5946" w:rsidRPr="004C12C9" w:rsidRDefault="000A5946" w:rsidP="000A5946">
            <w:pPr>
              <w:pStyle w:val="ICFTabletext"/>
            </w:pPr>
            <w:r w:rsidRPr="004C12C9">
              <w:t>Low clay activity mineral soils</w:t>
            </w:r>
          </w:p>
        </w:tc>
      </w:tr>
    </w:tbl>
    <w:p w14:paraId="569A02F6" w14:textId="3056AE0A" w:rsidR="00FC16E7" w:rsidRPr="004C12C9" w:rsidRDefault="00FC16E7" w:rsidP="006A7EA7">
      <w:pPr>
        <w:pStyle w:val="Heading5"/>
      </w:pPr>
      <w:r w:rsidRPr="004C12C9">
        <w:t>Cropland</w:t>
      </w:r>
    </w:p>
    <w:p w14:paraId="6D707E64" w14:textId="305E08D2" w:rsidR="00FC16E7" w:rsidRPr="004C12C9" w:rsidRDefault="00FC16E7" w:rsidP="00972CF9">
      <w:r w:rsidRPr="004C12C9">
        <w:t>The carbon stock for cropland was derived by combining the estimated carbon stocks of aboveground biomass, belowground biomass, and soil organic carbon pools. Total carbon stock in aboveground and belowground biomass for annual cropland were obtained from Chapter 5 of the 2019 Refinement to the 2006 IPCC Guidelines (see</w:t>
      </w:r>
      <w:r w:rsidR="00257B18">
        <w:t xml:space="preserve"> </w:t>
      </w:r>
      <w:r w:rsidR="00257B18">
        <w:fldChar w:fldCharType="begin"/>
      </w:r>
      <w:r w:rsidR="00257B18">
        <w:instrText xml:space="preserve"> REF _Ref219828564 \h </w:instrText>
      </w:r>
      <w:r w:rsidR="00257B18">
        <w:fldChar w:fldCharType="separate"/>
      </w:r>
      <w:r w:rsidR="00257B18" w:rsidRPr="004C12C9">
        <w:t xml:space="preserve">Table </w:t>
      </w:r>
      <w:r w:rsidR="00257B18">
        <w:rPr>
          <w:noProof/>
        </w:rPr>
        <w:t>2</w:t>
      </w:r>
      <w:r w:rsidR="00257B18">
        <w:noBreakHyphen/>
      </w:r>
      <w:r w:rsidR="00257B18">
        <w:rPr>
          <w:noProof/>
        </w:rPr>
        <w:t>42</w:t>
      </w:r>
      <w:r w:rsidR="00257B18">
        <w:fldChar w:fldCharType="end"/>
      </w:r>
      <w:r w:rsidRPr="004C12C9">
        <w:t>).</w:t>
      </w:r>
      <w:r w:rsidR="003C3CA0">
        <w:rPr>
          <w:rFonts w:ascii="ZWAdobeF" w:hAnsi="ZWAdobeF" w:cs="ZWAdobeF"/>
          <w:sz w:val="2"/>
          <w:szCs w:val="2"/>
        </w:rPr>
        <w:t>54F</w:t>
      </w:r>
      <w:r w:rsidRPr="004C12C9">
        <w:rPr>
          <w:rStyle w:val="FootnoteReference"/>
        </w:rPr>
        <w:footnoteReference w:id="58"/>
      </w:r>
      <w:r w:rsidRPr="004C12C9">
        <w:t xml:space="preserve"> </w:t>
      </w:r>
      <w:r w:rsidR="00C00BA9" w:rsidRPr="004C12C9">
        <w:t xml:space="preserve">The soil organic carbon stock assumption was derived based on carbon stock estimates by soil type for cropland for cold temperate, moist climates, as obtained from USDA (see </w:t>
      </w:r>
      <w:r w:rsidR="00257B18">
        <w:fldChar w:fldCharType="begin"/>
      </w:r>
      <w:r w:rsidR="00257B18">
        <w:instrText xml:space="preserve"> REF _Ref219828575 \h </w:instrText>
      </w:r>
      <w:r w:rsidR="00257B18">
        <w:fldChar w:fldCharType="separate"/>
      </w:r>
      <w:r w:rsidR="00257B18" w:rsidRPr="004C12C9">
        <w:t xml:space="preserve">Table </w:t>
      </w:r>
      <w:r w:rsidR="00257B18">
        <w:rPr>
          <w:noProof/>
        </w:rPr>
        <w:t>2</w:t>
      </w:r>
      <w:r w:rsidR="00257B18">
        <w:noBreakHyphen/>
      </w:r>
      <w:r w:rsidR="00257B18">
        <w:rPr>
          <w:noProof/>
        </w:rPr>
        <w:t>43</w:t>
      </w:r>
      <w:r w:rsidR="00257B18">
        <w:fldChar w:fldCharType="end"/>
      </w:r>
      <w:r w:rsidR="00B403EB" w:rsidRPr="004C12C9">
        <w:fldChar w:fldCharType="begin" w:fldLock="1"/>
      </w:r>
      <w:r w:rsidR="00B403EB" w:rsidRPr="004C12C9">
        <w:instrText xml:space="preserve"> REF _Ref199249500 \h </w:instrText>
      </w:r>
      <w:r w:rsidR="00B403EB" w:rsidRPr="004C12C9">
        <w:fldChar w:fldCharType="separate"/>
      </w:r>
      <w:r w:rsidR="00B403EB" w:rsidRPr="004C12C9">
        <w:fldChar w:fldCharType="end"/>
      </w:r>
      <w:r w:rsidRPr="004C12C9">
        <w:fldChar w:fldCharType="begin" w:fldLock="1"/>
      </w:r>
      <w:r w:rsidRPr="004C12C9">
        <w:rPr>
          <w:highlight w:val="yellow"/>
        </w:rPr>
        <w:instrText xml:space="preserve"> REF _Ref193205817 \h </w:instrText>
      </w:r>
      <w:r w:rsidR="00B813F9" w:rsidRPr="004C12C9">
        <w:rPr>
          <w:highlight w:val="yellow"/>
        </w:rPr>
        <w:instrText xml:space="preserve"> \* MERGEFORMAT </w:instrText>
      </w:r>
      <w:r w:rsidRPr="004C12C9">
        <w:fldChar w:fldCharType="separate"/>
      </w:r>
      <w:r w:rsidRPr="004C12C9">
        <w:fldChar w:fldCharType="end"/>
      </w:r>
      <w:r w:rsidR="00C00BA9" w:rsidRPr="004C12C9">
        <w:t>),</w:t>
      </w:r>
      <w:r w:rsidR="003C3CA0">
        <w:rPr>
          <w:rFonts w:ascii="ZWAdobeF" w:hAnsi="ZWAdobeF" w:cs="ZWAdobeF"/>
          <w:sz w:val="2"/>
          <w:szCs w:val="2"/>
        </w:rPr>
        <w:t>55F</w:t>
      </w:r>
      <w:r w:rsidR="00C00BA9" w:rsidRPr="004C12C9">
        <w:rPr>
          <w:rStyle w:val="FootnoteReference"/>
        </w:rPr>
        <w:footnoteReference w:id="59"/>
      </w:r>
      <w:r w:rsidR="00C00BA9" w:rsidRPr="004C12C9">
        <w:t xml:space="preserve"> and the breakdown of soil types across </w:t>
      </w:r>
      <w:r w:rsidR="00D32E51" w:rsidRPr="004C12C9">
        <w:t>cropland</w:t>
      </w:r>
      <w:r w:rsidR="00C00BA9" w:rsidRPr="004C12C9">
        <w:t xml:space="preserve"> in Minnesota, as obtained from the Gridded Soil Survey Geographic (gSSURGO) Database (see</w:t>
      </w:r>
      <w:r w:rsidR="00257B18">
        <w:t xml:space="preserve"> </w:t>
      </w:r>
      <w:r w:rsidR="00257B18">
        <w:fldChar w:fldCharType="begin"/>
      </w:r>
      <w:r w:rsidR="00257B18">
        <w:instrText xml:space="preserve"> REF _Ref219828583 \h </w:instrText>
      </w:r>
      <w:r w:rsidR="00257B18">
        <w:fldChar w:fldCharType="separate"/>
      </w:r>
      <w:r w:rsidR="00257B18" w:rsidRPr="004C12C9">
        <w:t xml:space="preserve">Table </w:t>
      </w:r>
      <w:r w:rsidR="00257B18">
        <w:rPr>
          <w:noProof/>
        </w:rPr>
        <w:t>2</w:t>
      </w:r>
      <w:r w:rsidR="00257B18">
        <w:noBreakHyphen/>
      </w:r>
      <w:r w:rsidR="00257B18">
        <w:rPr>
          <w:noProof/>
        </w:rPr>
        <w:t>44</w:t>
      </w:r>
      <w:r w:rsidR="00257B18">
        <w:fldChar w:fldCharType="end"/>
      </w:r>
      <w:r w:rsidR="00C00BA9" w:rsidRPr="004C12C9">
        <w:t>).</w:t>
      </w:r>
      <w:r w:rsidR="003C3CA0">
        <w:rPr>
          <w:rFonts w:ascii="ZWAdobeF" w:hAnsi="ZWAdobeF" w:cs="ZWAdobeF"/>
          <w:sz w:val="2"/>
          <w:szCs w:val="2"/>
        </w:rPr>
        <w:t>56F</w:t>
      </w:r>
      <w:r w:rsidR="00C00BA9" w:rsidRPr="004C12C9">
        <w:rPr>
          <w:rStyle w:val="FootnoteReference"/>
        </w:rPr>
        <w:footnoteReference w:id="60"/>
      </w:r>
      <w:r w:rsidR="00C00BA9" w:rsidRPr="004C12C9">
        <w:t xml:space="preserve"> </w:t>
      </w:r>
      <w:r w:rsidR="00BB2A2D" w:rsidRPr="004C12C9">
        <w:t xml:space="preserve">The resulting soil carbon stock assumption for cropland in Minnesota is </w:t>
      </w:r>
      <w:r w:rsidR="006E1344" w:rsidRPr="004C12C9">
        <w:t>75.6</w:t>
      </w:r>
      <w:r w:rsidR="00BB2A2D" w:rsidRPr="004C12C9">
        <w:t xml:space="preserve"> metric tons carbon per hectare.</w:t>
      </w:r>
    </w:p>
    <w:p w14:paraId="0FADB92B" w14:textId="1D53BC84" w:rsidR="00FC16E7" w:rsidRPr="004C12C9" w:rsidRDefault="00FC16E7" w:rsidP="000A4F39">
      <w:pPr>
        <w:pStyle w:val="Caption"/>
      </w:pPr>
      <w:bookmarkStart w:id="121" w:name="_Ref219828564"/>
      <w:bookmarkStart w:id="122" w:name="_Ref193208105"/>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42</w:t>
      </w:r>
      <w:r w:rsidR="00F72B41">
        <w:fldChar w:fldCharType="end"/>
      </w:r>
      <w:bookmarkEnd w:id="121"/>
      <w:bookmarkEnd w:id="122"/>
      <w:r w:rsidRPr="004C12C9">
        <w:t>. Default Biomass Carbon Stock Present on Land Converted to Cropland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6030"/>
      </w:tblGrid>
      <w:tr w:rsidR="00FC16E7" w:rsidRPr="004C12C9" w14:paraId="75844F02" w14:textId="77777777" w:rsidTr="003246FC">
        <w:tc>
          <w:tcPr>
            <w:tcW w:w="3235" w:type="dxa"/>
            <w:shd w:val="clear" w:color="auto" w:fill="D9D9D9" w:themeFill="background1" w:themeFillShade="D9"/>
            <w:vAlign w:val="center"/>
          </w:tcPr>
          <w:p w14:paraId="16A55D66" w14:textId="77777777" w:rsidR="00FC16E7" w:rsidRPr="004C12C9" w:rsidRDefault="00FC16E7" w:rsidP="000A4F39">
            <w:pPr>
              <w:pStyle w:val="ICFTableHeading"/>
              <w:keepNext/>
            </w:pPr>
            <w:r w:rsidRPr="004C12C9">
              <w:t>Crop type by climate region</w:t>
            </w:r>
          </w:p>
        </w:tc>
        <w:tc>
          <w:tcPr>
            <w:tcW w:w="6030" w:type="dxa"/>
            <w:shd w:val="clear" w:color="auto" w:fill="D9D9D9" w:themeFill="background1" w:themeFillShade="D9"/>
          </w:tcPr>
          <w:p w14:paraId="5AEDF2B1" w14:textId="6316458F" w:rsidR="00FC16E7" w:rsidRPr="004C12C9" w:rsidRDefault="00FC16E7" w:rsidP="003246FC">
            <w:pPr>
              <w:pStyle w:val="ICFTableHeading"/>
              <w:keepNext/>
            </w:pPr>
            <w:r w:rsidRPr="004C12C9">
              <w:t>Carbon stock in biomass after one year</w:t>
            </w:r>
            <w:r w:rsidR="003246FC" w:rsidRPr="004C12C9">
              <w:t xml:space="preserve"> </w:t>
            </w:r>
            <w:r w:rsidRPr="004C12C9">
              <w:t>(MT C per hectare)</w:t>
            </w:r>
          </w:p>
        </w:tc>
      </w:tr>
      <w:tr w:rsidR="00FC16E7" w:rsidRPr="004C12C9" w14:paraId="1DBE0B6E" w14:textId="77777777" w:rsidTr="003246FC">
        <w:tc>
          <w:tcPr>
            <w:tcW w:w="3235" w:type="dxa"/>
          </w:tcPr>
          <w:p w14:paraId="6FD7F057" w14:textId="33EE0251" w:rsidR="00FC16E7" w:rsidRPr="004C12C9" w:rsidRDefault="00FC16E7" w:rsidP="000A4F39">
            <w:pPr>
              <w:pStyle w:val="ICFTabletext"/>
            </w:pPr>
            <w:r w:rsidRPr="004C12C9">
              <w:t xml:space="preserve">Annual </w:t>
            </w:r>
            <w:r w:rsidR="00AA19A9" w:rsidRPr="004C12C9">
              <w:t>c</w:t>
            </w:r>
            <w:r w:rsidRPr="004C12C9">
              <w:t xml:space="preserve">ropland </w:t>
            </w:r>
          </w:p>
        </w:tc>
        <w:tc>
          <w:tcPr>
            <w:tcW w:w="6030" w:type="dxa"/>
          </w:tcPr>
          <w:p w14:paraId="4A2C3A1B" w14:textId="77777777" w:rsidR="00FC16E7" w:rsidRPr="004C12C9" w:rsidRDefault="00FC16E7" w:rsidP="003246FC">
            <w:pPr>
              <w:pStyle w:val="ICFTabletext"/>
              <w:jc w:val="center"/>
            </w:pPr>
            <w:r w:rsidRPr="004C12C9">
              <w:t>4.7</w:t>
            </w:r>
          </w:p>
        </w:tc>
      </w:tr>
    </w:tbl>
    <w:p w14:paraId="2B48BF59" w14:textId="71EE0437" w:rsidR="00FC16E7" w:rsidRPr="004C12C9" w:rsidRDefault="00B403EB" w:rsidP="00972CF9">
      <w:pPr>
        <w:pStyle w:val="Caption"/>
      </w:pPr>
      <w:bookmarkStart w:id="123" w:name="_Ref219828575"/>
      <w:bookmarkStart w:id="124" w:name="_Ref199249500"/>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43</w:t>
      </w:r>
      <w:r w:rsidR="00F72B41">
        <w:fldChar w:fldCharType="end"/>
      </w:r>
      <w:bookmarkEnd w:id="123"/>
      <w:bookmarkEnd w:id="124"/>
      <w:r w:rsidRPr="004C12C9">
        <w:t xml:space="preserve">. </w:t>
      </w:r>
      <w:r w:rsidR="00FC16E7" w:rsidRPr="004C12C9">
        <w:t xml:space="preserve">Soil Organic Carbon Stocks </w:t>
      </w:r>
      <w:r w:rsidR="00A74BAD" w:rsidRPr="004C12C9">
        <w:t>for Cropland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3595"/>
      </w:tblGrid>
      <w:tr w:rsidR="00A74BAD" w:rsidRPr="004C12C9" w14:paraId="32E92B6A" w14:textId="77777777">
        <w:trPr>
          <w:tblHeader/>
        </w:trPr>
        <w:tc>
          <w:tcPr>
            <w:tcW w:w="3145" w:type="dxa"/>
            <w:shd w:val="clear" w:color="auto" w:fill="D9D9D9" w:themeFill="background1" w:themeFillShade="D9"/>
            <w:vAlign w:val="center"/>
          </w:tcPr>
          <w:p w14:paraId="3C3F85AF" w14:textId="77777777" w:rsidR="00A74BAD" w:rsidRPr="004C12C9" w:rsidRDefault="00A74BAD">
            <w:pPr>
              <w:pStyle w:val="ICFTableHeading"/>
              <w:keepNext/>
            </w:pPr>
            <w:r w:rsidRPr="004C12C9">
              <w:t>IPCC Soil Category</w:t>
            </w:r>
          </w:p>
        </w:tc>
        <w:tc>
          <w:tcPr>
            <w:tcW w:w="3595" w:type="dxa"/>
            <w:shd w:val="clear" w:color="auto" w:fill="D9D9D9" w:themeFill="background1" w:themeFillShade="D9"/>
          </w:tcPr>
          <w:p w14:paraId="6BF8628A" w14:textId="77777777" w:rsidR="00A74BAD" w:rsidRPr="004C12C9" w:rsidRDefault="00A74BAD">
            <w:pPr>
              <w:pStyle w:val="ICFTableHeading"/>
              <w:keepNext/>
            </w:pPr>
            <w:r w:rsidRPr="004C12C9">
              <w:t>Carbon Stock (MT C per hectare)</w:t>
            </w:r>
          </w:p>
        </w:tc>
      </w:tr>
      <w:tr w:rsidR="00A74BAD" w:rsidRPr="004C12C9" w14:paraId="315650E7" w14:textId="77777777">
        <w:tc>
          <w:tcPr>
            <w:tcW w:w="3145" w:type="dxa"/>
          </w:tcPr>
          <w:p w14:paraId="36334EE9" w14:textId="77777777" w:rsidR="00A74BAD" w:rsidRPr="004C12C9" w:rsidRDefault="00A74BAD">
            <w:pPr>
              <w:pStyle w:val="ICFTabletext"/>
              <w:keepNext/>
              <w:rPr>
                <w:highlight w:val="yellow"/>
              </w:rPr>
            </w:pPr>
            <w:r w:rsidRPr="004C12C9">
              <w:t xml:space="preserve">High clay activity mineral soils </w:t>
            </w:r>
          </w:p>
        </w:tc>
        <w:tc>
          <w:tcPr>
            <w:tcW w:w="3595" w:type="dxa"/>
          </w:tcPr>
          <w:p w14:paraId="69670C78" w14:textId="77777777" w:rsidR="00A74BAD" w:rsidRPr="004C12C9" w:rsidRDefault="00A74BAD">
            <w:pPr>
              <w:pStyle w:val="ICFTabletext"/>
              <w:keepNext/>
              <w:jc w:val="center"/>
              <w:rPr>
                <w:highlight w:val="yellow"/>
              </w:rPr>
            </w:pPr>
            <w:r w:rsidRPr="004C12C9">
              <w:t>65</w:t>
            </w:r>
          </w:p>
        </w:tc>
      </w:tr>
      <w:tr w:rsidR="00A74BAD" w:rsidRPr="004C12C9" w14:paraId="7F2B7FED" w14:textId="77777777">
        <w:tc>
          <w:tcPr>
            <w:tcW w:w="3145" w:type="dxa"/>
          </w:tcPr>
          <w:p w14:paraId="576A8AAE" w14:textId="77777777" w:rsidR="00A74BAD" w:rsidRPr="004C12C9" w:rsidRDefault="00A74BAD">
            <w:pPr>
              <w:pStyle w:val="ICFTabletext"/>
              <w:rPr>
                <w:highlight w:val="yellow"/>
              </w:rPr>
            </w:pPr>
            <w:r w:rsidRPr="004C12C9">
              <w:t xml:space="preserve">Low clay activity mineral soils </w:t>
            </w:r>
          </w:p>
        </w:tc>
        <w:tc>
          <w:tcPr>
            <w:tcW w:w="3595" w:type="dxa"/>
          </w:tcPr>
          <w:p w14:paraId="2D570A1B" w14:textId="77777777" w:rsidR="00A74BAD" w:rsidRPr="004C12C9" w:rsidRDefault="00A74BAD">
            <w:pPr>
              <w:pStyle w:val="ICFTabletext"/>
              <w:jc w:val="center"/>
              <w:rPr>
                <w:highlight w:val="yellow"/>
              </w:rPr>
            </w:pPr>
            <w:r w:rsidRPr="004C12C9">
              <w:t>52</w:t>
            </w:r>
          </w:p>
        </w:tc>
      </w:tr>
      <w:tr w:rsidR="00A74BAD" w:rsidRPr="004C12C9" w14:paraId="16212CD5" w14:textId="77777777">
        <w:tc>
          <w:tcPr>
            <w:tcW w:w="3145" w:type="dxa"/>
          </w:tcPr>
          <w:p w14:paraId="42D7AA4C" w14:textId="77777777" w:rsidR="00A74BAD" w:rsidRPr="004C12C9" w:rsidRDefault="00A74BAD">
            <w:pPr>
              <w:pStyle w:val="ICFTabletext"/>
              <w:rPr>
                <w:highlight w:val="yellow"/>
              </w:rPr>
            </w:pPr>
            <w:r w:rsidRPr="004C12C9">
              <w:t xml:space="preserve">Sandy soils </w:t>
            </w:r>
          </w:p>
        </w:tc>
        <w:tc>
          <w:tcPr>
            <w:tcW w:w="3595" w:type="dxa"/>
          </w:tcPr>
          <w:p w14:paraId="66AD018B" w14:textId="77777777" w:rsidR="00A74BAD" w:rsidRPr="004C12C9" w:rsidRDefault="00A74BAD">
            <w:pPr>
              <w:pStyle w:val="ICFTabletext"/>
              <w:jc w:val="center"/>
              <w:rPr>
                <w:highlight w:val="yellow"/>
              </w:rPr>
            </w:pPr>
            <w:r w:rsidRPr="004C12C9">
              <w:t>40</w:t>
            </w:r>
          </w:p>
        </w:tc>
      </w:tr>
      <w:tr w:rsidR="00A74BAD" w:rsidRPr="004C12C9" w14:paraId="37CFAEEB" w14:textId="77777777">
        <w:tc>
          <w:tcPr>
            <w:tcW w:w="3145" w:type="dxa"/>
          </w:tcPr>
          <w:p w14:paraId="11C19A1C" w14:textId="77777777" w:rsidR="00A74BAD" w:rsidRPr="004C12C9" w:rsidRDefault="00A74BAD">
            <w:pPr>
              <w:pStyle w:val="ICFTabletext"/>
              <w:rPr>
                <w:highlight w:val="yellow"/>
              </w:rPr>
            </w:pPr>
            <w:r w:rsidRPr="004C12C9">
              <w:t>Spodic soils</w:t>
            </w:r>
          </w:p>
        </w:tc>
        <w:tc>
          <w:tcPr>
            <w:tcW w:w="3595" w:type="dxa"/>
          </w:tcPr>
          <w:p w14:paraId="4B41D686" w14:textId="77777777" w:rsidR="00A74BAD" w:rsidRPr="004C12C9" w:rsidRDefault="00A74BAD">
            <w:pPr>
              <w:pStyle w:val="ICFTabletext"/>
              <w:jc w:val="center"/>
              <w:rPr>
                <w:highlight w:val="yellow"/>
              </w:rPr>
            </w:pPr>
            <w:r w:rsidRPr="004C12C9">
              <w:t>74</w:t>
            </w:r>
          </w:p>
        </w:tc>
      </w:tr>
      <w:tr w:rsidR="00A74BAD" w:rsidRPr="004C12C9" w14:paraId="032C88B1" w14:textId="77777777">
        <w:tc>
          <w:tcPr>
            <w:tcW w:w="3145" w:type="dxa"/>
          </w:tcPr>
          <w:p w14:paraId="357637DA" w14:textId="77777777" w:rsidR="00A74BAD" w:rsidRPr="004C12C9" w:rsidRDefault="00A74BAD">
            <w:pPr>
              <w:pStyle w:val="ICFTabletext"/>
              <w:rPr>
                <w:highlight w:val="yellow"/>
              </w:rPr>
            </w:pPr>
            <w:r w:rsidRPr="004C12C9">
              <w:t>Aquic soils</w:t>
            </w:r>
          </w:p>
        </w:tc>
        <w:tc>
          <w:tcPr>
            <w:tcW w:w="3595" w:type="dxa"/>
          </w:tcPr>
          <w:p w14:paraId="13496ECE" w14:textId="77777777" w:rsidR="00A74BAD" w:rsidRPr="004C12C9" w:rsidRDefault="00A74BAD">
            <w:pPr>
              <w:pStyle w:val="ICFTabletext"/>
              <w:jc w:val="center"/>
              <w:rPr>
                <w:highlight w:val="yellow"/>
              </w:rPr>
            </w:pPr>
            <w:r w:rsidRPr="004C12C9">
              <w:t>89</w:t>
            </w:r>
          </w:p>
        </w:tc>
      </w:tr>
    </w:tbl>
    <w:p w14:paraId="4FFE298D" w14:textId="02B5B29B" w:rsidR="00FB33F6" w:rsidRPr="004C12C9" w:rsidRDefault="00FB33F6" w:rsidP="00FB33F6">
      <w:pPr>
        <w:pStyle w:val="Caption"/>
      </w:pPr>
      <w:bookmarkStart w:id="125" w:name="_Ref219828583"/>
      <w:bookmarkStart w:id="126" w:name="_Ref198801321"/>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44</w:t>
      </w:r>
      <w:r w:rsidR="00F72B41">
        <w:fldChar w:fldCharType="end"/>
      </w:r>
      <w:bookmarkEnd w:id="125"/>
      <w:bookmarkEnd w:id="126"/>
      <w:r w:rsidRPr="004C12C9">
        <w:t xml:space="preserve">. Soil Type Across </w:t>
      </w:r>
      <w:r w:rsidR="00DA4436" w:rsidRPr="004C12C9">
        <w:t>Cropland</w:t>
      </w:r>
      <w:r w:rsidRPr="004C12C9">
        <w:t xml:space="preserve"> in Minnesota </w:t>
      </w:r>
    </w:p>
    <w:tbl>
      <w:tblPr>
        <w:tblStyle w:val="TableGrid"/>
        <w:tblW w:w="10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25"/>
        <w:gridCol w:w="1530"/>
        <w:gridCol w:w="1958"/>
        <w:gridCol w:w="1828"/>
        <w:gridCol w:w="3324"/>
      </w:tblGrid>
      <w:tr w:rsidR="00FB33F6" w:rsidRPr="004C12C9" w14:paraId="0104B17B" w14:textId="77777777">
        <w:trPr>
          <w:tblHeader/>
        </w:trPr>
        <w:tc>
          <w:tcPr>
            <w:tcW w:w="1525" w:type="dxa"/>
            <w:shd w:val="clear" w:color="auto" w:fill="D9D9D9" w:themeFill="background1" w:themeFillShade="D9"/>
            <w:vAlign w:val="center"/>
          </w:tcPr>
          <w:p w14:paraId="648CF929" w14:textId="77777777" w:rsidR="00FB33F6" w:rsidRPr="004C12C9" w:rsidRDefault="00FB33F6">
            <w:pPr>
              <w:pStyle w:val="ICFTableHeading"/>
            </w:pPr>
            <w:r w:rsidRPr="004C12C9">
              <w:t>Order</w:t>
            </w:r>
          </w:p>
        </w:tc>
        <w:tc>
          <w:tcPr>
            <w:tcW w:w="1530" w:type="dxa"/>
            <w:shd w:val="clear" w:color="auto" w:fill="D9D9D9" w:themeFill="background1" w:themeFillShade="D9"/>
          </w:tcPr>
          <w:p w14:paraId="0F3F8C2A" w14:textId="77777777" w:rsidR="00FB33F6" w:rsidRPr="004C12C9" w:rsidRDefault="00FB33F6">
            <w:pPr>
              <w:pStyle w:val="ICFTableHeading"/>
            </w:pPr>
            <w:r w:rsidRPr="004C12C9">
              <w:t>Suborder</w:t>
            </w:r>
          </w:p>
        </w:tc>
        <w:tc>
          <w:tcPr>
            <w:tcW w:w="1958" w:type="dxa"/>
            <w:shd w:val="clear" w:color="auto" w:fill="D9D9D9" w:themeFill="background1" w:themeFillShade="D9"/>
          </w:tcPr>
          <w:p w14:paraId="13F0DAD0" w14:textId="058D78C5" w:rsidR="00FB33F6" w:rsidRPr="004C12C9" w:rsidRDefault="00FB33F6">
            <w:pPr>
              <w:pStyle w:val="ICFTableHeading"/>
            </w:pPr>
            <w:r w:rsidRPr="004C12C9">
              <w:t>Area (</w:t>
            </w:r>
            <w:r w:rsidR="00DF7EA4" w:rsidRPr="004C12C9">
              <w:t>m</w:t>
            </w:r>
            <w:r w:rsidRPr="004C12C9">
              <w:rPr>
                <w:vertAlign w:val="superscript"/>
              </w:rPr>
              <w:t>2</w:t>
            </w:r>
            <w:r w:rsidRPr="004C12C9">
              <w:t>)</w:t>
            </w:r>
          </w:p>
        </w:tc>
        <w:tc>
          <w:tcPr>
            <w:tcW w:w="1828" w:type="dxa"/>
            <w:shd w:val="clear" w:color="auto" w:fill="D9D9D9" w:themeFill="background1" w:themeFillShade="D9"/>
          </w:tcPr>
          <w:p w14:paraId="1A070FD8" w14:textId="77777777" w:rsidR="00FB33F6" w:rsidRPr="004C12C9" w:rsidRDefault="00FB33F6">
            <w:pPr>
              <w:pStyle w:val="ICFTableHeading"/>
            </w:pPr>
            <w:r w:rsidRPr="004C12C9">
              <w:t>Percent</w:t>
            </w:r>
          </w:p>
        </w:tc>
        <w:tc>
          <w:tcPr>
            <w:tcW w:w="3324" w:type="dxa"/>
            <w:shd w:val="clear" w:color="auto" w:fill="D9D9D9" w:themeFill="background1" w:themeFillShade="D9"/>
          </w:tcPr>
          <w:p w14:paraId="1BF78060" w14:textId="77777777" w:rsidR="00FB33F6" w:rsidRPr="004C12C9" w:rsidRDefault="00FB33F6">
            <w:pPr>
              <w:pStyle w:val="ICFTableHeading"/>
            </w:pPr>
            <w:r w:rsidRPr="004C12C9">
              <w:t>IPCC Soil Category</w:t>
            </w:r>
          </w:p>
        </w:tc>
      </w:tr>
      <w:tr w:rsidR="00DF7EA4" w:rsidRPr="004C12C9" w14:paraId="62A77120" w14:textId="77777777">
        <w:tc>
          <w:tcPr>
            <w:tcW w:w="1525" w:type="dxa"/>
            <w:vAlign w:val="center"/>
          </w:tcPr>
          <w:p w14:paraId="2C195D8D" w14:textId="77777777" w:rsidR="00DF7EA4" w:rsidRPr="004C12C9" w:rsidRDefault="00DF7EA4" w:rsidP="00DF7EA4">
            <w:pPr>
              <w:pStyle w:val="ICFTabletext"/>
              <w:rPr>
                <w:highlight w:val="yellow"/>
              </w:rPr>
            </w:pPr>
            <w:r w:rsidRPr="004C12C9">
              <w:t>Mollisols</w:t>
            </w:r>
          </w:p>
        </w:tc>
        <w:tc>
          <w:tcPr>
            <w:tcW w:w="1530" w:type="dxa"/>
            <w:vAlign w:val="center"/>
          </w:tcPr>
          <w:p w14:paraId="6426C7F5" w14:textId="77777777" w:rsidR="00DF7EA4" w:rsidRPr="004C12C9" w:rsidRDefault="00DF7EA4" w:rsidP="00DF7EA4">
            <w:pPr>
              <w:pStyle w:val="ICFTabletext"/>
              <w:rPr>
                <w:highlight w:val="yellow"/>
              </w:rPr>
            </w:pPr>
            <w:r w:rsidRPr="004C12C9">
              <w:t>Aquolls</w:t>
            </w:r>
          </w:p>
        </w:tc>
        <w:tc>
          <w:tcPr>
            <w:tcW w:w="1958" w:type="dxa"/>
          </w:tcPr>
          <w:p w14:paraId="3ED1F043" w14:textId="2D4B1ACE" w:rsidR="00DF7EA4" w:rsidRPr="004C12C9" w:rsidRDefault="00DF7EA4" w:rsidP="00DF7EA4">
            <w:pPr>
              <w:pStyle w:val="ICFTabletext"/>
              <w:jc w:val="center"/>
              <w:rPr>
                <w:highlight w:val="yellow"/>
              </w:rPr>
            </w:pPr>
            <w:r w:rsidRPr="004C12C9">
              <w:t xml:space="preserve"> 38,084,803,200 </w:t>
            </w:r>
          </w:p>
        </w:tc>
        <w:tc>
          <w:tcPr>
            <w:tcW w:w="1828" w:type="dxa"/>
          </w:tcPr>
          <w:p w14:paraId="16FB0BDD" w14:textId="5F3D039F" w:rsidR="00DF7EA4" w:rsidRPr="004C12C9" w:rsidRDefault="00DF7EA4" w:rsidP="00DF7EA4">
            <w:pPr>
              <w:pStyle w:val="ICFTabletext"/>
              <w:jc w:val="center"/>
              <w:rPr>
                <w:highlight w:val="yellow"/>
              </w:rPr>
            </w:pPr>
            <w:r w:rsidRPr="004C12C9">
              <w:t>49.85%</w:t>
            </w:r>
          </w:p>
        </w:tc>
        <w:tc>
          <w:tcPr>
            <w:tcW w:w="3324" w:type="dxa"/>
            <w:vAlign w:val="center"/>
          </w:tcPr>
          <w:p w14:paraId="3802E8BD" w14:textId="77777777" w:rsidR="00DF7EA4" w:rsidRPr="004C12C9" w:rsidRDefault="00DF7EA4" w:rsidP="00DF7EA4">
            <w:pPr>
              <w:pStyle w:val="ICFTabletext"/>
              <w:rPr>
                <w:highlight w:val="yellow"/>
              </w:rPr>
            </w:pPr>
            <w:r w:rsidRPr="004C12C9">
              <w:t>Aquic soils</w:t>
            </w:r>
          </w:p>
        </w:tc>
      </w:tr>
      <w:tr w:rsidR="00DF7EA4" w:rsidRPr="004C12C9" w14:paraId="2EF60BB0" w14:textId="77777777">
        <w:tc>
          <w:tcPr>
            <w:tcW w:w="1525" w:type="dxa"/>
            <w:vAlign w:val="center"/>
          </w:tcPr>
          <w:p w14:paraId="4CABC9FE" w14:textId="77777777" w:rsidR="00DF7EA4" w:rsidRPr="004C12C9" w:rsidRDefault="00DF7EA4" w:rsidP="00DF7EA4">
            <w:pPr>
              <w:pStyle w:val="ICFTabletext"/>
              <w:rPr>
                <w:highlight w:val="yellow"/>
              </w:rPr>
            </w:pPr>
            <w:r w:rsidRPr="004C12C9">
              <w:t>Alfisols</w:t>
            </w:r>
          </w:p>
        </w:tc>
        <w:tc>
          <w:tcPr>
            <w:tcW w:w="1530" w:type="dxa"/>
            <w:vAlign w:val="center"/>
          </w:tcPr>
          <w:p w14:paraId="7570E84B" w14:textId="77777777" w:rsidR="00DF7EA4" w:rsidRPr="004C12C9" w:rsidRDefault="00DF7EA4" w:rsidP="00DF7EA4">
            <w:pPr>
              <w:pStyle w:val="ICFTabletext"/>
              <w:rPr>
                <w:highlight w:val="yellow"/>
              </w:rPr>
            </w:pPr>
            <w:r w:rsidRPr="004C12C9">
              <w:t>Aqualfs</w:t>
            </w:r>
          </w:p>
        </w:tc>
        <w:tc>
          <w:tcPr>
            <w:tcW w:w="1958" w:type="dxa"/>
          </w:tcPr>
          <w:p w14:paraId="078C68FB" w14:textId="7B84B41C" w:rsidR="00DF7EA4" w:rsidRPr="004C12C9" w:rsidRDefault="00DF7EA4" w:rsidP="00DF7EA4">
            <w:pPr>
              <w:pStyle w:val="ICFTabletext"/>
              <w:jc w:val="center"/>
              <w:rPr>
                <w:highlight w:val="yellow"/>
              </w:rPr>
            </w:pPr>
            <w:r w:rsidRPr="004C12C9">
              <w:t xml:space="preserve"> 1,203,071,400 </w:t>
            </w:r>
          </w:p>
        </w:tc>
        <w:tc>
          <w:tcPr>
            <w:tcW w:w="1828" w:type="dxa"/>
          </w:tcPr>
          <w:p w14:paraId="30A40FAB" w14:textId="3CEA3D7C" w:rsidR="00DF7EA4" w:rsidRPr="004C12C9" w:rsidRDefault="00DF7EA4" w:rsidP="00DF7EA4">
            <w:pPr>
              <w:pStyle w:val="ICFTabletext"/>
              <w:jc w:val="center"/>
              <w:rPr>
                <w:highlight w:val="yellow"/>
              </w:rPr>
            </w:pPr>
            <w:r w:rsidRPr="004C12C9">
              <w:t>1.57%</w:t>
            </w:r>
          </w:p>
        </w:tc>
        <w:tc>
          <w:tcPr>
            <w:tcW w:w="3324" w:type="dxa"/>
            <w:vAlign w:val="center"/>
          </w:tcPr>
          <w:p w14:paraId="20F9EC96" w14:textId="77777777" w:rsidR="00DF7EA4" w:rsidRPr="004C12C9" w:rsidRDefault="00DF7EA4" w:rsidP="00DF7EA4">
            <w:pPr>
              <w:pStyle w:val="ICFTabletext"/>
              <w:rPr>
                <w:highlight w:val="yellow"/>
              </w:rPr>
            </w:pPr>
            <w:r w:rsidRPr="004C12C9">
              <w:t>Aquic soils</w:t>
            </w:r>
          </w:p>
        </w:tc>
      </w:tr>
      <w:tr w:rsidR="00DF7EA4" w:rsidRPr="004C12C9" w14:paraId="1BB49F45" w14:textId="77777777">
        <w:tc>
          <w:tcPr>
            <w:tcW w:w="1525" w:type="dxa"/>
            <w:vAlign w:val="center"/>
          </w:tcPr>
          <w:p w14:paraId="302B2692" w14:textId="77777777" w:rsidR="00DF7EA4" w:rsidRPr="004C12C9" w:rsidRDefault="00DF7EA4" w:rsidP="00DF7EA4">
            <w:pPr>
              <w:pStyle w:val="ICFTabletext"/>
              <w:rPr>
                <w:highlight w:val="yellow"/>
              </w:rPr>
            </w:pPr>
            <w:r w:rsidRPr="004C12C9">
              <w:t>Inceptisols</w:t>
            </w:r>
          </w:p>
        </w:tc>
        <w:tc>
          <w:tcPr>
            <w:tcW w:w="1530" w:type="dxa"/>
            <w:vAlign w:val="center"/>
          </w:tcPr>
          <w:p w14:paraId="02737B65" w14:textId="77777777" w:rsidR="00DF7EA4" w:rsidRPr="004C12C9" w:rsidRDefault="00DF7EA4" w:rsidP="00DF7EA4">
            <w:pPr>
              <w:pStyle w:val="ICFTabletext"/>
              <w:rPr>
                <w:highlight w:val="yellow"/>
              </w:rPr>
            </w:pPr>
            <w:r w:rsidRPr="004C12C9">
              <w:t>Udepts</w:t>
            </w:r>
          </w:p>
        </w:tc>
        <w:tc>
          <w:tcPr>
            <w:tcW w:w="1958" w:type="dxa"/>
          </w:tcPr>
          <w:p w14:paraId="235188B1" w14:textId="66FD4455" w:rsidR="00DF7EA4" w:rsidRPr="004C12C9" w:rsidRDefault="00DF7EA4" w:rsidP="00DF7EA4">
            <w:pPr>
              <w:pStyle w:val="ICFTabletext"/>
              <w:jc w:val="center"/>
              <w:rPr>
                <w:highlight w:val="yellow"/>
              </w:rPr>
            </w:pPr>
            <w:r w:rsidRPr="004C12C9">
              <w:t xml:space="preserve"> 4,594,850,100 </w:t>
            </w:r>
          </w:p>
        </w:tc>
        <w:tc>
          <w:tcPr>
            <w:tcW w:w="1828" w:type="dxa"/>
          </w:tcPr>
          <w:p w14:paraId="09F5AE38" w14:textId="55CE9A92" w:rsidR="00DF7EA4" w:rsidRPr="004C12C9" w:rsidRDefault="00DF7EA4" w:rsidP="00DF7EA4">
            <w:pPr>
              <w:pStyle w:val="ICFTabletext"/>
              <w:jc w:val="center"/>
              <w:rPr>
                <w:highlight w:val="yellow"/>
              </w:rPr>
            </w:pPr>
            <w:r w:rsidRPr="004C12C9">
              <w:t>6.01%</w:t>
            </w:r>
          </w:p>
        </w:tc>
        <w:tc>
          <w:tcPr>
            <w:tcW w:w="3324" w:type="dxa"/>
            <w:vAlign w:val="center"/>
          </w:tcPr>
          <w:p w14:paraId="31296280" w14:textId="77777777" w:rsidR="00DF7EA4" w:rsidRPr="004C12C9" w:rsidRDefault="00DF7EA4" w:rsidP="00DF7EA4">
            <w:pPr>
              <w:pStyle w:val="ICFTabletext"/>
              <w:rPr>
                <w:highlight w:val="yellow"/>
              </w:rPr>
            </w:pPr>
            <w:r w:rsidRPr="004C12C9">
              <w:t>Low clay activity mineral soils</w:t>
            </w:r>
          </w:p>
        </w:tc>
      </w:tr>
      <w:tr w:rsidR="00DF7EA4" w:rsidRPr="004C12C9" w14:paraId="193DCC7D" w14:textId="77777777">
        <w:tc>
          <w:tcPr>
            <w:tcW w:w="1525" w:type="dxa"/>
            <w:vAlign w:val="center"/>
          </w:tcPr>
          <w:p w14:paraId="7B4EDA94" w14:textId="77777777" w:rsidR="00DF7EA4" w:rsidRPr="004C12C9" w:rsidRDefault="00DF7EA4" w:rsidP="00DF7EA4">
            <w:pPr>
              <w:pStyle w:val="ICFTabletext"/>
              <w:rPr>
                <w:highlight w:val="yellow"/>
              </w:rPr>
            </w:pPr>
            <w:r w:rsidRPr="004C12C9">
              <w:t>Histosols</w:t>
            </w:r>
          </w:p>
        </w:tc>
        <w:tc>
          <w:tcPr>
            <w:tcW w:w="1530" w:type="dxa"/>
            <w:vAlign w:val="center"/>
          </w:tcPr>
          <w:p w14:paraId="1B2448AB" w14:textId="77777777" w:rsidR="00DF7EA4" w:rsidRPr="004C12C9" w:rsidRDefault="00DF7EA4" w:rsidP="00DF7EA4">
            <w:pPr>
              <w:pStyle w:val="ICFTabletext"/>
              <w:rPr>
                <w:highlight w:val="yellow"/>
              </w:rPr>
            </w:pPr>
            <w:r w:rsidRPr="004C12C9">
              <w:t>Saprists</w:t>
            </w:r>
          </w:p>
        </w:tc>
        <w:tc>
          <w:tcPr>
            <w:tcW w:w="1958" w:type="dxa"/>
          </w:tcPr>
          <w:p w14:paraId="5A0486FC" w14:textId="6D3F6F2A" w:rsidR="00DF7EA4" w:rsidRPr="004C12C9" w:rsidRDefault="00DF7EA4" w:rsidP="00DF7EA4">
            <w:pPr>
              <w:pStyle w:val="ICFTabletext"/>
              <w:jc w:val="center"/>
              <w:rPr>
                <w:highlight w:val="yellow"/>
              </w:rPr>
            </w:pPr>
            <w:r w:rsidRPr="004C12C9">
              <w:t xml:space="preserve"> 876,636,900 </w:t>
            </w:r>
          </w:p>
        </w:tc>
        <w:tc>
          <w:tcPr>
            <w:tcW w:w="1828" w:type="dxa"/>
          </w:tcPr>
          <w:p w14:paraId="7ABB5A98" w14:textId="383B06B0" w:rsidR="00DF7EA4" w:rsidRPr="004C12C9" w:rsidRDefault="00DF7EA4" w:rsidP="00DF7EA4">
            <w:pPr>
              <w:pStyle w:val="ICFTabletext"/>
              <w:jc w:val="center"/>
              <w:rPr>
                <w:highlight w:val="yellow"/>
              </w:rPr>
            </w:pPr>
            <w:r w:rsidRPr="004C12C9">
              <w:t>1.15%</w:t>
            </w:r>
          </w:p>
        </w:tc>
        <w:tc>
          <w:tcPr>
            <w:tcW w:w="3324" w:type="dxa"/>
            <w:vAlign w:val="center"/>
          </w:tcPr>
          <w:p w14:paraId="008F6C63" w14:textId="77777777" w:rsidR="00DF7EA4" w:rsidRPr="004C12C9" w:rsidRDefault="00DF7EA4" w:rsidP="00DF7EA4">
            <w:pPr>
              <w:pStyle w:val="ICFTabletext"/>
              <w:rPr>
                <w:highlight w:val="yellow"/>
              </w:rPr>
            </w:pPr>
            <w:r w:rsidRPr="004C12C9">
              <w:t>Aquic soils</w:t>
            </w:r>
          </w:p>
        </w:tc>
      </w:tr>
      <w:tr w:rsidR="00DF7EA4" w:rsidRPr="004C12C9" w14:paraId="62FE4A3E" w14:textId="77777777">
        <w:tc>
          <w:tcPr>
            <w:tcW w:w="1525" w:type="dxa"/>
            <w:vAlign w:val="center"/>
          </w:tcPr>
          <w:p w14:paraId="72DA8590" w14:textId="77777777" w:rsidR="00DF7EA4" w:rsidRPr="004C12C9" w:rsidRDefault="00DF7EA4" w:rsidP="00DF7EA4">
            <w:pPr>
              <w:pStyle w:val="ICFTabletext"/>
              <w:rPr>
                <w:highlight w:val="yellow"/>
              </w:rPr>
            </w:pPr>
            <w:r w:rsidRPr="004C12C9">
              <w:t>Mollisols</w:t>
            </w:r>
          </w:p>
        </w:tc>
        <w:tc>
          <w:tcPr>
            <w:tcW w:w="1530" w:type="dxa"/>
            <w:vAlign w:val="center"/>
          </w:tcPr>
          <w:p w14:paraId="4442ECD2" w14:textId="77777777" w:rsidR="00DF7EA4" w:rsidRPr="004C12C9" w:rsidRDefault="00DF7EA4" w:rsidP="00DF7EA4">
            <w:pPr>
              <w:pStyle w:val="ICFTabletext"/>
              <w:rPr>
                <w:highlight w:val="yellow"/>
              </w:rPr>
            </w:pPr>
            <w:r w:rsidRPr="004C12C9">
              <w:t>Udolls</w:t>
            </w:r>
          </w:p>
        </w:tc>
        <w:tc>
          <w:tcPr>
            <w:tcW w:w="1958" w:type="dxa"/>
          </w:tcPr>
          <w:p w14:paraId="56840E21" w14:textId="7D8F3B82" w:rsidR="00DF7EA4" w:rsidRPr="004C12C9" w:rsidRDefault="00DF7EA4" w:rsidP="00DF7EA4">
            <w:pPr>
              <w:pStyle w:val="ICFTabletext"/>
              <w:jc w:val="center"/>
              <w:rPr>
                <w:highlight w:val="yellow"/>
              </w:rPr>
            </w:pPr>
            <w:r w:rsidRPr="004C12C9">
              <w:t xml:space="preserve"> 19,367,215,200 </w:t>
            </w:r>
          </w:p>
        </w:tc>
        <w:tc>
          <w:tcPr>
            <w:tcW w:w="1828" w:type="dxa"/>
          </w:tcPr>
          <w:p w14:paraId="231ED9AA" w14:textId="1DC956D2" w:rsidR="00DF7EA4" w:rsidRPr="004C12C9" w:rsidRDefault="00DF7EA4" w:rsidP="00DF7EA4">
            <w:pPr>
              <w:pStyle w:val="ICFTabletext"/>
              <w:jc w:val="center"/>
              <w:rPr>
                <w:highlight w:val="yellow"/>
              </w:rPr>
            </w:pPr>
            <w:r w:rsidRPr="004C12C9">
              <w:t>25.35%</w:t>
            </w:r>
          </w:p>
        </w:tc>
        <w:tc>
          <w:tcPr>
            <w:tcW w:w="3324" w:type="dxa"/>
            <w:vAlign w:val="center"/>
          </w:tcPr>
          <w:p w14:paraId="719101C8" w14:textId="77777777" w:rsidR="00DF7EA4" w:rsidRPr="004C12C9" w:rsidRDefault="00DF7EA4" w:rsidP="00DF7EA4">
            <w:pPr>
              <w:pStyle w:val="ICFTabletext"/>
              <w:rPr>
                <w:highlight w:val="yellow"/>
              </w:rPr>
            </w:pPr>
            <w:r w:rsidRPr="004C12C9">
              <w:t>High clay activity mineral soils</w:t>
            </w:r>
          </w:p>
        </w:tc>
      </w:tr>
      <w:tr w:rsidR="00DF7EA4" w:rsidRPr="004C12C9" w14:paraId="506E3CAE" w14:textId="77777777">
        <w:tc>
          <w:tcPr>
            <w:tcW w:w="1525" w:type="dxa"/>
            <w:vAlign w:val="center"/>
          </w:tcPr>
          <w:p w14:paraId="50731EA3" w14:textId="77777777" w:rsidR="00DF7EA4" w:rsidRPr="004C12C9" w:rsidRDefault="00DF7EA4" w:rsidP="00DF7EA4">
            <w:pPr>
              <w:pStyle w:val="ICFTabletext"/>
              <w:rPr>
                <w:highlight w:val="yellow"/>
              </w:rPr>
            </w:pPr>
            <w:r w:rsidRPr="004C12C9">
              <w:t>Alfisols</w:t>
            </w:r>
          </w:p>
        </w:tc>
        <w:tc>
          <w:tcPr>
            <w:tcW w:w="1530" w:type="dxa"/>
            <w:vAlign w:val="center"/>
          </w:tcPr>
          <w:p w14:paraId="6B6B458E" w14:textId="77777777" w:rsidR="00DF7EA4" w:rsidRPr="004C12C9" w:rsidRDefault="00DF7EA4" w:rsidP="00DF7EA4">
            <w:pPr>
              <w:pStyle w:val="ICFTabletext"/>
              <w:rPr>
                <w:highlight w:val="yellow"/>
              </w:rPr>
            </w:pPr>
            <w:r w:rsidRPr="004C12C9">
              <w:t>Udalfs</w:t>
            </w:r>
          </w:p>
        </w:tc>
        <w:tc>
          <w:tcPr>
            <w:tcW w:w="1958" w:type="dxa"/>
          </w:tcPr>
          <w:p w14:paraId="0D583979" w14:textId="3D43B22E" w:rsidR="00DF7EA4" w:rsidRPr="004C12C9" w:rsidRDefault="00DF7EA4" w:rsidP="00DF7EA4">
            <w:pPr>
              <w:pStyle w:val="ICFTabletext"/>
              <w:jc w:val="center"/>
              <w:rPr>
                <w:highlight w:val="yellow"/>
              </w:rPr>
            </w:pPr>
            <w:r w:rsidRPr="004C12C9">
              <w:t xml:space="preserve"> 7,252,569,900 </w:t>
            </w:r>
          </w:p>
        </w:tc>
        <w:tc>
          <w:tcPr>
            <w:tcW w:w="1828" w:type="dxa"/>
          </w:tcPr>
          <w:p w14:paraId="0CA18531" w14:textId="4406E464" w:rsidR="00DF7EA4" w:rsidRPr="004C12C9" w:rsidRDefault="00DF7EA4" w:rsidP="00DF7EA4">
            <w:pPr>
              <w:pStyle w:val="ICFTabletext"/>
              <w:jc w:val="center"/>
              <w:rPr>
                <w:highlight w:val="yellow"/>
              </w:rPr>
            </w:pPr>
            <w:r w:rsidRPr="004C12C9">
              <w:t>9.49%</w:t>
            </w:r>
          </w:p>
        </w:tc>
        <w:tc>
          <w:tcPr>
            <w:tcW w:w="3324" w:type="dxa"/>
            <w:vAlign w:val="center"/>
          </w:tcPr>
          <w:p w14:paraId="2B7F5F0D" w14:textId="77777777" w:rsidR="00DF7EA4" w:rsidRPr="004C12C9" w:rsidRDefault="00DF7EA4" w:rsidP="00DF7EA4">
            <w:pPr>
              <w:pStyle w:val="ICFTabletext"/>
              <w:rPr>
                <w:highlight w:val="yellow"/>
              </w:rPr>
            </w:pPr>
            <w:r w:rsidRPr="004C12C9">
              <w:t>Low clay activity mineral soils</w:t>
            </w:r>
          </w:p>
        </w:tc>
      </w:tr>
      <w:tr w:rsidR="00DF7EA4" w:rsidRPr="004C12C9" w14:paraId="14A0A663" w14:textId="77777777">
        <w:tc>
          <w:tcPr>
            <w:tcW w:w="1525" w:type="dxa"/>
            <w:vAlign w:val="center"/>
          </w:tcPr>
          <w:p w14:paraId="301AB993" w14:textId="77777777" w:rsidR="00DF7EA4" w:rsidRPr="004C12C9" w:rsidRDefault="00DF7EA4" w:rsidP="00DF7EA4">
            <w:pPr>
              <w:pStyle w:val="ICFTabletext"/>
              <w:rPr>
                <w:highlight w:val="yellow"/>
              </w:rPr>
            </w:pPr>
            <w:r w:rsidRPr="004C12C9">
              <w:t>Entisols</w:t>
            </w:r>
          </w:p>
        </w:tc>
        <w:tc>
          <w:tcPr>
            <w:tcW w:w="1530" w:type="dxa"/>
            <w:vAlign w:val="center"/>
          </w:tcPr>
          <w:p w14:paraId="0C4E187E" w14:textId="77777777" w:rsidR="00DF7EA4" w:rsidRPr="004C12C9" w:rsidRDefault="00DF7EA4" w:rsidP="00DF7EA4">
            <w:pPr>
              <w:pStyle w:val="ICFTabletext"/>
              <w:rPr>
                <w:highlight w:val="yellow"/>
              </w:rPr>
            </w:pPr>
            <w:r w:rsidRPr="004C12C9">
              <w:t>Aquents</w:t>
            </w:r>
          </w:p>
        </w:tc>
        <w:tc>
          <w:tcPr>
            <w:tcW w:w="1958" w:type="dxa"/>
          </w:tcPr>
          <w:p w14:paraId="2B0E5651" w14:textId="3365F1A3" w:rsidR="00DF7EA4" w:rsidRPr="004C12C9" w:rsidRDefault="00DF7EA4" w:rsidP="00DF7EA4">
            <w:pPr>
              <w:pStyle w:val="ICFTabletext"/>
              <w:jc w:val="center"/>
              <w:rPr>
                <w:highlight w:val="yellow"/>
              </w:rPr>
            </w:pPr>
            <w:r w:rsidRPr="004C12C9">
              <w:t xml:space="preserve"> 301,269,600 </w:t>
            </w:r>
          </w:p>
        </w:tc>
        <w:tc>
          <w:tcPr>
            <w:tcW w:w="1828" w:type="dxa"/>
          </w:tcPr>
          <w:p w14:paraId="60123246" w14:textId="6B26C542" w:rsidR="00DF7EA4" w:rsidRPr="004C12C9" w:rsidRDefault="00DF7EA4" w:rsidP="00DF7EA4">
            <w:pPr>
              <w:pStyle w:val="ICFTabletext"/>
              <w:jc w:val="center"/>
              <w:rPr>
                <w:highlight w:val="yellow"/>
              </w:rPr>
            </w:pPr>
            <w:r w:rsidRPr="004C12C9">
              <w:t>0.39%</w:t>
            </w:r>
          </w:p>
        </w:tc>
        <w:tc>
          <w:tcPr>
            <w:tcW w:w="3324" w:type="dxa"/>
            <w:vAlign w:val="center"/>
          </w:tcPr>
          <w:p w14:paraId="351F80E5" w14:textId="77777777" w:rsidR="00DF7EA4" w:rsidRPr="004C12C9" w:rsidRDefault="00DF7EA4" w:rsidP="00DF7EA4">
            <w:pPr>
              <w:pStyle w:val="ICFTabletext"/>
              <w:rPr>
                <w:highlight w:val="yellow"/>
              </w:rPr>
            </w:pPr>
            <w:r w:rsidRPr="004C12C9">
              <w:t>Aquic soils</w:t>
            </w:r>
          </w:p>
        </w:tc>
      </w:tr>
      <w:tr w:rsidR="00DF7EA4" w:rsidRPr="004C12C9" w14:paraId="29E802A8" w14:textId="77777777">
        <w:tc>
          <w:tcPr>
            <w:tcW w:w="1525" w:type="dxa"/>
            <w:vAlign w:val="center"/>
          </w:tcPr>
          <w:p w14:paraId="721BEB98" w14:textId="77777777" w:rsidR="00DF7EA4" w:rsidRPr="004C12C9" w:rsidRDefault="00DF7EA4" w:rsidP="00DF7EA4">
            <w:pPr>
              <w:pStyle w:val="ICFTabletext"/>
              <w:rPr>
                <w:highlight w:val="yellow"/>
              </w:rPr>
            </w:pPr>
            <w:r w:rsidRPr="004C12C9">
              <w:t>Entisols</w:t>
            </w:r>
          </w:p>
        </w:tc>
        <w:tc>
          <w:tcPr>
            <w:tcW w:w="1530" w:type="dxa"/>
            <w:vAlign w:val="center"/>
          </w:tcPr>
          <w:p w14:paraId="342A18EF" w14:textId="77777777" w:rsidR="00DF7EA4" w:rsidRPr="004C12C9" w:rsidRDefault="00DF7EA4" w:rsidP="00DF7EA4">
            <w:pPr>
              <w:pStyle w:val="ICFTabletext"/>
              <w:rPr>
                <w:highlight w:val="yellow"/>
              </w:rPr>
            </w:pPr>
            <w:r w:rsidRPr="004C12C9">
              <w:t>Psamments</w:t>
            </w:r>
          </w:p>
        </w:tc>
        <w:tc>
          <w:tcPr>
            <w:tcW w:w="1958" w:type="dxa"/>
          </w:tcPr>
          <w:p w14:paraId="4E0B6642" w14:textId="1246CCAC" w:rsidR="00DF7EA4" w:rsidRPr="004C12C9" w:rsidRDefault="00DF7EA4" w:rsidP="00DF7EA4">
            <w:pPr>
              <w:pStyle w:val="ICFTabletext"/>
              <w:jc w:val="center"/>
              <w:rPr>
                <w:highlight w:val="yellow"/>
              </w:rPr>
            </w:pPr>
            <w:r w:rsidRPr="004C12C9">
              <w:t xml:space="preserve"> 939,126,600 </w:t>
            </w:r>
          </w:p>
        </w:tc>
        <w:tc>
          <w:tcPr>
            <w:tcW w:w="1828" w:type="dxa"/>
          </w:tcPr>
          <w:p w14:paraId="265EDF39" w14:textId="7F1A7E22" w:rsidR="00DF7EA4" w:rsidRPr="004C12C9" w:rsidRDefault="00DF7EA4" w:rsidP="00DF7EA4">
            <w:pPr>
              <w:pStyle w:val="ICFTabletext"/>
              <w:jc w:val="center"/>
              <w:rPr>
                <w:highlight w:val="yellow"/>
              </w:rPr>
            </w:pPr>
            <w:r w:rsidRPr="004C12C9">
              <w:t>1.23%</w:t>
            </w:r>
          </w:p>
        </w:tc>
        <w:tc>
          <w:tcPr>
            <w:tcW w:w="3324" w:type="dxa"/>
            <w:vAlign w:val="center"/>
          </w:tcPr>
          <w:p w14:paraId="20A6611B" w14:textId="77777777" w:rsidR="00DF7EA4" w:rsidRPr="004C12C9" w:rsidRDefault="00DF7EA4" w:rsidP="00DF7EA4">
            <w:pPr>
              <w:pStyle w:val="ICFTabletext"/>
              <w:rPr>
                <w:highlight w:val="yellow"/>
              </w:rPr>
            </w:pPr>
            <w:r w:rsidRPr="004C12C9">
              <w:t>Sandy soils</w:t>
            </w:r>
          </w:p>
        </w:tc>
      </w:tr>
      <w:tr w:rsidR="00DF7EA4" w:rsidRPr="004C12C9" w14:paraId="5C46C880" w14:textId="77777777">
        <w:tc>
          <w:tcPr>
            <w:tcW w:w="1525" w:type="dxa"/>
            <w:vAlign w:val="center"/>
          </w:tcPr>
          <w:p w14:paraId="44BAA333" w14:textId="77777777" w:rsidR="00DF7EA4" w:rsidRPr="004C12C9" w:rsidRDefault="00DF7EA4" w:rsidP="00DF7EA4">
            <w:pPr>
              <w:pStyle w:val="ICFTabletext"/>
              <w:rPr>
                <w:highlight w:val="yellow"/>
              </w:rPr>
            </w:pPr>
            <w:r w:rsidRPr="004C12C9">
              <w:t>Inceptisols</w:t>
            </w:r>
          </w:p>
        </w:tc>
        <w:tc>
          <w:tcPr>
            <w:tcW w:w="1530" w:type="dxa"/>
            <w:vAlign w:val="center"/>
          </w:tcPr>
          <w:p w14:paraId="4713AFE6" w14:textId="77777777" w:rsidR="00DF7EA4" w:rsidRPr="004C12C9" w:rsidRDefault="00DF7EA4" w:rsidP="00DF7EA4">
            <w:pPr>
              <w:pStyle w:val="ICFTabletext"/>
              <w:rPr>
                <w:highlight w:val="yellow"/>
              </w:rPr>
            </w:pPr>
            <w:r w:rsidRPr="004C12C9">
              <w:t>Aquepts</w:t>
            </w:r>
          </w:p>
        </w:tc>
        <w:tc>
          <w:tcPr>
            <w:tcW w:w="1958" w:type="dxa"/>
          </w:tcPr>
          <w:p w14:paraId="594FD243" w14:textId="7B5A334D" w:rsidR="00DF7EA4" w:rsidRPr="004C12C9" w:rsidRDefault="00DF7EA4" w:rsidP="00DF7EA4">
            <w:pPr>
              <w:pStyle w:val="ICFTabletext"/>
              <w:jc w:val="center"/>
              <w:rPr>
                <w:highlight w:val="yellow"/>
              </w:rPr>
            </w:pPr>
            <w:r w:rsidRPr="004C12C9">
              <w:t xml:space="preserve"> 549,849,600 </w:t>
            </w:r>
          </w:p>
        </w:tc>
        <w:tc>
          <w:tcPr>
            <w:tcW w:w="1828" w:type="dxa"/>
          </w:tcPr>
          <w:p w14:paraId="664227A8" w14:textId="13DEF519" w:rsidR="00DF7EA4" w:rsidRPr="004C12C9" w:rsidRDefault="00DF7EA4" w:rsidP="00DF7EA4">
            <w:pPr>
              <w:pStyle w:val="ICFTabletext"/>
              <w:jc w:val="center"/>
              <w:rPr>
                <w:highlight w:val="yellow"/>
              </w:rPr>
            </w:pPr>
            <w:r w:rsidRPr="004C12C9">
              <w:t>0.72%</w:t>
            </w:r>
          </w:p>
        </w:tc>
        <w:tc>
          <w:tcPr>
            <w:tcW w:w="3324" w:type="dxa"/>
            <w:vAlign w:val="center"/>
          </w:tcPr>
          <w:p w14:paraId="12F857A3" w14:textId="77777777" w:rsidR="00DF7EA4" w:rsidRPr="004C12C9" w:rsidRDefault="00DF7EA4" w:rsidP="00DF7EA4">
            <w:pPr>
              <w:pStyle w:val="ICFTabletext"/>
              <w:rPr>
                <w:highlight w:val="yellow"/>
              </w:rPr>
            </w:pPr>
            <w:r w:rsidRPr="004C12C9">
              <w:t>Aquic soils</w:t>
            </w:r>
          </w:p>
        </w:tc>
      </w:tr>
      <w:tr w:rsidR="00DF7EA4" w:rsidRPr="004C12C9" w14:paraId="6D0C86F1" w14:textId="77777777">
        <w:tc>
          <w:tcPr>
            <w:tcW w:w="1525" w:type="dxa"/>
            <w:vAlign w:val="center"/>
          </w:tcPr>
          <w:p w14:paraId="2286D0DC" w14:textId="77777777" w:rsidR="00DF7EA4" w:rsidRPr="004C12C9" w:rsidRDefault="00DF7EA4" w:rsidP="00DF7EA4">
            <w:pPr>
              <w:pStyle w:val="ICFTabletext"/>
              <w:rPr>
                <w:highlight w:val="yellow"/>
              </w:rPr>
            </w:pPr>
            <w:r w:rsidRPr="004C12C9">
              <w:t>Histosols</w:t>
            </w:r>
          </w:p>
        </w:tc>
        <w:tc>
          <w:tcPr>
            <w:tcW w:w="1530" w:type="dxa"/>
            <w:vAlign w:val="center"/>
          </w:tcPr>
          <w:p w14:paraId="29075327" w14:textId="77777777" w:rsidR="00DF7EA4" w:rsidRPr="004C12C9" w:rsidRDefault="00DF7EA4" w:rsidP="00DF7EA4">
            <w:pPr>
              <w:pStyle w:val="ICFTabletext"/>
              <w:rPr>
                <w:highlight w:val="yellow"/>
              </w:rPr>
            </w:pPr>
            <w:r w:rsidRPr="004C12C9">
              <w:t>Hemists</w:t>
            </w:r>
          </w:p>
        </w:tc>
        <w:tc>
          <w:tcPr>
            <w:tcW w:w="1958" w:type="dxa"/>
          </w:tcPr>
          <w:p w14:paraId="190DC0BC" w14:textId="624197BF" w:rsidR="00DF7EA4" w:rsidRPr="004C12C9" w:rsidRDefault="00DF7EA4" w:rsidP="00DF7EA4">
            <w:pPr>
              <w:pStyle w:val="ICFTabletext"/>
              <w:jc w:val="center"/>
              <w:rPr>
                <w:highlight w:val="yellow"/>
              </w:rPr>
            </w:pPr>
            <w:r w:rsidRPr="004C12C9">
              <w:t xml:space="preserve"> 32,713,200 </w:t>
            </w:r>
          </w:p>
        </w:tc>
        <w:tc>
          <w:tcPr>
            <w:tcW w:w="1828" w:type="dxa"/>
          </w:tcPr>
          <w:p w14:paraId="3FA79D4D" w14:textId="5FC01C95" w:rsidR="00DF7EA4" w:rsidRPr="004C12C9" w:rsidRDefault="00DF7EA4" w:rsidP="00DF7EA4">
            <w:pPr>
              <w:pStyle w:val="ICFTabletext"/>
              <w:jc w:val="center"/>
              <w:rPr>
                <w:highlight w:val="yellow"/>
              </w:rPr>
            </w:pPr>
            <w:r w:rsidRPr="004C12C9">
              <w:t>0.04%</w:t>
            </w:r>
          </w:p>
        </w:tc>
        <w:tc>
          <w:tcPr>
            <w:tcW w:w="3324" w:type="dxa"/>
            <w:vAlign w:val="center"/>
          </w:tcPr>
          <w:p w14:paraId="1C4A64DF" w14:textId="77777777" w:rsidR="00DF7EA4" w:rsidRPr="004C12C9" w:rsidRDefault="00DF7EA4" w:rsidP="00DF7EA4">
            <w:pPr>
              <w:pStyle w:val="ICFTabletext"/>
              <w:rPr>
                <w:highlight w:val="yellow"/>
              </w:rPr>
            </w:pPr>
            <w:r w:rsidRPr="004C12C9">
              <w:t>Aquic soils</w:t>
            </w:r>
          </w:p>
        </w:tc>
      </w:tr>
      <w:tr w:rsidR="00DF7EA4" w:rsidRPr="004C12C9" w14:paraId="4DC567EF" w14:textId="77777777">
        <w:tc>
          <w:tcPr>
            <w:tcW w:w="1525" w:type="dxa"/>
            <w:vAlign w:val="center"/>
          </w:tcPr>
          <w:p w14:paraId="14A1B3C7" w14:textId="77777777" w:rsidR="00DF7EA4" w:rsidRPr="004C12C9" w:rsidRDefault="00DF7EA4" w:rsidP="00DF7EA4">
            <w:pPr>
              <w:pStyle w:val="ICFTabletext"/>
              <w:rPr>
                <w:highlight w:val="yellow"/>
              </w:rPr>
            </w:pPr>
            <w:r w:rsidRPr="004C12C9">
              <w:t>Entisols</w:t>
            </w:r>
          </w:p>
        </w:tc>
        <w:tc>
          <w:tcPr>
            <w:tcW w:w="1530" w:type="dxa"/>
            <w:vAlign w:val="center"/>
          </w:tcPr>
          <w:p w14:paraId="1A7AA63F" w14:textId="77777777" w:rsidR="00DF7EA4" w:rsidRPr="004C12C9" w:rsidRDefault="00DF7EA4" w:rsidP="00DF7EA4">
            <w:pPr>
              <w:pStyle w:val="ICFTabletext"/>
              <w:rPr>
                <w:highlight w:val="yellow"/>
              </w:rPr>
            </w:pPr>
            <w:r w:rsidRPr="004C12C9">
              <w:t>Fluvents</w:t>
            </w:r>
          </w:p>
        </w:tc>
        <w:tc>
          <w:tcPr>
            <w:tcW w:w="1958" w:type="dxa"/>
          </w:tcPr>
          <w:p w14:paraId="6E488744" w14:textId="15FB52D6" w:rsidR="00DF7EA4" w:rsidRPr="004C12C9" w:rsidRDefault="00DF7EA4" w:rsidP="00DF7EA4">
            <w:pPr>
              <w:pStyle w:val="ICFTabletext"/>
              <w:jc w:val="center"/>
              <w:rPr>
                <w:highlight w:val="yellow"/>
              </w:rPr>
            </w:pPr>
            <w:r w:rsidRPr="004C12C9">
              <w:t xml:space="preserve"> 205,584,300 </w:t>
            </w:r>
          </w:p>
        </w:tc>
        <w:tc>
          <w:tcPr>
            <w:tcW w:w="1828" w:type="dxa"/>
          </w:tcPr>
          <w:p w14:paraId="6F7A275F" w14:textId="1F84BA34" w:rsidR="00DF7EA4" w:rsidRPr="004C12C9" w:rsidRDefault="00DF7EA4" w:rsidP="00DF7EA4">
            <w:pPr>
              <w:pStyle w:val="ICFTabletext"/>
              <w:jc w:val="center"/>
              <w:rPr>
                <w:highlight w:val="yellow"/>
              </w:rPr>
            </w:pPr>
            <w:r w:rsidRPr="004C12C9">
              <w:t>0.27%</w:t>
            </w:r>
          </w:p>
        </w:tc>
        <w:tc>
          <w:tcPr>
            <w:tcW w:w="3324" w:type="dxa"/>
            <w:vAlign w:val="center"/>
          </w:tcPr>
          <w:p w14:paraId="3C456877" w14:textId="77777777" w:rsidR="00DF7EA4" w:rsidRPr="004C12C9" w:rsidRDefault="00DF7EA4" w:rsidP="00DF7EA4">
            <w:pPr>
              <w:pStyle w:val="ICFTabletext"/>
              <w:rPr>
                <w:highlight w:val="yellow"/>
              </w:rPr>
            </w:pPr>
            <w:r w:rsidRPr="004C12C9">
              <w:t>Aquic soils</w:t>
            </w:r>
          </w:p>
        </w:tc>
      </w:tr>
      <w:tr w:rsidR="00DF7EA4" w:rsidRPr="004C12C9" w14:paraId="4AD4C0E1" w14:textId="77777777">
        <w:tc>
          <w:tcPr>
            <w:tcW w:w="1525" w:type="dxa"/>
            <w:vAlign w:val="center"/>
          </w:tcPr>
          <w:p w14:paraId="29311956" w14:textId="77777777" w:rsidR="00DF7EA4" w:rsidRPr="004C12C9" w:rsidRDefault="00DF7EA4" w:rsidP="00DF7EA4">
            <w:pPr>
              <w:pStyle w:val="ICFTabletext"/>
              <w:rPr>
                <w:highlight w:val="yellow"/>
              </w:rPr>
            </w:pPr>
            <w:r w:rsidRPr="004C12C9">
              <w:t>Vertisols</w:t>
            </w:r>
          </w:p>
        </w:tc>
        <w:tc>
          <w:tcPr>
            <w:tcW w:w="1530" w:type="dxa"/>
            <w:vAlign w:val="center"/>
          </w:tcPr>
          <w:p w14:paraId="5BA5C617" w14:textId="77777777" w:rsidR="00DF7EA4" w:rsidRPr="004C12C9" w:rsidRDefault="00DF7EA4" w:rsidP="00DF7EA4">
            <w:pPr>
              <w:pStyle w:val="ICFTabletext"/>
              <w:rPr>
                <w:highlight w:val="yellow"/>
              </w:rPr>
            </w:pPr>
            <w:r w:rsidRPr="004C12C9">
              <w:t>Aquerts</w:t>
            </w:r>
          </w:p>
        </w:tc>
        <w:tc>
          <w:tcPr>
            <w:tcW w:w="1958" w:type="dxa"/>
          </w:tcPr>
          <w:p w14:paraId="01AD55FF" w14:textId="7F5E3117" w:rsidR="00DF7EA4" w:rsidRPr="004C12C9" w:rsidRDefault="00DF7EA4" w:rsidP="00DF7EA4">
            <w:pPr>
              <w:pStyle w:val="ICFTabletext"/>
              <w:jc w:val="center"/>
              <w:rPr>
                <w:highlight w:val="yellow"/>
              </w:rPr>
            </w:pPr>
            <w:r w:rsidRPr="004C12C9">
              <w:t xml:space="preserve"> 2,145,022,200 </w:t>
            </w:r>
          </w:p>
        </w:tc>
        <w:tc>
          <w:tcPr>
            <w:tcW w:w="1828" w:type="dxa"/>
          </w:tcPr>
          <w:p w14:paraId="71C8D1DA" w14:textId="7D79480D" w:rsidR="00DF7EA4" w:rsidRPr="004C12C9" w:rsidRDefault="00DF7EA4" w:rsidP="00DF7EA4">
            <w:pPr>
              <w:pStyle w:val="ICFTabletext"/>
              <w:jc w:val="center"/>
              <w:rPr>
                <w:highlight w:val="yellow"/>
              </w:rPr>
            </w:pPr>
            <w:r w:rsidRPr="004C12C9">
              <w:t>2.81%</w:t>
            </w:r>
          </w:p>
        </w:tc>
        <w:tc>
          <w:tcPr>
            <w:tcW w:w="3324" w:type="dxa"/>
            <w:vAlign w:val="center"/>
          </w:tcPr>
          <w:p w14:paraId="40279D92" w14:textId="77777777" w:rsidR="00DF7EA4" w:rsidRPr="004C12C9" w:rsidRDefault="00DF7EA4" w:rsidP="00DF7EA4">
            <w:pPr>
              <w:pStyle w:val="ICFTabletext"/>
              <w:rPr>
                <w:highlight w:val="yellow"/>
              </w:rPr>
            </w:pPr>
            <w:r w:rsidRPr="004C12C9">
              <w:t>High clay activity mineral soils</w:t>
            </w:r>
          </w:p>
        </w:tc>
      </w:tr>
      <w:tr w:rsidR="00DF7EA4" w:rsidRPr="004C12C9" w14:paraId="2E6AD2E9" w14:textId="77777777">
        <w:tc>
          <w:tcPr>
            <w:tcW w:w="1525" w:type="dxa"/>
            <w:vAlign w:val="center"/>
          </w:tcPr>
          <w:p w14:paraId="5EF86595" w14:textId="77777777" w:rsidR="00DF7EA4" w:rsidRPr="004C12C9" w:rsidRDefault="00DF7EA4" w:rsidP="00DF7EA4">
            <w:pPr>
              <w:pStyle w:val="ICFTabletext"/>
              <w:rPr>
                <w:highlight w:val="yellow"/>
              </w:rPr>
            </w:pPr>
            <w:r w:rsidRPr="004C12C9">
              <w:t>Entisols</w:t>
            </w:r>
          </w:p>
        </w:tc>
        <w:tc>
          <w:tcPr>
            <w:tcW w:w="1530" w:type="dxa"/>
            <w:vAlign w:val="center"/>
          </w:tcPr>
          <w:p w14:paraId="7A5DE9E7" w14:textId="77777777" w:rsidR="00DF7EA4" w:rsidRPr="004C12C9" w:rsidRDefault="00DF7EA4" w:rsidP="00DF7EA4">
            <w:pPr>
              <w:pStyle w:val="ICFTabletext"/>
              <w:rPr>
                <w:highlight w:val="yellow"/>
              </w:rPr>
            </w:pPr>
            <w:r w:rsidRPr="004C12C9">
              <w:t>Orthents</w:t>
            </w:r>
          </w:p>
        </w:tc>
        <w:tc>
          <w:tcPr>
            <w:tcW w:w="1958" w:type="dxa"/>
          </w:tcPr>
          <w:p w14:paraId="7FE34EE1" w14:textId="6E28250D" w:rsidR="00DF7EA4" w:rsidRPr="004C12C9" w:rsidRDefault="00DF7EA4" w:rsidP="00DF7EA4">
            <w:pPr>
              <w:pStyle w:val="ICFTabletext"/>
              <w:jc w:val="center"/>
              <w:rPr>
                <w:highlight w:val="yellow"/>
              </w:rPr>
            </w:pPr>
            <w:r w:rsidRPr="004C12C9">
              <w:t xml:space="preserve"> 216,510,300 </w:t>
            </w:r>
          </w:p>
        </w:tc>
        <w:tc>
          <w:tcPr>
            <w:tcW w:w="1828" w:type="dxa"/>
          </w:tcPr>
          <w:p w14:paraId="4E5619A1" w14:textId="61D67EA3" w:rsidR="00DF7EA4" w:rsidRPr="004C12C9" w:rsidRDefault="00DF7EA4" w:rsidP="00DF7EA4">
            <w:pPr>
              <w:pStyle w:val="ICFTabletext"/>
              <w:jc w:val="center"/>
              <w:rPr>
                <w:highlight w:val="yellow"/>
              </w:rPr>
            </w:pPr>
            <w:r w:rsidRPr="004C12C9">
              <w:t>0.28%</w:t>
            </w:r>
          </w:p>
        </w:tc>
        <w:tc>
          <w:tcPr>
            <w:tcW w:w="3324" w:type="dxa"/>
            <w:vAlign w:val="center"/>
          </w:tcPr>
          <w:p w14:paraId="5822141F" w14:textId="77777777" w:rsidR="00DF7EA4" w:rsidRPr="004C12C9" w:rsidRDefault="00DF7EA4" w:rsidP="00DF7EA4">
            <w:pPr>
              <w:pStyle w:val="ICFTabletext"/>
              <w:rPr>
                <w:highlight w:val="yellow"/>
              </w:rPr>
            </w:pPr>
            <w:r w:rsidRPr="004C12C9">
              <w:t>Sandy soils</w:t>
            </w:r>
          </w:p>
        </w:tc>
      </w:tr>
      <w:tr w:rsidR="00DF7EA4" w:rsidRPr="004C12C9" w14:paraId="7961965F" w14:textId="77777777">
        <w:tc>
          <w:tcPr>
            <w:tcW w:w="1525" w:type="dxa"/>
            <w:vAlign w:val="center"/>
          </w:tcPr>
          <w:p w14:paraId="532A12D4" w14:textId="77777777" w:rsidR="00DF7EA4" w:rsidRPr="004C12C9" w:rsidRDefault="00DF7EA4" w:rsidP="00DF7EA4">
            <w:pPr>
              <w:pStyle w:val="ICFTabletext"/>
              <w:rPr>
                <w:highlight w:val="yellow"/>
              </w:rPr>
            </w:pPr>
            <w:r w:rsidRPr="004C12C9">
              <w:t>Mollisols</w:t>
            </w:r>
          </w:p>
        </w:tc>
        <w:tc>
          <w:tcPr>
            <w:tcW w:w="1530" w:type="dxa"/>
            <w:vAlign w:val="center"/>
          </w:tcPr>
          <w:p w14:paraId="10213539" w14:textId="77777777" w:rsidR="00DF7EA4" w:rsidRPr="004C12C9" w:rsidRDefault="00DF7EA4" w:rsidP="00DF7EA4">
            <w:pPr>
              <w:pStyle w:val="ICFTabletext"/>
              <w:rPr>
                <w:highlight w:val="yellow"/>
              </w:rPr>
            </w:pPr>
            <w:r w:rsidRPr="004C12C9">
              <w:t>Albolls</w:t>
            </w:r>
          </w:p>
        </w:tc>
        <w:tc>
          <w:tcPr>
            <w:tcW w:w="1958" w:type="dxa"/>
          </w:tcPr>
          <w:p w14:paraId="650375E4" w14:textId="2EF73F3C" w:rsidR="00DF7EA4" w:rsidRPr="004C12C9" w:rsidRDefault="00DF7EA4" w:rsidP="00DF7EA4">
            <w:pPr>
              <w:pStyle w:val="ICFTabletext"/>
              <w:jc w:val="center"/>
              <w:rPr>
                <w:highlight w:val="yellow"/>
              </w:rPr>
            </w:pPr>
            <w:r w:rsidRPr="004C12C9">
              <w:t xml:space="preserve"> 65,246,400 </w:t>
            </w:r>
          </w:p>
        </w:tc>
        <w:tc>
          <w:tcPr>
            <w:tcW w:w="1828" w:type="dxa"/>
          </w:tcPr>
          <w:p w14:paraId="50CE8FC8" w14:textId="163543D8" w:rsidR="00DF7EA4" w:rsidRPr="004C12C9" w:rsidRDefault="00DF7EA4" w:rsidP="00DF7EA4">
            <w:pPr>
              <w:pStyle w:val="ICFTabletext"/>
              <w:jc w:val="center"/>
              <w:rPr>
                <w:highlight w:val="yellow"/>
              </w:rPr>
            </w:pPr>
            <w:r w:rsidRPr="004C12C9">
              <w:t>0.09%</w:t>
            </w:r>
          </w:p>
        </w:tc>
        <w:tc>
          <w:tcPr>
            <w:tcW w:w="3324" w:type="dxa"/>
            <w:vAlign w:val="center"/>
          </w:tcPr>
          <w:p w14:paraId="1F6ED156" w14:textId="77777777" w:rsidR="00DF7EA4" w:rsidRPr="004C12C9" w:rsidRDefault="00DF7EA4" w:rsidP="00DF7EA4">
            <w:pPr>
              <w:pStyle w:val="ICFTabletext"/>
              <w:rPr>
                <w:highlight w:val="yellow"/>
              </w:rPr>
            </w:pPr>
            <w:r w:rsidRPr="004C12C9">
              <w:t>Aquic soils</w:t>
            </w:r>
          </w:p>
        </w:tc>
      </w:tr>
      <w:tr w:rsidR="00DF7EA4" w:rsidRPr="004C12C9" w14:paraId="0DC6230C" w14:textId="77777777">
        <w:tc>
          <w:tcPr>
            <w:tcW w:w="1525" w:type="dxa"/>
            <w:vAlign w:val="center"/>
          </w:tcPr>
          <w:p w14:paraId="2FD2BB51" w14:textId="77777777" w:rsidR="00DF7EA4" w:rsidRPr="004C12C9" w:rsidRDefault="00DF7EA4" w:rsidP="00DF7EA4">
            <w:pPr>
              <w:pStyle w:val="ICFTabletext"/>
              <w:rPr>
                <w:highlight w:val="yellow"/>
              </w:rPr>
            </w:pPr>
            <w:r w:rsidRPr="004C12C9">
              <w:t>Spodosols</w:t>
            </w:r>
          </w:p>
        </w:tc>
        <w:tc>
          <w:tcPr>
            <w:tcW w:w="1530" w:type="dxa"/>
            <w:vAlign w:val="center"/>
          </w:tcPr>
          <w:p w14:paraId="4268CF31" w14:textId="77777777" w:rsidR="00DF7EA4" w:rsidRPr="004C12C9" w:rsidRDefault="00DF7EA4" w:rsidP="00DF7EA4">
            <w:pPr>
              <w:pStyle w:val="ICFTabletext"/>
              <w:rPr>
                <w:highlight w:val="yellow"/>
              </w:rPr>
            </w:pPr>
            <w:r w:rsidRPr="004C12C9">
              <w:t>Orthods</w:t>
            </w:r>
          </w:p>
        </w:tc>
        <w:tc>
          <w:tcPr>
            <w:tcW w:w="1958" w:type="dxa"/>
          </w:tcPr>
          <w:p w14:paraId="49E1708E" w14:textId="6C2AC8E4" w:rsidR="00DF7EA4" w:rsidRPr="004C12C9" w:rsidRDefault="00DF7EA4" w:rsidP="00DF7EA4">
            <w:pPr>
              <w:pStyle w:val="ICFTabletext"/>
              <w:jc w:val="center"/>
              <w:rPr>
                <w:highlight w:val="yellow"/>
              </w:rPr>
            </w:pPr>
            <w:r w:rsidRPr="004C12C9">
              <w:t xml:space="preserve"> 2,430,000 </w:t>
            </w:r>
          </w:p>
        </w:tc>
        <w:tc>
          <w:tcPr>
            <w:tcW w:w="1828" w:type="dxa"/>
          </w:tcPr>
          <w:p w14:paraId="68A7C4AF" w14:textId="35AC78D8" w:rsidR="00DF7EA4" w:rsidRPr="004C12C9" w:rsidRDefault="00DF7EA4" w:rsidP="00DF7EA4">
            <w:pPr>
              <w:pStyle w:val="ICFTabletext"/>
              <w:jc w:val="center"/>
              <w:rPr>
                <w:highlight w:val="yellow"/>
              </w:rPr>
            </w:pPr>
            <w:r w:rsidRPr="004C12C9">
              <w:t>0.00%</w:t>
            </w:r>
          </w:p>
        </w:tc>
        <w:tc>
          <w:tcPr>
            <w:tcW w:w="3324" w:type="dxa"/>
            <w:vAlign w:val="center"/>
          </w:tcPr>
          <w:p w14:paraId="07316A42" w14:textId="77777777" w:rsidR="00DF7EA4" w:rsidRPr="004C12C9" w:rsidRDefault="00DF7EA4" w:rsidP="00DF7EA4">
            <w:pPr>
              <w:pStyle w:val="ICFTabletext"/>
              <w:rPr>
                <w:highlight w:val="yellow"/>
              </w:rPr>
            </w:pPr>
            <w:r w:rsidRPr="004C12C9">
              <w:t>Spodic soils</w:t>
            </w:r>
          </w:p>
        </w:tc>
      </w:tr>
      <w:tr w:rsidR="00DF7EA4" w:rsidRPr="004C12C9" w14:paraId="2C80B837" w14:textId="77777777">
        <w:tc>
          <w:tcPr>
            <w:tcW w:w="1525" w:type="dxa"/>
            <w:vAlign w:val="center"/>
          </w:tcPr>
          <w:p w14:paraId="053B3843" w14:textId="77777777" w:rsidR="00DF7EA4" w:rsidRPr="004C12C9" w:rsidRDefault="00DF7EA4" w:rsidP="00DF7EA4">
            <w:pPr>
              <w:pStyle w:val="ICFTabletext"/>
              <w:rPr>
                <w:highlight w:val="yellow"/>
              </w:rPr>
            </w:pPr>
            <w:r w:rsidRPr="004C12C9">
              <w:t>Histosols</w:t>
            </w:r>
          </w:p>
        </w:tc>
        <w:tc>
          <w:tcPr>
            <w:tcW w:w="1530" w:type="dxa"/>
            <w:vAlign w:val="center"/>
          </w:tcPr>
          <w:p w14:paraId="4BEA1EF5" w14:textId="77777777" w:rsidR="00DF7EA4" w:rsidRPr="004C12C9" w:rsidRDefault="00DF7EA4" w:rsidP="00DF7EA4">
            <w:pPr>
              <w:pStyle w:val="ICFTabletext"/>
              <w:rPr>
                <w:highlight w:val="yellow"/>
              </w:rPr>
            </w:pPr>
            <w:r w:rsidRPr="004C12C9">
              <w:t>Fibrists</w:t>
            </w:r>
          </w:p>
        </w:tc>
        <w:tc>
          <w:tcPr>
            <w:tcW w:w="1958" w:type="dxa"/>
          </w:tcPr>
          <w:p w14:paraId="6FB274D1" w14:textId="34A4D52E" w:rsidR="00DF7EA4" w:rsidRPr="004C12C9" w:rsidRDefault="00DF7EA4" w:rsidP="00DF7EA4">
            <w:pPr>
              <w:pStyle w:val="ICFTabletext"/>
              <w:jc w:val="center"/>
              <w:rPr>
                <w:highlight w:val="yellow"/>
              </w:rPr>
            </w:pPr>
            <w:r w:rsidRPr="004C12C9">
              <w:t xml:space="preserve"> 3,600 </w:t>
            </w:r>
          </w:p>
        </w:tc>
        <w:tc>
          <w:tcPr>
            <w:tcW w:w="1828" w:type="dxa"/>
          </w:tcPr>
          <w:p w14:paraId="2C3871A2" w14:textId="4ED850CB" w:rsidR="00DF7EA4" w:rsidRPr="004C12C9" w:rsidRDefault="00DF7EA4" w:rsidP="00DF7EA4">
            <w:pPr>
              <w:pStyle w:val="ICFTabletext"/>
              <w:jc w:val="center"/>
              <w:rPr>
                <w:highlight w:val="yellow"/>
              </w:rPr>
            </w:pPr>
            <w:r w:rsidRPr="004C12C9">
              <w:t>0.00%</w:t>
            </w:r>
          </w:p>
        </w:tc>
        <w:tc>
          <w:tcPr>
            <w:tcW w:w="3324" w:type="dxa"/>
            <w:vAlign w:val="center"/>
          </w:tcPr>
          <w:p w14:paraId="0C6C2980" w14:textId="77777777" w:rsidR="00DF7EA4" w:rsidRPr="004C12C9" w:rsidRDefault="00DF7EA4" w:rsidP="00DF7EA4">
            <w:pPr>
              <w:pStyle w:val="ICFTabletext"/>
              <w:rPr>
                <w:highlight w:val="yellow"/>
              </w:rPr>
            </w:pPr>
            <w:r w:rsidRPr="004C12C9">
              <w:t>Aquic soils</w:t>
            </w:r>
          </w:p>
        </w:tc>
      </w:tr>
      <w:tr w:rsidR="00DF7EA4" w:rsidRPr="004C12C9" w14:paraId="0701780D" w14:textId="77777777">
        <w:tc>
          <w:tcPr>
            <w:tcW w:w="1525" w:type="dxa"/>
            <w:vAlign w:val="center"/>
          </w:tcPr>
          <w:p w14:paraId="6127EFF8" w14:textId="77777777" w:rsidR="00DF7EA4" w:rsidRPr="004C12C9" w:rsidRDefault="00DF7EA4" w:rsidP="00DF7EA4">
            <w:pPr>
              <w:pStyle w:val="ICFTabletext"/>
              <w:rPr>
                <w:highlight w:val="yellow"/>
              </w:rPr>
            </w:pPr>
            <w:r w:rsidRPr="004C12C9">
              <w:t>Vertisols</w:t>
            </w:r>
          </w:p>
        </w:tc>
        <w:tc>
          <w:tcPr>
            <w:tcW w:w="1530" w:type="dxa"/>
            <w:vAlign w:val="center"/>
          </w:tcPr>
          <w:p w14:paraId="542DDCB4" w14:textId="77777777" w:rsidR="00DF7EA4" w:rsidRPr="004C12C9" w:rsidRDefault="00DF7EA4" w:rsidP="00DF7EA4">
            <w:pPr>
              <w:pStyle w:val="ICFTabletext"/>
              <w:rPr>
                <w:highlight w:val="yellow"/>
              </w:rPr>
            </w:pPr>
            <w:r w:rsidRPr="004C12C9">
              <w:t>Uderts</w:t>
            </w:r>
          </w:p>
        </w:tc>
        <w:tc>
          <w:tcPr>
            <w:tcW w:w="1958" w:type="dxa"/>
          </w:tcPr>
          <w:p w14:paraId="7E78B689" w14:textId="32E8D72E" w:rsidR="00DF7EA4" w:rsidRPr="004C12C9" w:rsidRDefault="00DF7EA4" w:rsidP="00DF7EA4">
            <w:pPr>
              <w:pStyle w:val="ICFTabletext"/>
              <w:jc w:val="center"/>
              <w:rPr>
                <w:highlight w:val="yellow"/>
              </w:rPr>
            </w:pPr>
            <w:r w:rsidRPr="004C12C9">
              <w:t xml:space="preserve"> 207,955,800 </w:t>
            </w:r>
          </w:p>
        </w:tc>
        <w:tc>
          <w:tcPr>
            <w:tcW w:w="1828" w:type="dxa"/>
          </w:tcPr>
          <w:p w14:paraId="77FF9B1B" w14:textId="267B5A01" w:rsidR="00DF7EA4" w:rsidRPr="004C12C9" w:rsidRDefault="00DF7EA4" w:rsidP="00DF7EA4">
            <w:pPr>
              <w:pStyle w:val="ICFTabletext"/>
              <w:jc w:val="center"/>
              <w:rPr>
                <w:highlight w:val="yellow"/>
              </w:rPr>
            </w:pPr>
            <w:r w:rsidRPr="004C12C9">
              <w:t>0.27%</w:t>
            </w:r>
          </w:p>
        </w:tc>
        <w:tc>
          <w:tcPr>
            <w:tcW w:w="3324" w:type="dxa"/>
            <w:vAlign w:val="center"/>
          </w:tcPr>
          <w:p w14:paraId="23EE4608" w14:textId="77777777" w:rsidR="00DF7EA4" w:rsidRPr="004C12C9" w:rsidRDefault="00DF7EA4" w:rsidP="00DF7EA4">
            <w:pPr>
              <w:pStyle w:val="ICFTabletext"/>
              <w:rPr>
                <w:highlight w:val="yellow"/>
              </w:rPr>
            </w:pPr>
            <w:r w:rsidRPr="004C12C9">
              <w:t>High clay activity mineral soils</w:t>
            </w:r>
          </w:p>
        </w:tc>
      </w:tr>
      <w:tr w:rsidR="00DF7EA4" w:rsidRPr="004C12C9" w14:paraId="39032F57" w14:textId="77777777">
        <w:tc>
          <w:tcPr>
            <w:tcW w:w="1525" w:type="dxa"/>
            <w:vAlign w:val="center"/>
          </w:tcPr>
          <w:p w14:paraId="5E6747B6" w14:textId="77777777" w:rsidR="00DF7EA4" w:rsidRPr="004C12C9" w:rsidRDefault="00DF7EA4" w:rsidP="00DF7EA4">
            <w:pPr>
              <w:pStyle w:val="ICFTabletext"/>
              <w:rPr>
                <w:highlight w:val="yellow"/>
              </w:rPr>
            </w:pPr>
            <w:r w:rsidRPr="004C12C9">
              <w:t>Mollisols</w:t>
            </w:r>
          </w:p>
        </w:tc>
        <w:tc>
          <w:tcPr>
            <w:tcW w:w="1530" w:type="dxa"/>
            <w:vAlign w:val="center"/>
          </w:tcPr>
          <w:p w14:paraId="3B370BC7" w14:textId="77777777" w:rsidR="00DF7EA4" w:rsidRPr="004C12C9" w:rsidRDefault="00DF7EA4" w:rsidP="00DF7EA4">
            <w:pPr>
              <w:pStyle w:val="ICFTabletext"/>
              <w:rPr>
                <w:highlight w:val="yellow"/>
              </w:rPr>
            </w:pPr>
            <w:r w:rsidRPr="004C12C9">
              <w:t>Ustolls</w:t>
            </w:r>
          </w:p>
        </w:tc>
        <w:tc>
          <w:tcPr>
            <w:tcW w:w="1958" w:type="dxa"/>
          </w:tcPr>
          <w:p w14:paraId="49CB9208" w14:textId="4581C6F7" w:rsidR="00DF7EA4" w:rsidRPr="004C12C9" w:rsidRDefault="00DF7EA4" w:rsidP="00DF7EA4">
            <w:pPr>
              <w:pStyle w:val="ICFTabletext"/>
              <w:jc w:val="center"/>
              <w:rPr>
                <w:highlight w:val="yellow"/>
              </w:rPr>
            </w:pPr>
            <w:r w:rsidRPr="004C12C9">
              <w:t xml:space="preserve"> 344,592,900 </w:t>
            </w:r>
          </w:p>
        </w:tc>
        <w:tc>
          <w:tcPr>
            <w:tcW w:w="1828" w:type="dxa"/>
          </w:tcPr>
          <w:p w14:paraId="21AE145A" w14:textId="01E951A4" w:rsidR="00DF7EA4" w:rsidRPr="004C12C9" w:rsidRDefault="00DF7EA4" w:rsidP="00DF7EA4">
            <w:pPr>
              <w:pStyle w:val="ICFTabletext"/>
              <w:jc w:val="center"/>
              <w:rPr>
                <w:highlight w:val="yellow"/>
              </w:rPr>
            </w:pPr>
            <w:r w:rsidRPr="004C12C9">
              <w:t>0.45%</w:t>
            </w:r>
          </w:p>
        </w:tc>
        <w:tc>
          <w:tcPr>
            <w:tcW w:w="3324" w:type="dxa"/>
            <w:vAlign w:val="center"/>
          </w:tcPr>
          <w:p w14:paraId="2E4F7333" w14:textId="77777777" w:rsidR="00DF7EA4" w:rsidRPr="004C12C9" w:rsidRDefault="00DF7EA4" w:rsidP="00DF7EA4">
            <w:pPr>
              <w:pStyle w:val="ICFTabletext"/>
              <w:rPr>
                <w:highlight w:val="yellow"/>
              </w:rPr>
            </w:pPr>
            <w:r w:rsidRPr="004C12C9">
              <w:t>High clay activity mineral soils</w:t>
            </w:r>
          </w:p>
        </w:tc>
      </w:tr>
      <w:tr w:rsidR="00DF7EA4" w:rsidRPr="004C12C9" w14:paraId="5A0F54CC" w14:textId="77777777">
        <w:tc>
          <w:tcPr>
            <w:tcW w:w="1525" w:type="dxa"/>
            <w:vAlign w:val="center"/>
          </w:tcPr>
          <w:p w14:paraId="4A3BDED7" w14:textId="77777777" w:rsidR="00DF7EA4" w:rsidRPr="004C12C9" w:rsidRDefault="00DF7EA4" w:rsidP="00DF7EA4">
            <w:pPr>
              <w:pStyle w:val="ICFTabletext"/>
              <w:rPr>
                <w:highlight w:val="yellow"/>
              </w:rPr>
            </w:pPr>
            <w:r w:rsidRPr="004C12C9">
              <w:t>Alfisols</w:t>
            </w:r>
          </w:p>
        </w:tc>
        <w:tc>
          <w:tcPr>
            <w:tcW w:w="1530" w:type="dxa"/>
            <w:vAlign w:val="center"/>
          </w:tcPr>
          <w:p w14:paraId="75E0CDD2" w14:textId="77777777" w:rsidR="00DF7EA4" w:rsidRPr="004C12C9" w:rsidRDefault="00DF7EA4" w:rsidP="00DF7EA4">
            <w:pPr>
              <w:pStyle w:val="ICFTabletext"/>
              <w:rPr>
                <w:highlight w:val="yellow"/>
              </w:rPr>
            </w:pPr>
            <w:r w:rsidRPr="004C12C9">
              <w:t>Ustalfs</w:t>
            </w:r>
          </w:p>
        </w:tc>
        <w:tc>
          <w:tcPr>
            <w:tcW w:w="1958" w:type="dxa"/>
          </w:tcPr>
          <w:p w14:paraId="4C44EAD3" w14:textId="3220F7BE" w:rsidR="00DF7EA4" w:rsidRPr="004C12C9" w:rsidRDefault="00DF7EA4" w:rsidP="00DF7EA4">
            <w:pPr>
              <w:pStyle w:val="ICFTabletext"/>
              <w:jc w:val="center"/>
              <w:rPr>
                <w:highlight w:val="yellow"/>
              </w:rPr>
            </w:pPr>
            <w:r w:rsidRPr="004C12C9">
              <w:t xml:space="preserve"> 5,832,000 </w:t>
            </w:r>
          </w:p>
        </w:tc>
        <w:tc>
          <w:tcPr>
            <w:tcW w:w="1828" w:type="dxa"/>
          </w:tcPr>
          <w:p w14:paraId="0AF16C1C" w14:textId="138BCC23" w:rsidR="00DF7EA4" w:rsidRPr="004C12C9" w:rsidRDefault="00DF7EA4" w:rsidP="00DF7EA4">
            <w:pPr>
              <w:pStyle w:val="ICFTabletext"/>
              <w:jc w:val="center"/>
              <w:rPr>
                <w:highlight w:val="yellow"/>
              </w:rPr>
            </w:pPr>
            <w:r w:rsidRPr="004C12C9">
              <w:t>0.01%</w:t>
            </w:r>
          </w:p>
        </w:tc>
        <w:tc>
          <w:tcPr>
            <w:tcW w:w="3324" w:type="dxa"/>
            <w:vAlign w:val="center"/>
          </w:tcPr>
          <w:p w14:paraId="6ACD1E46" w14:textId="77777777" w:rsidR="00DF7EA4" w:rsidRPr="004C12C9" w:rsidRDefault="00DF7EA4" w:rsidP="00DF7EA4">
            <w:pPr>
              <w:pStyle w:val="ICFTabletext"/>
              <w:rPr>
                <w:highlight w:val="yellow"/>
              </w:rPr>
            </w:pPr>
            <w:r w:rsidRPr="004C12C9">
              <w:t>High clay activity mineral soils</w:t>
            </w:r>
          </w:p>
        </w:tc>
      </w:tr>
      <w:tr w:rsidR="00DF7EA4" w:rsidRPr="004C12C9" w14:paraId="69CB0763" w14:textId="77777777">
        <w:tc>
          <w:tcPr>
            <w:tcW w:w="1525" w:type="dxa"/>
            <w:vAlign w:val="center"/>
          </w:tcPr>
          <w:p w14:paraId="1934E935" w14:textId="77777777" w:rsidR="00DF7EA4" w:rsidRPr="004C12C9" w:rsidRDefault="00DF7EA4" w:rsidP="00DF7EA4">
            <w:pPr>
              <w:pStyle w:val="ICFTabletext"/>
              <w:rPr>
                <w:highlight w:val="yellow"/>
              </w:rPr>
            </w:pPr>
            <w:r w:rsidRPr="004C12C9">
              <w:t>Mollisols</w:t>
            </w:r>
          </w:p>
        </w:tc>
        <w:tc>
          <w:tcPr>
            <w:tcW w:w="1530" w:type="dxa"/>
            <w:vAlign w:val="center"/>
          </w:tcPr>
          <w:p w14:paraId="1DE35A97" w14:textId="77777777" w:rsidR="00DF7EA4" w:rsidRPr="004C12C9" w:rsidRDefault="00DF7EA4" w:rsidP="00DF7EA4">
            <w:pPr>
              <w:pStyle w:val="ICFTabletext"/>
              <w:rPr>
                <w:highlight w:val="yellow"/>
              </w:rPr>
            </w:pPr>
            <w:r w:rsidRPr="004C12C9">
              <w:t>Borolls</w:t>
            </w:r>
          </w:p>
        </w:tc>
        <w:tc>
          <w:tcPr>
            <w:tcW w:w="1958" w:type="dxa"/>
          </w:tcPr>
          <w:p w14:paraId="36171F82" w14:textId="75231621" w:rsidR="00DF7EA4" w:rsidRPr="004C12C9" w:rsidRDefault="00DF7EA4" w:rsidP="00DF7EA4">
            <w:pPr>
              <w:pStyle w:val="ICFTabletext"/>
              <w:jc w:val="center"/>
              <w:rPr>
                <w:highlight w:val="yellow"/>
              </w:rPr>
            </w:pPr>
            <w:r w:rsidRPr="004C12C9">
              <w:t xml:space="preserve"> 13,500 </w:t>
            </w:r>
          </w:p>
        </w:tc>
        <w:tc>
          <w:tcPr>
            <w:tcW w:w="1828" w:type="dxa"/>
          </w:tcPr>
          <w:p w14:paraId="30209119" w14:textId="648BB6C1" w:rsidR="00DF7EA4" w:rsidRPr="004C12C9" w:rsidRDefault="00DF7EA4" w:rsidP="00DF7EA4">
            <w:pPr>
              <w:pStyle w:val="ICFTabletext"/>
              <w:jc w:val="center"/>
              <w:rPr>
                <w:highlight w:val="yellow"/>
              </w:rPr>
            </w:pPr>
            <w:r w:rsidRPr="004C12C9">
              <w:t>0.00%</w:t>
            </w:r>
          </w:p>
        </w:tc>
        <w:tc>
          <w:tcPr>
            <w:tcW w:w="3324" w:type="dxa"/>
            <w:vAlign w:val="center"/>
          </w:tcPr>
          <w:p w14:paraId="6C6B41DF" w14:textId="77777777" w:rsidR="00DF7EA4" w:rsidRPr="004C12C9" w:rsidRDefault="00DF7EA4" w:rsidP="00DF7EA4">
            <w:pPr>
              <w:pStyle w:val="ICFTabletext"/>
              <w:rPr>
                <w:highlight w:val="yellow"/>
              </w:rPr>
            </w:pPr>
            <w:r w:rsidRPr="004C12C9">
              <w:t>High clay activity mineral soils</w:t>
            </w:r>
          </w:p>
        </w:tc>
      </w:tr>
      <w:tr w:rsidR="00DF7EA4" w:rsidRPr="004C12C9" w14:paraId="460243EB" w14:textId="77777777">
        <w:tc>
          <w:tcPr>
            <w:tcW w:w="1525" w:type="dxa"/>
            <w:vAlign w:val="center"/>
          </w:tcPr>
          <w:p w14:paraId="2CE75914" w14:textId="77777777" w:rsidR="00DF7EA4" w:rsidRPr="004C12C9" w:rsidRDefault="00DF7EA4" w:rsidP="00DF7EA4">
            <w:pPr>
              <w:pStyle w:val="ICFTabletext"/>
              <w:rPr>
                <w:highlight w:val="yellow"/>
              </w:rPr>
            </w:pPr>
            <w:r w:rsidRPr="004C12C9">
              <w:t>Inceptisols</w:t>
            </w:r>
          </w:p>
        </w:tc>
        <w:tc>
          <w:tcPr>
            <w:tcW w:w="1530" w:type="dxa"/>
            <w:vAlign w:val="center"/>
          </w:tcPr>
          <w:p w14:paraId="42510E43" w14:textId="77777777" w:rsidR="00DF7EA4" w:rsidRPr="004C12C9" w:rsidRDefault="00DF7EA4" w:rsidP="00DF7EA4">
            <w:pPr>
              <w:pStyle w:val="ICFTabletext"/>
              <w:rPr>
                <w:highlight w:val="yellow"/>
              </w:rPr>
            </w:pPr>
            <w:r w:rsidRPr="004C12C9">
              <w:t>Ochrepts</w:t>
            </w:r>
          </w:p>
        </w:tc>
        <w:tc>
          <w:tcPr>
            <w:tcW w:w="1958" w:type="dxa"/>
          </w:tcPr>
          <w:p w14:paraId="3A9CEA72" w14:textId="11E1C8D2" w:rsidR="00DF7EA4" w:rsidRPr="004C12C9" w:rsidRDefault="00DF7EA4" w:rsidP="00DF7EA4">
            <w:pPr>
              <w:pStyle w:val="ICFTabletext"/>
              <w:jc w:val="center"/>
              <w:rPr>
                <w:highlight w:val="yellow"/>
              </w:rPr>
            </w:pPr>
            <w:r w:rsidRPr="004C12C9">
              <w:t xml:space="preserve"> 594,000 </w:t>
            </w:r>
          </w:p>
        </w:tc>
        <w:tc>
          <w:tcPr>
            <w:tcW w:w="1828" w:type="dxa"/>
          </w:tcPr>
          <w:p w14:paraId="30DAE38B" w14:textId="79D3CB66" w:rsidR="00DF7EA4" w:rsidRPr="004C12C9" w:rsidRDefault="00DF7EA4" w:rsidP="00DF7EA4">
            <w:pPr>
              <w:pStyle w:val="ICFTabletext"/>
              <w:jc w:val="center"/>
              <w:rPr>
                <w:highlight w:val="yellow"/>
              </w:rPr>
            </w:pPr>
            <w:r w:rsidRPr="004C12C9">
              <w:t>0.00%</w:t>
            </w:r>
          </w:p>
        </w:tc>
        <w:tc>
          <w:tcPr>
            <w:tcW w:w="3324" w:type="dxa"/>
            <w:vAlign w:val="center"/>
          </w:tcPr>
          <w:p w14:paraId="585813F3" w14:textId="77777777" w:rsidR="00DF7EA4" w:rsidRPr="004C12C9" w:rsidRDefault="00DF7EA4" w:rsidP="00DF7EA4">
            <w:pPr>
              <w:pStyle w:val="ICFTabletext"/>
              <w:rPr>
                <w:highlight w:val="yellow"/>
              </w:rPr>
            </w:pPr>
            <w:r w:rsidRPr="004C12C9">
              <w:t>High clay activity mineral soils</w:t>
            </w:r>
          </w:p>
        </w:tc>
      </w:tr>
      <w:tr w:rsidR="00DF7EA4" w:rsidRPr="004C12C9" w14:paraId="377C1160" w14:textId="77777777">
        <w:tc>
          <w:tcPr>
            <w:tcW w:w="1525" w:type="dxa"/>
            <w:vAlign w:val="center"/>
          </w:tcPr>
          <w:p w14:paraId="5FF464C3" w14:textId="77777777" w:rsidR="00DF7EA4" w:rsidRPr="004C12C9" w:rsidRDefault="00DF7EA4" w:rsidP="00DF7EA4">
            <w:pPr>
              <w:pStyle w:val="ICFTabletext"/>
            </w:pPr>
            <w:r w:rsidRPr="004C12C9">
              <w:t>Alfisols</w:t>
            </w:r>
          </w:p>
        </w:tc>
        <w:tc>
          <w:tcPr>
            <w:tcW w:w="1530" w:type="dxa"/>
            <w:vAlign w:val="center"/>
          </w:tcPr>
          <w:p w14:paraId="3DCA773D" w14:textId="77777777" w:rsidR="00DF7EA4" w:rsidRPr="004C12C9" w:rsidRDefault="00DF7EA4" w:rsidP="00DF7EA4">
            <w:pPr>
              <w:pStyle w:val="ICFTabletext"/>
            </w:pPr>
            <w:r w:rsidRPr="004C12C9">
              <w:t>Boralfs</w:t>
            </w:r>
          </w:p>
        </w:tc>
        <w:tc>
          <w:tcPr>
            <w:tcW w:w="1958" w:type="dxa"/>
          </w:tcPr>
          <w:p w14:paraId="1B4D364E" w14:textId="21902FF6" w:rsidR="00DF7EA4" w:rsidRPr="004C12C9" w:rsidRDefault="00DF7EA4" w:rsidP="00DF7EA4">
            <w:pPr>
              <w:pStyle w:val="ICFTabletext"/>
              <w:jc w:val="center"/>
            </w:pPr>
            <w:r w:rsidRPr="004C12C9">
              <w:t xml:space="preserve"> 840,600 </w:t>
            </w:r>
          </w:p>
        </w:tc>
        <w:tc>
          <w:tcPr>
            <w:tcW w:w="1828" w:type="dxa"/>
          </w:tcPr>
          <w:p w14:paraId="7C290B53" w14:textId="3A644E5E" w:rsidR="00DF7EA4" w:rsidRPr="004C12C9" w:rsidRDefault="00DF7EA4" w:rsidP="00DF7EA4">
            <w:pPr>
              <w:pStyle w:val="ICFTabletext"/>
              <w:jc w:val="center"/>
            </w:pPr>
            <w:r w:rsidRPr="004C12C9">
              <w:t>0.00%</w:t>
            </w:r>
          </w:p>
        </w:tc>
        <w:tc>
          <w:tcPr>
            <w:tcW w:w="3324" w:type="dxa"/>
            <w:vAlign w:val="center"/>
          </w:tcPr>
          <w:p w14:paraId="4DA469CF" w14:textId="77777777" w:rsidR="00DF7EA4" w:rsidRPr="004C12C9" w:rsidRDefault="00DF7EA4" w:rsidP="00DF7EA4">
            <w:pPr>
              <w:pStyle w:val="ICFTabletext"/>
            </w:pPr>
            <w:r w:rsidRPr="004C12C9">
              <w:t>Low clay activity mineral soils</w:t>
            </w:r>
          </w:p>
        </w:tc>
      </w:tr>
    </w:tbl>
    <w:p w14:paraId="1FC06C1B" w14:textId="77777777" w:rsidR="00FC16E7" w:rsidRPr="004C12C9" w:rsidRDefault="00FC16E7" w:rsidP="006A7EA7">
      <w:pPr>
        <w:pStyle w:val="Heading5"/>
      </w:pPr>
      <w:r w:rsidRPr="004C12C9">
        <w:lastRenderedPageBreak/>
        <w:t>Lawn, Landscaping, and Green Roofs</w:t>
      </w:r>
    </w:p>
    <w:p w14:paraId="33FFFCC9" w14:textId="5EFA5162" w:rsidR="00FC16E7" w:rsidRPr="004C12C9" w:rsidRDefault="00FC16E7" w:rsidP="00972CF9">
      <w:r w:rsidRPr="004C12C9">
        <w:t>The carbon stock for lawn and landscaping (turfgrass) was derived by combining the estimated carbon stocks of aboveground biomass, belowground biomass, and soil organic carbon pools, as summarized below in</w:t>
      </w:r>
      <w:r w:rsidR="00257B18">
        <w:t xml:space="preserve"> </w:t>
      </w:r>
      <w:r w:rsidR="00257B18">
        <w:fldChar w:fldCharType="begin"/>
      </w:r>
      <w:r w:rsidR="00257B18">
        <w:instrText xml:space="preserve"> REF _Ref219828603 \h </w:instrText>
      </w:r>
      <w:r w:rsidR="00257B18">
        <w:fldChar w:fldCharType="separate"/>
      </w:r>
      <w:r w:rsidR="00257B18" w:rsidRPr="004C12C9">
        <w:t xml:space="preserve">Table </w:t>
      </w:r>
      <w:r w:rsidR="00257B18">
        <w:rPr>
          <w:noProof/>
        </w:rPr>
        <w:t>2</w:t>
      </w:r>
      <w:r w:rsidR="00257B18">
        <w:noBreakHyphen/>
      </w:r>
      <w:r w:rsidR="00257B18">
        <w:rPr>
          <w:noProof/>
        </w:rPr>
        <w:t>45</w:t>
      </w:r>
      <w:r w:rsidR="00257B18">
        <w:fldChar w:fldCharType="end"/>
      </w:r>
      <w:r w:rsidRPr="004C12C9">
        <w:t>. The soil organic carbon stock assumption was obtained from a study conducted by Selhorest and Lal (2013) on the carbon sequestration potential in home lawn turfgrasses in the United States and reflects the mean potential soil organic carbon sink capacity identified by the study.</w:t>
      </w:r>
      <w:r w:rsidR="003C3CA0">
        <w:rPr>
          <w:rFonts w:ascii="ZWAdobeF" w:hAnsi="ZWAdobeF" w:cs="ZWAdobeF"/>
          <w:sz w:val="2"/>
          <w:szCs w:val="2"/>
        </w:rPr>
        <w:t>57F</w:t>
      </w:r>
      <w:r w:rsidRPr="004C12C9">
        <w:rPr>
          <w:rStyle w:val="FootnoteReference"/>
        </w:rPr>
        <w:footnoteReference w:id="61"/>
      </w:r>
      <w:r w:rsidRPr="004C12C9">
        <w:t xml:space="preserve"> Estimates for aboveground and belowground biomass for turfgrass are based on a study completed by Kong et al. (2014).</w:t>
      </w:r>
      <w:r w:rsidR="003C3CA0">
        <w:rPr>
          <w:rFonts w:ascii="ZWAdobeF" w:hAnsi="ZWAdobeF" w:cs="ZWAdobeF"/>
          <w:sz w:val="2"/>
          <w:szCs w:val="2"/>
        </w:rPr>
        <w:t>58F</w:t>
      </w:r>
      <w:r w:rsidRPr="004C12C9">
        <w:rPr>
          <w:rStyle w:val="FootnoteReference"/>
        </w:rPr>
        <w:footnoteReference w:id="62"/>
      </w:r>
      <w:r w:rsidRPr="004C12C9">
        <w:t xml:space="preserve"> The estimated carbon stock for constructed green roofs is assumed to equal the estimated carbon stock for turfgrass.</w:t>
      </w:r>
    </w:p>
    <w:p w14:paraId="7E91859B" w14:textId="3B956653" w:rsidR="00FC16E7" w:rsidRPr="004C12C9" w:rsidRDefault="00FC16E7" w:rsidP="00972CF9">
      <w:pPr>
        <w:pStyle w:val="Caption"/>
      </w:pPr>
      <w:bookmarkStart w:id="127" w:name="_Ref219828603"/>
      <w:bookmarkStart w:id="128" w:name="_Ref193276919"/>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45</w:t>
      </w:r>
      <w:r w:rsidR="00F72B41">
        <w:fldChar w:fldCharType="end"/>
      </w:r>
      <w:bookmarkEnd w:id="127"/>
      <w:bookmarkEnd w:id="128"/>
      <w:r w:rsidRPr="004C12C9">
        <w:t>. Estimated Carbon Stock of Lawn, Landscaping, and Green Roofs (MT C per hectare)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3060"/>
        <w:gridCol w:w="2790"/>
      </w:tblGrid>
      <w:tr w:rsidR="00FC16E7" w:rsidRPr="004C12C9" w14:paraId="6D5EB3FF" w14:textId="77777777" w:rsidTr="00EC0A01">
        <w:tc>
          <w:tcPr>
            <w:tcW w:w="3145" w:type="dxa"/>
            <w:shd w:val="clear" w:color="auto" w:fill="D9D9D9" w:themeFill="background1" w:themeFillShade="D9"/>
          </w:tcPr>
          <w:p w14:paraId="2FBF7C4D" w14:textId="77777777" w:rsidR="00FC16E7" w:rsidRPr="004C12C9" w:rsidRDefault="00FC16E7" w:rsidP="00A04E60">
            <w:pPr>
              <w:pStyle w:val="ICFTableHeading"/>
              <w:rPr>
                <w:b w:val="0"/>
                <w:color w:val="FFFFFF" w:themeColor="background1"/>
                <w:sz w:val="20"/>
              </w:rPr>
            </w:pPr>
            <w:r w:rsidRPr="004C12C9">
              <w:t xml:space="preserve">Soil Carbon </w:t>
            </w:r>
          </w:p>
        </w:tc>
        <w:tc>
          <w:tcPr>
            <w:tcW w:w="3060" w:type="dxa"/>
            <w:shd w:val="clear" w:color="auto" w:fill="D9D9D9" w:themeFill="background1" w:themeFillShade="D9"/>
          </w:tcPr>
          <w:p w14:paraId="60106C83" w14:textId="77777777" w:rsidR="00FC16E7" w:rsidRPr="004C12C9" w:rsidRDefault="00FC16E7" w:rsidP="00A04E60">
            <w:pPr>
              <w:pStyle w:val="ICFTableHeading"/>
              <w:rPr>
                <w:b w:val="0"/>
                <w:color w:val="FFFFFF" w:themeColor="background1"/>
                <w:sz w:val="20"/>
              </w:rPr>
            </w:pPr>
            <w:r w:rsidRPr="004C12C9">
              <w:t xml:space="preserve">Aboveground </w:t>
            </w:r>
          </w:p>
        </w:tc>
        <w:tc>
          <w:tcPr>
            <w:tcW w:w="2790" w:type="dxa"/>
            <w:shd w:val="clear" w:color="auto" w:fill="D9D9D9" w:themeFill="background1" w:themeFillShade="D9"/>
          </w:tcPr>
          <w:p w14:paraId="711FD5EC" w14:textId="77777777" w:rsidR="00FC16E7" w:rsidRPr="004C12C9" w:rsidRDefault="00FC16E7" w:rsidP="00A04E60">
            <w:pPr>
              <w:pStyle w:val="ICFTableHeading"/>
              <w:rPr>
                <w:b w:val="0"/>
                <w:color w:val="FFFFFF" w:themeColor="background1"/>
                <w:sz w:val="20"/>
              </w:rPr>
            </w:pPr>
            <w:r w:rsidRPr="004C12C9">
              <w:t>Belowground</w:t>
            </w:r>
          </w:p>
        </w:tc>
      </w:tr>
      <w:tr w:rsidR="00FC16E7" w:rsidRPr="004C12C9" w14:paraId="0958A6DC" w14:textId="77777777" w:rsidTr="00EC0A01">
        <w:tc>
          <w:tcPr>
            <w:tcW w:w="3145" w:type="dxa"/>
          </w:tcPr>
          <w:p w14:paraId="652C21D0" w14:textId="77777777" w:rsidR="00FC16E7" w:rsidRPr="004C12C9" w:rsidRDefault="00FC16E7" w:rsidP="00A04E60">
            <w:pPr>
              <w:pStyle w:val="ICFTabletext"/>
              <w:jc w:val="center"/>
            </w:pPr>
            <w:r w:rsidRPr="004C12C9">
              <w:t>45.8</w:t>
            </w:r>
          </w:p>
        </w:tc>
        <w:tc>
          <w:tcPr>
            <w:tcW w:w="3060" w:type="dxa"/>
          </w:tcPr>
          <w:p w14:paraId="691A2338" w14:textId="4A46C08F" w:rsidR="00FC16E7" w:rsidRPr="004C12C9" w:rsidRDefault="00FC16E7" w:rsidP="00A04E60">
            <w:pPr>
              <w:pStyle w:val="ICFTabletext"/>
              <w:jc w:val="center"/>
            </w:pPr>
            <w:r w:rsidRPr="004C12C9">
              <w:t>1.3</w:t>
            </w:r>
            <w:r w:rsidR="00C54164" w:rsidRPr="004C12C9">
              <w:rPr>
                <w:vertAlign w:val="superscript"/>
              </w:rPr>
              <w:t>a</w:t>
            </w:r>
          </w:p>
        </w:tc>
        <w:tc>
          <w:tcPr>
            <w:tcW w:w="2790" w:type="dxa"/>
          </w:tcPr>
          <w:p w14:paraId="2AC60272" w14:textId="0176D04D" w:rsidR="00FC16E7" w:rsidRPr="004C12C9" w:rsidRDefault="00FC16E7" w:rsidP="00A04E60">
            <w:pPr>
              <w:pStyle w:val="ICFTabletext"/>
              <w:jc w:val="center"/>
            </w:pPr>
            <w:r w:rsidRPr="004C12C9">
              <w:t>0</w:t>
            </w:r>
            <w:r w:rsidR="003D4AFB" w:rsidRPr="004C12C9">
              <w:t>.</w:t>
            </w:r>
            <w:r w:rsidRPr="004C12C9">
              <w:t>0</w:t>
            </w:r>
          </w:p>
        </w:tc>
      </w:tr>
    </w:tbl>
    <w:p w14:paraId="2905F86D" w14:textId="39080DAD" w:rsidR="00FC16E7" w:rsidRPr="004C12C9" w:rsidRDefault="00C54164" w:rsidP="00A04E60">
      <w:pPr>
        <w:pStyle w:val="TableFooter"/>
      </w:pPr>
      <w:r w:rsidRPr="004C12C9">
        <w:rPr>
          <w:vertAlign w:val="superscript"/>
        </w:rPr>
        <w:t>a</w:t>
      </w:r>
      <w:r w:rsidR="00FC16E7" w:rsidRPr="004C12C9">
        <w:t xml:space="preserve"> Based on a range of 0.5 to 2.1 MT C per hectare.</w:t>
      </w:r>
    </w:p>
    <w:p w14:paraId="65183168" w14:textId="77777777" w:rsidR="00FC16E7" w:rsidRPr="004C12C9" w:rsidRDefault="00FC16E7" w:rsidP="006A7EA7">
      <w:pPr>
        <w:pStyle w:val="Heading5"/>
      </w:pPr>
      <w:r w:rsidRPr="004C12C9">
        <w:t>Restored Vegetated Wetlands</w:t>
      </w:r>
    </w:p>
    <w:p w14:paraId="6C2C4B61" w14:textId="6426ADAF" w:rsidR="00FC16E7" w:rsidRPr="004C12C9" w:rsidRDefault="00FC16E7" w:rsidP="00972CF9">
      <w:r w:rsidRPr="004C12C9">
        <w:t>The carbon stock for restored vegetated wetlands was derived by combining the estimated carbon stocks of soil organic carbon, aboveground biomass, and below ground biomass carbon pools. The estimated soil organic carbon content of restored prairie pothole wetlands was obtained from a study of carbon storage in native and restored wetlands in North America.</w:t>
      </w:r>
      <w:r w:rsidR="003C3CA0">
        <w:rPr>
          <w:rFonts w:ascii="ZWAdobeF" w:hAnsi="ZWAdobeF" w:cs="ZWAdobeF"/>
          <w:sz w:val="2"/>
          <w:szCs w:val="2"/>
        </w:rPr>
        <w:t>59F</w:t>
      </w:r>
      <w:r w:rsidRPr="004C12C9">
        <w:rPr>
          <w:rStyle w:val="FootnoteReference"/>
        </w:rPr>
        <w:footnoteReference w:id="63"/>
      </w:r>
      <w:r w:rsidRPr="004C12C9">
        <w:t xml:space="preserve"> The estimate of aboveground biomass was obtained from a different regional study on the potential of restored prairie wetlands to sequester carbon.</w:t>
      </w:r>
      <w:r w:rsidR="003C3CA0">
        <w:rPr>
          <w:rFonts w:ascii="ZWAdobeF" w:hAnsi="ZWAdobeF" w:cs="ZWAdobeF"/>
          <w:sz w:val="2"/>
          <w:szCs w:val="2"/>
        </w:rPr>
        <w:t>60F</w:t>
      </w:r>
      <w:r w:rsidRPr="004C12C9">
        <w:rPr>
          <w:rStyle w:val="FootnoteReference"/>
        </w:rPr>
        <w:footnoteReference w:id="64"/>
      </w:r>
      <w:r w:rsidRPr="004C12C9">
        <w:t xml:space="preserve"> Finally, the estimate for belowground biomass was derived based on the ratio of 1.15 of above to belowground biomass for wetlands, as obtained from the 2013 Supplement to the 2006 IPCC Guidelines.</w:t>
      </w:r>
      <w:r w:rsidR="003C3CA0">
        <w:rPr>
          <w:rFonts w:ascii="ZWAdobeF" w:hAnsi="ZWAdobeF" w:cs="ZWAdobeF"/>
          <w:sz w:val="2"/>
          <w:szCs w:val="2"/>
        </w:rPr>
        <w:t>61F</w:t>
      </w:r>
      <w:r w:rsidRPr="004C12C9">
        <w:rPr>
          <w:rStyle w:val="FootnoteReference"/>
        </w:rPr>
        <w:footnoteReference w:id="65"/>
      </w:r>
      <w:r w:rsidRPr="004C12C9">
        <w:t xml:space="preserve"> A summary of the estimated carbon stocks for restored vegetated wetlands is shown in</w:t>
      </w:r>
      <w:r w:rsidR="00257B18">
        <w:t xml:space="preserve"> </w:t>
      </w:r>
      <w:r w:rsidR="00257B18">
        <w:fldChar w:fldCharType="begin"/>
      </w:r>
      <w:r w:rsidR="00257B18">
        <w:instrText xml:space="preserve"> REF _Ref219828611 \h </w:instrText>
      </w:r>
      <w:r w:rsidR="00257B18">
        <w:fldChar w:fldCharType="separate"/>
      </w:r>
      <w:r w:rsidR="00257B18" w:rsidRPr="004C12C9">
        <w:t xml:space="preserve">Table </w:t>
      </w:r>
      <w:r w:rsidR="00257B18">
        <w:rPr>
          <w:noProof/>
        </w:rPr>
        <w:t>2</w:t>
      </w:r>
      <w:r w:rsidR="00257B18">
        <w:noBreakHyphen/>
      </w:r>
      <w:r w:rsidR="00257B18">
        <w:rPr>
          <w:noProof/>
        </w:rPr>
        <w:t>46</w:t>
      </w:r>
      <w:r w:rsidR="00257B18">
        <w:fldChar w:fldCharType="end"/>
      </w:r>
      <w:r w:rsidRPr="004C12C9">
        <w:t>.</w:t>
      </w:r>
    </w:p>
    <w:p w14:paraId="7A54B7F4" w14:textId="705C989D" w:rsidR="00FC16E7" w:rsidRPr="004C12C9" w:rsidRDefault="00FC16E7" w:rsidP="00972CF9">
      <w:pPr>
        <w:pStyle w:val="Caption"/>
      </w:pPr>
      <w:bookmarkStart w:id="129" w:name="_Ref219828611"/>
      <w:bookmarkStart w:id="130" w:name="_Ref193211914"/>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46</w:t>
      </w:r>
      <w:r w:rsidR="00F72B41">
        <w:fldChar w:fldCharType="end"/>
      </w:r>
      <w:bookmarkEnd w:id="129"/>
      <w:bookmarkEnd w:id="130"/>
      <w:r w:rsidRPr="004C12C9">
        <w:t>. Estimated Carbon Stock of Restored Vegetated Wetlands (MT C per hectare)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8"/>
        <w:gridCol w:w="2788"/>
        <w:gridCol w:w="2789"/>
      </w:tblGrid>
      <w:tr w:rsidR="00FC16E7" w:rsidRPr="004C12C9" w14:paraId="3A2B0F04" w14:textId="77777777" w:rsidTr="008352F0">
        <w:tc>
          <w:tcPr>
            <w:tcW w:w="2788" w:type="dxa"/>
            <w:shd w:val="clear" w:color="auto" w:fill="D9D9D9" w:themeFill="background1" w:themeFillShade="D9"/>
            <w:vAlign w:val="center"/>
          </w:tcPr>
          <w:p w14:paraId="1F220540" w14:textId="77777777" w:rsidR="00FC16E7" w:rsidRPr="004C12C9" w:rsidRDefault="00FC16E7" w:rsidP="008352F0">
            <w:pPr>
              <w:pStyle w:val="ICFTableHeading"/>
              <w:rPr>
                <w:b w:val="0"/>
                <w:color w:val="FFFFFF" w:themeColor="background1"/>
                <w:sz w:val="20"/>
              </w:rPr>
            </w:pPr>
            <w:r w:rsidRPr="004C12C9">
              <w:t>Soil Carbon</w:t>
            </w:r>
          </w:p>
        </w:tc>
        <w:tc>
          <w:tcPr>
            <w:tcW w:w="2788" w:type="dxa"/>
            <w:shd w:val="clear" w:color="auto" w:fill="D9D9D9" w:themeFill="background1" w:themeFillShade="D9"/>
          </w:tcPr>
          <w:p w14:paraId="77303A98" w14:textId="77777777" w:rsidR="00FC16E7" w:rsidRPr="004C12C9" w:rsidDel="003C7215" w:rsidRDefault="00FC16E7" w:rsidP="008352F0">
            <w:pPr>
              <w:pStyle w:val="ICFTableHeading"/>
              <w:rPr>
                <w:b w:val="0"/>
                <w:color w:val="FFFFFF" w:themeColor="background1"/>
                <w:sz w:val="20"/>
              </w:rPr>
            </w:pPr>
            <w:r w:rsidRPr="004C12C9">
              <w:t>Aboveground</w:t>
            </w:r>
          </w:p>
        </w:tc>
        <w:tc>
          <w:tcPr>
            <w:tcW w:w="2789" w:type="dxa"/>
            <w:shd w:val="clear" w:color="auto" w:fill="D9D9D9" w:themeFill="background1" w:themeFillShade="D9"/>
          </w:tcPr>
          <w:p w14:paraId="1044CAF7" w14:textId="77777777" w:rsidR="00FC16E7" w:rsidRPr="004C12C9" w:rsidRDefault="00FC16E7" w:rsidP="008352F0">
            <w:pPr>
              <w:pStyle w:val="ICFTableHeading"/>
              <w:rPr>
                <w:b w:val="0"/>
                <w:color w:val="FFFFFF" w:themeColor="background1"/>
                <w:sz w:val="20"/>
              </w:rPr>
            </w:pPr>
            <w:r w:rsidRPr="004C12C9">
              <w:t>Belowground</w:t>
            </w:r>
          </w:p>
        </w:tc>
      </w:tr>
      <w:tr w:rsidR="00FC16E7" w:rsidRPr="004C12C9" w14:paraId="2855CBC9" w14:textId="77777777" w:rsidTr="008352F0">
        <w:tc>
          <w:tcPr>
            <w:tcW w:w="2788" w:type="dxa"/>
            <w:vAlign w:val="center"/>
          </w:tcPr>
          <w:p w14:paraId="20EBE984" w14:textId="2EED0670" w:rsidR="00FC16E7" w:rsidRPr="004C12C9" w:rsidRDefault="00FC16E7" w:rsidP="008352F0">
            <w:pPr>
              <w:pStyle w:val="ICFTabletext"/>
              <w:jc w:val="center"/>
            </w:pPr>
            <w:r w:rsidRPr="004C12C9">
              <w:t>96.5</w:t>
            </w:r>
            <w:r w:rsidR="00262C02" w:rsidRPr="004C12C9">
              <w:t>0</w:t>
            </w:r>
          </w:p>
        </w:tc>
        <w:tc>
          <w:tcPr>
            <w:tcW w:w="2788" w:type="dxa"/>
          </w:tcPr>
          <w:p w14:paraId="156A375C" w14:textId="1A544BCF" w:rsidR="00FC16E7" w:rsidRPr="004C12C9" w:rsidRDefault="00FC16E7" w:rsidP="008352F0">
            <w:pPr>
              <w:pStyle w:val="ICFTabletext"/>
              <w:jc w:val="center"/>
            </w:pPr>
            <w:r w:rsidRPr="004C12C9">
              <w:t>5</w:t>
            </w:r>
            <w:r w:rsidR="00262C02" w:rsidRPr="004C12C9">
              <w:t>.00</w:t>
            </w:r>
          </w:p>
        </w:tc>
        <w:tc>
          <w:tcPr>
            <w:tcW w:w="2789" w:type="dxa"/>
          </w:tcPr>
          <w:p w14:paraId="26DA8610" w14:textId="77777777" w:rsidR="00FC16E7" w:rsidRPr="004C12C9" w:rsidRDefault="00FC16E7" w:rsidP="008352F0">
            <w:pPr>
              <w:pStyle w:val="ICFTabletext"/>
              <w:jc w:val="center"/>
            </w:pPr>
            <w:r w:rsidRPr="004C12C9">
              <w:t>5.75</w:t>
            </w:r>
          </w:p>
        </w:tc>
      </w:tr>
    </w:tbl>
    <w:p w14:paraId="7E77ABCB" w14:textId="77777777" w:rsidR="00FC16E7" w:rsidRPr="004C12C9" w:rsidRDefault="00FC16E7" w:rsidP="006A7EA7">
      <w:pPr>
        <w:pStyle w:val="Heading5"/>
      </w:pPr>
      <w:r w:rsidRPr="004C12C9">
        <w:lastRenderedPageBreak/>
        <w:t>Other Land Types</w:t>
      </w:r>
    </w:p>
    <w:p w14:paraId="5006796A" w14:textId="238F8B81" w:rsidR="00FC16E7" w:rsidRPr="004C12C9" w:rsidRDefault="00FC16E7" w:rsidP="00972CF9">
      <w:r w:rsidRPr="004C12C9">
        <w:t>All paved surfaces, including impervious surfaces and permeable pavements, are assumed to have a carbon stock of zero. The same assumption of 0 MT C/acre is applied to rivers and streams. While water bodies are generally emissive due to the decomposition of organic material, unlike other land types that accumulate carbon over time, rivers and streams primarily transport carbon rather than store or emit it. Standing water with impervious surface beneath it (stormwater basins, paved wetlands) is also assumed to store zero carbon due to the lack of organic matter decomposition.</w:t>
      </w:r>
    </w:p>
    <w:p w14:paraId="236CBC4A" w14:textId="77777777" w:rsidR="00FC16E7" w:rsidRPr="004C12C9" w:rsidRDefault="00FC16E7" w:rsidP="00E31E37">
      <w:pPr>
        <w:pStyle w:val="Heading4"/>
      </w:pPr>
      <w:r w:rsidRPr="004C12C9">
        <w:t>Carbon Stock, Individual Tree</w:t>
      </w:r>
    </w:p>
    <w:p w14:paraId="1D802220" w14:textId="5F6D430C" w:rsidR="00FC16E7" w:rsidRPr="004C12C9" w:rsidRDefault="00FC16E7" w:rsidP="00972CF9">
      <w:r w:rsidRPr="004C12C9">
        <w:t xml:space="preserve">The assumption for the carbon stock of an individual tree planted and removed was derived from EPA’s Greenhouse Gas Equivalencies Calculator, which estimates </w:t>
      </w:r>
      <w:r w:rsidR="00CA414C" w:rsidRPr="004C12C9">
        <w:t xml:space="preserve">that an urban tree </w:t>
      </w:r>
      <w:r w:rsidR="00F64188" w:rsidRPr="004C12C9">
        <w:t>sequesters on average 36.4 pound</w:t>
      </w:r>
      <w:r w:rsidR="00164B65" w:rsidRPr="004C12C9">
        <w:t>s</w:t>
      </w:r>
      <w:r w:rsidR="00F64188" w:rsidRPr="004C12C9">
        <w:t xml:space="preserve"> of carbon per year </w:t>
      </w:r>
      <w:r w:rsidRPr="004C12C9">
        <w:t>over a 10</w:t>
      </w:r>
      <w:r w:rsidR="00C1142B" w:rsidRPr="004C12C9">
        <w:t>-</w:t>
      </w:r>
      <w:r w:rsidRPr="004C12C9">
        <w:t>year growth period.</w:t>
      </w:r>
      <w:r w:rsidR="003C3CA0">
        <w:rPr>
          <w:rFonts w:ascii="ZWAdobeF" w:hAnsi="ZWAdobeF" w:cs="ZWAdobeF"/>
          <w:sz w:val="2"/>
          <w:szCs w:val="2"/>
        </w:rPr>
        <w:t>62F</w:t>
      </w:r>
      <w:r w:rsidRPr="004C12C9">
        <w:rPr>
          <w:vertAlign w:val="superscript"/>
        </w:rPr>
        <w:footnoteReference w:id="66"/>
      </w:r>
      <w:r w:rsidRPr="004C12C9">
        <w:t xml:space="preserve"> </w:t>
      </w:r>
      <w:r w:rsidR="00852EA5" w:rsidRPr="004C12C9">
        <w:t xml:space="preserve">For the purposes of this calculator, </w:t>
      </w:r>
      <w:r w:rsidR="002B76FA" w:rsidRPr="004C12C9">
        <w:t>the</w:t>
      </w:r>
      <w:r w:rsidR="00D57DFE" w:rsidRPr="004C12C9">
        <w:t xml:space="preserve"> </w:t>
      </w:r>
      <w:r w:rsidR="00852EA5" w:rsidRPr="004C12C9">
        <w:t xml:space="preserve">estimated </w:t>
      </w:r>
      <w:r w:rsidR="00D57DFE" w:rsidRPr="004C12C9">
        <w:t xml:space="preserve">carbon stock of </w:t>
      </w:r>
      <w:r w:rsidR="002B76FA" w:rsidRPr="004C12C9">
        <w:t>a mature</w:t>
      </w:r>
      <w:r w:rsidR="00D57DFE" w:rsidRPr="004C12C9">
        <w:t xml:space="preserve"> tree </w:t>
      </w:r>
      <w:r w:rsidR="00852EA5" w:rsidRPr="004C12C9">
        <w:t xml:space="preserve">is </w:t>
      </w:r>
      <w:r w:rsidR="00D57DFE" w:rsidRPr="004C12C9">
        <w:t>based on a 30-year lifetime</w:t>
      </w:r>
      <w:r w:rsidRPr="004C12C9">
        <w:t>, as summarized in</w:t>
      </w:r>
      <w:r w:rsidR="00257B18">
        <w:t xml:space="preserve"> </w:t>
      </w:r>
      <w:r w:rsidR="00257B18">
        <w:fldChar w:fldCharType="begin"/>
      </w:r>
      <w:r w:rsidR="00257B18">
        <w:instrText xml:space="preserve"> REF _Ref219828623 \h </w:instrText>
      </w:r>
      <w:r w:rsidR="00257B18">
        <w:fldChar w:fldCharType="separate"/>
      </w:r>
      <w:r w:rsidR="00257B18" w:rsidRPr="004C12C9">
        <w:t xml:space="preserve">Table </w:t>
      </w:r>
      <w:r w:rsidR="00257B18">
        <w:rPr>
          <w:noProof/>
        </w:rPr>
        <w:t>2</w:t>
      </w:r>
      <w:r w:rsidR="00257B18">
        <w:noBreakHyphen/>
      </w:r>
      <w:r w:rsidR="00257B18">
        <w:rPr>
          <w:noProof/>
        </w:rPr>
        <w:t>47</w:t>
      </w:r>
      <w:r w:rsidR="00257B18">
        <w:fldChar w:fldCharType="end"/>
      </w:r>
      <w:r w:rsidRPr="004C12C9">
        <w:t>.</w:t>
      </w:r>
    </w:p>
    <w:p w14:paraId="57A9E4CA" w14:textId="403B5C8B" w:rsidR="00FC16E7" w:rsidRPr="004C12C9" w:rsidRDefault="00FC16E7" w:rsidP="00A8013E">
      <w:pPr>
        <w:pStyle w:val="Caption"/>
      </w:pPr>
      <w:bookmarkStart w:id="131" w:name="_Ref219828623"/>
      <w:bookmarkStart w:id="132" w:name="_Ref193217898"/>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47</w:t>
      </w:r>
      <w:r w:rsidR="00F72B41">
        <w:fldChar w:fldCharType="end"/>
      </w:r>
      <w:bookmarkEnd w:id="131"/>
      <w:bookmarkEnd w:id="132"/>
      <w:r w:rsidRPr="004C12C9">
        <w:t>. Estimated Carbon</w:t>
      </w:r>
      <w:r w:rsidR="0098228F" w:rsidRPr="004C12C9">
        <w:t xml:space="preserve"> Sequestration Rate and Carbon</w:t>
      </w:r>
      <w:r w:rsidRPr="004C12C9">
        <w:t xml:space="preserve"> Stock Per Tree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2250"/>
        <w:gridCol w:w="2250"/>
        <w:gridCol w:w="2250"/>
      </w:tblGrid>
      <w:tr w:rsidR="00AE3A55" w:rsidRPr="004C12C9" w14:paraId="6909A8BD" w14:textId="77777777">
        <w:tc>
          <w:tcPr>
            <w:tcW w:w="2155" w:type="dxa"/>
            <w:shd w:val="clear" w:color="auto" w:fill="D9D9D9" w:themeFill="background1" w:themeFillShade="D9"/>
            <w:vAlign w:val="center"/>
          </w:tcPr>
          <w:p w14:paraId="2BBAF7F2" w14:textId="77777777" w:rsidR="00AE3A55" w:rsidRPr="004C12C9" w:rsidRDefault="00AE3A55" w:rsidP="00AE3A55">
            <w:pPr>
              <w:pStyle w:val="ICFTableHeading"/>
              <w:keepNext/>
              <w:rPr>
                <w:b w:val="0"/>
                <w:color w:val="FFFFFF" w:themeColor="background1"/>
                <w:sz w:val="20"/>
              </w:rPr>
            </w:pPr>
            <w:r w:rsidRPr="004C12C9">
              <w:t>Tree Type</w:t>
            </w:r>
          </w:p>
        </w:tc>
        <w:tc>
          <w:tcPr>
            <w:tcW w:w="2250" w:type="dxa"/>
            <w:shd w:val="clear" w:color="auto" w:fill="D9D9D9" w:themeFill="background1" w:themeFillShade="D9"/>
          </w:tcPr>
          <w:p w14:paraId="37CC0D67" w14:textId="46237C77" w:rsidR="00AE3A55" w:rsidRPr="004C12C9" w:rsidRDefault="0061014B" w:rsidP="00AE3A55">
            <w:pPr>
              <w:pStyle w:val="ICFTableHeading"/>
              <w:keepNext/>
            </w:pPr>
            <w:r w:rsidRPr="004C12C9">
              <w:t>l</w:t>
            </w:r>
            <w:r w:rsidR="00AE3A55" w:rsidRPr="004C12C9">
              <w:t>bs C</w:t>
            </w:r>
            <w:r w:rsidRPr="004C12C9">
              <w:t>/tree/year</w:t>
            </w:r>
          </w:p>
        </w:tc>
        <w:tc>
          <w:tcPr>
            <w:tcW w:w="2250" w:type="dxa"/>
            <w:shd w:val="clear" w:color="auto" w:fill="D9D9D9" w:themeFill="background1" w:themeFillShade="D9"/>
          </w:tcPr>
          <w:p w14:paraId="292CBC39" w14:textId="5AB66476" w:rsidR="00AE3A55" w:rsidRPr="004C12C9" w:rsidRDefault="00AE3A55" w:rsidP="00AE3A55">
            <w:pPr>
              <w:pStyle w:val="ICFTableHeading"/>
              <w:keepNext/>
            </w:pPr>
            <w:r w:rsidRPr="004C12C9">
              <w:t>MT C/</w:t>
            </w:r>
            <w:r w:rsidR="0061014B" w:rsidRPr="004C12C9">
              <w:t>t</w:t>
            </w:r>
            <w:r w:rsidRPr="004C12C9">
              <w:t>ree</w:t>
            </w:r>
            <w:r w:rsidR="0061014B" w:rsidRPr="004C12C9">
              <w:t>/year</w:t>
            </w:r>
          </w:p>
        </w:tc>
        <w:tc>
          <w:tcPr>
            <w:tcW w:w="2250" w:type="dxa"/>
            <w:shd w:val="clear" w:color="auto" w:fill="D9D9D9" w:themeFill="background1" w:themeFillShade="D9"/>
          </w:tcPr>
          <w:p w14:paraId="0A4D1C92" w14:textId="6DD69027" w:rsidR="00AE3A55" w:rsidRPr="004C12C9" w:rsidRDefault="0061014B" w:rsidP="00AE3A55">
            <w:pPr>
              <w:pStyle w:val="ICFTableHeading"/>
              <w:keepNext/>
            </w:pPr>
            <w:r w:rsidRPr="004C12C9">
              <w:t>MT C/tree</w:t>
            </w:r>
          </w:p>
        </w:tc>
      </w:tr>
      <w:tr w:rsidR="00AE3A55" w:rsidRPr="004C12C9" w14:paraId="3EF573E1" w14:textId="77777777">
        <w:tc>
          <w:tcPr>
            <w:tcW w:w="2155" w:type="dxa"/>
            <w:vAlign w:val="center"/>
          </w:tcPr>
          <w:p w14:paraId="329B407D" w14:textId="3C18D342" w:rsidR="00AE3A55" w:rsidRPr="004C12C9" w:rsidRDefault="00AE3A55" w:rsidP="00AE3A55">
            <w:pPr>
              <w:pStyle w:val="ICFTabletext"/>
              <w:keepNext/>
            </w:pPr>
            <w:r w:rsidRPr="004C12C9">
              <w:t>Urban Tree</w:t>
            </w:r>
            <w:r w:rsidR="00366721" w:rsidRPr="004C12C9">
              <w:rPr>
                <w:vertAlign w:val="superscript"/>
              </w:rPr>
              <w:t>a</w:t>
            </w:r>
          </w:p>
        </w:tc>
        <w:tc>
          <w:tcPr>
            <w:tcW w:w="2250" w:type="dxa"/>
          </w:tcPr>
          <w:p w14:paraId="6C1E12CB" w14:textId="538BDD7D" w:rsidR="00AE3A55" w:rsidRPr="004C12C9" w:rsidRDefault="0061014B" w:rsidP="00AE3A55">
            <w:pPr>
              <w:pStyle w:val="ICFTabletext"/>
              <w:keepNext/>
              <w:jc w:val="center"/>
            </w:pPr>
            <w:r w:rsidRPr="004C12C9">
              <w:t>36.4</w:t>
            </w:r>
          </w:p>
        </w:tc>
        <w:tc>
          <w:tcPr>
            <w:tcW w:w="2250" w:type="dxa"/>
          </w:tcPr>
          <w:p w14:paraId="5F5D022F" w14:textId="4146AFC3" w:rsidR="00AE3A55" w:rsidRPr="004C12C9" w:rsidRDefault="00AE3A55" w:rsidP="00AE3A55">
            <w:pPr>
              <w:pStyle w:val="ICFTabletext"/>
              <w:keepNext/>
              <w:jc w:val="center"/>
            </w:pPr>
            <w:r w:rsidRPr="004C12C9">
              <w:t>0.0</w:t>
            </w:r>
            <w:r w:rsidR="006D6870" w:rsidRPr="004C12C9">
              <w:t>2</w:t>
            </w:r>
          </w:p>
        </w:tc>
        <w:tc>
          <w:tcPr>
            <w:tcW w:w="2250" w:type="dxa"/>
          </w:tcPr>
          <w:p w14:paraId="7FBADFC8" w14:textId="57B530A1" w:rsidR="00AE3A55" w:rsidRPr="004C12C9" w:rsidRDefault="006D6870" w:rsidP="00AE3A55">
            <w:pPr>
              <w:pStyle w:val="ICFTabletext"/>
              <w:keepNext/>
              <w:jc w:val="center"/>
            </w:pPr>
            <w:r w:rsidRPr="004C12C9">
              <w:t>0.50</w:t>
            </w:r>
            <w:r w:rsidR="00366721" w:rsidRPr="004C12C9">
              <w:rPr>
                <w:vertAlign w:val="superscript"/>
              </w:rPr>
              <w:t>b</w:t>
            </w:r>
          </w:p>
        </w:tc>
      </w:tr>
    </w:tbl>
    <w:p w14:paraId="2D8E70A0" w14:textId="3C26ECAD" w:rsidR="00366721" w:rsidRPr="004C12C9" w:rsidRDefault="00366721" w:rsidP="00366721">
      <w:pPr>
        <w:pStyle w:val="TableFooter"/>
      </w:pPr>
      <w:r w:rsidRPr="004C12C9">
        <w:rPr>
          <w:vertAlign w:val="superscript"/>
        </w:rPr>
        <w:t xml:space="preserve">a </w:t>
      </w:r>
      <w:r w:rsidRPr="004C12C9">
        <w:t xml:space="preserve">Based on a sampling of </w:t>
      </w:r>
      <w:r w:rsidR="003F5A0C" w:rsidRPr="004C12C9">
        <w:t>11% coniferous trees and 89% deciduous trees</w:t>
      </w:r>
      <w:r w:rsidR="002E2788" w:rsidRPr="004C12C9">
        <w:t>.</w:t>
      </w:r>
    </w:p>
    <w:p w14:paraId="25D49883" w14:textId="20D22809" w:rsidR="003F5A0C" w:rsidRPr="004C12C9" w:rsidRDefault="003F5A0C" w:rsidP="00366721">
      <w:pPr>
        <w:pStyle w:val="TableFooter"/>
      </w:pPr>
      <w:r w:rsidRPr="004C12C9">
        <w:rPr>
          <w:vertAlign w:val="superscript"/>
        </w:rPr>
        <w:t xml:space="preserve">b </w:t>
      </w:r>
      <w:r w:rsidR="00694823" w:rsidRPr="004C12C9">
        <w:t>Assumes</w:t>
      </w:r>
      <w:r w:rsidRPr="004C12C9">
        <w:t xml:space="preserve"> a 30-year lifetime.</w:t>
      </w:r>
    </w:p>
    <w:p w14:paraId="7CE29B5C" w14:textId="4F87F352" w:rsidR="009478EB" w:rsidRPr="004C12C9" w:rsidRDefault="00421970" w:rsidP="00E31E37">
      <w:pPr>
        <w:pStyle w:val="Heading4"/>
      </w:pPr>
      <w:r w:rsidRPr="004C12C9">
        <w:t>Limitations</w:t>
      </w:r>
    </w:p>
    <w:p w14:paraId="19384ECE" w14:textId="646309DE" w:rsidR="00383300" w:rsidRPr="004C12C9" w:rsidRDefault="00383300" w:rsidP="00383300">
      <w:r w:rsidRPr="004C12C9">
        <w:t>Key limitations of the methodology used to quantify emissions from land use change include:</w:t>
      </w:r>
    </w:p>
    <w:p w14:paraId="017650F9" w14:textId="77777777" w:rsidR="004C2850" w:rsidRPr="004C12C9" w:rsidRDefault="00383300" w:rsidP="003B5F7F">
      <w:pPr>
        <w:pStyle w:val="ListParagraph"/>
        <w:numPr>
          <w:ilvl w:val="0"/>
          <w:numId w:val="16"/>
        </w:numPr>
      </w:pPr>
      <w:r w:rsidRPr="004C12C9">
        <w:t>T</w:t>
      </w:r>
      <w:r w:rsidR="00726C8B" w:rsidRPr="004C12C9">
        <w:t>h</w:t>
      </w:r>
      <w:r w:rsidR="004C2850" w:rsidRPr="004C12C9">
        <w:t>e quantification</w:t>
      </w:r>
      <w:r w:rsidR="00726C8B" w:rsidRPr="004C12C9">
        <w:t xml:space="preserve"> method employs a stock-based approach to estimate net carbon changes from land use conversion, which provides a simplified snapshot of carbon stocks before and after the land transition. Unlike a net flux approach, this method does not directly account for the dynamic processes of carbon sequestration and release over time, such as annual plant growth, decomposition rates, or soil carbon dynamics following disturbance. Therefore, it provides a static estimate of long-term carbon impacts rather than a detailed accounting of annual carbon fluxes.</w:t>
      </w:r>
    </w:p>
    <w:p w14:paraId="459EE62F" w14:textId="426FC435" w:rsidR="004C2850" w:rsidRPr="004C12C9" w:rsidRDefault="00663EA1" w:rsidP="003B5F7F">
      <w:pPr>
        <w:pStyle w:val="ListParagraph"/>
        <w:numPr>
          <w:ilvl w:val="0"/>
          <w:numId w:val="16"/>
        </w:numPr>
      </w:pPr>
      <w:r w:rsidRPr="004C12C9">
        <w:t>The land types included in the</w:t>
      </w:r>
      <w:r w:rsidR="0037017B" w:rsidRPr="004C12C9">
        <w:t xml:space="preserve"> calculator</w:t>
      </w:r>
      <w:r w:rsidRPr="004C12C9">
        <w:t xml:space="preserve"> are </w:t>
      </w:r>
      <w:r w:rsidR="002A5858" w:rsidRPr="004C12C9">
        <w:t xml:space="preserve">consistent with the land types defined in the EAW. </w:t>
      </w:r>
      <w:r w:rsidR="00726C8B" w:rsidRPr="004C12C9">
        <w:t xml:space="preserve">Several limitations arise from the use of pre-defined carbon stock values for each land type. These values are derived from various sources, including regional and national studies, as well as IPCC </w:t>
      </w:r>
      <w:r w:rsidR="007B6B78" w:rsidRPr="004C12C9">
        <w:t>G</w:t>
      </w:r>
      <w:r w:rsidR="00726C8B" w:rsidRPr="004C12C9">
        <w:t xml:space="preserve">uidelines, and represent averages that may not fully capture the specific conditions of the project site. Site-specific factors such as soil type, vegetation composition, </w:t>
      </w:r>
      <w:r w:rsidR="00F430B9" w:rsidRPr="004C12C9">
        <w:t>forest age</w:t>
      </w:r>
      <w:r w:rsidR="00E13DB8" w:rsidRPr="004C12C9">
        <w:t xml:space="preserve"> and type, </w:t>
      </w:r>
      <w:r w:rsidR="00726C8B" w:rsidRPr="004C12C9">
        <w:t>management practices, and microclimate can significantly influence actual carbon stocks.</w:t>
      </w:r>
    </w:p>
    <w:p w14:paraId="361268BD" w14:textId="173E30D3" w:rsidR="00421970" w:rsidRPr="004C12C9" w:rsidRDefault="00726C8B" w:rsidP="003B5F7F">
      <w:pPr>
        <w:pStyle w:val="ListParagraph"/>
        <w:numPr>
          <w:ilvl w:val="0"/>
          <w:numId w:val="16"/>
        </w:numPr>
      </w:pPr>
      <w:r w:rsidRPr="004C12C9">
        <w:t>The method assumes full realization of the land transition</w:t>
      </w:r>
      <w:r w:rsidR="00B64675" w:rsidRPr="004C12C9">
        <w:t xml:space="preserve"> over 30 years</w:t>
      </w:r>
      <w:r w:rsidR="00D551C1" w:rsidRPr="004C12C9">
        <w:t xml:space="preserve">. </w:t>
      </w:r>
      <w:r w:rsidR="00D54D12" w:rsidRPr="004C12C9">
        <w:t>Therefore, the results assume that no further changes to the converted land will occur</w:t>
      </w:r>
      <w:r w:rsidR="00670658" w:rsidRPr="004C12C9">
        <w:t xml:space="preserve"> in the foreseeable future.</w:t>
      </w:r>
    </w:p>
    <w:p w14:paraId="1CCAD895" w14:textId="51FF9765" w:rsidR="00072FEC" w:rsidRPr="004C12C9" w:rsidRDefault="00072FEC" w:rsidP="003B5F7F">
      <w:pPr>
        <w:pStyle w:val="ListParagraph"/>
        <w:numPr>
          <w:ilvl w:val="0"/>
          <w:numId w:val="16"/>
        </w:numPr>
      </w:pPr>
      <w:r w:rsidRPr="004C12C9">
        <w:lastRenderedPageBreak/>
        <w:t xml:space="preserve">The </w:t>
      </w:r>
      <w:r w:rsidR="00D075F8" w:rsidRPr="004C12C9">
        <w:t xml:space="preserve">estimated </w:t>
      </w:r>
      <w:r w:rsidRPr="004C12C9">
        <w:t xml:space="preserve">carbon stocks </w:t>
      </w:r>
      <w:r w:rsidR="0016132C" w:rsidRPr="004C12C9">
        <w:t xml:space="preserve">do not account for </w:t>
      </w:r>
      <w:r w:rsidR="00801B7A" w:rsidRPr="004C12C9">
        <w:t>imp</w:t>
      </w:r>
      <w:r w:rsidR="00400164" w:rsidRPr="004C12C9">
        <w:t>acts</w:t>
      </w:r>
      <w:r w:rsidR="00801B7A" w:rsidRPr="004C12C9">
        <w:t xml:space="preserve"> from </w:t>
      </w:r>
      <w:r w:rsidR="00400164" w:rsidRPr="004C12C9">
        <w:t>maintenance activities</w:t>
      </w:r>
      <w:r w:rsidR="002676CC" w:rsidRPr="004C12C9">
        <w:t xml:space="preserve"> (e.g., lawn moving, irrigation)</w:t>
      </w:r>
      <w:r w:rsidR="00400164" w:rsidRPr="004C12C9">
        <w:t xml:space="preserve"> or fertilizer application. </w:t>
      </w:r>
      <w:r w:rsidR="0091707B" w:rsidRPr="004C12C9">
        <w:t xml:space="preserve">These impacts </w:t>
      </w:r>
      <w:r w:rsidR="005818CC" w:rsidRPr="004C12C9">
        <w:t>should be considered</w:t>
      </w:r>
      <w:r w:rsidR="0091707B" w:rsidRPr="004C12C9">
        <w:t xml:space="preserve"> separately</w:t>
      </w:r>
      <w:r w:rsidR="005818CC" w:rsidRPr="004C12C9">
        <w:t>.</w:t>
      </w:r>
    </w:p>
    <w:p w14:paraId="2368F053" w14:textId="7BDAB8B1" w:rsidR="007B371B" w:rsidRPr="004C12C9" w:rsidRDefault="007B371B" w:rsidP="003B5F7F">
      <w:pPr>
        <w:pStyle w:val="ListParagraph"/>
        <w:numPr>
          <w:ilvl w:val="0"/>
          <w:numId w:val="16"/>
        </w:numPr>
      </w:pPr>
      <w:r w:rsidRPr="004C12C9">
        <w:t xml:space="preserve">The </w:t>
      </w:r>
      <w:r w:rsidR="002D0702" w:rsidRPr="004C12C9">
        <w:t>carbon stock estimate for an individual tree is based on</w:t>
      </w:r>
      <w:r w:rsidR="005666DA" w:rsidRPr="004C12C9">
        <w:t xml:space="preserve"> the</w:t>
      </w:r>
      <w:r w:rsidR="002D0702" w:rsidRPr="004C12C9">
        <w:t xml:space="preserve"> </w:t>
      </w:r>
      <w:r w:rsidR="0094745C" w:rsidRPr="004C12C9">
        <w:t xml:space="preserve">carbon sequestration </w:t>
      </w:r>
      <w:r w:rsidR="005666DA" w:rsidRPr="004C12C9">
        <w:t>of coniferous or deciduous trees planted in an urban setting over</w:t>
      </w:r>
      <w:r w:rsidR="002D0702" w:rsidRPr="004C12C9">
        <w:t xml:space="preserve"> 10-year growth period.</w:t>
      </w:r>
      <w:r w:rsidR="00BC0A55" w:rsidRPr="004C12C9">
        <w:t xml:space="preserve"> </w:t>
      </w:r>
      <w:r w:rsidR="003E423A" w:rsidRPr="004C12C9">
        <w:t>The</w:t>
      </w:r>
      <w:r w:rsidR="006449EB" w:rsidRPr="004C12C9">
        <w:t xml:space="preserve"> average annual </w:t>
      </w:r>
      <w:r w:rsidR="0099396B" w:rsidRPr="004C12C9">
        <w:t xml:space="preserve">carbon </w:t>
      </w:r>
      <w:r w:rsidR="003E423A" w:rsidRPr="004C12C9">
        <w:t xml:space="preserve">sequestration rate </w:t>
      </w:r>
      <w:r w:rsidR="006449EB" w:rsidRPr="004C12C9">
        <w:t xml:space="preserve">of </w:t>
      </w:r>
      <w:r w:rsidR="00665D04" w:rsidRPr="004C12C9">
        <w:t xml:space="preserve">an individual tree </w:t>
      </w:r>
      <w:r w:rsidR="006449EB" w:rsidRPr="004C12C9">
        <w:t xml:space="preserve">over a 30-year time period </w:t>
      </w:r>
      <w:r w:rsidR="0099396B" w:rsidRPr="004C12C9">
        <w:t>may differ. In addition, t</w:t>
      </w:r>
      <w:r w:rsidR="00BC0A55" w:rsidRPr="004C12C9">
        <w:t xml:space="preserve">he </w:t>
      </w:r>
      <w:r w:rsidR="00905927" w:rsidRPr="004C12C9">
        <w:t xml:space="preserve">carbon sequestration rate </w:t>
      </w:r>
      <w:r w:rsidR="00935EE2" w:rsidRPr="004C12C9">
        <w:t xml:space="preserve">of a </w:t>
      </w:r>
      <w:r w:rsidR="00905927" w:rsidRPr="004C12C9">
        <w:t>given</w:t>
      </w:r>
      <w:r w:rsidR="00935EE2" w:rsidRPr="004C12C9">
        <w:t xml:space="preserve"> tree </w:t>
      </w:r>
      <w:r w:rsidR="00DA2832" w:rsidRPr="004C12C9">
        <w:t>will vary</w:t>
      </w:r>
      <w:r w:rsidR="00353821" w:rsidRPr="004C12C9">
        <w:t xml:space="preserve"> </w:t>
      </w:r>
      <w:r w:rsidR="00DA2832" w:rsidRPr="004C12C9">
        <w:t>based on</w:t>
      </w:r>
      <w:r w:rsidR="00353821" w:rsidRPr="004C12C9">
        <w:t xml:space="preserve"> the species, location, and other conditions.</w:t>
      </w:r>
      <w:r w:rsidR="0009235A" w:rsidRPr="004C12C9">
        <w:t xml:space="preserve"> </w:t>
      </w:r>
    </w:p>
    <w:p w14:paraId="537A627E" w14:textId="77777777" w:rsidR="000D0834" w:rsidRPr="004C12C9" w:rsidRDefault="004F459A" w:rsidP="003E54BC">
      <w:pPr>
        <w:pStyle w:val="Heading3"/>
        <w:keepNext w:val="0"/>
        <w:widowControl w:val="0"/>
      </w:pPr>
      <w:bookmarkStart w:id="133" w:name="_Ref195604073"/>
      <w:bookmarkStart w:id="134" w:name="_Toc219887771"/>
      <w:r w:rsidRPr="004C12C9">
        <w:t xml:space="preserve">Construction </w:t>
      </w:r>
      <w:r w:rsidR="00FC5F6E" w:rsidRPr="004C12C9">
        <w:t>Waste</w:t>
      </w:r>
      <w:bookmarkEnd w:id="133"/>
      <w:bookmarkEnd w:id="134"/>
      <w:r w:rsidR="00FC5F6E" w:rsidRPr="004C12C9">
        <w:tab/>
      </w:r>
    </w:p>
    <w:p w14:paraId="055CBFCC" w14:textId="794F52F2" w:rsidR="001C18EF" w:rsidRPr="004C12C9" w:rsidRDefault="00C4617D" w:rsidP="001C18EF">
      <w:r w:rsidRPr="004C12C9">
        <w:t xml:space="preserve">Emissions result from the transportation and treatment of waste that is generated during construction and treated at a facility off-site. The </w:t>
      </w:r>
      <w:r w:rsidR="0026214A" w:rsidRPr="004C12C9">
        <w:t xml:space="preserve">calculator </w:t>
      </w:r>
      <w:r w:rsidRPr="004C12C9">
        <w:t xml:space="preserve">assumes that all waste generated during construction is disposed of at a landfill. </w:t>
      </w:r>
      <w:r w:rsidR="001C18EF" w:rsidRPr="004C12C9">
        <w:t xml:space="preserve">The </w:t>
      </w:r>
      <w:r w:rsidR="0026214A" w:rsidRPr="004C12C9">
        <w:t xml:space="preserve">calculator </w:t>
      </w:r>
      <w:r w:rsidR="001C18EF" w:rsidRPr="004C12C9">
        <w:t xml:space="preserve">quantifies emissions </w:t>
      </w:r>
      <w:r w:rsidR="001C18EF" w:rsidRPr="004C12C9">
        <w:rPr>
          <w:rFonts w:eastAsia="MS PGothic"/>
        </w:rPr>
        <w:t xml:space="preserve">from construction </w:t>
      </w:r>
      <w:r w:rsidR="003131C0" w:rsidRPr="004C12C9">
        <w:rPr>
          <w:rFonts w:eastAsia="MS PGothic"/>
        </w:rPr>
        <w:t xml:space="preserve">waste </w:t>
      </w:r>
      <w:r w:rsidR="001C18EF" w:rsidRPr="004C12C9">
        <w:t xml:space="preserve">based on the estimated quantity of </w:t>
      </w:r>
      <w:r w:rsidR="00355B1F" w:rsidRPr="004C12C9">
        <w:t>waste by material type</w:t>
      </w:r>
      <w:r w:rsidR="001C18EF" w:rsidRPr="004C12C9">
        <w:t xml:space="preserve"> and </w:t>
      </w:r>
      <w:r w:rsidR="00355B1F" w:rsidRPr="004C12C9">
        <w:t>material</w:t>
      </w:r>
      <w:r w:rsidR="001C18EF" w:rsidRPr="004C12C9">
        <w:t>-specific emission factors, as shown in</w:t>
      </w:r>
      <w:r w:rsidR="00355B1F" w:rsidRPr="004C12C9">
        <w:t xml:space="preserve"> </w:t>
      </w:r>
      <w:r w:rsidR="00257B18">
        <w:fldChar w:fldCharType="begin"/>
      </w:r>
      <w:r w:rsidR="00257B18">
        <w:instrText xml:space="preserve"> REF _Ref195392782 \h </w:instrText>
      </w:r>
      <w:r w:rsidR="00257B18">
        <w:fldChar w:fldCharType="separate"/>
      </w:r>
      <w:r w:rsidR="00257B18" w:rsidRPr="004C12C9">
        <w:t xml:space="preserve">Equation </w:t>
      </w:r>
      <w:r w:rsidR="00257B18">
        <w:rPr>
          <w:noProof/>
        </w:rPr>
        <w:t>10</w:t>
      </w:r>
      <w:r w:rsidR="00257B18">
        <w:fldChar w:fldCharType="end"/>
      </w:r>
      <w:r w:rsidR="00257B18">
        <w:t xml:space="preserve"> </w:t>
      </w:r>
      <w:r w:rsidR="00582159" w:rsidRPr="004C12C9">
        <w:t>and</w:t>
      </w:r>
      <w:r w:rsidR="00257B18">
        <w:t xml:space="preserve"> </w:t>
      </w:r>
      <w:r w:rsidR="00257B18">
        <w:fldChar w:fldCharType="begin"/>
      </w:r>
      <w:r w:rsidR="00257B18">
        <w:instrText xml:space="preserve"> REF _Ref195392845 \h </w:instrText>
      </w:r>
      <w:r w:rsidR="00257B18">
        <w:fldChar w:fldCharType="separate"/>
      </w:r>
      <w:r w:rsidR="00257B18" w:rsidRPr="004C12C9">
        <w:t xml:space="preserve">Equation </w:t>
      </w:r>
      <w:r w:rsidR="00257B18">
        <w:rPr>
          <w:noProof/>
        </w:rPr>
        <w:t>11</w:t>
      </w:r>
      <w:r w:rsidR="00257B18">
        <w:fldChar w:fldCharType="end"/>
      </w:r>
      <w:r w:rsidR="00355B1F" w:rsidRPr="004C12C9">
        <w:t>.</w:t>
      </w:r>
    </w:p>
    <w:p w14:paraId="160E537B" w14:textId="732E03C6" w:rsidR="00355B1F" w:rsidRPr="004C12C9" w:rsidRDefault="00355B1F" w:rsidP="00355B1F">
      <w:pPr>
        <w:pStyle w:val="Caption"/>
      </w:pPr>
      <w:bookmarkStart w:id="135" w:name="_Ref195392782"/>
      <w:r w:rsidRPr="004C12C9">
        <w:t xml:space="preserve">Equation </w:t>
      </w:r>
      <w:r w:rsidR="00B403EB">
        <w:fldChar w:fldCharType="begin"/>
      </w:r>
      <w:r w:rsidR="00B403EB">
        <w:instrText xml:space="preserve"> SEQ Equation \* ARABIC </w:instrText>
      </w:r>
      <w:r w:rsidR="00B403EB">
        <w:fldChar w:fldCharType="separate"/>
      </w:r>
      <w:r w:rsidR="00C47624">
        <w:rPr>
          <w:noProof/>
        </w:rPr>
        <w:t>10</w:t>
      </w:r>
      <w:r w:rsidR="00B403EB">
        <w:fldChar w:fldCharType="end"/>
      </w:r>
      <w:bookmarkEnd w:id="135"/>
      <w:r w:rsidRPr="004C12C9">
        <w:t xml:space="preserve">. </w:t>
      </w:r>
      <w:r w:rsidR="00891DBC" w:rsidRPr="004C12C9">
        <w:t>Quantity of</w:t>
      </w:r>
      <w:r w:rsidRPr="004C12C9">
        <w:t xml:space="preserve"> Construction Waste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355B1F" w:rsidRPr="004C12C9" w14:paraId="398C0C4F" w14:textId="77777777">
        <w:tc>
          <w:tcPr>
            <w:tcW w:w="10070" w:type="dxa"/>
            <w:gridSpan w:val="2"/>
            <w:shd w:val="clear" w:color="auto" w:fill="F2F2F2" w:themeFill="background1" w:themeFillShade="F2"/>
          </w:tcPr>
          <w:p w14:paraId="0C6EE195" w14:textId="5142C626" w:rsidR="00891DBC" w:rsidRPr="004C12C9" w:rsidRDefault="00000000" w:rsidP="00074FDC">
            <w:pPr>
              <w:pStyle w:val="Equation"/>
              <w:keepNext/>
              <w:rPr>
                <w:noProof w:val="0"/>
              </w:rPr>
            </w:pPr>
            <m:oMathPara>
              <m:oMath>
                <m:sSub>
                  <m:sSubPr>
                    <m:ctrlPr>
                      <w:rPr>
                        <w:noProof w:val="0"/>
                      </w:rPr>
                    </m:ctrlPr>
                  </m:sSubPr>
                  <m:e>
                    <m:r>
                      <w:rPr>
                        <w:noProof w:val="0"/>
                      </w:rPr>
                      <m:t>construction waste</m:t>
                    </m:r>
                  </m:e>
                  <m:sub>
                    <m:r>
                      <w:rPr>
                        <w:noProof w:val="0"/>
                      </w:rPr>
                      <m:t>t</m:t>
                    </m:r>
                  </m:sub>
                </m:sSub>
                <m:r>
                  <w:rPr>
                    <w:noProof w:val="0"/>
                  </w:rPr>
                  <m:t>=</m:t>
                </m:r>
                <m:sSub>
                  <m:sSubPr>
                    <m:ctrlPr>
                      <w:rPr>
                        <w:noProof w:val="0"/>
                      </w:rPr>
                    </m:ctrlPr>
                  </m:sSubPr>
                  <m:e>
                    <m:r>
                      <w:rPr>
                        <w:noProof w:val="0"/>
                      </w:rPr>
                      <m:t>material quantity</m:t>
                    </m:r>
                  </m:e>
                  <m:sub>
                    <m:r>
                      <w:rPr>
                        <w:noProof w:val="0"/>
                      </w:rPr>
                      <m:t>t</m:t>
                    </m:r>
                  </m:sub>
                </m:sSub>
                <m:r>
                  <w:rPr>
                    <w:noProof w:val="0"/>
                  </w:rPr>
                  <m:t xml:space="preserve"> × </m:t>
                </m:r>
                <m:sSub>
                  <m:sSubPr>
                    <m:ctrlPr>
                      <w:rPr>
                        <w:noProof w:val="0"/>
                      </w:rPr>
                    </m:ctrlPr>
                  </m:sSubPr>
                  <m:e>
                    <m:r>
                      <w:rPr>
                        <w:noProof w:val="0"/>
                      </w:rPr>
                      <m:t>loss rate</m:t>
                    </m:r>
                  </m:e>
                  <m:sub>
                    <m:r>
                      <w:rPr>
                        <w:noProof w:val="0"/>
                      </w:rPr>
                      <m:t>t</m:t>
                    </m:r>
                  </m:sub>
                </m:sSub>
              </m:oMath>
            </m:oMathPara>
          </w:p>
          <w:p w14:paraId="68E8798D" w14:textId="77777777" w:rsidR="00355B1F" w:rsidRPr="004C12C9" w:rsidRDefault="00355B1F" w:rsidP="00074FDC">
            <w:pPr>
              <w:keepNext/>
              <w:rPr>
                <w:i/>
                <w:iCs/>
              </w:rPr>
            </w:pPr>
            <w:r w:rsidRPr="004C12C9">
              <w:rPr>
                <w:i/>
                <w:iCs/>
                <w:sz w:val="20"/>
                <w:szCs w:val="20"/>
              </w:rPr>
              <w:t xml:space="preserve">where, </w:t>
            </w:r>
          </w:p>
        </w:tc>
      </w:tr>
      <w:tr w:rsidR="00355B1F" w:rsidRPr="004C12C9" w14:paraId="639576BA" w14:textId="77777777">
        <w:tc>
          <w:tcPr>
            <w:tcW w:w="2070" w:type="dxa"/>
            <w:shd w:val="clear" w:color="auto" w:fill="F2F2F2" w:themeFill="background1" w:themeFillShade="F2"/>
          </w:tcPr>
          <w:p w14:paraId="54FAAD0E" w14:textId="09B87514" w:rsidR="00891DBC" w:rsidRPr="004C12C9" w:rsidRDefault="00891DBC" w:rsidP="00074FDC">
            <w:pPr>
              <w:keepNext/>
              <w:tabs>
                <w:tab w:val="left" w:pos="2160"/>
              </w:tabs>
              <w:contextualSpacing/>
              <w:rPr>
                <w:rFonts w:eastAsia="Arial"/>
                <w:sz w:val="20"/>
                <w:szCs w:val="20"/>
              </w:rPr>
            </w:pPr>
            <w:r w:rsidRPr="004C12C9">
              <w:rPr>
                <w:rFonts w:eastAsia="Arial"/>
                <w:sz w:val="20"/>
                <w:szCs w:val="20"/>
              </w:rPr>
              <w:t>Material quantity</w:t>
            </w:r>
          </w:p>
          <w:p w14:paraId="4CC116BA" w14:textId="3B15F8E8" w:rsidR="00355B1F" w:rsidRPr="004C12C9" w:rsidRDefault="00891DBC" w:rsidP="00074FDC">
            <w:pPr>
              <w:keepNext/>
              <w:tabs>
                <w:tab w:val="left" w:pos="2160"/>
              </w:tabs>
              <w:contextualSpacing/>
              <w:rPr>
                <w:rFonts w:eastAsia="Arial"/>
                <w:sz w:val="20"/>
                <w:szCs w:val="20"/>
              </w:rPr>
            </w:pPr>
            <w:r w:rsidRPr="004C12C9">
              <w:rPr>
                <w:rFonts w:eastAsia="Arial"/>
                <w:sz w:val="20"/>
                <w:szCs w:val="20"/>
              </w:rPr>
              <w:t>Loss rate</w:t>
            </w:r>
          </w:p>
          <w:p w14:paraId="2691CA38" w14:textId="2FCDC495" w:rsidR="00355B1F" w:rsidRPr="004C12C9" w:rsidRDefault="00355B1F" w:rsidP="00074FDC">
            <w:pPr>
              <w:keepNext/>
              <w:tabs>
                <w:tab w:val="left" w:pos="2160"/>
              </w:tabs>
              <w:contextualSpacing/>
              <w:rPr>
                <w:rFonts w:eastAsia="Arial"/>
                <w:sz w:val="20"/>
                <w:szCs w:val="20"/>
              </w:rPr>
            </w:pPr>
          </w:p>
        </w:tc>
        <w:tc>
          <w:tcPr>
            <w:tcW w:w="8000" w:type="dxa"/>
            <w:shd w:val="clear" w:color="auto" w:fill="F2F2F2" w:themeFill="background1" w:themeFillShade="F2"/>
          </w:tcPr>
          <w:p w14:paraId="4207885B" w14:textId="16F1B407" w:rsidR="00355B1F" w:rsidRPr="004C12C9" w:rsidRDefault="00355B1F" w:rsidP="00074FDC">
            <w:pPr>
              <w:keepNext/>
              <w:tabs>
                <w:tab w:val="left" w:pos="2160"/>
              </w:tabs>
              <w:contextualSpacing/>
              <w:rPr>
                <w:rFonts w:eastAsia="Arial"/>
                <w:sz w:val="20"/>
                <w:szCs w:val="20"/>
              </w:rPr>
            </w:pPr>
            <w:r w:rsidRPr="004C12C9">
              <w:rPr>
                <w:rFonts w:eastAsia="Arial"/>
                <w:sz w:val="20"/>
                <w:szCs w:val="20"/>
              </w:rPr>
              <w:t xml:space="preserve">= </w:t>
            </w:r>
            <w:r w:rsidR="00891DBC" w:rsidRPr="004C12C9">
              <w:rPr>
                <w:rFonts w:eastAsia="Arial"/>
                <w:sz w:val="20"/>
                <w:szCs w:val="20"/>
              </w:rPr>
              <w:t>Amount of material used as an input during construction by type, t (tons)</w:t>
            </w:r>
          </w:p>
          <w:p w14:paraId="3606E5DF" w14:textId="6AA9547D" w:rsidR="00355B1F" w:rsidRPr="004C12C9" w:rsidRDefault="00355B1F" w:rsidP="00074FDC">
            <w:pPr>
              <w:keepNext/>
              <w:tabs>
                <w:tab w:val="left" w:pos="2160"/>
              </w:tabs>
              <w:contextualSpacing/>
              <w:rPr>
                <w:rFonts w:eastAsia="Arial"/>
                <w:sz w:val="20"/>
                <w:szCs w:val="20"/>
              </w:rPr>
            </w:pPr>
            <w:r w:rsidRPr="004C12C9">
              <w:rPr>
                <w:rFonts w:eastAsia="Arial"/>
                <w:sz w:val="20"/>
                <w:szCs w:val="20"/>
              </w:rPr>
              <w:t xml:space="preserve">= </w:t>
            </w:r>
            <w:r w:rsidR="00891DBC" w:rsidRPr="004C12C9">
              <w:rPr>
                <w:rFonts w:eastAsia="Arial"/>
                <w:sz w:val="20"/>
                <w:szCs w:val="20"/>
              </w:rPr>
              <w:t>The percent of each material input that is discarded as waste (%)</w:t>
            </w:r>
          </w:p>
          <w:p w14:paraId="3769740A" w14:textId="77777777" w:rsidR="00355B1F" w:rsidRPr="004C12C9" w:rsidRDefault="00355B1F" w:rsidP="00074FDC">
            <w:pPr>
              <w:keepNext/>
              <w:tabs>
                <w:tab w:val="left" w:pos="2160"/>
              </w:tabs>
              <w:contextualSpacing/>
              <w:rPr>
                <w:rFonts w:eastAsia="Arial"/>
                <w:sz w:val="20"/>
                <w:szCs w:val="20"/>
              </w:rPr>
            </w:pPr>
          </w:p>
        </w:tc>
      </w:tr>
    </w:tbl>
    <w:p w14:paraId="1956459C" w14:textId="4753B87E" w:rsidR="00582159" w:rsidRPr="004C12C9" w:rsidRDefault="00582159" w:rsidP="009334F3">
      <w:pPr>
        <w:pStyle w:val="Caption"/>
      </w:pPr>
      <w:bookmarkStart w:id="136" w:name="_Ref195392845"/>
      <w:r w:rsidRPr="004C12C9">
        <w:t xml:space="preserve">Equation </w:t>
      </w:r>
      <w:r w:rsidR="00B403EB">
        <w:fldChar w:fldCharType="begin"/>
      </w:r>
      <w:r w:rsidR="00B403EB">
        <w:instrText xml:space="preserve"> SEQ Equation \* ARABIC </w:instrText>
      </w:r>
      <w:r w:rsidR="00B403EB">
        <w:fldChar w:fldCharType="separate"/>
      </w:r>
      <w:r w:rsidR="00C47624">
        <w:rPr>
          <w:noProof/>
        </w:rPr>
        <w:t>11</w:t>
      </w:r>
      <w:r w:rsidR="00B403EB">
        <w:fldChar w:fldCharType="end"/>
      </w:r>
      <w:bookmarkEnd w:id="136"/>
      <w:r w:rsidRPr="004C12C9">
        <w:t>. GHG Emissions from Construction Waste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582159" w:rsidRPr="004C12C9" w14:paraId="4B6B4DC5" w14:textId="77777777">
        <w:tc>
          <w:tcPr>
            <w:tcW w:w="10070" w:type="dxa"/>
            <w:gridSpan w:val="2"/>
            <w:shd w:val="clear" w:color="auto" w:fill="F2F2F2" w:themeFill="background1" w:themeFillShade="F2"/>
          </w:tcPr>
          <w:p w14:paraId="2DC6ECE3" w14:textId="04702882" w:rsidR="00891DBC" w:rsidRPr="004C12C9" w:rsidRDefault="00891DBC" w:rsidP="009334F3">
            <w:pPr>
              <w:pStyle w:val="Equation"/>
              <w:keepNext/>
              <w:rPr>
                <w:rFonts w:ascii="DM Sans" w:hAnsi="DM Sans"/>
                <w:noProof w:val="0"/>
              </w:rPr>
            </w:pPr>
            <m:oMathPara>
              <m:oMath>
                <m:r>
                  <w:rPr>
                    <w:noProof w:val="0"/>
                  </w:rPr>
                  <m:t>GHG emissions=</m:t>
                </m:r>
                <m:nary>
                  <m:naryPr>
                    <m:chr m:val="∑"/>
                    <m:limLoc m:val="undOvr"/>
                    <m:subHide m:val="1"/>
                    <m:supHide m:val="1"/>
                    <m:ctrlPr>
                      <w:rPr>
                        <w:noProof w:val="0"/>
                      </w:rPr>
                    </m:ctrlPr>
                  </m:naryPr>
                  <m:sub/>
                  <m:sup/>
                  <m:e>
                    <m:sSub>
                      <m:sSubPr>
                        <m:ctrlPr>
                          <w:rPr>
                            <w:noProof w:val="0"/>
                          </w:rPr>
                        </m:ctrlPr>
                      </m:sSubPr>
                      <m:e>
                        <m:r>
                          <w:rPr>
                            <w:noProof w:val="0"/>
                          </w:rPr>
                          <m:t>construction waste</m:t>
                        </m:r>
                      </m:e>
                      <m:sub>
                        <m:r>
                          <w:rPr>
                            <w:noProof w:val="0"/>
                          </w:rPr>
                          <m:t>t</m:t>
                        </m:r>
                      </m:sub>
                    </m:sSub>
                    <m:r>
                      <w:rPr>
                        <w:noProof w:val="0"/>
                      </w:rPr>
                      <m:t xml:space="preserve">× </m:t>
                    </m:r>
                    <m:sSub>
                      <m:sSubPr>
                        <m:ctrlPr>
                          <w:rPr>
                            <w:noProof w:val="0"/>
                          </w:rPr>
                        </m:ctrlPr>
                      </m:sSubPr>
                      <m:e>
                        <m:r>
                          <w:rPr>
                            <w:noProof w:val="0"/>
                          </w:rPr>
                          <m:t>emission factor</m:t>
                        </m:r>
                      </m:e>
                      <m:sub>
                        <m:r>
                          <w:rPr>
                            <w:noProof w:val="0"/>
                          </w:rPr>
                          <m:t>t</m:t>
                        </m:r>
                      </m:sub>
                    </m:sSub>
                  </m:e>
                </m:nary>
              </m:oMath>
            </m:oMathPara>
          </w:p>
          <w:p w14:paraId="66B86799" w14:textId="77777777" w:rsidR="00582159" w:rsidRPr="004C12C9" w:rsidRDefault="00582159" w:rsidP="009334F3">
            <w:pPr>
              <w:keepNext/>
              <w:rPr>
                <w:i/>
                <w:iCs/>
              </w:rPr>
            </w:pPr>
            <w:r w:rsidRPr="004C12C9">
              <w:rPr>
                <w:i/>
                <w:iCs/>
                <w:sz w:val="20"/>
                <w:szCs w:val="20"/>
              </w:rPr>
              <w:t xml:space="preserve">where, </w:t>
            </w:r>
          </w:p>
        </w:tc>
      </w:tr>
      <w:tr w:rsidR="00582159" w:rsidRPr="004C12C9" w14:paraId="32E8BFCF" w14:textId="77777777">
        <w:tc>
          <w:tcPr>
            <w:tcW w:w="2070" w:type="dxa"/>
            <w:shd w:val="clear" w:color="auto" w:fill="F2F2F2" w:themeFill="background1" w:themeFillShade="F2"/>
          </w:tcPr>
          <w:p w14:paraId="6E935BB3" w14:textId="6C0CD780" w:rsidR="00582159" w:rsidRPr="004C12C9" w:rsidRDefault="00891DBC" w:rsidP="009334F3">
            <w:pPr>
              <w:keepNext/>
              <w:tabs>
                <w:tab w:val="left" w:pos="2160"/>
              </w:tabs>
              <w:contextualSpacing/>
              <w:rPr>
                <w:rFonts w:eastAsia="Arial"/>
                <w:sz w:val="20"/>
                <w:szCs w:val="20"/>
              </w:rPr>
            </w:pPr>
            <w:r w:rsidRPr="004C12C9">
              <w:rPr>
                <w:rFonts w:eastAsia="Arial"/>
                <w:sz w:val="20"/>
                <w:szCs w:val="20"/>
              </w:rPr>
              <w:t>Construction waste Emissions factor</w:t>
            </w:r>
          </w:p>
          <w:p w14:paraId="2631D9C4" w14:textId="651E001A" w:rsidR="00582159" w:rsidRPr="004C12C9" w:rsidRDefault="00582159" w:rsidP="009334F3">
            <w:pPr>
              <w:keepNext/>
              <w:tabs>
                <w:tab w:val="left" w:pos="2160"/>
              </w:tabs>
              <w:contextualSpacing/>
              <w:rPr>
                <w:rFonts w:eastAsia="Arial"/>
                <w:sz w:val="20"/>
                <w:szCs w:val="20"/>
              </w:rPr>
            </w:pPr>
          </w:p>
        </w:tc>
        <w:tc>
          <w:tcPr>
            <w:tcW w:w="8000" w:type="dxa"/>
            <w:shd w:val="clear" w:color="auto" w:fill="F2F2F2" w:themeFill="background1" w:themeFillShade="F2"/>
          </w:tcPr>
          <w:p w14:paraId="617BF1DE" w14:textId="1A8FB0DE" w:rsidR="00582159" w:rsidRPr="004C12C9" w:rsidRDefault="00582159" w:rsidP="009334F3">
            <w:pPr>
              <w:keepNext/>
              <w:tabs>
                <w:tab w:val="left" w:pos="2160"/>
              </w:tabs>
              <w:contextualSpacing/>
              <w:rPr>
                <w:rFonts w:eastAsia="Arial"/>
                <w:sz w:val="20"/>
                <w:szCs w:val="20"/>
              </w:rPr>
            </w:pPr>
            <w:r w:rsidRPr="004C12C9">
              <w:rPr>
                <w:rFonts w:eastAsia="Arial"/>
                <w:sz w:val="20"/>
                <w:szCs w:val="20"/>
              </w:rPr>
              <w:t xml:space="preserve">= </w:t>
            </w:r>
            <w:r w:rsidR="00D458BA" w:rsidRPr="004C12C9">
              <w:rPr>
                <w:rFonts w:eastAsia="Arial"/>
                <w:sz w:val="20"/>
                <w:szCs w:val="20"/>
              </w:rPr>
              <w:t xml:space="preserve">Tons </w:t>
            </w:r>
            <w:r w:rsidR="00891DBC" w:rsidRPr="004C12C9">
              <w:rPr>
                <w:rFonts w:eastAsia="Arial"/>
                <w:sz w:val="20"/>
                <w:szCs w:val="20"/>
              </w:rPr>
              <w:t>of waste material generated during construction by type, t</w:t>
            </w:r>
            <w:r w:rsidR="00D458BA" w:rsidRPr="004C12C9">
              <w:rPr>
                <w:rFonts w:eastAsia="Arial"/>
                <w:sz w:val="20"/>
                <w:szCs w:val="20"/>
              </w:rPr>
              <w:t xml:space="preserve">, as calculated by </w:t>
            </w:r>
            <w:r w:rsidR="00D458BA" w:rsidRPr="004C12C9">
              <w:rPr>
                <w:rFonts w:eastAsia="Arial"/>
                <w:sz w:val="20"/>
                <w:szCs w:val="20"/>
              </w:rPr>
              <w:fldChar w:fldCharType="begin" w:fldLock="1"/>
            </w:r>
            <w:r w:rsidR="00D458BA" w:rsidRPr="004C12C9">
              <w:rPr>
                <w:rFonts w:eastAsia="Arial"/>
                <w:sz w:val="20"/>
                <w:szCs w:val="20"/>
              </w:rPr>
              <w:instrText xml:space="preserve"> REF _Ref195392782 \h  \* MERGEFORMAT </w:instrText>
            </w:r>
            <w:r w:rsidR="00D458BA" w:rsidRPr="004C12C9">
              <w:rPr>
                <w:rFonts w:eastAsia="Arial"/>
                <w:sz w:val="20"/>
                <w:szCs w:val="20"/>
              </w:rPr>
            </w:r>
            <w:r w:rsidR="00D458BA" w:rsidRPr="004C12C9">
              <w:rPr>
                <w:rFonts w:eastAsia="Arial"/>
                <w:sz w:val="20"/>
                <w:szCs w:val="20"/>
              </w:rPr>
              <w:fldChar w:fldCharType="separate"/>
            </w:r>
            <w:r w:rsidR="00B403EB" w:rsidRPr="004C12C9">
              <w:rPr>
                <w:rFonts w:eastAsia="Arial"/>
                <w:sz w:val="20"/>
                <w:szCs w:val="20"/>
              </w:rPr>
              <w:t>Equation 9</w:t>
            </w:r>
            <w:r w:rsidR="00D458BA" w:rsidRPr="004C12C9">
              <w:rPr>
                <w:rFonts w:eastAsia="Arial"/>
                <w:sz w:val="20"/>
                <w:szCs w:val="20"/>
              </w:rPr>
              <w:fldChar w:fldCharType="end"/>
            </w:r>
          </w:p>
          <w:p w14:paraId="698603F8" w14:textId="77777777" w:rsidR="00891DBC" w:rsidRPr="004C12C9" w:rsidRDefault="00582159" w:rsidP="009334F3">
            <w:pPr>
              <w:keepNext/>
              <w:spacing w:before="0" w:after="0"/>
              <w:ind w:left="165" w:hanging="165"/>
              <w:rPr>
                <w:rFonts w:eastAsia="Arial"/>
                <w:sz w:val="20"/>
                <w:szCs w:val="20"/>
              </w:rPr>
            </w:pPr>
            <w:r w:rsidRPr="004C12C9">
              <w:rPr>
                <w:rFonts w:eastAsia="Arial"/>
                <w:sz w:val="20"/>
                <w:szCs w:val="20"/>
              </w:rPr>
              <w:t xml:space="preserve">= </w:t>
            </w:r>
            <w:r w:rsidR="00891DBC" w:rsidRPr="004C12C9">
              <w:rPr>
                <w:rFonts w:eastAsia="Arial"/>
                <w:sz w:val="20"/>
                <w:szCs w:val="20"/>
              </w:rPr>
              <w:t>The emissions associated with the transportation and treatment of waste by type, t (MTCO</w:t>
            </w:r>
            <w:r w:rsidR="00891DBC" w:rsidRPr="004C12C9">
              <w:rPr>
                <w:rFonts w:eastAsia="Arial"/>
                <w:sz w:val="20"/>
                <w:szCs w:val="20"/>
                <w:vertAlign w:val="subscript"/>
              </w:rPr>
              <w:t>2</w:t>
            </w:r>
            <w:r w:rsidR="00891DBC" w:rsidRPr="004C12C9">
              <w:rPr>
                <w:rFonts w:eastAsia="Arial"/>
                <w:sz w:val="20"/>
                <w:szCs w:val="20"/>
              </w:rPr>
              <w:t>e/ton)</w:t>
            </w:r>
          </w:p>
          <w:p w14:paraId="678D4DA6" w14:textId="189ABF44" w:rsidR="00891DBC" w:rsidRPr="004C12C9" w:rsidRDefault="00891DBC" w:rsidP="009334F3">
            <w:pPr>
              <w:keepNext/>
              <w:spacing w:before="0" w:after="0"/>
              <w:rPr>
                <w:rFonts w:eastAsia="Arial"/>
                <w:sz w:val="20"/>
                <w:szCs w:val="20"/>
              </w:rPr>
            </w:pPr>
          </w:p>
        </w:tc>
      </w:tr>
    </w:tbl>
    <w:p w14:paraId="00C67316" w14:textId="77777777" w:rsidR="00910E6B" w:rsidRPr="004C12C9" w:rsidRDefault="00910E6B" w:rsidP="00E31E37">
      <w:pPr>
        <w:pStyle w:val="Heading4"/>
      </w:pPr>
      <w:r w:rsidRPr="004C12C9">
        <w:t>Material Quantity</w:t>
      </w:r>
    </w:p>
    <w:p w14:paraId="2A3D96F9" w14:textId="7935F2D0" w:rsidR="00CE0E86" w:rsidRPr="004C12C9" w:rsidRDefault="00CE0E86" w:rsidP="00CE0E86">
      <w:r w:rsidRPr="004C12C9">
        <w:t>The material quantity by material type is based on values provided by users. The input quantities used to calculate emissions from construction</w:t>
      </w:r>
      <w:r w:rsidR="00AF6FA8" w:rsidRPr="004C12C9">
        <w:t xml:space="preserve"> waste</w:t>
      </w:r>
      <w:r w:rsidR="00AD2D3A" w:rsidRPr="004C12C9">
        <w:t xml:space="preserve"> </w:t>
      </w:r>
      <w:r w:rsidRPr="004C12C9">
        <w:t xml:space="preserve">are the same inputs used to calculate the material inputs emissions that are summarized in Section </w:t>
      </w:r>
      <w:r w:rsidRPr="004C12C9">
        <w:fldChar w:fldCharType="begin" w:fldLock="1"/>
      </w:r>
      <w:r w:rsidRPr="004C12C9">
        <w:instrText xml:space="preserve"> REF _Ref193891657 \r \h </w:instrText>
      </w:r>
      <w:r w:rsidRPr="004C12C9">
        <w:fldChar w:fldCharType="separate"/>
      </w:r>
      <w:r w:rsidR="00B403EB" w:rsidRPr="004C12C9">
        <w:t>2.1</w:t>
      </w:r>
      <w:r w:rsidRPr="004C12C9">
        <w:fldChar w:fldCharType="end"/>
      </w:r>
      <w:r w:rsidRPr="004C12C9">
        <w:t xml:space="preserve">, </w:t>
      </w:r>
      <w:r w:rsidRPr="004C12C9">
        <w:fldChar w:fldCharType="begin" w:fldLock="1"/>
      </w:r>
      <w:r w:rsidRPr="004C12C9">
        <w:instrText xml:space="preserve"> REF _Ref195386675 \h </w:instrText>
      </w:r>
      <w:r w:rsidRPr="004C12C9">
        <w:fldChar w:fldCharType="separate"/>
      </w:r>
      <w:r w:rsidR="00B403EB" w:rsidRPr="004C12C9">
        <w:t>Table 2</w:t>
      </w:r>
      <w:r w:rsidR="00B403EB" w:rsidRPr="004C12C9">
        <w:noBreakHyphen/>
        <w:t>1</w:t>
      </w:r>
      <w:r w:rsidRPr="004C12C9">
        <w:fldChar w:fldCharType="end"/>
      </w:r>
      <w:r w:rsidRPr="004C12C9">
        <w:t>.</w:t>
      </w:r>
    </w:p>
    <w:p w14:paraId="2D9A3F06" w14:textId="77777777" w:rsidR="00B64D47" w:rsidRPr="004C12C9" w:rsidRDefault="00B64D47" w:rsidP="00AD2D3A">
      <w:pPr>
        <w:pStyle w:val="Heading4"/>
      </w:pPr>
      <w:r w:rsidRPr="004C12C9">
        <w:lastRenderedPageBreak/>
        <w:t>Loss Rate</w:t>
      </w:r>
    </w:p>
    <w:p w14:paraId="112ED716" w14:textId="42FAFFF7" w:rsidR="000564FD" w:rsidRPr="004C12C9" w:rsidRDefault="000564FD" w:rsidP="00AD2D3A">
      <w:r w:rsidRPr="004C12C9">
        <w:t>Construction material loss rates were obtained from a 2018 study published by the EPA.</w:t>
      </w:r>
      <w:r w:rsidR="003C3CA0">
        <w:rPr>
          <w:rFonts w:ascii="ZWAdobeF" w:hAnsi="ZWAdobeF" w:cs="ZWAdobeF"/>
          <w:sz w:val="2"/>
          <w:szCs w:val="2"/>
        </w:rPr>
        <w:t>63F</w:t>
      </w:r>
      <w:r w:rsidRPr="004C12C9">
        <w:rPr>
          <w:rStyle w:val="FootnoteReference"/>
        </w:rPr>
        <w:footnoteReference w:id="67"/>
      </w:r>
      <w:r w:rsidRPr="004C12C9">
        <w:t xml:space="preserve"> The study identifies loss rates for all material types except for aluminum, glass, and insulation. </w:t>
      </w:r>
      <w:r w:rsidR="006005C0" w:rsidRPr="004C12C9">
        <w:t xml:space="preserve">The </w:t>
      </w:r>
      <w:r w:rsidR="0026214A" w:rsidRPr="004C12C9">
        <w:t xml:space="preserve">calculator </w:t>
      </w:r>
      <w:r w:rsidRPr="004C12C9">
        <w:t>applie</w:t>
      </w:r>
      <w:r w:rsidR="006005C0" w:rsidRPr="004C12C9">
        <w:t>s</w:t>
      </w:r>
      <w:r w:rsidRPr="004C12C9">
        <w:t xml:space="preserve"> the loss rate for steel to aluminum, the loss rate for concrete to glass, and the loss rate for drywall to insulation. </w:t>
      </w:r>
      <w:r w:rsidR="006778F6">
        <w:fldChar w:fldCharType="begin"/>
      </w:r>
      <w:r w:rsidR="006778F6">
        <w:instrText xml:space="preserve"> REF _Ref219828682 \h </w:instrText>
      </w:r>
      <w:r w:rsidR="006778F6">
        <w:fldChar w:fldCharType="separate"/>
      </w:r>
      <w:r w:rsidR="006778F6" w:rsidRPr="004C12C9">
        <w:t xml:space="preserve">Table </w:t>
      </w:r>
      <w:r w:rsidR="006778F6">
        <w:rPr>
          <w:noProof/>
        </w:rPr>
        <w:t>2</w:t>
      </w:r>
      <w:r w:rsidR="006778F6">
        <w:noBreakHyphen/>
      </w:r>
      <w:r w:rsidR="006778F6">
        <w:rPr>
          <w:noProof/>
        </w:rPr>
        <w:t>48</w:t>
      </w:r>
      <w:r w:rsidR="006778F6">
        <w:fldChar w:fldCharType="end"/>
      </w:r>
      <w:r w:rsidR="006778F6">
        <w:t xml:space="preserve"> </w:t>
      </w:r>
      <w:r w:rsidRPr="004C12C9">
        <w:t>summarizes the loss rate assumptions by material type.</w:t>
      </w:r>
    </w:p>
    <w:p w14:paraId="4CFE2362" w14:textId="7666566F" w:rsidR="000564FD" w:rsidRPr="004C12C9" w:rsidRDefault="000564FD" w:rsidP="00972CF9">
      <w:pPr>
        <w:pStyle w:val="Caption"/>
      </w:pPr>
      <w:bookmarkStart w:id="137" w:name="_Ref219828682"/>
      <w:bookmarkStart w:id="138" w:name="_Ref184725673"/>
      <w:bookmarkStart w:id="139" w:name="_Ref195524129"/>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48</w:t>
      </w:r>
      <w:r w:rsidR="00F72B41">
        <w:fldChar w:fldCharType="end"/>
      </w:r>
      <w:bookmarkEnd w:id="137"/>
      <w:bookmarkEnd w:id="138"/>
      <w:bookmarkEnd w:id="139"/>
      <w:r w:rsidR="00921A0C" w:rsidRPr="004C12C9">
        <w:t>.</w:t>
      </w:r>
      <w:r w:rsidRPr="004C12C9">
        <w:t xml:space="preserve"> Material Loss Rate Assumptions</w:t>
      </w:r>
    </w:p>
    <w:tbl>
      <w:tblPr>
        <w:tblW w:w="8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10"/>
        <w:gridCol w:w="2520"/>
        <w:gridCol w:w="3065"/>
      </w:tblGrid>
      <w:tr w:rsidR="000564FD" w:rsidRPr="004C12C9" w14:paraId="18324F94" w14:textId="77777777" w:rsidTr="00074FDC">
        <w:trPr>
          <w:trHeight w:val="50"/>
          <w:tblHeader/>
        </w:trPr>
        <w:tc>
          <w:tcPr>
            <w:tcW w:w="2510" w:type="dxa"/>
            <w:shd w:val="clear" w:color="auto" w:fill="D9D9D9" w:themeFill="background1" w:themeFillShade="D9"/>
            <w:noWrap/>
            <w:vAlign w:val="center"/>
            <w:hideMark/>
          </w:tcPr>
          <w:p w14:paraId="4CA04FE0" w14:textId="77777777" w:rsidR="000564FD" w:rsidRPr="004C12C9" w:rsidRDefault="000564FD" w:rsidP="000C27A6">
            <w:pPr>
              <w:pStyle w:val="ICFTableHeading"/>
            </w:pPr>
            <w:r w:rsidRPr="004C12C9">
              <w:t>Material Type</w:t>
            </w:r>
          </w:p>
        </w:tc>
        <w:tc>
          <w:tcPr>
            <w:tcW w:w="2520" w:type="dxa"/>
            <w:shd w:val="clear" w:color="auto" w:fill="D9D9D9" w:themeFill="background1" w:themeFillShade="D9"/>
            <w:vAlign w:val="center"/>
            <w:hideMark/>
          </w:tcPr>
          <w:p w14:paraId="3D252615" w14:textId="77777777" w:rsidR="000564FD" w:rsidRPr="004C12C9" w:rsidRDefault="000564FD" w:rsidP="000C27A6">
            <w:pPr>
              <w:pStyle w:val="ICFTableHeading"/>
            </w:pPr>
            <w:r w:rsidRPr="004C12C9">
              <w:t>Loss Rate (%)</w:t>
            </w:r>
          </w:p>
        </w:tc>
        <w:tc>
          <w:tcPr>
            <w:tcW w:w="3065" w:type="dxa"/>
            <w:shd w:val="clear" w:color="auto" w:fill="D9D9D9" w:themeFill="background1" w:themeFillShade="D9"/>
            <w:vAlign w:val="center"/>
          </w:tcPr>
          <w:p w14:paraId="5532C812" w14:textId="104EBD71" w:rsidR="000564FD" w:rsidRPr="004C12C9" w:rsidRDefault="007512A9" w:rsidP="000C27A6">
            <w:pPr>
              <w:pStyle w:val="ICFTableHeading"/>
            </w:pPr>
            <w:r w:rsidRPr="004C12C9">
              <w:t>Notes</w:t>
            </w:r>
          </w:p>
        </w:tc>
      </w:tr>
      <w:tr w:rsidR="000564FD" w:rsidRPr="004C12C9" w14:paraId="4F157BD6" w14:textId="77777777" w:rsidTr="000046AB">
        <w:trPr>
          <w:trHeight w:val="144"/>
        </w:trPr>
        <w:tc>
          <w:tcPr>
            <w:tcW w:w="2510" w:type="dxa"/>
            <w:noWrap/>
            <w:vAlign w:val="center"/>
            <w:hideMark/>
          </w:tcPr>
          <w:p w14:paraId="5D23AFF7" w14:textId="77777777" w:rsidR="000564FD" w:rsidRPr="004C12C9" w:rsidRDefault="000564FD" w:rsidP="000C27A6">
            <w:pPr>
              <w:pStyle w:val="ICFTabletext"/>
            </w:pPr>
            <w:r w:rsidRPr="004C12C9">
              <w:t>Aluminum</w:t>
            </w:r>
          </w:p>
        </w:tc>
        <w:tc>
          <w:tcPr>
            <w:tcW w:w="2520" w:type="dxa"/>
            <w:noWrap/>
            <w:vAlign w:val="center"/>
            <w:hideMark/>
          </w:tcPr>
          <w:p w14:paraId="3D227058" w14:textId="77777777" w:rsidR="000564FD" w:rsidRPr="004C12C9" w:rsidRDefault="000564FD" w:rsidP="000C27A6">
            <w:pPr>
              <w:pStyle w:val="ICFTabletext"/>
              <w:jc w:val="center"/>
            </w:pPr>
            <w:r w:rsidRPr="004C12C9">
              <w:t>0%</w:t>
            </w:r>
          </w:p>
        </w:tc>
        <w:tc>
          <w:tcPr>
            <w:tcW w:w="3065" w:type="dxa"/>
            <w:vAlign w:val="center"/>
          </w:tcPr>
          <w:p w14:paraId="6D3CC319" w14:textId="77777777" w:rsidR="000564FD" w:rsidRPr="004C12C9" w:rsidRDefault="000564FD" w:rsidP="000C27A6">
            <w:pPr>
              <w:pStyle w:val="ICFTabletext"/>
            </w:pPr>
            <w:r w:rsidRPr="004C12C9">
              <w:t>Proxied based on steel</w:t>
            </w:r>
          </w:p>
        </w:tc>
      </w:tr>
      <w:tr w:rsidR="000564FD" w:rsidRPr="004C12C9" w14:paraId="08DB0673" w14:textId="77777777" w:rsidTr="000046AB">
        <w:trPr>
          <w:trHeight w:val="144"/>
        </w:trPr>
        <w:tc>
          <w:tcPr>
            <w:tcW w:w="2510" w:type="dxa"/>
            <w:noWrap/>
            <w:vAlign w:val="center"/>
          </w:tcPr>
          <w:p w14:paraId="063C8DFF" w14:textId="77777777" w:rsidR="000564FD" w:rsidRPr="004C12C9" w:rsidRDefault="000564FD" w:rsidP="000C27A6">
            <w:pPr>
              <w:pStyle w:val="ICFTabletext"/>
            </w:pPr>
            <w:r w:rsidRPr="004C12C9">
              <w:t xml:space="preserve">Asphalt </w:t>
            </w:r>
          </w:p>
        </w:tc>
        <w:tc>
          <w:tcPr>
            <w:tcW w:w="2520" w:type="dxa"/>
            <w:noWrap/>
            <w:vAlign w:val="center"/>
          </w:tcPr>
          <w:p w14:paraId="5C202D87" w14:textId="77777777" w:rsidR="000564FD" w:rsidRPr="004C12C9" w:rsidRDefault="000564FD" w:rsidP="000C27A6">
            <w:pPr>
              <w:pStyle w:val="ICFTabletext"/>
              <w:jc w:val="center"/>
            </w:pPr>
            <w:r w:rsidRPr="004C12C9">
              <w:t>0%</w:t>
            </w:r>
          </w:p>
        </w:tc>
        <w:tc>
          <w:tcPr>
            <w:tcW w:w="3065" w:type="dxa"/>
            <w:vAlign w:val="center"/>
          </w:tcPr>
          <w:p w14:paraId="597F6F3B" w14:textId="134DB262" w:rsidR="000564FD" w:rsidRPr="004C12C9" w:rsidRDefault="007512A9" w:rsidP="000C27A6">
            <w:pPr>
              <w:pStyle w:val="ICFTabletext"/>
            </w:pPr>
            <w:r w:rsidRPr="004C12C9">
              <w:t>B</w:t>
            </w:r>
            <w:r w:rsidR="000564FD" w:rsidRPr="004C12C9">
              <w:t xml:space="preserve">ased on asphalt </w:t>
            </w:r>
            <w:r w:rsidR="00DA7842" w:rsidRPr="004C12C9">
              <w:t>pavement</w:t>
            </w:r>
          </w:p>
        </w:tc>
      </w:tr>
      <w:tr w:rsidR="000564FD" w:rsidRPr="004C12C9" w14:paraId="75D35B8B" w14:textId="77777777" w:rsidTr="000046AB">
        <w:trPr>
          <w:trHeight w:val="144"/>
        </w:trPr>
        <w:tc>
          <w:tcPr>
            <w:tcW w:w="2510" w:type="dxa"/>
            <w:noWrap/>
            <w:vAlign w:val="center"/>
            <w:hideMark/>
          </w:tcPr>
          <w:p w14:paraId="55931F5A" w14:textId="77777777" w:rsidR="000564FD" w:rsidRPr="004C12C9" w:rsidRDefault="000564FD" w:rsidP="000C27A6">
            <w:pPr>
              <w:pStyle w:val="ICFTabletext"/>
            </w:pPr>
            <w:r w:rsidRPr="004C12C9">
              <w:t>Brick</w:t>
            </w:r>
          </w:p>
        </w:tc>
        <w:tc>
          <w:tcPr>
            <w:tcW w:w="2520" w:type="dxa"/>
            <w:noWrap/>
            <w:vAlign w:val="center"/>
            <w:hideMark/>
          </w:tcPr>
          <w:p w14:paraId="082694AB" w14:textId="77777777" w:rsidR="000564FD" w:rsidRPr="004C12C9" w:rsidRDefault="000564FD" w:rsidP="000C27A6">
            <w:pPr>
              <w:pStyle w:val="ICFTabletext"/>
              <w:jc w:val="center"/>
            </w:pPr>
            <w:r w:rsidRPr="004C12C9">
              <w:t>4%</w:t>
            </w:r>
          </w:p>
        </w:tc>
        <w:tc>
          <w:tcPr>
            <w:tcW w:w="3065" w:type="dxa"/>
            <w:vAlign w:val="center"/>
          </w:tcPr>
          <w:p w14:paraId="4B2216D9" w14:textId="653B95A6" w:rsidR="000564FD" w:rsidRPr="004C12C9" w:rsidRDefault="000564FD" w:rsidP="000C27A6">
            <w:pPr>
              <w:pStyle w:val="ICFTabletext"/>
            </w:pPr>
          </w:p>
        </w:tc>
      </w:tr>
      <w:tr w:rsidR="000564FD" w:rsidRPr="004C12C9" w14:paraId="7285F69F" w14:textId="77777777" w:rsidTr="000046AB">
        <w:trPr>
          <w:trHeight w:val="144"/>
        </w:trPr>
        <w:tc>
          <w:tcPr>
            <w:tcW w:w="2510" w:type="dxa"/>
            <w:noWrap/>
            <w:vAlign w:val="center"/>
            <w:hideMark/>
          </w:tcPr>
          <w:p w14:paraId="486BE619" w14:textId="77777777" w:rsidR="000564FD" w:rsidRPr="004C12C9" w:rsidRDefault="000564FD" w:rsidP="000C27A6">
            <w:pPr>
              <w:pStyle w:val="ICFTabletext"/>
            </w:pPr>
            <w:r w:rsidRPr="004C12C9">
              <w:t>Concrete</w:t>
            </w:r>
          </w:p>
        </w:tc>
        <w:tc>
          <w:tcPr>
            <w:tcW w:w="2520" w:type="dxa"/>
            <w:noWrap/>
            <w:vAlign w:val="center"/>
            <w:hideMark/>
          </w:tcPr>
          <w:p w14:paraId="6E6717A2" w14:textId="77777777" w:rsidR="000564FD" w:rsidRPr="004C12C9" w:rsidRDefault="000564FD" w:rsidP="000C27A6">
            <w:pPr>
              <w:pStyle w:val="ICFTabletext"/>
              <w:jc w:val="center"/>
            </w:pPr>
            <w:r w:rsidRPr="004C12C9">
              <w:t>3%</w:t>
            </w:r>
          </w:p>
        </w:tc>
        <w:tc>
          <w:tcPr>
            <w:tcW w:w="3065" w:type="dxa"/>
            <w:vAlign w:val="center"/>
          </w:tcPr>
          <w:p w14:paraId="040297CB" w14:textId="39E8DFDD" w:rsidR="000564FD" w:rsidRPr="004C12C9" w:rsidRDefault="000564FD" w:rsidP="000C27A6">
            <w:pPr>
              <w:pStyle w:val="ICFTabletext"/>
            </w:pPr>
          </w:p>
        </w:tc>
      </w:tr>
      <w:tr w:rsidR="000564FD" w:rsidRPr="004C12C9" w14:paraId="6166F84D" w14:textId="77777777" w:rsidTr="000046AB">
        <w:trPr>
          <w:trHeight w:val="144"/>
        </w:trPr>
        <w:tc>
          <w:tcPr>
            <w:tcW w:w="2510" w:type="dxa"/>
            <w:noWrap/>
            <w:vAlign w:val="center"/>
            <w:hideMark/>
          </w:tcPr>
          <w:p w14:paraId="18533497" w14:textId="77777777" w:rsidR="000564FD" w:rsidRPr="004C12C9" w:rsidRDefault="000564FD" w:rsidP="000C27A6">
            <w:pPr>
              <w:pStyle w:val="ICFTabletext"/>
            </w:pPr>
            <w:r w:rsidRPr="004C12C9">
              <w:t>Glass</w:t>
            </w:r>
          </w:p>
        </w:tc>
        <w:tc>
          <w:tcPr>
            <w:tcW w:w="2520" w:type="dxa"/>
            <w:noWrap/>
            <w:vAlign w:val="center"/>
            <w:hideMark/>
          </w:tcPr>
          <w:p w14:paraId="4B153E07" w14:textId="77777777" w:rsidR="000564FD" w:rsidRPr="004C12C9" w:rsidRDefault="000564FD" w:rsidP="000C27A6">
            <w:pPr>
              <w:pStyle w:val="ICFTabletext"/>
              <w:jc w:val="center"/>
            </w:pPr>
            <w:r w:rsidRPr="004C12C9">
              <w:t>3%</w:t>
            </w:r>
          </w:p>
        </w:tc>
        <w:tc>
          <w:tcPr>
            <w:tcW w:w="3065" w:type="dxa"/>
            <w:vAlign w:val="center"/>
          </w:tcPr>
          <w:p w14:paraId="08F95CBA" w14:textId="77777777" w:rsidR="000564FD" w:rsidRPr="004C12C9" w:rsidRDefault="000564FD" w:rsidP="000C27A6">
            <w:pPr>
              <w:pStyle w:val="ICFTabletext"/>
            </w:pPr>
            <w:r w:rsidRPr="004C12C9">
              <w:t>Proxied based on concrete</w:t>
            </w:r>
          </w:p>
        </w:tc>
      </w:tr>
      <w:tr w:rsidR="000564FD" w:rsidRPr="004C12C9" w14:paraId="48FCA449" w14:textId="77777777" w:rsidTr="000046AB">
        <w:trPr>
          <w:trHeight w:val="144"/>
        </w:trPr>
        <w:tc>
          <w:tcPr>
            <w:tcW w:w="2510" w:type="dxa"/>
            <w:noWrap/>
            <w:vAlign w:val="center"/>
            <w:hideMark/>
          </w:tcPr>
          <w:p w14:paraId="46508CAC" w14:textId="77777777" w:rsidR="000564FD" w:rsidRPr="004C12C9" w:rsidRDefault="000564FD" w:rsidP="000C27A6">
            <w:pPr>
              <w:pStyle w:val="ICFTabletext"/>
            </w:pPr>
            <w:r w:rsidRPr="004C12C9">
              <w:t>Insulation</w:t>
            </w:r>
          </w:p>
        </w:tc>
        <w:tc>
          <w:tcPr>
            <w:tcW w:w="2520" w:type="dxa"/>
            <w:noWrap/>
            <w:vAlign w:val="center"/>
            <w:hideMark/>
          </w:tcPr>
          <w:p w14:paraId="1B316F23" w14:textId="77777777" w:rsidR="000564FD" w:rsidRPr="004C12C9" w:rsidRDefault="000564FD" w:rsidP="000C27A6">
            <w:pPr>
              <w:pStyle w:val="ICFTabletext"/>
              <w:jc w:val="center"/>
            </w:pPr>
            <w:r w:rsidRPr="004C12C9">
              <w:t>10%</w:t>
            </w:r>
          </w:p>
        </w:tc>
        <w:tc>
          <w:tcPr>
            <w:tcW w:w="3065" w:type="dxa"/>
            <w:vAlign w:val="center"/>
          </w:tcPr>
          <w:p w14:paraId="52816496" w14:textId="77777777" w:rsidR="000564FD" w:rsidRPr="004C12C9" w:rsidRDefault="000564FD" w:rsidP="000C27A6">
            <w:pPr>
              <w:pStyle w:val="ICFTabletext"/>
            </w:pPr>
            <w:r w:rsidRPr="004C12C9">
              <w:t>Proxied based on drywall</w:t>
            </w:r>
          </w:p>
        </w:tc>
      </w:tr>
      <w:tr w:rsidR="000564FD" w:rsidRPr="004C12C9" w14:paraId="2586812B" w14:textId="77777777" w:rsidTr="000046AB">
        <w:trPr>
          <w:trHeight w:val="144"/>
        </w:trPr>
        <w:tc>
          <w:tcPr>
            <w:tcW w:w="2510" w:type="dxa"/>
            <w:noWrap/>
            <w:vAlign w:val="center"/>
            <w:hideMark/>
          </w:tcPr>
          <w:p w14:paraId="1F375D89" w14:textId="77777777" w:rsidR="000564FD" w:rsidRPr="004C12C9" w:rsidRDefault="000564FD" w:rsidP="000C27A6">
            <w:pPr>
              <w:pStyle w:val="ICFTabletext"/>
            </w:pPr>
            <w:r w:rsidRPr="004C12C9">
              <w:t>Steel</w:t>
            </w:r>
          </w:p>
        </w:tc>
        <w:tc>
          <w:tcPr>
            <w:tcW w:w="2520" w:type="dxa"/>
            <w:noWrap/>
            <w:vAlign w:val="center"/>
            <w:hideMark/>
          </w:tcPr>
          <w:p w14:paraId="2A0C2285" w14:textId="77777777" w:rsidR="000564FD" w:rsidRPr="004C12C9" w:rsidRDefault="000564FD" w:rsidP="000C27A6">
            <w:pPr>
              <w:pStyle w:val="ICFTabletext"/>
              <w:jc w:val="center"/>
            </w:pPr>
            <w:r w:rsidRPr="004C12C9">
              <w:t>0%</w:t>
            </w:r>
          </w:p>
        </w:tc>
        <w:tc>
          <w:tcPr>
            <w:tcW w:w="3065" w:type="dxa"/>
            <w:vAlign w:val="center"/>
          </w:tcPr>
          <w:p w14:paraId="2E950250" w14:textId="35E103F7" w:rsidR="000564FD" w:rsidRPr="004C12C9" w:rsidRDefault="000564FD" w:rsidP="000C27A6">
            <w:pPr>
              <w:pStyle w:val="ICFTabletext"/>
            </w:pPr>
          </w:p>
        </w:tc>
      </w:tr>
      <w:tr w:rsidR="000564FD" w:rsidRPr="004C12C9" w14:paraId="2FECE0CD" w14:textId="77777777" w:rsidTr="000046AB">
        <w:trPr>
          <w:trHeight w:val="144"/>
        </w:trPr>
        <w:tc>
          <w:tcPr>
            <w:tcW w:w="2510" w:type="dxa"/>
            <w:noWrap/>
            <w:vAlign w:val="center"/>
            <w:hideMark/>
          </w:tcPr>
          <w:p w14:paraId="34161AC0" w14:textId="77777777" w:rsidR="000564FD" w:rsidRPr="004C12C9" w:rsidRDefault="000564FD" w:rsidP="000C27A6">
            <w:pPr>
              <w:pStyle w:val="ICFTabletext"/>
            </w:pPr>
            <w:r w:rsidRPr="004C12C9">
              <w:t>Wood Products</w:t>
            </w:r>
          </w:p>
        </w:tc>
        <w:tc>
          <w:tcPr>
            <w:tcW w:w="2520" w:type="dxa"/>
            <w:noWrap/>
            <w:vAlign w:val="center"/>
            <w:hideMark/>
          </w:tcPr>
          <w:p w14:paraId="4F0D0034" w14:textId="77777777" w:rsidR="000564FD" w:rsidRPr="004C12C9" w:rsidRDefault="000564FD" w:rsidP="000C27A6">
            <w:pPr>
              <w:pStyle w:val="ICFTabletext"/>
              <w:jc w:val="center"/>
            </w:pPr>
            <w:r w:rsidRPr="004C12C9">
              <w:t>5%</w:t>
            </w:r>
          </w:p>
        </w:tc>
        <w:tc>
          <w:tcPr>
            <w:tcW w:w="3065" w:type="dxa"/>
            <w:vAlign w:val="center"/>
          </w:tcPr>
          <w:p w14:paraId="40CDBD88" w14:textId="1461FD0A" w:rsidR="000564FD" w:rsidRPr="004C12C9" w:rsidRDefault="000564FD" w:rsidP="000C27A6">
            <w:pPr>
              <w:pStyle w:val="ICFTabletext"/>
            </w:pPr>
          </w:p>
        </w:tc>
      </w:tr>
    </w:tbl>
    <w:p w14:paraId="3D9A598B" w14:textId="77777777" w:rsidR="000564FD" w:rsidRPr="004C12C9" w:rsidRDefault="000564FD" w:rsidP="00E31E37">
      <w:pPr>
        <w:pStyle w:val="Heading4"/>
      </w:pPr>
      <w:r w:rsidRPr="004C12C9">
        <w:t>Construction Waste</w:t>
      </w:r>
    </w:p>
    <w:p w14:paraId="62A18082" w14:textId="4F0EE9AB" w:rsidR="00F95DF4" w:rsidRPr="004C12C9" w:rsidRDefault="001C094A" w:rsidP="00A8013E">
      <w:r w:rsidRPr="004C12C9">
        <w:t xml:space="preserve">In addition to calculating construction waste from material input quantities and loss rates, the </w:t>
      </w:r>
      <w:r w:rsidR="00A44989" w:rsidRPr="004C12C9">
        <w:t xml:space="preserve">calculator </w:t>
      </w:r>
      <w:r w:rsidRPr="004C12C9">
        <w:t>allow</w:t>
      </w:r>
      <w:r w:rsidR="00C30A68" w:rsidRPr="004C12C9">
        <w:t>s</w:t>
      </w:r>
      <w:r w:rsidRPr="004C12C9">
        <w:t xml:space="preserve"> users to directly enter the quantity of mixed construction </w:t>
      </w:r>
      <w:r w:rsidR="00C30A68" w:rsidRPr="004C12C9">
        <w:t>and</w:t>
      </w:r>
      <w:r w:rsidRPr="004C12C9">
        <w:t xml:space="preserve"> demolition (C&amp;D) waste. For the purposes of this </w:t>
      </w:r>
      <w:r w:rsidR="00A44989" w:rsidRPr="004C12C9">
        <w:t>calculator</w:t>
      </w:r>
      <w:r w:rsidRPr="004C12C9">
        <w:t xml:space="preserve">, the breakdown of C&amp;D waste is based on a 2020 </w:t>
      </w:r>
      <w:r w:rsidR="00CC7C38" w:rsidRPr="004C12C9">
        <w:t>Minnesota Pollution Control Agency</w:t>
      </w:r>
      <w:r w:rsidRPr="004C12C9">
        <w:t xml:space="preserve"> study that reviewed C&amp;D </w:t>
      </w:r>
      <w:r w:rsidR="00CC7C38" w:rsidRPr="004C12C9">
        <w:t>materials composition</w:t>
      </w:r>
      <w:r w:rsidRPr="004C12C9">
        <w:t xml:space="preserve"> in </w:t>
      </w:r>
      <w:r w:rsidR="00CC7C38" w:rsidRPr="004C12C9">
        <w:t>Minnesota</w:t>
      </w:r>
      <w:r w:rsidRPr="004C12C9">
        <w:t>, as summarized in</w:t>
      </w:r>
      <w:r w:rsidR="006778F6">
        <w:t xml:space="preserve"> </w:t>
      </w:r>
      <w:r w:rsidR="006778F6">
        <w:fldChar w:fldCharType="begin"/>
      </w:r>
      <w:r w:rsidR="006778F6">
        <w:instrText xml:space="preserve"> REF _Ref219828690 \h </w:instrText>
      </w:r>
      <w:r w:rsidR="006778F6">
        <w:fldChar w:fldCharType="separate"/>
      </w:r>
      <w:r w:rsidR="006778F6" w:rsidRPr="004C12C9">
        <w:t xml:space="preserve">Table </w:t>
      </w:r>
      <w:r w:rsidR="006778F6">
        <w:rPr>
          <w:noProof/>
        </w:rPr>
        <w:t>2</w:t>
      </w:r>
      <w:r w:rsidR="006778F6">
        <w:noBreakHyphen/>
      </w:r>
      <w:r w:rsidR="006778F6">
        <w:rPr>
          <w:noProof/>
        </w:rPr>
        <w:t>49</w:t>
      </w:r>
      <w:r w:rsidR="006778F6">
        <w:fldChar w:fldCharType="end"/>
      </w:r>
      <w:r w:rsidR="00007397" w:rsidRPr="004C12C9">
        <w:t>.</w:t>
      </w:r>
      <w:r w:rsidR="003C3CA0">
        <w:rPr>
          <w:rFonts w:ascii="ZWAdobeF" w:hAnsi="ZWAdobeF" w:cs="ZWAdobeF"/>
          <w:sz w:val="2"/>
          <w:szCs w:val="2"/>
        </w:rPr>
        <w:t>64F</w:t>
      </w:r>
      <w:r w:rsidRPr="004C12C9">
        <w:rPr>
          <w:rStyle w:val="FootnoteReference"/>
        </w:rPr>
        <w:footnoteReference w:id="68"/>
      </w:r>
      <w:bookmarkStart w:id="140" w:name="_Ref194578977"/>
      <w:bookmarkStart w:id="141" w:name="_Ref195524238"/>
    </w:p>
    <w:p w14:paraId="07187EDA" w14:textId="43FA599E" w:rsidR="001C094A" w:rsidRPr="004C12C9" w:rsidRDefault="001C094A" w:rsidP="00972CF9">
      <w:pPr>
        <w:pStyle w:val="Caption"/>
      </w:pPr>
      <w:bookmarkStart w:id="142" w:name="_Ref219828690"/>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49</w:t>
      </w:r>
      <w:r w:rsidR="00F72B41">
        <w:fldChar w:fldCharType="end"/>
      </w:r>
      <w:bookmarkEnd w:id="140"/>
      <w:bookmarkEnd w:id="141"/>
      <w:bookmarkEnd w:id="142"/>
      <w:r w:rsidR="00921A0C" w:rsidRPr="004C12C9">
        <w:t>.</w:t>
      </w:r>
      <w:r w:rsidRPr="004C12C9">
        <w:t xml:space="preserve"> C&amp;D Waste Composition Assumptions</w:t>
      </w:r>
    </w:p>
    <w:tbl>
      <w:tblPr>
        <w:tblW w:w="6110" w:type="dxa"/>
        <w:tblLook w:val="04A0" w:firstRow="1" w:lastRow="0" w:firstColumn="1" w:lastColumn="0" w:noHBand="0" w:noVBand="1"/>
      </w:tblPr>
      <w:tblGrid>
        <w:gridCol w:w="3680"/>
        <w:gridCol w:w="2430"/>
      </w:tblGrid>
      <w:tr w:rsidR="001C094A" w:rsidRPr="004C12C9" w14:paraId="57D542D0" w14:textId="77777777" w:rsidTr="00CC439B">
        <w:trPr>
          <w:trHeight w:val="300"/>
          <w:tblHeader/>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1C7365A" w14:textId="77777777" w:rsidR="001C094A" w:rsidRPr="004C12C9" w:rsidRDefault="001C094A" w:rsidP="00380AD8">
            <w:pPr>
              <w:pStyle w:val="ICFTableHeading"/>
              <w:rPr>
                <w:b w:val="0"/>
                <w:color w:val="FFFFFF" w:themeColor="background1"/>
                <w:sz w:val="20"/>
              </w:rPr>
            </w:pPr>
            <w:r w:rsidRPr="004C12C9">
              <w:t>Material Type</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280F21D" w14:textId="77777777" w:rsidR="001C094A" w:rsidRPr="004C12C9" w:rsidRDefault="001C094A" w:rsidP="00380AD8">
            <w:pPr>
              <w:pStyle w:val="ICFTableHeading"/>
              <w:rPr>
                <w:b w:val="0"/>
                <w:color w:val="FFFFFF" w:themeColor="background1"/>
                <w:sz w:val="20"/>
              </w:rPr>
            </w:pPr>
            <w:r w:rsidRPr="004C12C9">
              <w:t>Percent of C&amp;D Waste</w:t>
            </w:r>
          </w:p>
        </w:tc>
      </w:tr>
      <w:tr w:rsidR="001C094A" w:rsidRPr="004C12C9" w14:paraId="180AAD5F"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B70FE34" w14:textId="13E56CFD" w:rsidR="001C094A" w:rsidRPr="004C12C9" w:rsidRDefault="00BE6C02" w:rsidP="00380AD8">
            <w:pPr>
              <w:pStyle w:val="ICFTabletext"/>
              <w:rPr>
                <w:rFonts w:asciiTheme="minorHAnsi" w:hAnsiTheme="minorHAnsi" w:cstheme="minorHAnsi"/>
              </w:rPr>
            </w:pPr>
            <w:r w:rsidRPr="004C12C9">
              <w:t>Concrete</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A8E817F" w14:textId="6B4A243E" w:rsidR="001C094A" w:rsidRPr="004C12C9" w:rsidRDefault="002C6341" w:rsidP="00380AD8">
            <w:pPr>
              <w:pStyle w:val="ICFTabletext"/>
              <w:jc w:val="center"/>
              <w:rPr>
                <w:sz w:val="20"/>
              </w:rPr>
            </w:pPr>
            <w:r w:rsidRPr="004C12C9">
              <w:t>21.8%</w:t>
            </w:r>
          </w:p>
        </w:tc>
      </w:tr>
      <w:tr w:rsidR="001C094A" w:rsidRPr="004C12C9" w14:paraId="4A90DAD4"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CA9CCE2" w14:textId="6E7B326C" w:rsidR="001C094A" w:rsidRPr="004C12C9" w:rsidRDefault="00840B43" w:rsidP="00380AD8">
            <w:pPr>
              <w:pStyle w:val="ICFTabletext"/>
            </w:pPr>
            <w:r w:rsidRPr="004C12C9">
              <w:t>Roofing Shingles</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C96A6FB" w14:textId="0C263CD8" w:rsidR="001C094A" w:rsidRPr="004C12C9" w:rsidRDefault="00505E6D" w:rsidP="00380AD8">
            <w:pPr>
              <w:pStyle w:val="ICFTabletext"/>
              <w:jc w:val="center"/>
            </w:pPr>
            <w:r w:rsidRPr="004C12C9">
              <w:t>19.3%</w:t>
            </w:r>
          </w:p>
        </w:tc>
      </w:tr>
      <w:tr w:rsidR="001C094A" w:rsidRPr="004C12C9" w14:paraId="7C5F62F8"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227C338" w14:textId="0E1D12C3" w:rsidR="001C094A" w:rsidRPr="004C12C9" w:rsidRDefault="00840B43" w:rsidP="00380AD8">
            <w:pPr>
              <w:pStyle w:val="ICFTabletext"/>
            </w:pPr>
            <w:r w:rsidRPr="004C12C9">
              <w:t>Brick</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09EEFB9" w14:textId="7045F8C5" w:rsidR="001C094A" w:rsidRPr="004C12C9" w:rsidRDefault="00505E6D" w:rsidP="00380AD8">
            <w:pPr>
              <w:pStyle w:val="ICFTabletext"/>
              <w:jc w:val="center"/>
            </w:pPr>
            <w:r w:rsidRPr="004C12C9">
              <w:t>7.2%</w:t>
            </w:r>
          </w:p>
        </w:tc>
      </w:tr>
      <w:tr w:rsidR="001C094A" w:rsidRPr="004C12C9" w14:paraId="524C3E20"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264D155" w14:textId="40556FB2" w:rsidR="001C094A" w:rsidRPr="004C12C9" w:rsidRDefault="00840B43" w:rsidP="00380AD8">
            <w:pPr>
              <w:pStyle w:val="ICFTabletext"/>
            </w:pPr>
            <w:r w:rsidRPr="004C12C9">
              <w:t>Dirt/Sand/Rock/Gravel</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071A177" w14:textId="48AD5242" w:rsidR="001C094A" w:rsidRPr="004C12C9" w:rsidRDefault="00505E6D" w:rsidP="00380AD8">
            <w:pPr>
              <w:pStyle w:val="ICFTabletext"/>
              <w:jc w:val="center"/>
            </w:pPr>
            <w:r w:rsidRPr="004C12C9">
              <w:t>13.0%</w:t>
            </w:r>
          </w:p>
        </w:tc>
      </w:tr>
      <w:tr w:rsidR="001C094A" w:rsidRPr="004C12C9" w14:paraId="6EEA4752"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1F8410B" w14:textId="1210B8E3" w:rsidR="001C094A" w:rsidRPr="004C12C9" w:rsidRDefault="00840B43" w:rsidP="00380AD8">
            <w:pPr>
              <w:pStyle w:val="ICFTabletext"/>
            </w:pPr>
            <w:r w:rsidRPr="004C12C9">
              <w:t>Yard Waste</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9C5A8D2" w14:textId="68CBA1CA" w:rsidR="001C094A" w:rsidRPr="004C12C9" w:rsidRDefault="007304A8" w:rsidP="00380AD8">
            <w:pPr>
              <w:pStyle w:val="ICFTabletext"/>
              <w:jc w:val="center"/>
            </w:pPr>
            <w:r w:rsidRPr="004C12C9">
              <w:t>0.4%</w:t>
            </w:r>
          </w:p>
        </w:tc>
      </w:tr>
      <w:tr w:rsidR="001C094A" w:rsidRPr="004C12C9" w14:paraId="531E6AE9" w14:textId="77777777" w:rsidTr="00380AD8">
        <w:trPr>
          <w:trHeight w:val="300"/>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CBEF61F" w14:textId="3372B647" w:rsidR="001C094A" w:rsidRPr="004C12C9" w:rsidRDefault="00840B43" w:rsidP="00380AD8">
            <w:pPr>
              <w:pStyle w:val="ICFTabletext"/>
            </w:pPr>
            <w:r w:rsidRPr="004C12C9">
              <w:lastRenderedPageBreak/>
              <w:t>Treated/Painted/Processed Wood</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08E0339" w14:textId="1F6FD8DD" w:rsidR="001C094A" w:rsidRPr="004C12C9" w:rsidRDefault="007304A8" w:rsidP="00380AD8">
            <w:pPr>
              <w:pStyle w:val="ICFTabletext"/>
              <w:jc w:val="center"/>
            </w:pPr>
            <w:r w:rsidRPr="004C12C9">
              <w:t>8.3%</w:t>
            </w:r>
          </w:p>
        </w:tc>
      </w:tr>
      <w:tr w:rsidR="001C094A" w:rsidRPr="004C12C9" w14:paraId="57F1BC14"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0F8583E" w14:textId="73AC1FE3" w:rsidR="001C094A" w:rsidRPr="004C12C9" w:rsidRDefault="00840B43" w:rsidP="00380AD8">
            <w:pPr>
              <w:pStyle w:val="ICFTabletext"/>
            </w:pPr>
            <w:r w:rsidRPr="004C12C9">
              <w:t>Clean Wood</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E817852" w14:textId="5FA453DB" w:rsidR="001C094A" w:rsidRPr="004C12C9" w:rsidRDefault="007304A8" w:rsidP="00380AD8">
            <w:pPr>
              <w:pStyle w:val="ICFTabletext"/>
              <w:jc w:val="center"/>
            </w:pPr>
            <w:r w:rsidRPr="004C12C9">
              <w:t>7.2%</w:t>
            </w:r>
          </w:p>
        </w:tc>
      </w:tr>
      <w:tr w:rsidR="00CF0AE9" w:rsidRPr="004C12C9" w14:paraId="1D13C553"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A452EE1" w14:textId="41090429" w:rsidR="00CF0AE9" w:rsidRPr="004C12C9" w:rsidRDefault="00840B43" w:rsidP="00380AD8">
            <w:pPr>
              <w:pStyle w:val="ICFTabletext"/>
            </w:pPr>
            <w:r w:rsidRPr="004C12C9">
              <w:t xml:space="preserve">Gypsum </w:t>
            </w:r>
            <w:r w:rsidR="00505E6D" w:rsidRPr="004C12C9">
              <w:t>Board</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B245D15" w14:textId="272EBCBC" w:rsidR="00CF0AE9" w:rsidRPr="004C12C9" w:rsidRDefault="006E5F58" w:rsidP="00380AD8">
            <w:pPr>
              <w:pStyle w:val="ICFTabletext"/>
              <w:jc w:val="center"/>
            </w:pPr>
            <w:r w:rsidRPr="004C12C9">
              <w:t>8.1%</w:t>
            </w:r>
          </w:p>
        </w:tc>
      </w:tr>
      <w:tr w:rsidR="00CF0AE9" w:rsidRPr="004C12C9" w14:paraId="0E871503"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B29CCE5" w14:textId="20DA0025" w:rsidR="00CF0AE9" w:rsidRPr="004C12C9" w:rsidRDefault="00505E6D" w:rsidP="00380AD8">
            <w:pPr>
              <w:pStyle w:val="ICFTabletext"/>
            </w:pPr>
            <w:r w:rsidRPr="004C12C9">
              <w:t>Metal</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DA643E3" w14:textId="75BC009A" w:rsidR="00CF0AE9" w:rsidRPr="004C12C9" w:rsidRDefault="00D75FF2" w:rsidP="00380AD8">
            <w:pPr>
              <w:pStyle w:val="ICFTabletext"/>
              <w:jc w:val="center"/>
            </w:pPr>
            <w:r w:rsidRPr="004C12C9">
              <w:t>2.5%</w:t>
            </w:r>
          </w:p>
        </w:tc>
      </w:tr>
      <w:tr w:rsidR="00CF0AE9" w:rsidRPr="004C12C9" w14:paraId="7103A44F"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C3F6714" w14:textId="005B59D4" w:rsidR="00CF0AE9" w:rsidRPr="004C12C9" w:rsidRDefault="00505E6D" w:rsidP="00380AD8">
            <w:pPr>
              <w:pStyle w:val="ICFTabletext"/>
            </w:pPr>
            <w:r w:rsidRPr="004C12C9">
              <w:t xml:space="preserve">Mixed </w:t>
            </w:r>
            <w:r w:rsidR="00142B9F" w:rsidRPr="004C12C9">
              <w:t>municipal solid waste (</w:t>
            </w:r>
            <w:r w:rsidRPr="004C12C9">
              <w:t>MSW</w:t>
            </w:r>
            <w:r w:rsidR="00142B9F" w:rsidRPr="004C12C9">
              <w:t>)</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7624BD2" w14:textId="57E926E3" w:rsidR="00CF0AE9" w:rsidRPr="004C12C9" w:rsidRDefault="00D75FF2" w:rsidP="00380AD8">
            <w:pPr>
              <w:pStyle w:val="ICFTabletext"/>
              <w:jc w:val="center"/>
            </w:pPr>
            <w:r w:rsidRPr="004C12C9">
              <w:t>1.3%</w:t>
            </w:r>
          </w:p>
        </w:tc>
      </w:tr>
      <w:tr w:rsidR="00CF0AE9" w:rsidRPr="004C12C9" w14:paraId="1D7F9A0D"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A9F8984" w14:textId="46219F13" w:rsidR="00CF0AE9" w:rsidRPr="004C12C9" w:rsidRDefault="00505E6D" w:rsidP="00380AD8">
            <w:pPr>
              <w:pStyle w:val="ICFTabletext"/>
            </w:pPr>
            <w:r w:rsidRPr="004C12C9">
              <w:t>Mixed Plastics</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56B393D" w14:textId="4759C744" w:rsidR="00CF0AE9" w:rsidRPr="004C12C9" w:rsidRDefault="008244AC" w:rsidP="00380AD8">
            <w:pPr>
              <w:pStyle w:val="ICFTabletext"/>
              <w:jc w:val="center"/>
            </w:pPr>
            <w:r w:rsidRPr="004C12C9">
              <w:t>0.3%</w:t>
            </w:r>
          </w:p>
        </w:tc>
      </w:tr>
      <w:tr w:rsidR="00CF0AE9" w:rsidRPr="004C12C9" w14:paraId="48EB98F2"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7BE6B16" w14:textId="22A38A4D" w:rsidR="00CF0AE9" w:rsidRPr="004C12C9" w:rsidRDefault="00505E6D" w:rsidP="00380AD8">
            <w:pPr>
              <w:pStyle w:val="ICFTabletext"/>
            </w:pPr>
            <w:r w:rsidRPr="004C12C9">
              <w:t>Asphalt</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F1F256C" w14:textId="12F552CD" w:rsidR="00CF0AE9" w:rsidRPr="004C12C9" w:rsidRDefault="008244AC" w:rsidP="00380AD8">
            <w:pPr>
              <w:pStyle w:val="ICFTabletext"/>
              <w:jc w:val="center"/>
            </w:pPr>
            <w:r w:rsidRPr="004C12C9">
              <w:t>2.1%</w:t>
            </w:r>
          </w:p>
        </w:tc>
      </w:tr>
      <w:tr w:rsidR="00505E6D" w:rsidRPr="004C12C9" w14:paraId="0DEB08AF"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2D9E793" w14:textId="12A2A047" w:rsidR="00505E6D" w:rsidRPr="004C12C9" w:rsidRDefault="00505E6D" w:rsidP="00380AD8">
            <w:pPr>
              <w:pStyle w:val="ICFTabletext"/>
            </w:pPr>
            <w:r w:rsidRPr="004C12C9">
              <w:t>Carpet</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C95E7D1" w14:textId="55AA4C5A" w:rsidR="00505E6D" w:rsidRPr="004C12C9" w:rsidRDefault="008244AC" w:rsidP="00380AD8">
            <w:pPr>
              <w:pStyle w:val="ICFTabletext"/>
              <w:jc w:val="center"/>
            </w:pPr>
            <w:r w:rsidRPr="004C12C9">
              <w:t>0.4%</w:t>
            </w:r>
          </w:p>
        </w:tc>
      </w:tr>
      <w:tr w:rsidR="00CF0AE9" w:rsidRPr="004C12C9" w14:paraId="1E9BFD44"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3173DE2" w14:textId="1BE744F1" w:rsidR="00CF0AE9" w:rsidRPr="004C12C9" w:rsidRDefault="00BE6C02" w:rsidP="00380AD8">
            <w:pPr>
              <w:pStyle w:val="ICFTabletext"/>
            </w:pPr>
            <w:r w:rsidRPr="004C12C9">
              <w:t>Insulation</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DADC644" w14:textId="7C1D7740" w:rsidR="00CF0AE9" w:rsidRPr="004C12C9" w:rsidRDefault="002C6341" w:rsidP="00380AD8">
            <w:pPr>
              <w:pStyle w:val="ICFTabletext"/>
              <w:jc w:val="center"/>
              <w:rPr>
                <w:sz w:val="20"/>
              </w:rPr>
            </w:pPr>
            <w:r w:rsidRPr="004C12C9">
              <w:t>0.4%</w:t>
            </w:r>
          </w:p>
        </w:tc>
      </w:tr>
      <w:tr w:rsidR="00CF0AE9" w:rsidRPr="004C12C9" w14:paraId="6DFB6E25"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6705A9A" w14:textId="124C9AAF" w:rsidR="00CF0AE9" w:rsidRPr="004C12C9" w:rsidRDefault="00BE6C02" w:rsidP="00380AD8">
            <w:pPr>
              <w:pStyle w:val="ICFTabletext"/>
            </w:pPr>
            <w:r w:rsidRPr="004C12C9">
              <w:t>Glass</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F507DEB" w14:textId="1174CC3D" w:rsidR="00CF0AE9" w:rsidRPr="004C12C9" w:rsidRDefault="002C6341" w:rsidP="00380AD8">
            <w:pPr>
              <w:pStyle w:val="ICFTabletext"/>
              <w:jc w:val="center"/>
              <w:rPr>
                <w:sz w:val="20"/>
              </w:rPr>
            </w:pPr>
            <w:r w:rsidRPr="004C12C9">
              <w:t>0.2%</w:t>
            </w:r>
          </w:p>
        </w:tc>
      </w:tr>
      <w:tr w:rsidR="00BE6C02" w:rsidRPr="004C12C9" w14:paraId="689085D0" w14:textId="77777777" w:rsidTr="00380AD8">
        <w:trPr>
          <w:trHeight w:val="315"/>
        </w:trPr>
        <w:tc>
          <w:tcPr>
            <w:tcW w:w="3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8982795" w14:textId="7C0FE305" w:rsidR="00BE6C02" w:rsidRPr="004C12C9" w:rsidRDefault="00BE6C02" w:rsidP="00380AD8">
            <w:pPr>
              <w:pStyle w:val="ICFTabletext"/>
            </w:pPr>
            <w:r w:rsidRPr="004C12C9">
              <w:t>Other</w:t>
            </w:r>
          </w:p>
        </w:tc>
        <w:tc>
          <w:tcPr>
            <w:tcW w:w="2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0333BF9" w14:textId="48CBE88C" w:rsidR="00BE6C02" w:rsidRPr="004C12C9" w:rsidRDefault="002C6341" w:rsidP="00380AD8">
            <w:pPr>
              <w:pStyle w:val="ICFTabletext"/>
              <w:jc w:val="center"/>
              <w:rPr>
                <w:sz w:val="20"/>
              </w:rPr>
            </w:pPr>
            <w:r w:rsidRPr="004C12C9">
              <w:t>7.5%</w:t>
            </w:r>
          </w:p>
        </w:tc>
      </w:tr>
    </w:tbl>
    <w:p w14:paraId="77FBEAA3" w14:textId="77777777" w:rsidR="00665EDD" w:rsidRPr="004C12C9" w:rsidRDefault="00665EDD" w:rsidP="00E31E37">
      <w:pPr>
        <w:pStyle w:val="Heading4"/>
      </w:pPr>
      <w:r w:rsidRPr="004C12C9">
        <w:t>Emission Factors</w:t>
      </w:r>
    </w:p>
    <w:p w14:paraId="1665775D" w14:textId="12DCE26D" w:rsidR="00665EDD" w:rsidRPr="004C12C9" w:rsidRDefault="00665EDD" w:rsidP="00972CF9">
      <w:r w:rsidRPr="004C12C9">
        <w:t>Emission factors associated with the landfilling of construction materials</w:t>
      </w:r>
      <w:r w:rsidRPr="004C12C9">
        <w:rPr>
          <w:rFonts w:eastAsia="DM Sans" w:cs="DM Sans"/>
        </w:rPr>
        <w:t xml:space="preserve">, as summarized in </w:t>
      </w:r>
      <w:r w:rsidR="001B09F1">
        <w:rPr>
          <w:rFonts w:eastAsia="DM Sans" w:cs="DM Sans"/>
        </w:rPr>
        <w:fldChar w:fldCharType="begin"/>
      </w:r>
      <w:r w:rsidR="001B09F1">
        <w:rPr>
          <w:rFonts w:eastAsia="DM Sans" w:cs="DM Sans"/>
        </w:rPr>
        <w:instrText xml:space="preserve"> REF _Ref219828704 \h </w:instrText>
      </w:r>
      <w:r w:rsidR="001B09F1">
        <w:rPr>
          <w:rFonts w:eastAsia="DM Sans" w:cs="DM Sans"/>
        </w:rPr>
      </w:r>
      <w:r w:rsidR="001B09F1">
        <w:rPr>
          <w:rFonts w:eastAsia="DM Sans" w:cs="DM Sans"/>
        </w:rPr>
        <w:fldChar w:fldCharType="separate"/>
      </w:r>
      <w:r w:rsidR="001B09F1" w:rsidRPr="004C12C9">
        <w:t xml:space="preserve">Table </w:t>
      </w:r>
      <w:r w:rsidR="001B09F1">
        <w:rPr>
          <w:noProof/>
        </w:rPr>
        <w:t>2</w:t>
      </w:r>
      <w:r w:rsidR="001B09F1">
        <w:noBreakHyphen/>
      </w:r>
      <w:r w:rsidR="001B09F1">
        <w:rPr>
          <w:noProof/>
        </w:rPr>
        <w:t>50</w:t>
      </w:r>
      <w:r w:rsidR="001B09F1">
        <w:rPr>
          <w:rFonts w:eastAsia="DM Sans" w:cs="DM Sans"/>
        </w:rPr>
        <w:fldChar w:fldCharType="end"/>
      </w:r>
      <w:r w:rsidR="00AC6C55" w:rsidRPr="004C12C9">
        <w:rPr>
          <w:rFonts w:eastAsia="DM Sans" w:cs="DM Sans"/>
        </w:rPr>
        <w:fldChar w:fldCharType="begin" w:fldLock="1"/>
      </w:r>
      <w:r w:rsidR="00AC6C55" w:rsidRPr="004C12C9">
        <w:rPr>
          <w:rFonts w:eastAsia="DM Sans" w:cs="DM Sans"/>
        </w:rPr>
        <w:instrText xml:space="preserve"> REF _Ref195524808 \h </w:instrText>
      </w:r>
      <w:r w:rsidR="00AC6C55" w:rsidRPr="004C12C9">
        <w:rPr>
          <w:rFonts w:eastAsia="DM Sans" w:cs="DM Sans"/>
        </w:rPr>
      </w:r>
      <w:r w:rsidR="00AC6C55" w:rsidRPr="004C12C9">
        <w:rPr>
          <w:rFonts w:eastAsia="DM Sans" w:cs="DM Sans"/>
        </w:rPr>
        <w:fldChar w:fldCharType="separate"/>
      </w:r>
      <w:r w:rsidR="00AC6C55" w:rsidRPr="004C12C9">
        <w:rPr>
          <w:rFonts w:eastAsia="DM Sans" w:cs="DM Sans"/>
        </w:rPr>
        <w:fldChar w:fldCharType="end"/>
      </w:r>
      <w:r w:rsidR="00160D5E" w:rsidRPr="004C12C9">
        <w:rPr>
          <w:rFonts w:eastAsia="DM Sans" w:cs="DM Sans"/>
        </w:rPr>
        <w:t>,</w:t>
      </w:r>
      <w:r w:rsidRPr="004C12C9">
        <w:t xml:space="preserve"> were obtained from EPA’s </w:t>
      </w:r>
      <w:r w:rsidR="00AD689F" w:rsidRPr="004C12C9">
        <w:t>GHG</w:t>
      </w:r>
      <w:r w:rsidRPr="004C12C9">
        <w:t xml:space="preserve"> Emissions Factors Hub.</w:t>
      </w:r>
      <w:r w:rsidR="003C3CA0">
        <w:rPr>
          <w:rFonts w:ascii="ZWAdobeF" w:hAnsi="ZWAdobeF" w:cs="ZWAdobeF"/>
          <w:sz w:val="2"/>
          <w:szCs w:val="2"/>
        </w:rPr>
        <w:t>65F</w:t>
      </w:r>
      <w:r w:rsidRPr="004C12C9">
        <w:rPr>
          <w:rStyle w:val="FootnoteReference"/>
        </w:rPr>
        <w:footnoteReference w:id="69"/>
      </w:r>
      <w:r w:rsidRPr="004C12C9">
        <w:t xml:space="preserve"> The emissions factors, which are based on factors from EPA’s Waste Reduction Model (WARM), include emissions from the decomposition of waste as well as the transportation of waste to the waste treatment facility.</w:t>
      </w:r>
      <w:r w:rsidR="003C3CA0">
        <w:rPr>
          <w:rFonts w:ascii="ZWAdobeF" w:hAnsi="ZWAdobeF" w:cs="ZWAdobeF"/>
          <w:sz w:val="2"/>
          <w:szCs w:val="2"/>
        </w:rPr>
        <w:t>66F</w:t>
      </w:r>
      <w:r w:rsidR="00427D11" w:rsidRPr="004C12C9">
        <w:rPr>
          <w:rStyle w:val="FootnoteReference"/>
        </w:rPr>
        <w:footnoteReference w:id="70"/>
      </w:r>
      <w:r w:rsidRPr="004C12C9">
        <w:t xml:space="preserve"> </w:t>
      </w:r>
      <w:r w:rsidR="00196DC9" w:rsidRPr="004C12C9">
        <w:t>T</w:t>
      </w:r>
      <w:r w:rsidRPr="004C12C9">
        <w:t xml:space="preserve">he assumed </w:t>
      </w:r>
      <w:r w:rsidR="00196DC9" w:rsidRPr="004C12C9">
        <w:t xml:space="preserve">composition of </w:t>
      </w:r>
      <w:r w:rsidRPr="004C12C9">
        <w:t>C&amp;D waste</w:t>
      </w:r>
      <w:r w:rsidR="00672790" w:rsidRPr="004C12C9">
        <w:t xml:space="preserve"> (shown in</w:t>
      </w:r>
      <w:r w:rsidR="001B09F1">
        <w:t xml:space="preserve"> </w:t>
      </w:r>
      <w:r w:rsidR="001B09F1">
        <w:fldChar w:fldCharType="begin"/>
      </w:r>
      <w:r w:rsidR="001B09F1">
        <w:instrText xml:space="preserve"> REF _Ref219828690 \h </w:instrText>
      </w:r>
      <w:r w:rsidR="001B09F1">
        <w:fldChar w:fldCharType="separate"/>
      </w:r>
      <w:r w:rsidR="001B09F1" w:rsidRPr="004C12C9">
        <w:t xml:space="preserve">Table </w:t>
      </w:r>
      <w:r w:rsidR="001B09F1">
        <w:rPr>
          <w:noProof/>
        </w:rPr>
        <w:t>2</w:t>
      </w:r>
      <w:r w:rsidR="001B09F1">
        <w:noBreakHyphen/>
      </w:r>
      <w:r w:rsidR="001B09F1">
        <w:rPr>
          <w:noProof/>
        </w:rPr>
        <w:t>49</w:t>
      </w:r>
      <w:r w:rsidR="001B09F1">
        <w:fldChar w:fldCharType="end"/>
      </w:r>
      <w:r w:rsidR="00672790" w:rsidRPr="004C12C9">
        <w:t xml:space="preserve">) was used to </w:t>
      </w:r>
      <w:r w:rsidR="003C0480" w:rsidRPr="004C12C9">
        <w:t>derive</w:t>
      </w:r>
      <w:r w:rsidRPr="004C12C9">
        <w:t xml:space="preserve"> </w:t>
      </w:r>
      <w:r w:rsidR="00CB2F31" w:rsidRPr="004C12C9">
        <w:t>the</w:t>
      </w:r>
      <w:r w:rsidRPr="004C12C9">
        <w:t xml:space="preserve"> emissions factor for mixed C&amp;D waste</w:t>
      </w:r>
      <w:r w:rsidR="003C0480" w:rsidRPr="004C12C9">
        <w:rPr>
          <w:rFonts w:eastAsia="DM Sans" w:cs="DM Sans"/>
        </w:rPr>
        <w:t>.</w:t>
      </w:r>
    </w:p>
    <w:p w14:paraId="4DA0DFE9" w14:textId="73E2FAD5" w:rsidR="00665EDD" w:rsidRPr="004C12C9" w:rsidRDefault="00665EDD" w:rsidP="00972CF9">
      <w:pPr>
        <w:pStyle w:val="Caption"/>
      </w:pPr>
      <w:bookmarkStart w:id="143" w:name="_Ref219828704"/>
      <w:bookmarkStart w:id="144" w:name="_Ref195524808"/>
      <w:r w:rsidRPr="004C12C9">
        <w:t xml:space="preserve">Table </w:t>
      </w:r>
      <w:r w:rsidR="00F72B41">
        <w:fldChar w:fldCharType="begin"/>
      </w:r>
      <w:r w:rsidR="00F72B41">
        <w:instrText xml:space="preserve"> STYLEREF 2 \s </w:instrText>
      </w:r>
      <w:r w:rsidR="00F72B41">
        <w:fldChar w:fldCharType="separate"/>
      </w:r>
      <w:r w:rsidR="00F72B41">
        <w:rPr>
          <w:noProof/>
        </w:rPr>
        <w:t>2</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50</w:t>
      </w:r>
      <w:r w:rsidR="00F72B41">
        <w:fldChar w:fldCharType="end"/>
      </w:r>
      <w:bookmarkEnd w:id="143"/>
      <w:bookmarkEnd w:id="144"/>
      <w:r w:rsidR="00921A0C" w:rsidRPr="004C12C9">
        <w:t>.</w:t>
      </w:r>
      <w:r w:rsidRPr="004C12C9">
        <w:t xml:space="preserve"> Construction Waste Emission Factors</w:t>
      </w:r>
    </w:p>
    <w:tbl>
      <w:tblPr>
        <w:tblW w:w="82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60"/>
        <w:gridCol w:w="5315"/>
      </w:tblGrid>
      <w:tr w:rsidR="00665EDD" w:rsidRPr="004C12C9" w14:paraId="7DC93A83" w14:textId="77777777" w:rsidTr="00F95DF4">
        <w:trPr>
          <w:trHeight w:val="341"/>
          <w:tblHeader/>
        </w:trPr>
        <w:tc>
          <w:tcPr>
            <w:tcW w:w="2960" w:type="dxa"/>
            <w:shd w:val="clear" w:color="auto" w:fill="D9D9D9" w:themeFill="background1" w:themeFillShade="D9"/>
            <w:noWrap/>
            <w:vAlign w:val="center"/>
            <w:hideMark/>
          </w:tcPr>
          <w:p w14:paraId="2FBABF2B" w14:textId="77777777" w:rsidR="00665EDD" w:rsidRPr="004C12C9" w:rsidRDefault="00665EDD" w:rsidP="00CC439B">
            <w:pPr>
              <w:pStyle w:val="ICFTableHeading"/>
            </w:pPr>
            <w:r w:rsidRPr="004C12C9">
              <w:t>Material Type</w:t>
            </w:r>
          </w:p>
        </w:tc>
        <w:tc>
          <w:tcPr>
            <w:tcW w:w="5315" w:type="dxa"/>
            <w:shd w:val="clear" w:color="auto" w:fill="D9D9D9" w:themeFill="background1" w:themeFillShade="D9"/>
            <w:vAlign w:val="center"/>
            <w:hideMark/>
          </w:tcPr>
          <w:p w14:paraId="25BDCF5F" w14:textId="7649A84E" w:rsidR="00665EDD" w:rsidRPr="004C12C9" w:rsidRDefault="00665EDD" w:rsidP="000227BA">
            <w:pPr>
              <w:pStyle w:val="ICFTableHeading"/>
            </w:pPr>
            <w:r w:rsidRPr="004C12C9">
              <w:rPr>
                <w:bCs/>
              </w:rPr>
              <w:t xml:space="preserve">Landfilling </w:t>
            </w:r>
            <w:r w:rsidRPr="004C12C9">
              <w:t>Emission Factor (MTCO</w:t>
            </w:r>
            <w:r w:rsidRPr="004C12C9">
              <w:rPr>
                <w:vertAlign w:val="subscript"/>
              </w:rPr>
              <w:t>2</w:t>
            </w:r>
            <w:r w:rsidRPr="004C12C9">
              <w:t>e/</w:t>
            </w:r>
            <w:r w:rsidRPr="004C12C9">
              <w:rPr>
                <w:bCs/>
              </w:rPr>
              <w:t>short</w:t>
            </w:r>
            <w:r w:rsidRPr="004C12C9">
              <w:t xml:space="preserve"> ton)</w:t>
            </w:r>
          </w:p>
        </w:tc>
      </w:tr>
      <w:tr w:rsidR="00665EDD" w:rsidRPr="004C12C9" w14:paraId="2C91F236" w14:textId="77777777" w:rsidTr="000227BA">
        <w:trPr>
          <w:trHeight w:val="300"/>
        </w:trPr>
        <w:tc>
          <w:tcPr>
            <w:tcW w:w="2960" w:type="dxa"/>
            <w:noWrap/>
            <w:vAlign w:val="center"/>
          </w:tcPr>
          <w:p w14:paraId="2BD6ACFA" w14:textId="77777777" w:rsidR="00665EDD" w:rsidRPr="004C12C9" w:rsidRDefault="00665EDD" w:rsidP="00CC439B">
            <w:pPr>
              <w:pStyle w:val="ICFTabletext"/>
            </w:pPr>
            <w:r w:rsidRPr="004C12C9">
              <w:t>Aluminum</w:t>
            </w:r>
          </w:p>
        </w:tc>
        <w:tc>
          <w:tcPr>
            <w:tcW w:w="5315" w:type="dxa"/>
            <w:noWrap/>
            <w:vAlign w:val="center"/>
          </w:tcPr>
          <w:p w14:paraId="65B6B02F" w14:textId="77777777" w:rsidR="00665EDD" w:rsidRPr="004C12C9" w:rsidRDefault="00665EDD" w:rsidP="00CC439B">
            <w:pPr>
              <w:pStyle w:val="ICFTabletext"/>
              <w:jc w:val="center"/>
            </w:pPr>
            <w:r w:rsidRPr="004C12C9">
              <w:t>0.02</w:t>
            </w:r>
          </w:p>
        </w:tc>
      </w:tr>
      <w:tr w:rsidR="00665EDD" w:rsidRPr="004C12C9" w14:paraId="21C9B374" w14:textId="77777777" w:rsidTr="000227BA">
        <w:trPr>
          <w:trHeight w:val="300"/>
        </w:trPr>
        <w:tc>
          <w:tcPr>
            <w:tcW w:w="2960" w:type="dxa"/>
            <w:noWrap/>
            <w:vAlign w:val="center"/>
          </w:tcPr>
          <w:p w14:paraId="7605D41C" w14:textId="77777777" w:rsidR="00665EDD" w:rsidRPr="004C12C9" w:rsidRDefault="00665EDD" w:rsidP="00CC439B">
            <w:pPr>
              <w:pStyle w:val="ICFTabletext"/>
            </w:pPr>
            <w:r w:rsidRPr="004C12C9">
              <w:t>Asphalt</w:t>
            </w:r>
          </w:p>
        </w:tc>
        <w:tc>
          <w:tcPr>
            <w:tcW w:w="5315" w:type="dxa"/>
            <w:noWrap/>
            <w:vAlign w:val="center"/>
          </w:tcPr>
          <w:p w14:paraId="58A735D9" w14:textId="77777777" w:rsidR="00665EDD" w:rsidRPr="004C12C9" w:rsidDel="00551A5C" w:rsidRDefault="00665EDD" w:rsidP="00CC439B">
            <w:pPr>
              <w:pStyle w:val="ICFTabletext"/>
              <w:jc w:val="center"/>
            </w:pPr>
            <w:r w:rsidRPr="004C12C9">
              <w:t>0.02</w:t>
            </w:r>
          </w:p>
        </w:tc>
      </w:tr>
      <w:tr w:rsidR="00665EDD" w:rsidRPr="004C12C9" w14:paraId="15526F7E" w14:textId="77777777" w:rsidTr="000227BA">
        <w:trPr>
          <w:trHeight w:val="300"/>
        </w:trPr>
        <w:tc>
          <w:tcPr>
            <w:tcW w:w="2960" w:type="dxa"/>
            <w:noWrap/>
            <w:vAlign w:val="center"/>
          </w:tcPr>
          <w:p w14:paraId="51F63903" w14:textId="77777777" w:rsidR="00665EDD" w:rsidRPr="004C12C9" w:rsidRDefault="00665EDD" w:rsidP="00CC439B">
            <w:pPr>
              <w:pStyle w:val="ICFTabletext"/>
            </w:pPr>
            <w:r w:rsidRPr="004C12C9">
              <w:t>Brick</w:t>
            </w:r>
          </w:p>
        </w:tc>
        <w:tc>
          <w:tcPr>
            <w:tcW w:w="5315" w:type="dxa"/>
            <w:noWrap/>
            <w:vAlign w:val="center"/>
          </w:tcPr>
          <w:p w14:paraId="6DF61A0E" w14:textId="77777777" w:rsidR="00665EDD" w:rsidRPr="004C12C9" w:rsidRDefault="00665EDD" w:rsidP="00CC439B">
            <w:pPr>
              <w:pStyle w:val="ICFTabletext"/>
              <w:jc w:val="center"/>
            </w:pPr>
            <w:r w:rsidRPr="004C12C9">
              <w:t>0.02</w:t>
            </w:r>
          </w:p>
        </w:tc>
      </w:tr>
      <w:tr w:rsidR="00665EDD" w:rsidRPr="004C12C9" w14:paraId="3C0188D2" w14:textId="77777777" w:rsidTr="000227BA">
        <w:trPr>
          <w:trHeight w:val="300"/>
        </w:trPr>
        <w:tc>
          <w:tcPr>
            <w:tcW w:w="2960" w:type="dxa"/>
            <w:noWrap/>
            <w:vAlign w:val="center"/>
          </w:tcPr>
          <w:p w14:paraId="168BF78A" w14:textId="77777777" w:rsidR="00665EDD" w:rsidRPr="004C12C9" w:rsidRDefault="00665EDD" w:rsidP="00CC439B">
            <w:pPr>
              <w:pStyle w:val="ICFTabletext"/>
            </w:pPr>
            <w:r w:rsidRPr="004C12C9">
              <w:t>Concrete</w:t>
            </w:r>
          </w:p>
        </w:tc>
        <w:tc>
          <w:tcPr>
            <w:tcW w:w="5315" w:type="dxa"/>
            <w:noWrap/>
            <w:vAlign w:val="center"/>
          </w:tcPr>
          <w:p w14:paraId="12A4168B" w14:textId="77777777" w:rsidR="00665EDD" w:rsidRPr="004C12C9" w:rsidRDefault="00665EDD" w:rsidP="00CC439B">
            <w:pPr>
              <w:pStyle w:val="ICFTabletext"/>
              <w:jc w:val="center"/>
            </w:pPr>
            <w:r w:rsidRPr="004C12C9">
              <w:t>0.02</w:t>
            </w:r>
          </w:p>
        </w:tc>
      </w:tr>
      <w:tr w:rsidR="00665EDD" w:rsidRPr="004C12C9" w14:paraId="486E492B" w14:textId="77777777" w:rsidTr="000227BA">
        <w:trPr>
          <w:trHeight w:val="300"/>
        </w:trPr>
        <w:tc>
          <w:tcPr>
            <w:tcW w:w="2960" w:type="dxa"/>
            <w:noWrap/>
            <w:vAlign w:val="center"/>
            <w:hideMark/>
          </w:tcPr>
          <w:p w14:paraId="21EAAE37" w14:textId="77777777" w:rsidR="00665EDD" w:rsidRPr="004C12C9" w:rsidRDefault="00665EDD" w:rsidP="00CC439B">
            <w:pPr>
              <w:pStyle w:val="ICFTabletext"/>
            </w:pPr>
            <w:r w:rsidRPr="004C12C9">
              <w:t>Glass</w:t>
            </w:r>
          </w:p>
        </w:tc>
        <w:tc>
          <w:tcPr>
            <w:tcW w:w="5315" w:type="dxa"/>
            <w:noWrap/>
            <w:vAlign w:val="center"/>
            <w:hideMark/>
          </w:tcPr>
          <w:p w14:paraId="432A4A39" w14:textId="77777777" w:rsidR="00665EDD" w:rsidRPr="004C12C9" w:rsidRDefault="00665EDD" w:rsidP="00CC439B">
            <w:pPr>
              <w:pStyle w:val="ICFTabletext"/>
              <w:jc w:val="center"/>
            </w:pPr>
            <w:r w:rsidRPr="004C12C9">
              <w:t>0.02</w:t>
            </w:r>
          </w:p>
        </w:tc>
      </w:tr>
      <w:tr w:rsidR="00665EDD" w:rsidRPr="004C12C9" w14:paraId="1044F36F" w14:textId="77777777" w:rsidTr="000227BA">
        <w:trPr>
          <w:trHeight w:val="300"/>
        </w:trPr>
        <w:tc>
          <w:tcPr>
            <w:tcW w:w="2960" w:type="dxa"/>
            <w:noWrap/>
            <w:vAlign w:val="center"/>
          </w:tcPr>
          <w:p w14:paraId="49F9D601" w14:textId="77777777" w:rsidR="00665EDD" w:rsidRPr="004C12C9" w:rsidRDefault="00665EDD" w:rsidP="00CC439B">
            <w:pPr>
              <w:pStyle w:val="ICFTabletext"/>
            </w:pPr>
            <w:r w:rsidRPr="004C12C9">
              <w:t>Insulation</w:t>
            </w:r>
          </w:p>
        </w:tc>
        <w:tc>
          <w:tcPr>
            <w:tcW w:w="5315" w:type="dxa"/>
            <w:noWrap/>
            <w:vAlign w:val="center"/>
          </w:tcPr>
          <w:p w14:paraId="1093C6F9" w14:textId="77777777" w:rsidR="00665EDD" w:rsidRPr="004C12C9" w:rsidDel="00551A5C" w:rsidRDefault="00665EDD" w:rsidP="00CC439B">
            <w:pPr>
              <w:pStyle w:val="ICFTabletext"/>
              <w:jc w:val="center"/>
            </w:pPr>
            <w:r w:rsidRPr="004C12C9">
              <w:t>0.02</w:t>
            </w:r>
          </w:p>
        </w:tc>
      </w:tr>
      <w:tr w:rsidR="00665EDD" w:rsidRPr="004C12C9" w14:paraId="627BF152" w14:textId="77777777" w:rsidTr="000227BA">
        <w:trPr>
          <w:trHeight w:val="300"/>
        </w:trPr>
        <w:tc>
          <w:tcPr>
            <w:tcW w:w="2960" w:type="dxa"/>
            <w:noWrap/>
            <w:vAlign w:val="center"/>
            <w:hideMark/>
          </w:tcPr>
          <w:p w14:paraId="403BACE9" w14:textId="77777777" w:rsidR="00665EDD" w:rsidRPr="004C12C9" w:rsidRDefault="00665EDD" w:rsidP="00CC439B">
            <w:pPr>
              <w:pStyle w:val="ICFTabletext"/>
            </w:pPr>
            <w:r w:rsidRPr="004C12C9">
              <w:t>Steel</w:t>
            </w:r>
          </w:p>
        </w:tc>
        <w:tc>
          <w:tcPr>
            <w:tcW w:w="5315" w:type="dxa"/>
            <w:noWrap/>
            <w:vAlign w:val="center"/>
            <w:hideMark/>
          </w:tcPr>
          <w:p w14:paraId="4C653A57" w14:textId="77777777" w:rsidR="00665EDD" w:rsidRPr="004C12C9" w:rsidRDefault="00665EDD" w:rsidP="00CC439B">
            <w:pPr>
              <w:pStyle w:val="ICFTabletext"/>
              <w:jc w:val="center"/>
            </w:pPr>
            <w:r w:rsidRPr="004C12C9">
              <w:t>0.02</w:t>
            </w:r>
          </w:p>
        </w:tc>
      </w:tr>
      <w:tr w:rsidR="00665EDD" w:rsidRPr="004C12C9" w14:paraId="09EADBAE" w14:textId="77777777" w:rsidTr="000227BA">
        <w:trPr>
          <w:trHeight w:val="300"/>
        </w:trPr>
        <w:tc>
          <w:tcPr>
            <w:tcW w:w="2960" w:type="dxa"/>
            <w:noWrap/>
            <w:vAlign w:val="center"/>
            <w:hideMark/>
          </w:tcPr>
          <w:p w14:paraId="47E5CF33" w14:textId="77777777" w:rsidR="00665EDD" w:rsidRPr="004C12C9" w:rsidRDefault="00665EDD" w:rsidP="00CC439B">
            <w:pPr>
              <w:pStyle w:val="ICFTabletext"/>
            </w:pPr>
            <w:r w:rsidRPr="004C12C9">
              <w:t>Wood Products</w:t>
            </w:r>
          </w:p>
        </w:tc>
        <w:tc>
          <w:tcPr>
            <w:tcW w:w="5315" w:type="dxa"/>
            <w:noWrap/>
            <w:vAlign w:val="center"/>
            <w:hideMark/>
          </w:tcPr>
          <w:p w14:paraId="564AAD65" w14:textId="77777777" w:rsidR="00665EDD" w:rsidRPr="004C12C9" w:rsidRDefault="00665EDD" w:rsidP="00CC439B">
            <w:pPr>
              <w:pStyle w:val="ICFTabletext"/>
              <w:jc w:val="center"/>
            </w:pPr>
            <w:r w:rsidRPr="004C12C9">
              <w:t>0.18</w:t>
            </w:r>
          </w:p>
        </w:tc>
      </w:tr>
      <w:tr w:rsidR="00665EDD" w:rsidRPr="004C12C9" w14:paraId="6C1F57E2" w14:textId="77777777" w:rsidTr="000227BA">
        <w:trPr>
          <w:trHeight w:val="315"/>
        </w:trPr>
        <w:tc>
          <w:tcPr>
            <w:tcW w:w="2960" w:type="dxa"/>
            <w:noWrap/>
            <w:vAlign w:val="center"/>
            <w:hideMark/>
          </w:tcPr>
          <w:p w14:paraId="11FA497A" w14:textId="77777777" w:rsidR="00665EDD" w:rsidRPr="004C12C9" w:rsidRDefault="00665EDD" w:rsidP="00CC439B">
            <w:pPr>
              <w:pStyle w:val="ICFTabletext"/>
            </w:pPr>
            <w:r w:rsidRPr="004C12C9">
              <w:t>Mixed C&amp;D Waste</w:t>
            </w:r>
          </w:p>
        </w:tc>
        <w:tc>
          <w:tcPr>
            <w:tcW w:w="5315" w:type="dxa"/>
            <w:noWrap/>
            <w:vAlign w:val="center"/>
            <w:hideMark/>
          </w:tcPr>
          <w:p w14:paraId="49E187B0" w14:textId="77777777" w:rsidR="00665EDD" w:rsidRPr="004C12C9" w:rsidRDefault="00665EDD" w:rsidP="00CC439B">
            <w:pPr>
              <w:pStyle w:val="ICFTabletext"/>
              <w:jc w:val="center"/>
            </w:pPr>
            <w:r w:rsidRPr="004C12C9">
              <w:t>0.05</w:t>
            </w:r>
          </w:p>
        </w:tc>
      </w:tr>
    </w:tbl>
    <w:p w14:paraId="0FDAD9F9" w14:textId="77777777" w:rsidR="00AC6778" w:rsidRPr="004C12C9" w:rsidRDefault="00AC6778" w:rsidP="00E31E37">
      <w:pPr>
        <w:pStyle w:val="Heading4"/>
      </w:pPr>
      <w:r w:rsidRPr="004C12C9">
        <w:lastRenderedPageBreak/>
        <w:t>Limitations</w:t>
      </w:r>
    </w:p>
    <w:p w14:paraId="7B26680A" w14:textId="45B54B19" w:rsidR="00CB2F31" w:rsidRPr="004C12C9" w:rsidRDefault="00CB2F31" w:rsidP="00CB2F31">
      <w:r w:rsidRPr="004C12C9">
        <w:t>Key limitations of the methodology used to quantify emissions from construction waste include:</w:t>
      </w:r>
    </w:p>
    <w:p w14:paraId="7618DEEE" w14:textId="0241E269" w:rsidR="001E2D5A" w:rsidRPr="004C12C9" w:rsidRDefault="002F7046" w:rsidP="003B5F7F">
      <w:pPr>
        <w:pStyle w:val="ListParagraph"/>
        <w:numPr>
          <w:ilvl w:val="0"/>
          <w:numId w:val="17"/>
        </w:numPr>
      </w:pPr>
      <w:r w:rsidRPr="004C12C9">
        <w:t xml:space="preserve">The </w:t>
      </w:r>
      <w:r w:rsidR="00A44989" w:rsidRPr="004C12C9">
        <w:t xml:space="preserve">calculator </w:t>
      </w:r>
      <w:r w:rsidRPr="004C12C9">
        <w:t xml:space="preserve">only allows users to generate default </w:t>
      </w:r>
      <w:r w:rsidR="000C4325" w:rsidRPr="004C12C9">
        <w:t xml:space="preserve">construction waste </w:t>
      </w:r>
      <w:r w:rsidR="00D47FA7" w:rsidRPr="004C12C9">
        <w:t>estimates</w:t>
      </w:r>
      <w:r w:rsidR="005A5F99" w:rsidRPr="004C12C9">
        <w:t xml:space="preserve"> for </w:t>
      </w:r>
      <w:r w:rsidR="008816E1" w:rsidRPr="004C12C9">
        <w:t xml:space="preserve">the </w:t>
      </w:r>
      <w:r w:rsidRPr="004C12C9">
        <w:t>eight materials</w:t>
      </w:r>
      <w:r w:rsidR="00935179" w:rsidRPr="004C12C9">
        <w:t xml:space="preserve"> for</w:t>
      </w:r>
      <w:r w:rsidR="004E1E43" w:rsidRPr="004C12C9">
        <w:t xml:space="preserve"> which </w:t>
      </w:r>
      <w:r w:rsidR="006F7AD7" w:rsidRPr="004C12C9">
        <w:t>material input</w:t>
      </w:r>
      <w:r w:rsidR="00B8483D" w:rsidRPr="004C12C9">
        <w:t xml:space="preserve"> emissions </w:t>
      </w:r>
      <w:r w:rsidR="00F72A2D" w:rsidRPr="004C12C9">
        <w:t>are</w:t>
      </w:r>
      <w:r w:rsidR="00B8483D" w:rsidRPr="004C12C9">
        <w:t xml:space="preserve"> quantified</w:t>
      </w:r>
      <w:r w:rsidR="007F5A02" w:rsidRPr="004C12C9">
        <w:t xml:space="preserve"> (as summarized in Section </w:t>
      </w:r>
      <w:r w:rsidR="007F5A02" w:rsidRPr="004C12C9">
        <w:fldChar w:fldCharType="begin" w:fldLock="1"/>
      </w:r>
      <w:r w:rsidR="007F5A02" w:rsidRPr="004C12C9">
        <w:instrText xml:space="preserve"> REF _Ref193891657 \r \h </w:instrText>
      </w:r>
      <w:r w:rsidR="007F5A02" w:rsidRPr="004C12C9">
        <w:fldChar w:fldCharType="separate"/>
      </w:r>
      <w:r w:rsidR="00127094" w:rsidRPr="004C12C9">
        <w:t>2.1</w:t>
      </w:r>
      <w:r w:rsidR="007F5A02" w:rsidRPr="004C12C9">
        <w:fldChar w:fldCharType="end"/>
      </w:r>
      <w:r w:rsidR="007F5A02" w:rsidRPr="004C12C9">
        <w:t xml:space="preserve">, </w:t>
      </w:r>
      <w:r w:rsidR="007F5A02" w:rsidRPr="004C12C9">
        <w:fldChar w:fldCharType="begin" w:fldLock="1"/>
      </w:r>
      <w:r w:rsidR="007F5A02" w:rsidRPr="004C12C9">
        <w:instrText xml:space="preserve"> REF _Ref195386675 \h </w:instrText>
      </w:r>
      <w:r w:rsidR="007F5A02" w:rsidRPr="004C12C9">
        <w:fldChar w:fldCharType="separate"/>
      </w:r>
      <w:r w:rsidR="00127094" w:rsidRPr="004C12C9">
        <w:t>Table 2</w:t>
      </w:r>
      <w:r w:rsidR="00127094" w:rsidRPr="004C12C9">
        <w:noBreakHyphen/>
        <w:t>1</w:t>
      </w:r>
      <w:r w:rsidR="007F5A02" w:rsidRPr="004C12C9">
        <w:fldChar w:fldCharType="end"/>
      </w:r>
      <w:r w:rsidR="007F5A02" w:rsidRPr="004C12C9">
        <w:t>)</w:t>
      </w:r>
      <w:r w:rsidRPr="004C12C9">
        <w:t xml:space="preserve">. </w:t>
      </w:r>
      <w:r w:rsidR="00DE2494" w:rsidRPr="004C12C9">
        <w:t xml:space="preserve">The </w:t>
      </w:r>
      <w:r w:rsidR="00FD79B6" w:rsidRPr="004C12C9">
        <w:t xml:space="preserve">default </w:t>
      </w:r>
      <w:r w:rsidR="00DE2494" w:rsidRPr="004C12C9">
        <w:t xml:space="preserve">waste </w:t>
      </w:r>
      <w:r w:rsidR="00FD79B6" w:rsidRPr="004C12C9">
        <w:t>values are</w:t>
      </w:r>
      <w:r w:rsidR="00091F70" w:rsidRPr="004C12C9">
        <w:t xml:space="preserve"> based on </w:t>
      </w:r>
      <w:r w:rsidR="00CA550F" w:rsidRPr="004C12C9">
        <w:t>estimated construction</w:t>
      </w:r>
      <w:r w:rsidR="00C36CC6" w:rsidRPr="004C12C9">
        <w:t xml:space="preserve"> loss rates</w:t>
      </w:r>
      <w:r w:rsidR="00E4208E" w:rsidRPr="004C12C9">
        <w:t xml:space="preserve">, which </w:t>
      </w:r>
      <w:r w:rsidR="002B3418" w:rsidRPr="004C12C9">
        <w:t>will vary by project</w:t>
      </w:r>
      <w:r w:rsidR="00485286" w:rsidRPr="004C12C9">
        <w:t xml:space="preserve">. Additionally, </w:t>
      </w:r>
      <w:r w:rsidR="00207A17" w:rsidRPr="004C12C9">
        <w:t>for materials</w:t>
      </w:r>
      <w:r w:rsidR="00E4740D" w:rsidRPr="004C12C9">
        <w:t xml:space="preserve"> </w:t>
      </w:r>
      <w:r w:rsidR="00145499" w:rsidRPr="004C12C9">
        <w:t xml:space="preserve">where </w:t>
      </w:r>
      <w:r w:rsidR="00E66A45" w:rsidRPr="004C12C9">
        <w:t xml:space="preserve">loss rate </w:t>
      </w:r>
      <w:r w:rsidR="00145499" w:rsidRPr="004C12C9">
        <w:t xml:space="preserve">data were unavailable, </w:t>
      </w:r>
      <w:r w:rsidR="00E4740D" w:rsidRPr="004C12C9">
        <w:t xml:space="preserve">the loss rates </w:t>
      </w:r>
      <w:r w:rsidR="008A0862" w:rsidRPr="004C12C9">
        <w:t xml:space="preserve">are proxied based on </w:t>
      </w:r>
      <w:r w:rsidR="00422C5A" w:rsidRPr="004C12C9">
        <w:t xml:space="preserve">other </w:t>
      </w:r>
      <w:r w:rsidR="00485286" w:rsidRPr="004C12C9">
        <w:t>materials.</w:t>
      </w:r>
    </w:p>
    <w:p w14:paraId="75AEAB3A" w14:textId="77777777" w:rsidR="00524EA7" w:rsidRPr="004C12C9" w:rsidRDefault="00587163" w:rsidP="003B5F7F">
      <w:pPr>
        <w:pStyle w:val="ListParagraph"/>
        <w:numPr>
          <w:ilvl w:val="0"/>
          <w:numId w:val="17"/>
        </w:numPr>
        <w:rPr>
          <w:rFonts w:eastAsiaTheme="majorEastAsia"/>
        </w:rPr>
      </w:pPr>
      <w:r w:rsidRPr="004C12C9">
        <w:t>E</w:t>
      </w:r>
      <w:r w:rsidR="00013029" w:rsidRPr="004C12C9">
        <w:t xml:space="preserve">missions from the transportation of waste </w:t>
      </w:r>
      <w:r w:rsidRPr="004C12C9">
        <w:t xml:space="preserve">that are </w:t>
      </w:r>
      <w:r w:rsidR="00C1417E" w:rsidRPr="004C12C9">
        <w:t xml:space="preserve">accounted for in the emission factors </w:t>
      </w:r>
      <w:r w:rsidR="00013029" w:rsidRPr="004C12C9">
        <w:t>are based on a default assumption regarding the distance traveled from the project site to the waste management facility, which may vary from the actual distance traveled for a specific project</w:t>
      </w:r>
      <w:r w:rsidR="00426355" w:rsidRPr="004C12C9">
        <w:t>.</w:t>
      </w:r>
    </w:p>
    <w:p w14:paraId="1C36A5F8" w14:textId="77777777" w:rsidR="00290038" w:rsidRPr="004C12C9" w:rsidRDefault="00524EA7" w:rsidP="003B5F7F">
      <w:pPr>
        <w:pStyle w:val="ListParagraph"/>
        <w:numPr>
          <w:ilvl w:val="0"/>
          <w:numId w:val="17"/>
        </w:numPr>
      </w:pPr>
      <w:r w:rsidRPr="004C12C9">
        <w:t xml:space="preserve">The landfill emission factors are based on </w:t>
      </w:r>
      <w:r w:rsidR="00B51322" w:rsidRPr="004C12C9">
        <w:t>typical landfill gas collection practices</w:t>
      </w:r>
      <w:r w:rsidR="00290038" w:rsidRPr="004C12C9">
        <w:t xml:space="preserve"> and </w:t>
      </w:r>
      <w:r w:rsidR="00B51322" w:rsidRPr="004C12C9">
        <w:t>average landfill moisture conditions</w:t>
      </w:r>
      <w:r w:rsidR="00290038" w:rsidRPr="004C12C9">
        <w:t>.</w:t>
      </w:r>
      <w:r w:rsidR="00627F81" w:rsidRPr="004C12C9">
        <w:t xml:space="preserve"> Actual emissions </w:t>
      </w:r>
      <w:r w:rsidR="00773C97" w:rsidRPr="004C12C9">
        <w:t xml:space="preserve">will vary based on the characteristics of the landfill </w:t>
      </w:r>
      <w:r w:rsidR="009706A7" w:rsidRPr="004C12C9">
        <w:t>where the waste is treated.</w:t>
      </w:r>
    </w:p>
    <w:p w14:paraId="53979556" w14:textId="5F7A256A" w:rsidR="006263D3" w:rsidRPr="004C12C9" w:rsidRDefault="006263D3" w:rsidP="003B5F7F">
      <w:pPr>
        <w:pStyle w:val="ListParagraph"/>
        <w:numPr>
          <w:ilvl w:val="0"/>
          <w:numId w:val="17"/>
        </w:numPr>
        <w:rPr>
          <w:rFonts w:eastAsiaTheme="majorEastAsia"/>
        </w:rPr>
      </w:pPr>
      <w:r w:rsidRPr="004C12C9">
        <w:br w:type="page"/>
      </w:r>
    </w:p>
    <w:p w14:paraId="494C22A0" w14:textId="4190303E" w:rsidR="00FC5F6E" w:rsidRPr="004C12C9" w:rsidRDefault="00FC5F6E" w:rsidP="003E54BC">
      <w:pPr>
        <w:pStyle w:val="Heading2"/>
        <w:keepNext w:val="0"/>
        <w:keepLines w:val="0"/>
        <w:widowControl w:val="0"/>
      </w:pPr>
      <w:bookmarkStart w:id="145" w:name="_Ref196380770"/>
      <w:bookmarkStart w:id="146" w:name="_Ref196833607"/>
      <w:bookmarkStart w:id="147" w:name="_Toc219887772"/>
      <w:r w:rsidRPr="004C12C9">
        <w:lastRenderedPageBreak/>
        <w:t>Operational Emissions</w:t>
      </w:r>
      <w:bookmarkEnd w:id="145"/>
      <w:bookmarkEnd w:id="146"/>
      <w:bookmarkEnd w:id="147"/>
    </w:p>
    <w:p w14:paraId="42EBF08E" w14:textId="77777777" w:rsidR="00A80BE6" w:rsidRPr="004C12C9" w:rsidRDefault="00FC5F6E" w:rsidP="00F25C37">
      <w:pPr>
        <w:pStyle w:val="Heading3"/>
      </w:pPr>
      <w:bookmarkStart w:id="148" w:name="_Toc219887773"/>
      <w:r w:rsidRPr="004C12C9">
        <w:t>Building Energy Consumption</w:t>
      </w:r>
      <w:bookmarkEnd w:id="148"/>
      <w:r w:rsidRPr="004C12C9">
        <w:tab/>
      </w:r>
    </w:p>
    <w:p w14:paraId="481A3B2A" w14:textId="11B5CF0E" w:rsidR="006E470A" w:rsidRPr="004C12C9" w:rsidRDefault="006E470A" w:rsidP="00972CF9">
      <w:pPr>
        <w:rPr>
          <w:rFonts w:eastAsia="MS PGothic"/>
        </w:rPr>
      </w:pPr>
      <w:r w:rsidRPr="004C12C9">
        <w:t xml:space="preserve">Emissions result from building fuel and electricity consumption during the operational lifetime of a building. </w:t>
      </w:r>
      <w:r w:rsidR="00EA0F71" w:rsidRPr="004C12C9">
        <w:t xml:space="preserve">The </w:t>
      </w:r>
      <w:r w:rsidR="00A44989" w:rsidRPr="004C12C9">
        <w:t xml:space="preserve">calculator </w:t>
      </w:r>
      <w:r w:rsidR="00EA0F71" w:rsidRPr="004C12C9">
        <w:t xml:space="preserve">quantifies emissions </w:t>
      </w:r>
      <w:r w:rsidR="00EA0F71" w:rsidRPr="004C12C9">
        <w:rPr>
          <w:rFonts w:eastAsia="MS PGothic"/>
        </w:rPr>
        <w:t xml:space="preserve">from building energy consumption </w:t>
      </w:r>
      <w:r w:rsidR="00237469">
        <w:rPr>
          <w:rFonts w:eastAsia="MS PGothic"/>
        </w:rPr>
        <w:t>based on</w:t>
      </w:r>
      <w:r w:rsidR="00663307">
        <w:rPr>
          <w:rFonts w:eastAsia="MS PGothic"/>
        </w:rPr>
        <w:t xml:space="preserve"> </w:t>
      </w:r>
      <w:r w:rsidR="00F316B3">
        <w:rPr>
          <w:rFonts w:eastAsia="MS PGothic"/>
        </w:rPr>
        <w:t xml:space="preserve">one of </w:t>
      </w:r>
      <w:r w:rsidR="00663307">
        <w:rPr>
          <w:rFonts w:eastAsia="MS PGothic"/>
        </w:rPr>
        <w:t xml:space="preserve">two </w:t>
      </w:r>
      <w:r w:rsidR="00F316B3">
        <w:rPr>
          <w:rFonts w:eastAsia="MS PGothic"/>
        </w:rPr>
        <w:t xml:space="preserve">user-selected </w:t>
      </w:r>
      <w:r w:rsidR="001C11EC">
        <w:rPr>
          <w:rFonts w:eastAsia="MS PGothic"/>
        </w:rPr>
        <w:t>approaches:</w:t>
      </w:r>
      <w:r w:rsidR="00663307">
        <w:rPr>
          <w:rFonts w:eastAsia="MS PGothic"/>
        </w:rPr>
        <w:t xml:space="preserve"> </w:t>
      </w:r>
      <w:r w:rsidR="00237469" w:rsidRPr="00CA69E9">
        <w:rPr>
          <w:rFonts w:eastAsia="MS PGothic"/>
          <w:b/>
          <w:bCs/>
        </w:rPr>
        <w:t>E</w:t>
      </w:r>
      <w:r w:rsidR="001C11EC" w:rsidRPr="00CA69E9">
        <w:rPr>
          <w:rFonts w:eastAsia="MS PGothic"/>
          <w:b/>
          <w:bCs/>
        </w:rPr>
        <w:t xml:space="preserve">nergy </w:t>
      </w:r>
      <w:r w:rsidR="00237469" w:rsidRPr="00CA69E9">
        <w:rPr>
          <w:rFonts w:eastAsia="MS PGothic"/>
          <w:b/>
          <w:bCs/>
        </w:rPr>
        <w:t>I</w:t>
      </w:r>
      <w:r w:rsidR="001C11EC" w:rsidRPr="00CA69E9">
        <w:rPr>
          <w:rFonts w:eastAsia="MS PGothic"/>
          <w:b/>
          <w:bCs/>
        </w:rPr>
        <w:t>ntensity</w:t>
      </w:r>
      <w:r w:rsidR="00F316B3" w:rsidRPr="00CA69E9">
        <w:rPr>
          <w:rFonts w:eastAsia="MS PGothic"/>
          <w:b/>
          <w:bCs/>
        </w:rPr>
        <w:t xml:space="preserve"> (</w:t>
      </w:r>
      <w:r w:rsidR="00237469" w:rsidRPr="00CA69E9">
        <w:rPr>
          <w:rFonts w:eastAsia="MS PGothic"/>
          <w:b/>
          <w:bCs/>
        </w:rPr>
        <w:t>A</w:t>
      </w:r>
      <w:r w:rsidR="00F316B3" w:rsidRPr="00CA69E9">
        <w:rPr>
          <w:rFonts w:eastAsia="MS PGothic"/>
          <w:b/>
          <w:bCs/>
        </w:rPr>
        <w:t>pproach 1)</w:t>
      </w:r>
      <w:r w:rsidR="001C11EC">
        <w:rPr>
          <w:rFonts w:eastAsia="MS PGothic"/>
        </w:rPr>
        <w:t xml:space="preserve"> </w:t>
      </w:r>
      <w:r w:rsidR="002C0555">
        <w:rPr>
          <w:rFonts w:eastAsia="MS PGothic"/>
        </w:rPr>
        <w:t>or</w:t>
      </w:r>
      <w:r w:rsidR="00663307">
        <w:rPr>
          <w:rFonts w:eastAsia="MS PGothic"/>
        </w:rPr>
        <w:t xml:space="preserve"> </w:t>
      </w:r>
      <w:r w:rsidR="00237469" w:rsidRPr="00CA69E9">
        <w:rPr>
          <w:rFonts w:eastAsia="MS PGothic"/>
          <w:b/>
          <w:bCs/>
        </w:rPr>
        <w:t>F</w:t>
      </w:r>
      <w:r w:rsidR="00663307" w:rsidRPr="00CA69E9">
        <w:rPr>
          <w:rFonts w:eastAsia="MS PGothic"/>
          <w:b/>
          <w:bCs/>
        </w:rPr>
        <w:t xml:space="preserve">uel </w:t>
      </w:r>
      <w:r w:rsidR="00237469" w:rsidRPr="00CA69E9">
        <w:rPr>
          <w:rFonts w:eastAsia="MS PGothic"/>
          <w:b/>
          <w:bCs/>
        </w:rPr>
        <w:t>C</w:t>
      </w:r>
      <w:r w:rsidR="001C11EC" w:rsidRPr="00CA69E9">
        <w:rPr>
          <w:rFonts w:eastAsia="MS PGothic"/>
          <w:b/>
          <w:bCs/>
        </w:rPr>
        <w:t>onsumption</w:t>
      </w:r>
      <w:r w:rsidR="00F316B3" w:rsidRPr="00CA69E9">
        <w:rPr>
          <w:rFonts w:eastAsia="MS PGothic"/>
          <w:b/>
          <w:bCs/>
        </w:rPr>
        <w:t xml:space="preserve"> (</w:t>
      </w:r>
      <w:r w:rsidR="00237469" w:rsidRPr="00CA69E9">
        <w:rPr>
          <w:rFonts w:eastAsia="MS PGothic"/>
          <w:b/>
          <w:bCs/>
        </w:rPr>
        <w:t>A</w:t>
      </w:r>
      <w:r w:rsidR="00F316B3" w:rsidRPr="00CA69E9">
        <w:rPr>
          <w:rFonts w:eastAsia="MS PGothic"/>
          <w:b/>
          <w:bCs/>
        </w:rPr>
        <w:t>pproach 2)</w:t>
      </w:r>
      <w:r w:rsidR="00663307">
        <w:rPr>
          <w:rFonts w:eastAsia="MS PGothic"/>
        </w:rPr>
        <w:t xml:space="preserve">. </w:t>
      </w:r>
      <w:r w:rsidR="001C11EC">
        <w:rPr>
          <w:rFonts w:eastAsia="MS PGothic"/>
        </w:rPr>
        <w:t xml:space="preserve">The </w:t>
      </w:r>
      <w:r w:rsidR="00315B3E">
        <w:rPr>
          <w:rFonts w:eastAsia="MS PGothic"/>
        </w:rPr>
        <w:t>e</w:t>
      </w:r>
      <w:r w:rsidR="001C11EC">
        <w:rPr>
          <w:rFonts w:eastAsia="MS PGothic"/>
        </w:rPr>
        <w:t xml:space="preserve">nergy </w:t>
      </w:r>
      <w:r w:rsidR="00315B3E">
        <w:rPr>
          <w:rFonts w:eastAsia="MS PGothic"/>
        </w:rPr>
        <w:t>i</w:t>
      </w:r>
      <w:r w:rsidR="001C11EC">
        <w:rPr>
          <w:rFonts w:eastAsia="MS PGothic"/>
        </w:rPr>
        <w:t xml:space="preserve">ntensity </w:t>
      </w:r>
      <w:r w:rsidR="00315B3E">
        <w:rPr>
          <w:rFonts w:eastAsia="MS PGothic"/>
        </w:rPr>
        <w:t>a</w:t>
      </w:r>
      <w:r w:rsidR="001C11EC">
        <w:rPr>
          <w:rFonts w:eastAsia="MS PGothic"/>
        </w:rPr>
        <w:t xml:space="preserve">pproach is </w:t>
      </w:r>
      <w:r w:rsidR="00EA0F71" w:rsidRPr="004C12C9">
        <w:t xml:space="preserve">based on building square footage, fuel-specific building </w:t>
      </w:r>
      <w:r w:rsidRPr="004C12C9">
        <w:t>energy intensit</w:t>
      </w:r>
      <w:r w:rsidR="00EA0F71" w:rsidRPr="004C12C9">
        <w:t>ies</w:t>
      </w:r>
      <w:r w:rsidR="00ED3E88" w:rsidRPr="004C12C9">
        <w:t>,</w:t>
      </w:r>
      <w:r w:rsidRPr="004C12C9">
        <w:t xml:space="preserve"> </w:t>
      </w:r>
      <w:r w:rsidR="006C667E" w:rsidRPr="004C12C9">
        <w:t>and fuel-specific emission factors, as shown in</w:t>
      </w:r>
      <w:r w:rsidR="00B9772E" w:rsidRPr="004C12C9">
        <w:t xml:space="preserve"> </w:t>
      </w:r>
      <w:r w:rsidR="001B09F1">
        <w:fldChar w:fldCharType="begin"/>
      </w:r>
      <w:r w:rsidR="001B09F1">
        <w:instrText xml:space="preserve"> REF _Ref195623097 \h </w:instrText>
      </w:r>
      <w:r w:rsidR="001B09F1">
        <w:fldChar w:fldCharType="separate"/>
      </w:r>
      <w:r w:rsidR="001B09F1" w:rsidRPr="004C12C9">
        <w:t xml:space="preserve">Equation </w:t>
      </w:r>
      <w:r w:rsidR="001B09F1">
        <w:rPr>
          <w:noProof/>
        </w:rPr>
        <w:t>12</w:t>
      </w:r>
      <w:r w:rsidR="001B09F1">
        <w:fldChar w:fldCharType="end"/>
      </w:r>
      <w:r w:rsidR="001B09F1">
        <w:t xml:space="preserve"> </w:t>
      </w:r>
      <w:r w:rsidR="00B9772E" w:rsidRPr="004C12C9">
        <w:t>and</w:t>
      </w:r>
      <w:r w:rsidR="001B09F1">
        <w:t xml:space="preserve"> </w:t>
      </w:r>
      <w:r w:rsidR="001B09F1">
        <w:fldChar w:fldCharType="begin"/>
      </w:r>
      <w:r w:rsidR="001B09F1">
        <w:instrText xml:space="preserve"> REF _Ref195623100 \h </w:instrText>
      </w:r>
      <w:r w:rsidR="001B09F1">
        <w:fldChar w:fldCharType="separate"/>
      </w:r>
      <w:r w:rsidR="001B09F1" w:rsidRPr="004C12C9">
        <w:t xml:space="preserve">Equation </w:t>
      </w:r>
      <w:r w:rsidR="001B09F1">
        <w:rPr>
          <w:noProof/>
        </w:rPr>
        <w:t>13</w:t>
      </w:r>
      <w:r w:rsidR="001B09F1">
        <w:fldChar w:fldCharType="end"/>
      </w:r>
      <w:r w:rsidR="006C667E" w:rsidRPr="004C12C9">
        <w:t>.</w:t>
      </w:r>
      <w:r w:rsidR="00F1384C" w:rsidRPr="00F1384C">
        <w:t xml:space="preserve"> </w:t>
      </w:r>
      <w:r w:rsidR="00F1384C">
        <w:t xml:space="preserve">The </w:t>
      </w:r>
      <w:r w:rsidR="00315B3E">
        <w:t>f</w:t>
      </w:r>
      <w:r w:rsidR="00F1384C">
        <w:t xml:space="preserve">uel </w:t>
      </w:r>
      <w:r w:rsidR="00315B3E">
        <w:t>c</w:t>
      </w:r>
      <w:r w:rsidR="00F1384C">
        <w:t xml:space="preserve">onsumption </w:t>
      </w:r>
      <w:r w:rsidR="00315B3E">
        <w:t>a</w:t>
      </w:r>
      <w:r w:rsidR="00F1384C">
        <w:t>pproach is based on</w:t>
      </w:r>
      <w:r w:rsidR="008711FD">
        <w:t xml:space="preserve"> </w:t>
      </w:r>
      <w:r w:rsidR="00542308">
        <w:t xml:space="preserve">user-provided </w:t>
      </w:r>
      <w:r w:rsidR="008711FD">
        <w:t>estimates of</w:t>
      </w:r>
      <w:r w:rsidR="00F1384C">
        <w:t xml:space="preserve"> total energy consumed by fuel type per year</w:t>
      </w:r>
      <w:r w:rsidR="00E20069">
        <w:t xml:space="preserve">, as </w:t>
      </w:r>
      <w:r w:rsidR="00F1384C">
        <w:t xml:space="preserve">shown in </w:t>
      </w:r>
      <w:r w:rsidR="00F1384C">
        <w:fldChar w:fldCharType="begin"/>
      </w:r>
      <w:r w:rsidR="00F1384C">
        <w:instrText xml:space="preserve"> REF _Ref195623100 \h </w:instrText>
      </w:r>
      <w:r w:rsidR="00F1384C">
        <w:fldChar w:fldCharType="separate"/>
      </w:r>
      <w:r w:rsidR="00F1384C" w:rsidRPr="004C12C9">
        <w:t xml:space="preserve">Equation </w:t>
      </w:r>
      <w:r w:rsidR="00F1384C">
        <w:rPr>
          <w:noProof/>
        </w:rPr>
        <w:t>13</w:t>
      </w:r>
      <w:r w:rsidR="00F1384C">
        <w:fldChar w:fldCharType="end"/>
      </w:r>
      <w:r w:rsidR="00F1384C">
        <w:t xml:space="preserve">. </w:t>
      </w:r>
    </w:p>
    <w:p w14:paraId="315CA8A1" w14:textId="240D8CCE" w:rsidR="006E470A" w:rsidRPr="004C12C9" w:rsidRDefault="006E470A" w:rsidP="00972CF9">
      <w:pPr>
        <w:pStyle w:val="Caption"/>
      </w:pPr>
      <w:bookmarkStart w:id="149" w:name="_Ref195623097"/>
      <w:r w:rsidRPr="004C12C9">
        <w:t xml:space="preserve">Equation </w:t>
      </w:r>
      <w:r w:rsidR="00127094">
        <w:fldChar w:fldCharType="begin"/>
      </w:r>
      <w:r w:rsidR="00127094">
        <w:instrText xml:space="preserve"> SEQ Equation \* ARABIC </w:instrText>
      </w:r>
      <w:r w:rsidR="00127094">
        <w:fldChar w:fldCharType="separate"/>
      </w:r>
      <w:r w:rsidR="00C47624">
        <w:rPr>
          <w:noProof/>
        </w:rPr>
        <w:t>12</w:t>
      </w:r>
      <w:r w:rsidR="00127094">
        <w:fldChar w:fldCharType="end"/>
      </w:r>
      <w:bookmarkEnd w:id="149"/>
      <w:r w:rsidR="00135AFD">
        <w:t>.</w:t>
      </w:r>
      <w:r w:rsidRPr="004C12C9">
        <w:t xml:space="preserve"> Annual Building Energy Consumption</w:t>
      </w:r>
      <w:r w:rsidR="00CC3ACC">
        <w:t xml:space="preserve"> (</w:t>
      </w:r>
      <w:r w:rsidR="00E20069">
        <w:t>E</w:t>
      </w:r>
      <w:r w:rsidR="00CC3ACC">
        <w:t xml:space="preserve">nergy </w:t>
      </w:r>
      <w:r w:rsidR="00E20069">
        <w:t>I</w:t>
      </w:r>
      <w:r w:rsidR="00CC3ACC">
        <w:t xml:space="preserve">ntensity </w:t>
      </w:r>
      <w:r w:rsidR="00E20069">
        <w:t>A</w:t>
      </w:r>
      <w:r w:rsidR="00CC3ACC">
        <w:t xml:space="preserve">pproach </w:t>
      </w:r>
      <w:r w:rsidR="00E20069">
        <w:t>O</w:t>
      </w:r>
      <w:r w:rsidR="00CC3ACC">
        <w:t>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30"/>
        <w:gridCol w:w="7640"/>
      </w:tblGrid>
      <w:tr w:rsidR="00B9772E" w:rsidRPr="004C12C9" w14:paraId="0E6BD7EE" w14:textId="77777777">
        <w:tc>
          <w:tcPr>
            <w:tcW w:w="10070" w:type="dxa"/>
            <w:gridSpan w:val="2"/>
            <w:shd w:val="clear" w:color="auto" w:fill="F2F2F2" w:themeFill="background1" w:themeFillShade="F2"/>
          </w:tcPr>
          <w:p w14:paraId="183A4B40" w14:textId="2A5877A1" w:rsidR="00B9772E" w:rsidRPr="004C12C9" w:rsidRDefault="00000000" w:rsidP="00054A34">
            <w:pPr>
              <w:pStyle w:val="Equation"/>
              <w:rPr>
                <w:noProof w:val="0"/>
              </w:rPr>
            </w:pPr>
            <m:oMathPara>
              <m:oMath>
                <m:sSub>
                  <m:sSubPr>
                    <m:ctrlPr>
                      <w:rPr>
                        <w:noProof w:val="0"/>
                      </w:rPr>
                    </m:ctrlPr>
                  </m:sSubPr>
                  <m:e>
                    <m:r>
                      <w:rPr>
                        <w:noProof w:val="0"/>
                      </w:rPr>
                      <m:t>annual energy consumed</m:t>
                    </m:r>
                  </m:e>
                  <m:sub>
                    <m:r>
                      <w:rPr>
                        <w:noProof w:val="0"/>
                      </w:rPr>
                      <m:t>s</m:t>
                    </m:r>
                  </m:sub>
                </m:sSub>
                <m:r>
                  <w:rPr>
                    <w:noProof w:val="0"/>
                  </w:rPr>
                  <m:t xml:space="preserve"> =</m:t>
                </m:r>
                <m:nary>
                  <m:naryPr>
                    <m:chr m:val="∑"/>
                    <m:limLoc m:val="undOvr"/>
                    <m:subHide m:val="1"/>
                    <m:supHide m:val="1"/>
                    <m:ctrlPr>
                      <w:rPr>
                        <w:noProof w:val="0"/>
                      </w:rPr>
                    </m:ctrlPr>
                  </m:naryPr>
                  <m:sub/>
                  <m:sup/>
                  <m:e>
                    <m:r>
                      <w:rPr>
                        <w:noProof w:val="0"/>
                      </w:rPr>
                      <m:t>(</m:t>
                    </m:r>
                    <m:sSub>
                      <m:sSubPr>
                        <m:ctrlPr>
                          <w:rPr>
                            <w:noProof w:val="0"/>
                          </w:rPr>
                        </m:ctrlPr>
                      </m:sSubPr>
                      <m:e>
                        <m:r>
                          <w:rPr>
                            <w:noProof w:val="0"/>
                          </w:rPr>
                          <m:t>building square footage</m:t>
                        </m:r>
                      </m:e>
                      <m:sub>
                        <m:r>
                          <w:rPr>
                            <w:noProof w:val="0"/>
                          </w:rPr>
                          <m:t>t</m:t>
                        </m:r>
                      </m:sub>
                    </m:sSub>
                  </m:e>
                </m:nary>
                <m:r>
                  <w:rPr>
                    <w:noProof w:val="0"/>
                  </w:rPr>
                  <m:t>×</m:t>
                </m:r>
                <m:sSub>
                  <m:sSubPr>
                    <m:ctrlPr>
                      <w:rPr>
                        <w:noProof w:val="0"/>
                      </w:rPr>
                    </m:ctrlPr>
                  </m:sSubPr>
                  <m:e>
                    <m:r>
                      <w:rPr>
                        <w:noProof w:val="0"/>
                      </w:rPr>
                      <m:t>building energy intensity</m:t>
                    </m:r>
                  </m:e>
                  <m:sub>
                    <m:r>
                      <w:rPr>
                        <w:noProof w:val="0"/>
                      </w:rPr>
                      <m:t>t,s</m:t>
                    </m:r>
                  </m:sub>
                </m:sSub>
                <m:r>
                  <w:rPr>
                    <w:noProof w:val="0"/>
                  </w:rPr>
                  <m:t>)</m:t>
                </m:r>
              </m:oMath>
            </m:oMathPara>
          </w:p>
          <w:p w14:paraId="31366274" w14:textId="77777777" w:rsidR="00B9772E" w:rsidRPr="004C12C9" w:rsidRDefault="00B9772E">
            <w:pPr>
              <w:rPr>
                <w:i/>
                <w:iCs/>
              </w:rPr>
            </w:pPr>
            <w:r w:rsidRPr="004C12C9">
              <w:rPr>
                <w:i/>
                <w:iCs/>
                <w:sz w:val="20"/>
                <w:szCs w:val="20"/>
              </w:rPr>
              <w:t xml:space="preserve">where, </w:t>
            </w:r>
          </w:p>
        </w:tc>
      </w:tr>
      <w:tr w:rsidR="00B9772E" w:rsidRPr="004C12C9" w14:paraId="1FE8C013" w14:textId="77777777" w:rsidTr="00054A34">
        <w:tc>
          <w:tcPr>
            <w:tcW w:w="2430" w:type="dxa"/>
            <w:shd w:val="clear" w:color="auto" w:fill="F2F2F2" w:themeFill="background1" w:themeFillShade="F2"/>
          </w:tcPr>
          <w:p w14:paraId="24EA0D46" w14:textId="2941CD78" w:rsidR="00054A34" w:rsidRPr="004C12C9" w:rsidRDefault="00054A34">
            <w:pPr>
              <w:tabs>
                <w:tab w:val="left" w:pos="2160"/>
              </w:tabs>
              <w:contextualSpacing/>
              <w:rPr>
                <w:rFonts w:eastAsia="Arial"/>
                <w:sz w:val="20"/>
                <w:szCs w:val="20"/>
              </w:rPr>
            </w:pPr>
            <w:r w:rsidRPr="004C12C9">
              <w:rPr>
                <w:rFonts w:eastAsia="Arial"/>
                <w:sz w:val="20"/>
                <w:szCs w:val="20"/>
              </w:rPr>
              <w:t>Building square footage</w:t>
            </w:r>
          </w:p>
          <w:p w14:paraId="05E59F1C" w14:textId="5C742FF0" w:rsidR="00B9772E" w:rsidRPr="004C12C9" w:rsidRDefault="00054A34">
            <w:pPr>
              <w:tabs>
                <w:tab w:val="left" w:pos="2160"/>
              </w:tabs>
              <w:contextualSpacing/>
              <w:rPr>
                <w:rFonts w:eastAsia="Arial"/>
                <w:sz w:val="20"/>
                <w:szCs w:val="20"/>
              </w:rPr>
            </w:pPr>
            <w:r w:rsidRPr="004C12C9">
              <w:rPr>
                <w:rFonts w:eastAsia="Arial"/>
                <w:sz w:val="20"/>
                <w:szCs w:val="20"/>
              </w:rPr>
              <w:t>Building energy intensity</w:t>
            </w:r>
          </w:p>
          <w:p w14:paraId="5515A6C6" w14:textId="77777777" w:rsidR="00B9772E" w:rsidRPr="004C12C9" w:rsidRDefault="00B9772E">
            <w:pPr>
              <w:tabs>
                <w:tab w:val="left" w:pos="2160"/>
              </w:tabs>
              <w:contextualSpacing/>
              <w:rPr>
                <w:rFonts w:eastAsia="Arial"/>
                <w:sz w:val="20"/>
                <w:szCs w:val="20"/>
              </w:rPr>
            </w:pPr>
          </w:p>
        </w:tc>
        <w:tc>
          <w:tcPr>
            <w:tcW w:w="7640" w:type="dxa"/>
            <w:shd w:val="clear" w:color="auto" w:fill="F2F2F2" w:themeFill="background1" w:themeFillShade="F2"/>
          </w:tcPr>
          <w:p w14:paraId="3AABDD36" w14:textId="1A9F19D2" w:rsidR="00B9772E" w:rsidRPr="004C12C9" w:rsidRDefault="00B9772E">
            <w:pPr>
              <w:tabs>
                <w:tab w:val="left" w:pos="2160"/>
              </w:tabs>
              <w:contextualSpacing/>
              <w:rPr>
                <w:rFonts w:eastAsia="Arial"/>
                <w:sz w:val="20"/>
                <w:szCs w:val="20"/>
              </w:rPr>
            </w:pPr>
            <w:r w:rsidRPr="004C12C9">
              <w:rPr>
                <w:rFonts w:eastAsia="Arial"/>
                <w:sz w:val="20"/>
                <w:szCs w:val="20"/>
              </w:rPr>
              <w:t xml:space="preserve">= </w:t>
            </w:r>
            <w:r w:rsidR="00054A34" w:rsidRPr="004C12C9">
              <w:rPr>
                <w:rFonts w:eastAsia="Arial"/>
                <w:sz w:val="20"/>
                <w:szCs w:val="20"/>
              </w:rPr>
              <w:t>Square footage by building type, t (square feet)</w:t>
            </w:r>
          </w:p>
          <w:p w14:paraId="6E522DF1" w14:textId="75058FE1" w:rsidR="00B9772E" w:rsidRPr="004C12C9" w:rsidRDefault="00B9772E" w:rsidP="005E46AC">
            <w:pPr>
              <w:tabs>
                <w:tab w:val="left" w:pos="2160"/>
              </w:tabs>
              <w:ind w:left="165" w:hanging="165"/>
              <w:contextualSpacing/>
              <w:rPr>
                <w:rFonts w:eastAsia="Arial"/>
                <w:sz w:val="20"/>
                <w:szCs w:val="20"/>
              </w:rPr>
            </w:pPr>
            <w:r w:rsidRPr="004C12C9">
              <w:rPr>
                <w:rFonts w:eastAsia="Arial"/>
                <w:sz w:val="20"/>
                <w:szCs w:val="20"/>
              </w:rPr>
              <w:t xml:space="preserve">= </w:t>
            </w:r>
            <w:r w:rsidR="00054A34" w:rsidRPr="004C12C9">
              <w:rPr>
                <w:rFonts w:eastAsia="Arial"/>
                <w:sz w:val="20"/>
                <w:szCs w:val="20"/>
              </w:rPr>
              <w:t>Average annual fuel or electricity consumed per square foot by building type, t, and fuel source, s (Btu/square foot/year)</w:t>
            </w:r>
          </w:p>
          <w:p w14:paraId="61B961C5" w14:textId="77777777" w:rsidR="00B9772E" w:rsidRPr="004C12C9" w:rsidRDefault="00B9772E">
            <w:pPr>
              <w:tabs>
                <w:tab w:val="left" w:pos="2160"/>
              </w:tabs>
              <w:contextualSpacing/>
              <w:rPr>
                <w:rFonts w:eastAsia="Arial"/>
                <w:sz w:val="20"/>
                <w:szCs w:val="20"/>
              </w:rPr>
            </w:pPr>
          </w:p>
        </w:tc>
      </w:tr>
    </w:tbl>
    <w:p w14:paraId="0C4AC842" w14:textId="201019A8" w:rsidR="006E470A" w:rsidRPr="004C12C9" w:rsidRDefault="006E470A" w:rsidP="00972CF9">
      <w:pPr>
        <w:pStyle w:val="Caption"/>
      </w:pPr>
      <w:bookmarkStart w:id="150" w:name="_Ref195623100"/>
      <w:r w:rsidRPr="004C12C9">
        <w:t xml:space="preserve">Equation </w:t>
      </w:r>
      <w:r w:rsidR="00127094">
        <w:fldChar w:fldCharType="begin"/>
      </w:r>
      <w:r w:rsidR="00127094">
        <w:instrText xml:space="preserve"> SEQ Equation \* ARABIC </w:instrText>
      </w:r>
      <w:r w:rsidR="00127094">
        <w:fldChar w:fldCharType="separate"/>
      </w:r>
      <w:r w:rsidR="00C47624">
        <w:rPr>
          <w:noProof/>
        </w:rPr>
        <w:t>13</w:t>
      </w:r>
      <w:r w:rsidR="00127094">
        <w:fldChar w:fldCharType="end"/>
      </w:r>
      <w:bookmarkEnd w:id="150"/>
      <w:r w:rsidRPr="004C12C9">
        <w:t>. Annual Emissions from Building Energy Consumption</w:t>
      </w:r>
      <w:r w:rsidR="00CC3AC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30"/>
        <w:gridCol w:w="7640"/>
      </w:tblGrid>
      <w:tr w:rsidR="00D31ADC" w:rsidRPr="004C12C9" w14:paraId="4FA4A0B6" w14:textId="77777777">
        <w:tc>
          <w:tcPr>
            <w:tcW w:w="10070" w:type="dxa"/>
            <w:gridSpan w:val="2"/>
            <w:shd w:val="clear" w:color="auto" w:fill="F2F2F2" w:themeFill="background1" w:themeFillShade="F2"/>
          </w:tcPr>
          <w:p w14:paraId="2FBC4179" w14:textId="705FDEA1" w:rsidR="00D31ADC" w:rsidRPr="004C12C9" w:rsidRDefault="000002AA" w:rsidP="00D31ADC">
            <w:pPr>
              <w:pStyle w:val="Equation"/>
              <w:rPr>
                <w:bCs w:val="0"/>
                <w:noProof w:val="0"/>
              </w:rPr>
            </w:pPr>
            <m:oMathPara>
              <m:oMath>
                <m:r>
                  <w:rPr>
                    <w:noProof w:val="0"/>
                  </w:rPr>
                  <m:t>annual GHG emissions=</m:t>
                </m:r>
                <m:sSub>
                  <m:sSubPr>
                    <m:ctrlPr>
                      <w:rPr>
                        <w:bCs w:val="0"/>
                        <w:noProof w:val="0"/>
                      </w:rPr>
                    </m:ctrlPr>
                  </m:sSubPr>
                  <m:e>
                    <m:r>
                      <w:rPr>
                        <w:noProof w:val="0"/>
                      </w:rPr>
                      <m:t>annual energy consumed</m:t>
                    </m:r>
                  </m:e>
                  <m:sub>
                    <m:r>
                      <w:rPr>
                        <w:noProof w:val="0"/>
                      </w:rPr>
                      <m:t>s</m:t>
                    </m:r>
                  </m:sub>
                </m:sSub>
                <m:r>
                  <w:rPr>
                    <w:noProof w:val="0"/>
                  </w:rPr>
                  <m:t>×</m:t>
                </m:r>
                <m:sSub>
                  <m:sSubPr>
                    <m:ctrlPr>
                      <w:rPr>
                        <w:bCs w:val="0"/>
                        <w:noProof w:val="0"/>
                      </w:rPr>
                    </m:ctrlPr>
                  </m:sSubPr>
                  <m:e>
                    <m:r>
                      <w:rPr>
                        <w:noProof w:val="0"/>
                      </w:rPr>
                      <m:t>emission factor</m:t>
                    </m:r>
                  </m:e>
                  <m:sub>
                    <m:r>
                      <w:rPr>
                        <w:noProof w:val="0"/>
                      </w:rPr>
                      <m:t>s</m:t>
                    </m:r>
                  </m:sub>
                </m:sSub>
                <m:r>
                  <w:rPr>
                    <w:noProof w:val="0"/>
                  </w:rPr>
                  <m:t>×0.000001</m:t>
                </m:r>
              </m:oMath>
            </m:oMathPara>
          </w:p>
          <w:p w14:paraId="1E2369F5" w14:textId="77777777" w:rsidR="00D31ADC" w:rsidRPr="004C12C9" w:rsidRDefault="00D31ADC">
            <w:pPr>
              <w:rPr>
                <w:i/>
                <w:iCs/>
              </w:rPr>
            </w:pPr>
            <w:r w:rsidRPr="004C12C9">
              <w:rPr>
                <w:i/>
                <w:iCs/>
                <w:sz w:val="20"/>
                <w:szCs w:val="20"/>
              </w:rPr>
              <w:t xml:space="preserve">where, </w:t>
            </w:r>
          </w:p>
        </w:tc>
      </w:tr>
      <w:tr w:rsidR="00D31ADC" w:rsidRPr="004C12C9" w14:paraId="6E79EEF5" w14:textId="77777777">
        <w:tc>
          <w:tcPr>
            <w:tcW w:w="2430" w:type="dxa"/>
            <w:shd w:val="clear" w:color="auto" w:fill="F2F2F2" w:themeFill="background1" w:themeFillShade="F2"/>
          </w:tcPr>
          <w:p w14:paraId="1CB14C5E" w14:textId="28ECBB87" w:rsidR="0041668E" w:rsidRPr="004C12C9" w:rsidRDefault="00D31ADC">
            <w:pPr>
              <w:tabs>
                <w:tab w:val="left" w:pos="2160"/>
              </w:tabs>
              <w:contextualSpacing/>
              <w:rPr>
                <w:rFonts w:eastAsia="Arial"/>
                <w:sz w:val="20"/>
                <w:szCs w:val="20"/>
              </w:rPr>
            </w:pPr>
            <w:r w:rsidRPr="004C12C9">
              <w:rPr>
                <w:rFonts w:eastAsia="Arial"/>
                <w:sz w:val="20"/>
                <w:szCs w:val="20"/>
              </w:rPr>
              <w:t>Annual energy consumed</w:t>
            </w:r>
          </w:p>
          <w:p w14:paraId="0041ED47" w14:textId="77777777" w:rsidR="00377AC0" w:rsidRDefault="00377AC0">
            <w:pPr>
              <w:tabs>
                <w:tab w:val="left" w:pos="2160"/>
              </w:tabs>
              <w:contextualSpacing/>
              <w:rPr>
                <w:rFonts w:eastAsia="Arial"/>
                <w:sz w:val="20"/>
                <w:szCs w:val="20"/>
              </w:rPr>
            </w:pPr>
          </w:p>
          <w:p w14:paraId="62FF264C" w14:textId="75BA1EF1" w:rsidR="00D31ADC" w:rsidRPr="004C12C9" w:rsidRDefault="0017341D">
            <w:pPr>
              <w:tabs>
                <w:tab w:val="left" w:pos="2160"/>
              </w:tabs>
              <w:contextualSpacing/>
              <w:rPr>
                <w:rFonts w:eastAsia="Arial"/>
                <w:sz w:val="20"/>
                <w:szCs w:val="20"/>
              </w:rPr>
            </w:pPr>
            <w:r w:rsidRPr="004C12C9">
              <w:rPr>
                <w:rFonts w:eastAsia="Arial"/>
                <w:sz w:val="20"/>
                <w:szCs w:val="20"/>
              </w:rPr>
              <w:t>Emission factor</w:t>
            </w:r>
          </w:p>
          <w:p w14:paraId="716D2FB6" w14:textId="14F00A9E" w:rsidR="00D31ADC" w:rsidRPr="004C12C9" w:rsidRDefault="009E5ED0">
            <w:pPr>
              <w:tabs>
                <w:tab w:val="left" w:pos="2160"/>
              </w:tabs>
              <w:contextualSpacing/>
              <w:rPr>
                <w:rFonts w:eastAsia="Arial"/>
                <w:sz w:val="20"/>
                <w:szCs w:val="20"/>
              </w:rPr>
            </w:pPr>
            <w:r w:rsidRPr="004C12C9">
              <w:rPr>
                <w:rFonts w:eastAsia="Arial"/>
                <w:sz w:val="20"/>
                <w:szCs w:val="20"/>
              </w:rPr>
              <w:t>0.000001</w:t>
            </w:r>
          </w:p>
        </w:tc>
        <w:tc>
          <w:tcPr>
            <w:tcW w:w="7640" w:type="dxa"/>
            <w:shd w:val="clear" w:color="auto" w:fill="F2F2F2" w:themeFill="background1" w:themeFillShade="F2"/>
          </w:tcPr>
          <w:p w14:paraId="04CC4DDC" w14:textId="28C0A81F" w:rsidR="00D31ADC" w:rsidRPr="004C12C9" w:rsidRDefault="00D31ADC" w:rsidP="002D2EF7">
            <w:pPr>
              <w:tabs>
                <w:tab w:val="left" w:pos="2160"/>
              </w:tabs>
              <w:ind w:left="120" w:hanging="120"/>
              <w:contextualSpacing/>
              <w:rPr>
                <w:rFonts w:eastAsia="Arial"/>
                <w:sz w:val="20"/>
                <w:szCs w:val="20"/>
              </w:rPr>
            </w:pPr>
            <w:r w:rsidRPr="004C12C9">
              <w:rPr>
                <w:rFonts w:eastAsia="Arial"/>
                <w:sz w:val="20"/>
                <w:szCs w:val="20"/>
              </w:rPr>
              <w:t>= Building energy consumed by energy source, s</w:t>
            </w:r>
            <w:r w:rsidR="0017341D" w:rsidRPr="004C12C9">
              <w:rPr>
                <w:rFonts w:eastAsia="Arial"/>
                <w:sz w:val="20"/>
                <w:szCs w:val="20"/>
              </w:rPr>
              <w:t>, as calculated by</w:t>
            </w:r>
            <w:r w:rsidRPr="004C12C9">
              <w:rPr>
                <w:rFonts w:eastAsia="Arial"/>
                <w:sz w:val="20"/>
                <w:szCs w:val="20"/>
              </w:rPr>
              <w:t xml:space="preserve"> </w:t>
            </w:r>
            <w:r w:rsidR="00BC6F11" w:rsidRPr="00BC6F11">
              <w:rPr>
                <w:rFonts w:eastAsia="Arial"/>
                <w:sz w:val="20"/>
                <w:szCs w:val="20"/>
              </w:rPr>
              <w:fldChar w:fldCharType="begin"/>
            </w:r>
            <w:r w:rsidR="00BC6F11" w:rsidRPr="00BC6F11">
              <w:rPr>
                <w:rFonts w:eastAsia="Arial"/>
                <w:sz w:val="20"/>
                <w:szCs w:val="20"/>
              </w:rPr>
              <w:instrText xml:space="preserve"> REF _Ref195623097 \h </w:instrText>
            </w:r>
            <w:r w:rsidR="00BC6F11">
              <w:rPr>
                <w:rFonts w:eastAsia="Arial"/>
                <w:sz w:val="20"/>
                <w:szCs w:val="20"/>
              </w:rPr>
              <w:instrText xml:space="preserve"> \* MERGEFORMAT </w:instrText>
            </w:r>
            <w:r w:rsidR="00BC6F11" w:rsidRPr="00BC6F11">
              <w:rPr>
                <w:rFonts w:eastAsia="Arial"/>
                <w:sz w:val="20"/>
                <w:szCs w:val="20"/>
              </w:rPr>
            </w:r>
            <w:r w:rsidR="00BC6F11" w:rsidRPr="00BC6F11">
              <w:rPr>
                <w:rFonts w:eastAsia="Arial"/>
                <w:sz w:val="20"/>
                <w:szCs w:val="20"/>
              </w:rPr>
              <w:fldChar w:fldCharType="separate"/>
            </w:r>
            <w:r w:rsidR="00BC6F11" w:rsidRPr="00542308">
              <w:rPr>
                <w:sz w:val="20"/>
                <w:szCs w:val="20"/>
              </w:rPr>
              <w:t xml:space="preserve">Equation </w:t>
            </w:r>
            <w:r w:rsidR="00BC6F11" w:rsidRPr="00542308">
              <w:rPr>
                <w:noProof/>
                <w:sz w:val="20"/>
                <w:szCs w:val="20"/>
              </w:rPr>
              <w:t>12</w:t>
            </w:r>
            <w:r w:rsidR="00BC6F11" w:rsidRPr="00BC6F11">
              <w:rPr>
                <w:rFonts w:eastAsia="Arial"/>
                <w:sz w:val="20"/>
                <w:szCs w:val="20"/>
              </w:rPr>
              <w:fldChar w:fldCharType="end"/>
            </w:r>
            <w:r w:rsidR="00F1384C">
              <w:rPr>
                <w:rFonts w:eastAsia="Arial"/>
                <w:sz w:val="20"/>
                <w:szCs w:val="20"/>
              </w:rPr>
              <w:t xml:space="preserve"> or provided by users</w:t>
            </w:r>
            <w:r w:rsidR="00BC6F11">
              <w:rPr>
                <w:rFonts w:eastAsia="Arial"/>
                <w:sz w:val="20"/>
                <w:szCs w:val="20"/>
              </w:rPr>
              <w:t xml:space="preserve"> </w:t>
            </w:r>
            <w:r w:rsidRPr="004C12C9">
              <w:rPr>
                <w:rFonts w:eastAsia="Arial"/>
                <w:sz w:val="20"/>
                <w:szCs w:val="20"/>
              </w:rPr>
              <w:t>(Btu/year)</w:t>
            </w:r>
            <w:r w:rsidR="007B7597" w:rsidRPr="004C12C9">
              <w:rPr>
                <w:rFonts w:eastAsia="Arial"/>
                <w:vertAlign w:val="superscript"/>
              </w:rPr>
              <w:footnoteReference w:id="71"/>
            </w:r>
          </w:p>
          <w:p w14:paraId="2CD3A466" w14:textId="5398DE2B" w:rsidR="00D31ADC" w:rsidRPr="004C12C9" w:rsidRDefault="00D31ADC">
            <w:pPr>
              <w:tabs>
                <w:tab w:val="left" w:pos="2160"/>
              </w:tabs>
              <w:contextualSpacing/>
              <w:rPr>
                <w:rFonts w:eastAsia="Arial"/>
                <w:sz w:val="20"/>
                <w:szCs w:val="20"/>
              </w:rPr>
            </w:pPr>
            <w:r w:rsidRPr="004C12C9">
              <w:rPr>
                <w:rFonts w:eastAsia="Arial"/>
                <w:sz w:val="20"/>
                <w:szCs w:val="20"/>
              </w:rPr>
              <w:t xml:space="preserve">= </w:t>
            </w:r>
            <w:r w:rsidR="0017341D" w:rsidRPr="004C12C9">
              <w:rPr>
                <w:rFonts w:eastAsia="Arial"/>
                <w:sz w:val="20"/>
                <w:szCs w:val="20"/>
              </w:rPr>
              <w:t>GHG emissions per unit of energy consumed (kgCO</w:t>
            </w:r>
            <w:r w:rsidR="0017341D" w:rsidRPr="004C12C9">
              <w:rPr>
                <w:rFonts w:eastAsia="Arial"/>
                <w:sz w:val="20"/>
                <w:szCs w:val="20"/>
                <w:vertAlign w:val="subscript"/>
              </w:rPr>
              <w:t>2</w:t>
            </w:r>
            <w:r w:rsidR="0017341D" w:rsidRPr="004C12C9">
              <w:rPr>
                <w:rFonts w:eastAsia="Arial"/>
                <w:sz w:val="20"/>
                <w:szCs w:val="20"/>
              </w:rPr>
              <w:t>e/MMBtu)</w:t>
            </w:r>
          </w:p>
          <w:p w14:paraId="57D53014" w14:textId="77777777" w:rsidR="00D31ADC" w:rsidRPr="004C12C9" w:rsidRDefault="00EE1C4B">
            <w:pPr>
              <w:tabs>
                <w:tab w:val="left" w:pos="2160"/>
              </w:tabs>
              <w:contextualSpacing/>
              <w:rPr>
                <w:rFonts w:eastAsia="Arial"/>
                <w:sz w:val="20"/>
                <w:szCs w:val="20"/>
              </w:rPr>
            </w:pPr>
            <w:r w:rsidRPr="004C12C9">
              <w:rPr>
                <w:rFonts w:eastAsia="Arial"/>
                <w:sz w:val="20"/>
                <w:szCs w:val="20"/>
              </w:rPr>
              <w:t xml:space="preserve">= Unit conversion from </w:t>
            </w:r>
            <w:r w:rsidR="00A956DC" w:rsidRPr="004C12C9">
              <w:rPr>
                <w:rFonts w:eastAsia="Arial"/>
                <w:sz w:val="20"/>
                <w:szCs w:val="20"/>
              </w:rPr>
              <w:t xml:space="preserve">Btu to </w:t>
            </w:r>
            <w:r w:rsidR="009E5ED0" w:rsidRPr="004C12C9">
              <w:rPr>
                <w:rFonts w:eastAsia="Arial"/>
                <w:sz w:val="20"/>
                <w:szCs w:val="20"/>
              </w:rPr>
              <w:t>MMBtu</w:t>
            </w:r>
          </w:p>
          <w:p w14:paraId="4E56AEBA" w14:textId="094DB424" w:rsidR="00D31ADC" w:rsidRPr="004C12C9" w:rsidRDefault="00D31ADC">
            <w:pPr>
              <w:tabs>
                <w:tab w:val="left" w:pos="2160"/>
              </w:tabs>
              <w:contextualSpacing/>
              <w:rPr>
                <w:rFonts w:eastAsia="Arial"/>
                <w:sz w:val="20"/>
                <w:szCs w:val="20"/>
              </w:rPr>
            </w:pPr>
          </w:p>
        </w:tc>
      </w:tr>
    </w:tbl>
    <w:p w14:paraId="2F19316F" w14:textId="6BCEC00E" w:rsidR="007B2764" w:rsidRPr="004C12C9" w:rsidRDefault="007B2764" w:rsidP="00E31E37">
      <w:pPr>
        <w:pStyle w:val="Heading4"/>
      </w:pPr>
      <w:r w:rsidRPr="004C12C9">
        <w:t>Buil</w:t>
      </w:r>
      <w:r w:rsidR="008B29FE" w:rsidRPr="004C12C9">
        <w:t>ding Square Footage</w:t>
      </w:r>
    </w:p>
    <w:p w14:paraId="7E7870D7" w14:textId="1CE2F965" w:rsidR="00183BA3" w:rsidRPr="004C12C9" w:rsidRDefault="00C57E79" w:rsidP="00183BA3">
      <w:r w:rsidRPr="004C12C9">
        <w:t>Users are required to provide data on the</w:t>
      </w:r>
      <w:r w:rsidR="00007213" w:rsidRPr="004C12C9">
        <w:t xml:space="preserve"> building sq</w:t>
      </w:r>
      <w:r w:rsidR="00193124" w:rsidRPr="004C12C9">
        <w:t>uare footage</w:t>
      </w:r>
      <w:r w:rsidR="0042527F" w:rsidRPr="004C12C9">
        <w:t xml:space="preserve"> </w:t>
      </w:r>
      <w:r w:rsidR="00A30510" w:rsidRPr="004C12C9">
        <w:t xml:space="preserve">by building type. </w:t>
      </w:r>
      <w:r w:rsidR="00BE0E6F" w:rsidRPr="004C12C9">
        <w:t>The building types for which users may provide data include:</w:t>
      </w:r>
    </w:p>
    <w:p w14:paraId="29C38DA9" w14:textId="635EEE79" w:rsidR="00C57E79" w:rsidRPr="004C12C9" w:rsidRDefault="00FB314F" w:rsidP="003B5F7F">
      <w:pPr>
        <w:pStyle w:val="ListParagraph"/>
        <w:numPr>
          <w:ilvl w:val="0"/>
          <w:numId w:val="30"/>
        </w:numPr>
      </w:pPr>
      <w:r w:rsidRPr="004C12C9">
        <w:t>Residential</w:t>
      </w:r>
    </w:p>
    <w:p w14:paraId="3CC5128C" w14:textId="51E32E4F" w:rsidR="00FB314F" w:rsidRPr="004C12C9" w:rsidRDefault="00FB314F" w:rsidP="003B5F7F">
      <w:pPr>
        <w:pStyle w:val="ListParagraph"/>
        <w:numPr>
          <w:ilvl w:val="0"/>
          <w:numId w:val="30"/>
        </w:numPr>
      </w:pPr>
      <w:r w:rsidRPr="004C12C9">
        <w:t>Commercial</w:t>
      </w:r>
    </w:p>
    <w:p w14:paraId="7765A192" w14:textId="1CD24B9A" w:rsidR="00FB314F" w:rsidRPr="004C12C9" w:rsidRDefault="00FB314F" w:rsidP="003B5F7F">
      <w:pPr>
        <w:pStyle w:val="ListParagraph"/>
        <w:numPr>
          <w:ilvl w:val="0"/>
          <w:numId w:val="30"/>
        </w:numPr>
      </w:pPr>
      <w:r w:rsidRPr="004C12C9">
        <w:lastRenderedPageBreak/>
        <w:t>Industrial</w:t>
      </w:r>
    </w:p>
    <w:p w14:paraId="20FF2DEE" w14:textId="552502FA" w:rsidR="00FB314F" w:rsidRPr="004C12C9" w:rsidRDefault="00FB314F" w:rsidP="003B5F7F">
      <w:pPr>
        <w:pStyle w:val="ListParagraph"/>
        <w:numPr>
          <w:ilvl w:val="0"/>
          <w:numId w:val="30"/>
        </w:numPr>
      </w:pPr>
      <w:r w:rsidRPr="004C12C9">
        <w:t>Institutional</w:t>
      </w:r>
    </w:p>
    <w:p w14:paraId="1DF59128" w14:textId="0CF4AA7D" w:rsidR="00FB314F" w:rsidRPr="004C12C9" w:rsidRDefault="00FB314F" w:rsidP="003B5F7F">
      <w:pPr>
        <w:pStyle w:val="ListParagraph"/>
        <w:numPr>
          <w:ilvl w:val="0"/>
          <w:numId w:val="30"/>
        </w:numPr>
      </w:pPr>
      <w:r w:rsidRPr="004C12C9">
        <w:t>Other</w:t>
      </w:r>
    </w:p>
    <w:p w14:paraId="223F68BE" w14:textId="5CD694D9" w:rsidR="006E470A" w:rsidRPr="004C12C9" w:rsidRDefault="006E470A" w:rsidP="00E31E37">
      <w:pPr>
        <w:pStyle w:val="Heading4"/>
      </w:pPr>
      <w:r w:rsidRPr="004C12C9">
        <w:t>Building Energy Intensity</w:t>
      </w:r>
    </w:p>
    <w:p w14:paraId="75A21610" w14:textId="2976EF60" w:rsidR="006E470A" w:rsidRPr="004C12C9" w:rsidRDefault="00EA0F08" w:rsidP="00972CF9">
      <w:r w:rsidRPr="004C12C9">
        <w:t xml:space="preserve">Default building energy intensities by building type are available in the </w:t>
      </w:r>
      <w:r w:rsidR="007640AF" w:rsidRPr="004C12C9">
        <w:t>calculator</w:t>
      </w:r>
      <w:r w:rsidRPr="004C12C9">
        <w:t xml:space="preserve">. </w:t>
      </w:r>
      <w:r w:rsidR="00716981" w:rsidRPr="004C12C9">
        <w:t>Default</w:t>
      </w:r>
      <w:r w:rsidR="006E470A" w:rsidRPr="004C12C9">
        <w:t xml:space="preserve"> building energy intensities were derived from data obtained from the U.S. Energy Information Administration (EIA). </w:t>
      </w:r>
      <w:r w:rsidR="00800106" w:rsidRPr="004C12C9">
        <w:fldChar w:fldCharType="begin" w:fldLock="1"/>
      </w:r>
      <w:r w:rsidR="00800106" w:rsidRPr="004C12C9">
        <w:instrText xml:space="preserve"> REF _Ref195606507 \h </w:instrText>
      </w:r>
      <w:r w:rsidR="00800106" w:rsidRPr="004C12C9">
        <w:fldChar w:fldCharType="separate"/>
      </w:r>
      <w:r w:rsidR="00127094" w:rsidRPr="004C12C9">
        <w:t>Table 3</w:t>
      </w:r>
      <w:r w:rsidR="00127094" w:rsidRPr="004C12C9">
        <w:noBreakHyphen/>
        <w:t>1</w:t>
      </w:r>
      <w:r w:rsidR="00800106" w:rsidRPr="004C12C9">
        <w:fldChar w:fldCharType="end"/>
      </w:r>
      <w:r w:rsidR="006E470A" w:rsidRPr="004C12C9" w:rsidDel="00E337F2">
        <w:t xml:space="preserve"> </w:t>
      </w:r>
      <w:r w:rsidR="006E470A" w:rsidRPr="004C12C9">
        <w:t>summarizes the data tables that were used for this analysis along with the year for which the data was last released. The tables include</w:t>
      </w:r>
      <w:r w:rsidR="006E470A" w:rsidRPr="004C12C9" w:rsidDel="006F1C15">
        <w:t xml:space="preserve"> </w:t>
      </w:r>
      <w:r w:rsidR="006E470A" w:rsidRPr="004C12C9">
        <w:t>fuel consumption (Tables CE2.3, C18, C35, C28, and 1.1) for different building types and/or building floorspace (Tables HC10.3, 9.1, C18, C35, and C28).</w:t>
      </w:r>
    </w:p>
    <w:p w14:paraId="66356A3B" w14:textId="74E65C01" w:rsidR="006E470A" w:rsidRPr="004C12C9" w:rsidRDefault="006E470A" w:rsidP="00972CF9">
      <w:pPr>
        <w:pStyle w:val="Caption"/>
      </w:pPr>
      <w:bookmarkStart w:id="151" w:name="_Ref195606507"/>
      <w:bookmarkStart w:id="152" w:name="_Ref195606502"/>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w:t>
      </w:r>
      <w:r w:rsidR="00F72B41">
        <w:fldChar w:fldCharType="end"/>
      </w:r>
      <w:bookmarkEnd w:id="151"/>
      <w:r w:rsidRPr="004C12C9">
        <w:t>. EIA Building Energy Intensity Data Tables</w:t>
      </w:r>
      <w:bookmarkEnd w:id="15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8"/>
        <w:gridCol w:w="1283"/>
        <w:gridCol w:w="5909"/>
      </w:tblGrid>
      <w:tr w:rsidR="006E470A" w:rsidRPr="004C12C9" w14:paraId="1C670613" w14:textId="77777777" w:rsidTr="00034279">
        <w:trPr>
          <w:trHeight w:val="233"/>
        </w:trPr>
        <w:tc>
          <w:tcPr>
            <w:tcW w:w="1429" w:type="pct"/>
            <w:shd w:val="clear" w:color="auto" w:fill="D9D9D9" w:themeFill="background1" w:themeFillShade="D9"/>
          </w:tcPr>
          <w:p w14:paraId="2A39548B" w14:textId="77777777" w:rsidR="006E470A" w:rsidRPr="004C12C9" w:rsidRDefault="006E470A" w:rsidP="00E20EB4">
            <w:pPr>
              <w:pStyle w:val="ICFTableHeading"/>
            </w:pPr>
            <w:r w:rsidRPr="004C12C9">
              <w:t xml:space="preserve">Tables </w:t>
            </w:r>
          </w:p>
        </w:tc>
        <w:tc>
          <w:tcPr>
            <w:tcW w:w="637" w:type="pct"/>
            <w:shd w:val="clear" w:color="auto" w:fill="D9D9D9" w:themeFill="background1" w:themeFillShade="D9"/>
          </w:tcPr>
          <w:p w14:paraId="746D1CAE" w14:textId="77777777" w:rsidR="006E470A" w:rsidRPr="004C12C9" w:rsidRDefault="006E470A" w:rsidP="00E20EB4">
            <w:pPr>
              <w:pStyle w:val="ICFTableHeading"/>
            </w:pPr>
            <w:r w:rsidRPr="004C12C9">
              <w:t xml:space="preserve">Year </w:t>
            </w:r>
          </w:p>
        </w:tc>
        <w:tc>
          <w:tcPr>
            <w:tcW w:w="2933" w:type="pct"/>
            <w:shd w:val="clear" w:color="auto" w:fill="D9D9D9" w:themeFill="background1" w:themeFillShade="D9"/>
          </w:tcPr>
          <w:p w14:paraId="18F2244B" w14:textId="77777777" w:rsidR="006E470A" w:rsidRPr="004C12C9" w:rsidRDefault="006E470A" w:rsidP="00E20EB4">
            <w:pPr>
              <w:pStyle w:val="ICFTableHeading"/>
            </w:pPr>
            <w:r w:rsidRPr="004C12C9" w:rsidDel="00AD3665">
              <w:t xml:space="preserve">Data </w:t>
            </w:r>
            <w:r w:rsidRPr="004C12C9">
              <w:t>Source</w:t>
            </w:r>
          </w:p>
        </w:tc>
      </w:tr>
      <w:tr w:rsidR="006E470A" w:rsidRPr="004C12C9" w14:paraId="0644BD61" w14:textId="77777777" w:rsidTr="003363E0">
        <w:trPr>
          <w:trHeight w:val="20"/>
        </w:trPr>
        <w:tc>
          <w:tcPr>
            <w:tcW w:w="1429" w:type="pct"/>
          </w:tcPr>
          <w:p w14:paraId="3760BC8D" w14:textId="77777777" w:rsidR="006E470A" w:rsidRPr="004C12C9" w:rsidRDefault="006E470A" w:rsidP="00E20EB4">
            <w:pPr>
              <w:pStyle w:val="ICFTabletext"/>
            </w:pPr>
            <w:r w:rsidRPr="004C12C9">
              <w:t>Tables CE2.3 and HC10.3</w:t>
            </w:r>
          </w:p>
        </w:tc>
        <w:tc>
          <w:tcPr>
            <w:tcW w:w="637" w:type="pct"/>
          </w:tcPr>
          <w:p w14:paraId="152E492A" w14:textId="77777777" w:rsidR="006E470A" w:rsidRPr="004C12C9" w:rsidRDefault="006E470A" w:rsidP="00E20EB4">
            <w:pPr>
              <w:pStyle w:val="ICFTabletext"/>
            </w:pPr>
            <w:r w:rsidRPr="004C12C9">
              <w:t>2020</w:t>
            </w:r>
          </w:p>
        </w:tc>
        <w:tc>
          <w:tcPr>
            <w:tcW w:w="2933" w:type="pct"/>
          </w:tcPr>
          <w:p w14:paraId="2BB97EDD" w14:textId="62853C28" w:rsidR="006E470A" w:rsidRPr="004C12C9" w:rsidRDefault="006E470A" w:rsidP="00E20EB4">
            <w:pPr>
              <w:pStyle w:val="ICFTabletext"/>
            </w:pPr>
            <w:r w:rsidRPr="004C12C9">
              <w:t>Residential Energy Consumption Survey (</w:t>
            </w:r>
            <w:hyperlink r:id="rId23" w:history="1">
              <w:r w:rsidRPr="004C12C9">
                <w:rPr>
                  <w:rStyle w:val="Hyperlink"/>
                  <w:color w:val="auto"/>
                  <w:u w:val="none"/>
                </w:rPr>
                <w:t>RECS</w:t>
              </w:r>
            </w:hyperlink>
            <w:r w:rsidRPr="004C12C9">
              <w:rPr>
                <w:rStyle w:val="Hyperlink"/>
                <w:color w:val="auto"/>
                <w:u w:val="none"/>
              </w:rPr>
              <w:t>)</w:t>
            </w:r>
          </w:p>
        </w:tc>
      </w:tr>
      <w:tr w:rsidR="006E470A" w:rsidRPr="004C12C9" w14:paraId="78A9FD21" w14:textId="77777777" w:rsidTr="003363E0">
        <w:trPr>
          <w:trHeight w:val="20"/>
        </w:trPr>
        <w:tc>
          <w:tcPr>
            <w:tcW w:w="1429" w:type="pct"/>
          </w:tcPr>
          <w:p w14:paraId="1621E498" w14:textId="77777777" w:rsidR="006E470A" w:rsidRPr="004C12C9" w:rsidRDefault="006E470A" w:rsidP="00E20EB4">
            <w:pPr>
              <w:pStyle w:val="ICFTabletext"/>
            </w:pPr>
            <w:r w:rsidRPr="004C12C9">
              <w:t>Tables C28, C35, C18</w:t>
            </w:r>
          </w:p>
        </w:tc>
        <w:tc>
          <w:tcPr>
            <w:tcW w:w="637" w:type="pct"/>
          </w:tcPr>
          <w:p w14:paraId="2D4B5118" w14:textId="77777777" w:rsidR="006E470A" w:rsidRPr="004C12C9" w:rsidRDefault="006E470A" w:rsidP="00E20EB4">
            <w:pPr>
              <w:pStyle w:val="ICFTabletext"/>
            </w:pPr>
            <w:r w:rsidRPr="004C12C9">
              <w:t>2018</w:t>
            </w:r>
          </w:p>
        </w:tc>
        <w:tc>
          <w:tcPr>
            <w:tcW w:w="2933" w:type="pct"/>
          </w:tcPr>
          <w:p w14:paraId="3D72D033" w14:textId="38AF44E6" w:rsidR="006E470A" w:rsidRPr="004C12C9" w:rsidRDefault="006E470A" w:rsidP="00E20EB4">
            <w:pPr>
              <w:pStyle w:val="ICFTabletext"/>
            </w:pPr>
            <w:r w:rsidRPr="004C12C9">
              <w:t>Commercial Buildings Energy Consumption Survey (</w:t>
            </w:r>
            <w:hyperlink r:id="rId24" w:history="1">
              <w:r w:rsidRPr="004C12C9">
                <w:rPr>
                  <w:rStyle w:val="Hyperlink"/>
                  <w:color w:val="auto"/>
                  <w:u w:val="none"/>
                </w:rPr>
                <w:t>CBECS</w:t>
              </w:r>
            </w:hyperlink>
            <w:r w:rsidRPr="004C12C9">
              <w:rPr>
                <w:rStyle w:val="Hyperlink"/>
                <w:color w:val="auto"/>
                <w:u w:val="none"/>
              </w:rPr>
              <w:t>)</w:t>
            </w:r>
          </w:p>
        </w:tc>
      </w:tr>
      <w:tr w:rsidR="006E470A" w:rsidRPr="004C12C9" w14:paraId="65305C92" w14:textId="77777777" w:rsidTr="003363E0">
        <w:trPr>
          <w:trHeight w:val="20"/>
        </w:trPr>
        <w:tc>
          <w:tcPr>
            <w:tcW w:w="1429" w:type="pct"/>
          </w:tcPr>
          <w:p w14:paraId="2C60DB91" w14:textId="77777777" w:rsidR="006E470A" w:rsidRPr="004C12C9" w:rsidRDefault="006E470A" w:rsidP="00E20EB4">
            <w:pPr>
              <w:pStyle w:val="ICFTabletext"/>
            </w:pPr>
            <w:r w:rsidRPr="004C12C9">
              <w:t>Tables 1.1 and 9.1</w:t>
            </w:r>
          </w:p>
        </w:tc>
        <w:tc>
          <w:tcPr>
            <w:tcW w:w="637" w:type="pct"/>
          </w:tcPr>
          <w:p w14:paraId="1AD417D4" w14:textId="77777777" w:rsidR="006E470A" w:rsidRPr="004C12C9" w:rsidRDefault="006E470A" w:rsidP="00E20EB4">
            <w:pPr>
              <w:pStyle w:val="ICFTabletext"/>
            </w:pPr>
            <w:r w:rsidRPr="004C12C9">
              <w:t>2018</w:t>
            </w:r>
          </w:p>
        </w:tc>
        <w:tc>
          <w:tcPr>
            <w:tcW w:w="2933" w:type="pct"/>
          </w:tcPr>
          <w:p w14:paraId="55A2E4CC" w14:textId="258A1533" w:rsidR="006E470A" w:rsidRPr="004C12C9" w:rsidRDefault="006E470A" w:rsidP="00E20EB4">
            <w:pPr>
              <w:pStyle w:val="ICFTabletext"/>
            </w:pPr>
            <w:r w:rsidRPr="004C12C9">
              <w:t>Manufacturing Energy Consumption Survey (</w:t>
            </w:r>
            <w:hyperlink r:id="rId25" w:anchor="r11" w:history="1">
              <w:r w:rsidRPr="004C12C9">
                <w:rPr>
                  <w:rStyle w:val="Hyperlink"/>
                  <w:color w:val="auto"/>
                  <w:u w:val="none"/>
                </w:rPr>
                <w:t>MECS</w:t>
              </w:r>
            </w:hyperlink>
            <w:r w:rsidRPr="004C12C9">
              <w:rPr>
                <w:rStyle w:val="Hyperlink"/>
                <w:color w:val="auto"/>
                <w:u w:val="none"/>
              </w:rPr>
              <w:t>)</w:t>
            </w:r>
          </w:p>
        </w:tc>
      </w:tr>
    </w:tbl>
    <w:p w14:paraId="6A4C2BE6" w14:textId="1EB21F13" w:rsidR="006E470A" w:rsidRPr="004C12C9" w:rsidRDefault="006E470A" w:rsidP="00972CF9">
      <w:r w:rsidRPr="004C12C9">
        <w:t>Energy intensities in Btu/square foot/year were derived for the following four building types: residential, commercial, industrial, and institutional.</w:t>
      </w:r>
      <w:r w:rsidR="003C3CA0">
        <w:rPr>
          <w:rFonts w:ascii="ZWAdobeF" w:hAnsi="ZWAdobeF" w:cs="ZWAdobeF"/>
          <w:sz w:val="2"/>
          <w:szCs w:val="2"/>
        </w:rPr>
        <w:t>68F</w:t>
      </w:r>
      <w:r w:rsidR="00E607EA" w:rsidRPr="004C12C9">
        <w:rPr>
          <w:rStyle w:val="FootnoteReference"/>
        </w:rPr>
        <w:footnoteReference w:id="72"/>
      </w:r>
      <w:r w:rsidRPr="004C12C9">
        <w:t xml:space="preserve"> The energy intensity by fuel type and building type are shown in </w:t>
      </w:r>
      <w:r w:rsidR="00800106" w:rsidRPr="004C12C9">
        <w:fldChar w:fldCharType="begin" w:fldLock="1"/>
      </w:r>
      <w:r w:rsidR="00800106" w:rsidRPr="004C12C9">
        <w:instrText xml:space="preserve"> REF _Ref195606550 \h </w:instrText>
      </w:r>
      <w:r w:rsidR="00800106" w:rsidRPr="004C12C9">
        <w:fldChar w:fldCharType="separate"/>
      </w:r>
      <w:r w:rsidR="00127094" w:rsidRPr="004C12C9">
        <w:t>Table 3</w:t>
      </w:r>
      <w:r w:rsidR="00127094" w:rsidRPr="004C12C9">
        <w:noBreakHyphen/>
        <w:t>2</w:t>
      </w:r>
      <w:r w:rsidR="00800106" w:rsidRPr="004C12C9">
        <w:fldChar w:fldCharType="end"/>
      </w:r>
      <w:r w:rsidRPr="004C12C9">
        <w:t>.</w:t>
      </w:r>
      <w:r w:rsidRPr="004C12C9">
        <w:rPr>
          <w:rStyle w:val="FootnoteReference"/>
        </w:rPr>
        <w:t xml:space="preserve"> </w:t>
      </w:r>
      <w:r w:rsidRPr="004C12C9">
        <w:t>The methodology used to derive these values from the EIA data is described in detail below.</w:t>
      </w:r>
    </w:p>
    <w:p w14:paraId="073D00CF" w14:textId="4C838ECF" w:rsidR="006E470A" w:rsidRPr="004C12C9" w:rsidRDefault="006E470A" w:rsidP="00972CF9">
      <w:pPr>
        <w:pStyle w:val="Caption"/>
      </w:pPr>
      <w:bookmarkStart w:id="153" w:name="_Ref19560655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w:t>
      </w:r>
      <w:r w:rsidR="00F72B41">
        <w:fldChar w:fldCharType="end"/>
      </w:r>
      <w:bookmarkEnd w:id="153"/>
      <w:r w:rsidRPr="004C12C9">
        <w:t>. Energy Intensity Assumptions by Energy Source and Building Type</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9"/>
        <w:gridCol w:w="1849"/>
        <w:gridCol w:w="1849"/>
        <w:gridCol w:w="2415"/>
        <w:gridCol w:w="2038"/>
      </w:tblGrid>
      <w:tr w:rsidR="006E470A" w:rsidRPr="004C12C9" w14:paraId="47B471FA" w14:textId="77777777" w:rsidTr="00B661B6">
        <w:trPr>
          <w:cnfStyle w:val="100000000000" w:firstRow="1" w:lastRow="0" w:firstColumn="0" w:lastColumn="0" w:oddVBand="0" w:evenVBand="0" w:oddHBand="0" w:evenHBand="0" w:firstRowFirstColumn="0" w:firstRowLastColumn="0" w:lastRowFirstColumn="0" w:lastRowLastColumn="0"/>
          <w:trHeight w:val="143"/>
        </w:trPr>
        <w:tc>
          <w:tcPr>
            <w:tcW w:w="953" w:type="pct"/>
            <w:vMerge w:val="restart"/>
          </w:tcPr>
          <w:p w14:paraId="4A54A80A" w14:textId="77777777" w:rsidR="006E470A" w:rsidRPr="004C12C9" w:rsidRDefault="006E470A" w:rsidP="00E20EB4">
            <w:pPr>
              <w:pStyle w:val="ICFTableHeading"/>
            </w:pPr>
            <w:r w:rsidRPr="004C12C9">
              <w:t>Building Type</w:t>
            </w:r>
          </w:p>
        </w:tc>
        <w:tc>
          <w:tcPr>
            <w:tcW w:w="4047" w:type="pct"/>
            <w:gridSpan w:val="4"/>
          </w:tcPr>
          <w:p w14:paraId="2CBF733B" w14:textId="77777777" w:rsidR="006E470A" w:rsidRPr="004C12C9" w:rsidRDefault="006E470A" w:rsidP="00E20EB4">
            <w:pPr>
              <w:pStyle w:val="ICFTableHeading"/>
            </w:pPr>
            <w:r w:rsidRPr="004C12C9">
              <w:t>Annual Energy Intensity (Btu/square foot/year)</w:t>
            </w:r>
          </w:p>
        </w:tc>
      </w:tr>
      <w:tr w:rsidR="006E470A" w:rsidRPr="004C12C9" w14:paraId="3306EA50" w14:textId="77777777" w:rsidTr="00B661B6">
        <w:trPr>
          <w:cnfStyle w:val="000000100000" w:firstRow="0" w:lastRow="0" w:firstColumn="0" w:lastColumn="0" w:oddVBand="0" w:evenVBand="0" w:oddHBand="1" w:evenHBand="0" w:firstRowFirstColumn="0" w:firstRowLastColumn="0" w:lastRowFirstColumn="0" w:lastRowLastColumn="0"/>
          <w:trHeight w:val="171"/>
        </w:trPr>
        <w:tc>
          <w:tcPr>
            <w:tcW w:w="953" w:type="pct"/>
            <w:vMerge/>
            <w:shd w:val="clear" w:color="auto" w:fill="D9D9D9" w:themeFill="background1" w:themeFillShade="D9"/>
          </w:tcPr>
          <w:p w14:paraId="708571F6" w14:textId="77777777" w:rsidR="006E470A" w:rsidRPr="004C12C9" w:rsidRDefault="006E470A" w:rsidP="00E20EB4">
            <w:pPr>
              <w:pStyle w:val="ICFTableHeading"/>
            </w:pPr>
          </w:p>
        </w:tc>
        <w:tc>
          <w:tcPr>
            <w:tcW w:w="918" w:type="pct"/>
            <w:shd w:val="clear" w:color="auto" w:fill="D9D9D9" w:themeFill="background1" w:themeFillShade="D9"/>
          </w:tcPr>
          <w:p w14:paraId="4A71EB05" w14:textId="77777777" w:rsidR="006E470A" w:rsidRPr="004C12C9" w:rsidRDefault="006E470A" w:rsidP="00E20EB4">
            <w:pPr>
              <w:pStyle w:val="ICFTableHeading"/>
            </w:pPr>
            <w:r w:rsidRPr="004C12C9">
              <w:t>Natural Gas</w:t>
            </w:r>
          </w:p>
        </w:tc>
        <w:tc>
          <w:tcPr>
            <w:tcW w:w="918" w:type="pct"/>
            <w:shd w:val="clear" w:color="auto" w:fill="D9D9D9" w:themeFill="background1" w:themeFillShade="D9"/>
          </w:tcPr>
          <w:p w14:paraId="0F51F403" w14:textId="77777777" w:rsidR="006E470A" w:rsidRPr="004C12C9" w:rsidRDefault="006E470A" w:rsidP="00E20EB4">
            <w:pPr>
              <w:pStyle w:val="ICFTableHeading"/>
            </w:pPr>
            <w:r w:rsidRPr="004C12C9">
              <w:t>Propane</w:t>
            </w:r>
          </w:p>
        </w:tc>
        <w:tc>
          <w:tcPr>
            <w:tcW w:w="1199" w:type="pct"/>
            <w:shd w:val="clear" w:color="auto" w:fill="D9D9D9" w:themeFill="background1" w:themeFillShade="D9"/>
          </w:tcPr>
          <w:p w14:paraId="560ADEB8" w14:textId="2B541C1B" w:rsidR="006E470A" w:rsidRPr="004C12C9" w:rsidRDefault="006E470A" w:rsidP="00E20EB4">
            <w:pPr>
              <w:pStyle w:val="ICFTableHeading"/>
            </w:pPr>
            <w:r w:rsidRPr="004C12C9">
              <w:t>Fuel Oil or Kerosene</w:t>
            </w:r>
            <w:r w:rsidR="004D204F" w:rsidRPr="004C12C9">
              <w:rPr>
                <w:vertAlign w:val="superscript"/>
              </w:rPr>
              <w:t>a</w:t>
            </w:r>
          </w:p>
        </w:tc>
        <w:tc>
          <w:tcPr>
            <w:tcW w:w="1012" w:type="pct"/>
            <w:shd w:val="clear" w:color="auto" w:fill="D9D9D9" w:themeFill="background1" w:themeFillShade="D9"/>
          </w:tcPr>
          <w:p w14:paraId="7A0F2B8E" w14:textId="77777777" w:rsidR="006E470A" w:rsidRPr="004C12C9" w:rsidRDefault="006E470A" w:rsidP="00E20EB4">
            <w:pPr>
              <w:pStyle w:val="ICFTableHeading"/>
            </w:pPr>
            <w:r w:rsidRPr="004C12C9">
              <w:t>Electricity</w:t>
            </w:r>
          </w:p>
        </w:tc>
      </w:tr>
      <w:tr w:rsidR="006E470A" w:rsidRPr="004C12C9" w14:paraId="4B917F1E" w14:textId="77777777" w:rsidTr="00A31A19">
        <w:trPr>
          <w:cnfStyle w:val="000000010000" w:firstRow="0" w:lastRow="0" w:firstColumn="0" w:lastColumn="0" w:oddVBand="0" w:evenVBand="0" w:oddHBand="0" w:evenHBand="1" w:firstRowFirstColumn="0" w:firstRowLastColumn="0" w:lastRowFirstColumn="0" w:lastRowLastColumn="0"/>
          <w:trHeight w:val="144"/>
        </w:trPr>
        <w:tc>
          <w:tcPr>
            <w:tcW w:w="953" w:type="pct"/>
            <w:shd w:val="clear" w:color="auto" w:fill="auto"/>
          </w:tcPr>
          <w:p w14:paraId="2B57BF21" w14:textId="77777777" w:rsidR="006E470A" w:rsidRPr="004C12C9" w:rsidRDefault="006E470A" w:rsidP="00E20EB4">
            <w:pPr>
              <w:pStyle w:val="ICFTabletext"/>
            </w:pPr>
            <w:r w:rsidRPr="004C12C9">
              <w:t>Residential</w:t>
            </w:r>
          </w:p>
        </w:tc>
        <w:tc>
          <w:tcPr>
            <w:tcW w:w="918" w:type="pct"/>
            <w:shd w:val="clear" w:color="auto" w:fill="auto"/>
          </w:tcPr>
          <w:p w14:paraId="604C1414" w14:textId="77777777" w:rsidR="006E470A" w:rsidRPr="004C12C9" w:rsidRDefault="006E470A" w:rsidP="00E20EB4">
            <w:pPr>
              <w:pStyle w:val="ICFTabletext"/>
            </w:pPr>
            <w:r w:rsidRPr="004C12C9">
              <w:t>24,460</w:t>
            </w:r>
          </w:p>
        </w:tc>
        <w:tc>
          <w:tcPr>
            <w:tcW w:w="918" w:type="pct"/>
            <w:shd w:val="clear" w:color="auto" w:fill="auto"/>
          </w:tcPr>
          <w:p w14:paraId="61AB1ADB" w14:textId="77777777" w:rsidR="006E470A" w:rsidRPr="004C12C9" w:rsidRDefault="006E470A" w:rsidP="00E20EB4">
            <w:pPr>
              <w:pStyle w:val="ICFTabletext"/>
            </w:pPr>
            <w:r w:rsidRPr="004C12C9">
              <w:t>3,619</w:t>
            </w:r>
          </w:p>
        </w:tc>
        <w:tc>
          <w:tcPr>
            <w:tcW w:w="1199" w:type="pct"/>
            <w:shd w:val="clear" w:color="auto" w:fill="auto"/>
          </w:tcPr>
          <w:p w14:paraId="7C322A5B" w14:textId="77777777" w:rsidR="006E470A" w:rsidRPr="004C12C9" w:rsidRDefault="006E470A" w:rsidP="00E20EB4">
            <w:pPr>
              <w:pStyle w:val="ICFTabletext"/>
            </w:pPr>
            <w:r w:rsidRPr="004C12C9">
              <w:t>234</w:t>
            </w:r>
          </w:p>
        </w:tc>
        <w:tc>
          <w:tcPr>
            <w:tcW w:w="1012" w:type="pct"/>
            <w:shd w:val="clear" w:color="auto" w:fill="auto"/>
          </w:tcPr>
          <w:p w14:paraId="2B8FED5B" w14:textId="77777777" w:rsidR="006E470A" w:rsidRPr="004C12C9" w:rsidRDefault="006E470A" w:rsidP="00E20EB4">
            <w:pPr>
              <w:pStyle w:val="ICFTabletext"/>
            </w:pPr>
            <w:r w:rsidRPr="004C12C9">
              <w:t>18,097</w:t>
            </w:r>
          </w:p>
        </w:tc>
      </w:tr>
      <w:tr w:rsidR="006E470A" w:rsidRPr="004C12C9" w14:paraId="56B23C9F" w14:textId="77777777" w:rsidTr="00A31A19">
        <w:trPr>
          <w:cnfStyle w:val="000000100000" w:firstRow="0" w:lastRow="0" w:firstColumn="0" w:lastColumn="0" w:oddVBand="0" w:evenVBand="0" w:oddHBand="1" w:evenHBand="0" w:firstRowFirstColumn="0" w:firstRowLastColumn="0" w:lastRowFirstColumn="0" w:lastRowLastColumn="0"/>
          <w:trHeight w:val="144"/>
        </w:trPr>
        <w:tc>
          <w:tcPr>
            <w:tcW w:w="953" w:type="pct"/>
            <w:shd w:val="clear" w:color="auto" w:fill="auto"/>
          </w:tcPr>
          <w:p w14:paraId="27C6918B" w14:textId="77777777" w:rsidR="006E470A" w:rsidRPr="004C12C9" w:rsidRDefault="006E470A" w:rsidP="00E20EB4">
            <w:pPr>
              <w:pStyle w:val="ICFTabletext"/>
            </w:pPr>
            <w:r w:rsidRPr="004C12C9">
              <w:t>Commercial</w:t>
            </w:r>
          </w:p>
        </w:tc>
        <w:tc>
          <w:tcPr>
            <w:tcW w:w="918" w:type="pct"/>
            <w:shd w:val="clear" w:color="auto" w:fill="auto"/>
          </w:tcPr>
          <w:p w14:paraId="07CA4DB4" w14:textId="77777777" w:rsidR="006E470A" w:rsidRPr="004C12C9" w:rsidRDefault="006E470A" w:rsidP="00E20EB4">
            <w:pPr>
              <w:pStyle w:val="ICFTabletext"/>
            </w:pPr>
            <w:r w:rsidRPr="004C12C9">
              <w:t>35,535</w:t>
            </w:r>
          </w:p>
        </w:tc>
        <w:tc>
          <w:tcPr>
            <w:tcW w:w="918" w:type="pct"/>
            <w:shd w:val="clear" w:color="auto" w:fill="auto"/>
          </w:tcPr>
          <w:p w14:paraId="77139B73" w14:textId="77777777" w:rsidR="006E470A" w:rsidRPr="004C12C9" w:rsidRDefault="006E470A" w:rsidP="00E20EB4">
            <w:pPr>
              <w:pStyle w:val="ICFTabletext"/>
            </w:pPr>
            <w:r w:rsidRPr="004C12C9">
              <w:t>NA</w:t>
            </w:r>
          </w:p>
        </w:tc>
        <w:tc>
          <w:tcPr>
            <w:tcW w:w="1199" w:type="pct"/>
            <w:shd w:val="clear" w:color="auto" w:fill="auto"/>
          </w:tcPr>
          <w:p w14:paraId="463F794C" w14:textId="77777777" w:rsidR="006E470A" w:rsidRPr="004C12C9" w:rsidRDefault="006E470A" w:rsidP="00E20EB4">
            <w:pPr>
              <w:pStyle w:val="ICFTabletext"/>
            </w:pPr>
            <w:r w:rsidRPr="004C12C9">
              <w:t>1,662</w:t>
            </w:r>
          </w:p>
        </w:tc>
        <w:tc>
          <w:tcPr>
            <w:tcW w:w="1012" w:type="pct"/>
            <w:shd w:val="clear" w:color="auto" w:fill="auto"/>
          </w:tcPr>
          <w:p w14:paraId="0C1D2F74" w14:textId="77777777" w:rsidR="006E470A" w:rsidRPr="004C12C9" w:rsidRDefault="006E470A" w:rsidP="00E20EB4">
            <w:pPr>
              <w:pStyle w:val="ICFTabletext"/>
            </w:pPr>
            <w:r w:rsidRPr="004C12C9">
              <w:t>30,766</w:t>
            </w:r>
          </w:p>
        </w:tc>
      </w:tr>
      <w:tr w:rsidR="006E470A" w:rsidRPr="004C12C9" w14:paraId="44F3C8EA" w14:textId="77777777" w:rsidTr="00A31A19">
        <w:trPr>
          <w:cnfStyle w:val="000000010000" w:firstRow="0" w:lastRow="0" w:firstColumn="0" w:lastColumn="0" w:oddVBand="0" w:evenVBand="0" w:oddHBand="0" w:evenHBand="1" w:firstRowFirstColumn="0" w:firstRowLastColumn="0" w:lastRowFirstColumn="0" w:lastRowLastColumn="0"/>
          <w:trHeight w:val="144"/>
        </w:trPr>
        <w:tc>
          <w:tcPr>
            <w:tcW w:w="953" w:type="pct"/>
            <w:shd w:val="clear" w:color="auto" w:fill="auto"/>
          </w:tcPr>
          <w:p w14:paraId="0ECC848B" w14:textId="77777777" w:rsidR="006E470A" w:rsidRPr="004C12C9" w:rsidRDefault="006E470A" w:rsidP="00E20EB4">
            <w:pPr>
              <w:pStyle w:val="ICFTabletext"/>
            </w:pPr>
            <w:r w:rsidRPr="004C12C9">
              <w:t>Industrial</w:t>
            </w:r>
          </w:p>
        </w:tc>
        <w:tc>
          <w:tcPr>
            <w:tcW w:w="918" w:type="pct"/>
            <w:shd w:val="clear" w:color="auto" w:fill="auto"/>
          </w:tcPr>
          <w:p w14:paraId="570587BC" w14:textId="776DBC16" w:rsidR="006E470A" w:rsidRPr="004C12C9" w:rsidRDefault="006E470A" w:rsidP="00E20EB4">
            <w:pPr>
              <w:pStyle w:val="ICFTabletext"/>
            </w:pPr>
            <w:r w:rsidRPr="004C12C9">
              <w:t>656</w:t>
            </w:r>
            <w:r w:rsidR="00995C03" w:rsidRPr="004C12C9">
              <w:t>,</w:t>
            </w:r>
            <w:r w:rsidRPr="004C12C9">
              <w:t>393</w:t>
            </w:r>
          </w:p>
        </w:tc>
        <w:tc>
          <w:tcPr>
            <w:tcW w:w="918" w:type="pct"/>
            <w:shd w:val="clear" w:color="auto" w:fill="auto"/>
          </w:tcPr>
          <w:p w14:paraId="0A351CD4" w14:textId="77777777" w:rsidR="006E470A" w:rsidRPr="004C12C9" w:rsidRDefault="006E470A" w:rsidP="00E20EB4">
            <w:pPr>
              <w:pStyle w:val="ICFTabletext"/>
            </w:pPr>
            <w:r w:rsidRPr="004C12C9">
              <w:t>NA</w:t>
            </w:r>
          </w:p>
        </w:tc>
        <w:tc>
          <w:tcPr>
            <w:tcW w:w="1199" w:type="pct"/>
            <w:shd w:val="clear" w:color="auto" w:fill="auto"/>
          </w:tcPr>
          <w:p w14:paraId="329FA937" w14:textId="77777777" w:rsidR="006E470A" w:rsidRPr="004C12C9" w:rsidRDefault="006E470A" w:rsidP="00E20EB4">
            <w:pPr>
              <w:pStyle w:val="ICFTabletext"/>
            </w:pPr>
            <w:r w:rsidRPr="004C12C9">
              <w:t>8,192</w:t>
            </w:r>
          </w:p>
        </w:tc>
        <w:tc>
          <w:tcPr>
            <w:tcW w:w="1012" w:type="pct"/>
            <w:shd w:val="clear" w:color="auto" w:fill="auto"/>
          </w:tcPr>
          <w:p w14:paraId="322B5F4D" w14:textId="77777777" w:rsidR="006E470A" w:rsidRPr="004C12C9" w:rsidRDefault="006E470A" w:rsidP="00E20EB4">
            <w:pPr>
              <w:pStyle w:val="ICFTabletext"/>
            </w:pPr>
            <w:r w:rsidRPr="004C12C9">
              <w:t>229,952</w:t>
            </w:r>
          </w:p>
        </w:tc>
      </w:tr>
      <w:tr w:rsidR="006E470A" w:rsidRPr="004C12C9" w14:paraId="562C7ED2" w14:textId="77777777" w:rsidTr="00A31A19">
        <w:trPr>
          <w:cnfStyle w:val="000000100000" w:firstRow="0" w:lastRow="0" w:firstColumn="0" w:lastColumn="0" w:oddVBand="0" w:evenVBand="0" w:oddHBand="1" w:evenHBand="0" w:firstRowFirstColumn="0" w:firstRowLastColumn="0" w:lastRowFirstColumn="0" w:lastRowLastColumn="0"/>
          <w:trHeight w:val="144"/>
        </w:trPr>
        <w:tc>
          <w:tcPr>
            <w:tcW w:w="953" w:type="pct"/>
            <w:shd w:val="clear" w:color="auto" w:fill="auto"/>
          </w:tcPr>
          <w:p w14:paraId="576F9ED6" w14:textId="77777777" w:rsidR="006E470A" w:rsidRPr="004C12C9" w:rsidRDefault="006E470A" w:rsidP="00E20EB4">
            <w:pPr>
              <w:pStyle w:val="ICFTabletext"/>
            </w:pPr>
            <w:r w:rsidRPr="004C12C9">
              <w:t>Institutional</w:t>
            </w:r>
          </w:p>
        </w:tc>
        <w:tc>
          <w:tcPr>
            <w:tcW w:w="918" w:type="pct"/>
            <w:shd w:val="clear" w:color="auto" w:fill="auto"/>
          </w:tcPr>
          <w:p w14:paraId="702D4BCF" w14:textId="77777777" w:rsidR="006E470A" w:rsidRPr="004C12C9" w:rsidRDefault="006E470A" w:rsidP="00E20EB4">
            <w:pPr>
              <w:pStyle w:val="ICFTabletext"/>
            </w:pPr>
            <w:r w:rsidRPr="004C12C9">
              <w:t>48,219</w:t>
            </w:r>
          </w:p>
        </w:tc>
        <w:tc>
          <w:tcPr>
            <w:tcW w:w="918" w:type="pct"/>
            <w:shd w:val="clear" w:color="auto" w:fill="auto"/>
          </w:tcPr>
          <w:p w14:paraId="14C23CC3" w14:textId="77777777" w:rsidR="006E470A" w:rsidRPr="004C12C9" w:rsidRDefault="006E470A" w:rsidP="00E20EB4">
            <w:pPr>
              <w:pStyle w:val="ICFTabletext"/>
            </w:pPr>
            <w:r w:rsidRPr="004C12C9">
              <w:t>NA</w:t>
            </w:r>
          </w:p>
        </w:tc>
        <w:tc>
          <w:tcPr>
            <w:tcW w:w="1199" w:type="pct"/>
            <w:shd w:val="clear" w:color="auto" w:fill="auto"/>
          </w:tcPr>
          <w:p w14:paraId="7AA1C25A" w14:textId="77777777" w:rsidR="006E470A" w:rsidRPr="004C12C9" w:rsidRDefault="006E470A" w:rsidP="00E20EB4">
            <w:pPr>
              <w:pStyle w:val="ICFTabletext"/>
            </w:pPr>
            <w:r w:rsidRPr="004C12C9">
              <w:t>3,660</w:t>
            </w:r>
          </w:p>
        </w:tc>
        <w:tc>
          <w:tcPr>
            <w:tcW w:w="1012" w:type="pct"/>
            <w:shd w:val="clear" w:color="auto" w:fill="auto"/>
          </w:tcPr>
          <w:p w14:paraId="2AA9FBC5" w14:textId="77777777" w:rsidR="006E470A" w:rsidRPr="004C12C9" w:rsidRDefault="006E470A" w:rsidP="00E20EB4">
            <w:pPr>
              <w:pStyle w:val="ICFTabletext"/>
            </w:pPr>
            <w:r w:rsidRPr="004C12C9">
              <w:t>46,860</w:t>
            </w:r>
          </w:p>
        </w:tc>
      </w:tr>
    </w:tbl>
    <w:p w14:paraId="040A185B" w14:textId="77777777" w:rsidR="006E470A" w:rsidRPr="004C12C9" w:rsidRDefault="006E470A" w:rsidP="00B661B6">
      <w:pPr>
        <w:pStyle w:val="TableFooter"/>
      </w:pPr>
      <w:r w:rsidRPr="004C12C9">
        <w:t>Note:</w:t>
      </w:r>
      <w:r w:rsidRPr="004C12C9" w:rsidDel="00103BDE">
        <w:t xml:space="preserve"> </w:t>
      </w:r>
      <w:r w:rsidRPr="004C12C9">
        <w:t xml:space="preserve">NA indicates lack of available </w:t>
      </w:r>
      <w:r w:rsidRPr="004C12C9" w:rsidDel="000561E0">
        <w:t>data</w:t>
      </w:r>
      <w:r w:rsidRPr="004C12C9">
        <w:t>.</w:t>
      </w:r>
    </w:p>
    <w:p w14:paraId="12551B46" w14:textId="2C57320A" w:rsidR="006E470A" w:rsidRPr="004C12C9" w:rsidRDefault="004D204F" w:rsidP="00B661B6">
      <w:pPr>
        <w:pStyle w:val="TableFooter"/>
      </w:pPr>
      <w:r w:rsidRPr="004C12C9">
        <w:rPr>
          <w:vertAlign w:val="superscript"/>
        </w:rPr>
        <w:t>a</w:t>
      </w:r>
      <w:r w:rsidR="006E470A" w:rsidRPr="004C12C9">
        <w:t xml:space="preserve"> RECS uses the fuel type “fuel oil or kerosene” and MECS uses “residual fuel oil or distillate fuel oil</w:t>
      </w:r>
      <w:r w:rsidRPr="004C12C9">
        <w:t>.</w:t>
      </w:r>
      <w:r w:rsidR="006E470A" w:rsidRPr="004C12C9">
        <w:t>”</w:t>
      </w:r>
    </w:p>
    <w:p w14:paraId="46516CDA" w14:textId="77777777" w:rsidR="006E470A" w:rsidRPr="004C12C9" w:rsidRDefault="006E470A" w:rsidP="003B031A">
      <w:pPr>
        <w:pStyle w:val="Heading5"/>
      </w:pPr>
      <w:r w:rsidRPr="004C12C9">
        <w:t>Residential Buildings</w:t>
      </w:r>
    </w:p>
    <w:p w14:paraId="3CC9CEBF" w14:textId="79F61187" w:rsidR="006E470A" w:rsidRPr="004C12C9" w:rsidRDefault="006E470A" w:rsidP="00972CF9">
      <w:r w:rsidRPr="004C12C9">
        <w:t>Total energy consumption by residential buildings for the West North Central census division in the Midwest region by fuel type in million Btu were obtained from RECS Table CE2.3</w:t>
      </w:r>
      <w:r w:rsidR="003C3CA0">
        <w:rPr>
          <w:rFonts w:ascii="ZWAdobeF" w:hAnsi="ZWAdobeF" w:cs="ZWAdobeF"/>
          <w:sz w:val="2"/>
          <w:szCs w:val="2"/>
        </w:rPr>
        <w:t>69F</w:t>
      </w:r>
      <w:r w:rsidR="00466EBA" w:rsidRPr="004C12C9">
        <w:rPr>
          <w:rStyle w:val="FootnoteReference"/>
        </w:rPr>
        <w:footnoteReference w:id="73"/>
      </w:r>
      <w:r w:rsidRPr="004C12C9">
        <w:t xml:space="preserve"> while total square footage of </w:t>
      </w:r>
      <w:r w:rsidRPr="004C12C9">
        <w:lastRenderedPageBreak/>
        <w:t>residential buildings in the West North Central census division in the Midwest were obtained from Table HC10.3.</w:t>
      </w:r>
      <w:r w:rsidR="003C3CA0">
        <w:rPr>
          <w:rFonts w:ascii="ZWAdobeF" w:hAnsi="ZWAdobeF" w:cs="ZWAdobeF"/>
          <w:sz w:val="2"/>
          <w:szCs w:val="2"/>
        </w:rPr>
        <w:t>70F</w:t>
      </w:r>
      <w:r w:rsidR="00555D90" w:rsidRPr="004C12C9">
        <w:rPr>
          <w:rStyle w:val="FootnoteReference"/>
        </w:rPr>
        <w:footnoteReference w:id="74"/>
      </w:r>
      <w:r w:rsidRPr="004C12C9">
        <w:t xml:space="preserve"> These data are summarized in </w:t>
      </w:r>
      <w:r w:rsidRPr="004C12C9">
        <w:fldChar w:fldCharType="begin" w:fldLock="1"/>
      </w:r>
      <w:r w:rsidRPr="004C12C9">
        <w:instrText xml:space="preserve"> REF _Ref185795441 \h  \* MERGEFORMAT </w:instrText>
      </w:r>
      <w:r w:rsidRPr="004C12C9">
        <w:fldChar w:fldCharType="separate"/>
      </w:r>
      <w:r w:rsidR="00127094" w:rsidRPr="004C12C9">
        <w:t>Table 3</w:t>
      </w:r>
      <w:r w:rsidR="00127094" w:rsidRPr="004C12C9">
        <w:noBreakHyphen/>
        <w:t>3</w:t>
      </w:r>
      <w:r w:rsidRPr="004C12C9">
        <w:fldChar w:fldCharType="end"/>
      </w:r>
      <w:r w:rsidRPr="004C12C9">
        <w:t xml:space="preserve">. Total energy consumption by fuel type was divided by total square footage to derive the values for residential buildings shown in </w:t>
      </w:r>
      <w:r w:rsidR="00882A68" w:rsidRPr="004C12C9">
        <w:fldChar w:fldCharType="begin" w:fldLock="1"/>
      </w:r>
      <w:r w:rsidR="00882A68" w:rsidRPr="004C12C9">
        <w:instrText xml:space="preserve"> REF _Ref195606550 \h </w:instrText>
      </w:r>
      <w:r w:rsidR="00882A68" w:rsidRPr="004C12C9">
        <w:fldChar w:fldCharType="separate"/>
      </w:r>
      <w:r w:rsidR="00127094" w:rsidRPr="004C12C9">
        <w:t>Table 3</w:t>
      </w:r>
      <w:r w:rsidR="00127094" w:rsidRPr="004C12C9">
        <w:noBreakHyphen/>
        <w:t>2</w:t>
      </w:r>
      <w:r w:rsidR="00882A68" w:rsidRPr="004C12C9">
        <w:fldChar w:fldCharType="end"/>
      </w:r>
      <w:r w:rsidRPr="004C12C9">
        <w:t xml:space="preserve"> above.</w:t>
      </w:r>
    </w:p>
    <w:p w14:paraId="250D5047" w14:textId="00F5E1C8" w:rsidR="006E470A" w:rsidRPr="004C12C9" w:rsidRDefault="006E470A" w:rsidP="00972CF9">
      <w:pPr>
        <w:pStyle w:val="Caption"/>
      </w:pPr>
      <w:bookmarkStart w:id="154" w:name="_Ref18579544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w:t>
      </w:r>
      <w:r w:rsidR="00F72B41">
        <w:fldChar w:fldCharType="end"/>
      </w:r>
      <w:bookmarkEnd w:id="154"/>
      <w:r w:rsidRPr="004C12C9">
        <w:t xml:space="preserve">. </w:t>
      </w:r>
      <w:r w:rsidR="00771011" w:rsidRPr="004C12C9">
        <w:t>Total Square Footage and Energy Consumption for</w:t>
      </w:r>
      <w:r w:rsidRPr="004C12C9">
        <w:t xml:space="preserve"> </w:t>
      </w:r>
      <w:r w:rsidR="00771011" w:rsidRPr="004C12C9">
        <w:t xml:space="preserve">Midwest </w:t>
      </w:r>
      <w:r w:rsidRPr="004C12C9">
        <w:t>Residential Building</w:t>
      </w:r>
      <w:r w:rsidR="00771011" w:rsidRPr="004C12C9">
        <w:t>s</w:t>
      </w:r>
    </w:p>
    <w:tbl>
      <w:tblPr>
        <w:tblStyle w:val="TableGrid1"/>
        <w:tblW w:w="5060" w:type="pct"/>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0"/>
        <w:gridCol w:w="1781"/>
        <w:gridCol w:w="1843"/>
        <w:gridCol w:w="2421"/>
        <w:gridCol w:w="1836"/>
      </w:tblGrid>
      <w:tr w:rsidR="00540AD1" w:rsidRPr="004C12C9" w14:paraId="284F7A93" w14:textId="77777777" w:rsidTr="00B661B6">
        <w:trPr>
          <w:cnfStyle w:val="100000000000" w:firstRow="1" w:lastRow="0" w:firstColumn="0" w:lastColumn="0" w:oddVBand="0" w:evenVBand="0" w:oddHBand="0" w:evenHBand="0" w:firstRowFirstColumn="0" w:firstRowLastColumn="0" w:lastRowFirstColumn="0" w:lastRowLastColumn="0"/>
          <w:trHeight w:val="143"/>
        </w:trPr>
        <w:tc>
          <w:tcPr>
            <w:tcW w:w="1133" w:type="pct"/>
            <w:vMerge w:val="restart"/>
          </w:tcPr>
          <w:p w14:paraId="0ACD73EF" w14:textId="77777777" w:rsidR="006E470A" w:rsidRPr="004C12C9" w:rsidRDefault="006E470A" w:rsidP="00B661B6">
            <w:pPr>
              <w:pStyle w:val="ICFTableHeading"/>
            </w:pPr>
            <w:r w:rsidRPr="004C12C9">
              <w:t>Total square footage (billion square feet)</w:t>
            </w:r>
          </w:p>
        </w:tc>
        <w:tc>
          <w:tcPr>
            <w:tcW w:w="3867" w:type="pct"/>
            <w:gridSpan w:val="4"/>
          </w:tcPr>
          <w:p w14:paraId="06E55DE3" w14:textId="77777777" w:rsidR="006E470A" w:rsidRPr="004C12C9" w:rsidRDefault="006E470A" w:rsidP="00B661B6">
            <w:pPr>
              <w:pStyle w:val="ICFTableHeading"/>
            </w:pPr>
            <w:r w:rsidRPr="004C12C9">
              <w:t>Total Energy Consumption (trillion Btu)</w:t>
            </w:r>
          </w:p>
        </w:tc>
      </w:tr>
      <w:tr w:rsidR="00540AD1" w:rsidRPr="004C12C9" w14:paraId="4DF20C8B" w14:textId="77777777" w:rsidTr="00E42B07">
        <w:trPr>
          <w:cnfStyle w:val="000000100000" w:firstRow="0" w:lastRow="0" w:firstColumn="0" w:lastColumn="0" w:oddVBand="0" w:evenVBand="0" w:oddHBand="1" w:evenHBand="0" w:firstRowFirstColumn="0" w:firstRowLastColumn="0" w:lastRowFirstColumn="0" w:lastRowLastColumn="0"/>
          <w:trHeight w:val="171"/>
        </w:trPr>
        <w:tc>
          <w:tcPr>
            <w:tcW w:w="1133" w:type="pct"/>
            <w:vMerge/>
            <w:shd w:val="clear" w:color="auto" w:fill="D9D9D9" w:themeFill="background1" w:themeFillShade="D9"/>
          </w:tcPr>
          <w:p w14:paraId="0C1E1A38" w14:textId="77777777" w:rsidR="006E470A" w:rsidRPr="004C12C9" w:rsidRDefault="006E470A" w:rsidP="00B661B6">
            <w:pPr>
              <w:pStyle w:val="ICFTableHeading"/>
            </w:pPr>
          </w:p>
        </w:tc>
        <w:tc>
          <w:tcPr>
            <w:tcW w:w="874" w:type="pct"/>
            <w:shd w:val="clear" w:color="auto" w:fill="D9D9D9" w:themeFill="background1" w:themeFillShade="D9"/>
          </w:tcPr>
          <w:p w14:paraId="79E08E63" w14:textId="77777777" w:rsidR="006E470A" w:rsidRPr="004C12C9" w:rsidRDefault="006E470A" w:rsidP="00B661B6">
            <w:pPr>
              <w:pStyle w:val="ICFTableHeading"/>
            </w:pPr>
            <w:r w:rsidRPr="004C12C9">
              <w:t>Natural Gas</w:t>
            </w:r>
          </w:p>
        </w:tc>
        <w:tc>
          <w:tcPr>
            <w:tcW w:w="904" w:type="pct"/>
            <w:shd w:val="clear" w:color="auto" w:fill="D9D9D9" w:themeFill="background1" w:themeFillShade="D9"/>
          </w:tcPr>
          <w:p w14:paraId="36C36713" w14:textId="77777777" w:rsidR="006E470A" w:rsidRPr="004C12C9" w:rsidRDefault="006E470A" w:rsidP="00B661B6">
            <w:pPr>
              <w:pStyle w:val="ICFTableHeading"/>
            </w:pPr>
            <w:r w:rsidRPr="004C12C9">
              <w:t>Propane</w:t>
            </w:r>
          </w:p>
        </w:tc>
        <w:tc>
          <w:tcPr>
            <w:tcW w:w="1188" w:type="pct"/>
            <w:shd w:val="clear" w:color="auto" w:fill="D9D9D9" w:themeFill="background1" w:themeFillShade="D9"/>
          </w:tcPr>
          <w:p w14:paraId="0156082B" w14:textId="77777777" w:rsidR="006E470A" w:rsidRPr="004C12C9" w:rsidRDefault="006E470A" w:rsidP="00B661B6">
            <w:pPr>
              <w:pStyle w:val="ICFTableHeading"/>
            </w:pPr>
            <w:r w:rsidRPr="004C12C9">
              <w:t>Fuel Oil or Kerosene</w:t>
            </w:r>
          </w:p>
        </w:tc>
        <w:tc>
          <w:tcPr>
            <w:tcW w:w="901" w:type="pct"/>
            <w:shd w:val="clear" w:color="auto" w:fill="D9D9D9" w:themeFill="background1" w:themeFillShade="D9"/>
          </w:tcPr>
          <w:p w14:paraId="5C83F8F1" w14:textId="77777777" w:rsidR="006E470A" w:rsidRPr="004C12C9" w:rsidRDefault="006E470A" w:rsidP="00B661B6">
            <w:pPr>
              <w:pStyle w:val="ICFTableHeading"/>
            </w:pPr>
            <w:r w:rsidRPr="004C12C9">
              <w:t>Electricity</w:t>
            </w:r>
          </w:p>
        </w:tc>
      </w:tr>
      <w:tr w:rsidR="009B0811" w:rsidRPr="004C12C9" w14:paraId="23F53FD4" w14:textId="77777777" w:rsidTr="00E42B07">
        <w:trPr>
          <w:cnfStyle w:val="000000010000" w:firstRow="0" w:lastRow="0" w:firstColumn="0" w:lastColumn="0" w:oddVBand="0" w:evenVBand="0" w:oddHBand="0" w:evenHBand="1" w:firstRowFirstColumn="0" w:firstRowLastColumn="0" w:lastRowFirstColumn="0" w:lastRowLastColumn="0"/>
          <w:trHeight w:val="144"/>
        </w:trPr>
        <w:tc>
          <w:tcPr>
            <w:tcW w:w="1133" w:type="pct"/>
          </w:tcPr>
          <w:p w14:paraId="59D81161" w14:textId="77777777" w:rsidR="006E470A" w:rsidRPr="004C12C9" w:rsidRDefault="006E470A" w:rsidP="00B661B6">
            <w:pPr>
              <w:pStyle w:val="ICFTabletext"/>
            </w:pPr>
            <w:r w:rsidRPr="004C12C9">
              <w:t>17.13</w:t>
            </w:r>
          </w:p>
        </w:tc>
        <w:tc>
          <w:tcPr>
            <w:tcW w:w="874" w:type="pct"/>
          </w:tcPr>
          <w:p w14:paraId="511F8AC2" w14:textId="77777777" w:rsidR="006E470A" w:rsidRPr="004C12C9" w:rsidRDefault="006E470A" w:rsidP="00B661B6">
            <w:pPr>
              <w:pStyle w:val="ICFTabletext"/>
            </w:pPr>
            <w:r w:rsidRPr="004C12C9">
              <w:t>419</w:t>
            </w:r>
          </w:p>
        </w:tc>
        <w:tc>
          <w:tcPr>
            <w:tcW w:w="904" w:type="pct"/>
          </w:tcPr>
          <w:p w14:paraId="421B0A1F" w14:textId="77777777" w:rsidR="006E470A" w:rsidRPr="004C12C9" w:rsidRDefault="006E470A" w:rsidP="00B661B6">
            <w:pPr>
              <w:pStyle w:val="ICFTabletext"/>
            </w:pPr>
            <w:r w:rsidRPr="004C12C9">
              <w:t>62</w:t>
            </w:r>
          </w:p>
        </w:tc>
        <w:tc>
          <w:tcPr>
            <w:tcW w:w="1188" w:type="pct"/>
          </w:tcPr>
          <w:p w14:paraId="22601258" w14:textId="77777777" w:rsidR="006E470A" w:rsidRPr="004C12C9" w:rsidRDefault="006E470A" w:rsidP="00B661B6">
            <w:pPr>
              <w:pStyle w:val="ICFTabletext"/>
            </w:pPr>
            <w:r w:rsidRPr="004C12C9">
              <w:t>4</w:t>
            </w:r>
          </w:p>
        </w:tc>
        <w:tc>
          <w:tcPr>
            <w:tcW w:w="901" w:type="pct"/>
          </w:tcPr>
          <w:p w14:paraId="5AAC6D98" w14:textId="77777777" w:rsidR="006E470A" w:rsidRPr="004C12C9" w:rsidRDefault="006E470A" w:rsidP="00B661B6">
            <w:pPr>
              <w:pStyle w:val="ICFTabletext"/>
            </w:pPr>
            <w:r w:rsidRPr="004C12C9">
              <w:t>310</w:t>
            </w:r>
          </w:p>
        </w:tc>
      </w:tr>
    </w:tbl>
    <w:p w14:paraId="7C93F3D3" w14:textId="700B6818" w:rsidR="00E42B07" w:rsidRPr="004C12C9" w:rsidRDefault="00E42B07" w:rsidP="00E42B07">
      <w:pPr>
        <w:pStyle w:val="Heading5"/>
      </w:pPr>
      <w:r w:rsidRPr="004C12C9">
        <w:t>Commercial Buildings</w:t>
      </w:r>
      <w:r w:rsidR="003C3CA0">
        <w:rPr>
          <w:rFonts w:ascii="ZWAdobeF" w:hAnsi="ZWAdobeF" w:cs="ZWAdobeF"/>
          <w:b w:val="0"/>
          <w:sz w:val="2"/>
          <w:szCs w:val="2"/>
        </w:rPr>
        <w:t>71F</w:t>
      </w:r>
      <w:r w:rsidR="00447A14" w:rsidRPr="004C12C9">
        <w:rPr>
          <w:rStyle w:val="FootnoteReference"/>
        </w:rPr>
        <w:footnoteReference w:id="75"/>
      </w:r>
    </w:p>
    <w:p w14:paraId="2BA43582" w14:textId="4D24294D" w:rsidR="006E470A" w:rsidRPr="004C12C9" w:rsidRDefault="006E470A" w:rsidP="00972CF9">
      <w:r w:rsidRPr="004C12C9">
        <w:t>Natural gas energy intensities by building type for the West North Central census division in the Midwest region in cubic feet per square foot were obtained from CBECS Table C28.</w:t>
      </w:r>
      <w:r w:rsidR="003C3CA0">
        <w:rPr>
          <w:rFonts w:ascii="ZWAdobeF" w:hAnsi="ZWAdobeF" w:cs="ZWAdobeF"/>
          <w:sz w:val="2"/>
          <w:szCs w:val="2"/>
        </w:rPr>
        <w:t>72F</w:t>
      </w:r>
      <w:r w:rsidR="00020211" w:rsidRPr="004C12C9">
        <w:rPr>
          <w:rStyle w:val="FootnoteReference"/>
        </w:rPr>
        <w:footnoteReference w:id="76"/>
      </w:r>
      <w:r w:rsidRPr="004C12C9">
        <w:t xml:space="preserve"> These values were averaged and converted to Btu per square foot based on a conversion factor of 1,049 Btu</w:t>
      </w:r>
      <w:r w:rsidR="005D16C2" w:rsidRPr="004C12C9">
        <w:t>/</w:t>
      </w:r>
      <w:r w:rsidRPr="004C12C9">
        <w:t>cubic foot as obtained from EIA.</w:t>
      </w:r>
      <w:r w:rsidR="003C3CA0">
        <w:rPr>
          <w:rFonts w:ascii="ZWAdobeF" w:hAnsi="ZWAdobeF" w:cs="ZWAdobeF"/>
          <w:sz w:val="2"/>
          <w:szCs w:val="2"/>
        </w:rPr>
        <w:t>73F</w:t>
      </w:r>
      <w:r w:rsidRPr="004C12C9">
        <w:rPr>
          <w:rStyle w:val="FootnoteReference"/>
        </w:rPr>
        <w:footnoteReference w:id="77"/>
      </w:r>
      <w:r w:rsidRPr="004C12C9">
        <w:t xml:space="preserve"> Fuel oil energy intensities by building type for the Midwest region in gallons per thousand square feet were obtained from CBECS Table C35.</w:t>
      </w:r>
      <w:r w:rsidR="003C3CA0">
        <w:rPr>
          <w:rFonts w:ascii="ZWAdobeF" w:hAnsi="ZWAdobeF" w:cs="ZWAdobeF"/>
          <w:sz w:val="2"/>
          <w:szCs w:val="2"/>
        </w:rPr>
        <w:t>74F</w:t>
      </w:r>
      <w:r w:rsidR="003358A1" w:rsidRPr="004C12C9">
        <w:rPr>
          <w:rStyle w:val="FootnoteReference"/>
        </w:rPr>
        <w:footnoteReference w:id="78"/>
      </w:r>
      <w:r w:rsidRPr="004C12C9">
        <w:t xml:space="preserve"> These values were averaged and converted to Btu</w:t>
      </w:r>
      <w:r w:rsidR="002E23FD" w:rsidRPr="004C12C9">
        <w:t>/</w:t>
      </w:r>
      <w:r w:rsidRPr="004C12C9">
        <w:t>square foot based on conversion factors of 42 gallons</w:t>
      </w:r>
      <w:r w:rsidR="002E23FD" w:rsidRPr="004C12C9">
        <w:t>/</w:t>
      </w:r>
      <w:r w:rsidRPr="004C12C9">
        <w:t>barrel of oil and 6,287,000 Btu</w:t>
      </w:r>
      <w:r w:rsidR="002E23FD" w:rsidRPr="004C12C9">
        <w:t>/</w:t>
      </w:r>
      <w:r w:rsidRPr="004C12C9">
        <w:t>barrel residual fuel oil</w:t>
      </w:r>
      <w:r w:rsidR="002E23FD" w:rsidRPr="004C12C9">
        <w:t>,</w:t>
      </w:r>
      <w:r w:rsidRPr="004C12C9">
        <w:t xml:space="preserve"> as obtained from EIA.</w:t>
      </w:r>
      <w:r w:rsidR="003C3CA0">
        <w:rPr>
          <w:rFonts w:ascii="ZWAdobeF" w:hAnsi="ZWAdobeF" w:cs="ZWAdobeF"/>
          <w:sz w:val="2"/>
          <w:szCs w:val="2"/>
        </w:rPr>
        <w:t>75F</w:t>
      </w:r>
      <w:r w:rsidRPr="004C12C9">
        <w:rPr>
          <w:rStyle w:val="FootnoteReference"/>
        </w:rPr>
        <w:footnoteReference w:id="79"/>
      </w:r>
      <w:r w:rsidRPr="004C12C9">
        <w:t xml:space="preserve"> Electricity energy intensities by building type for the West North Central census division in the Midwest region in kWh</w:t>
      </w:r>
      <w:r w:rsidR="002E23FD" w:rsidRPr="004C12C9">
        <w:t>/</w:t>
      </w:r>
      <w:r w:rsidRPr="004C12C9">
        <w:t>square foot were obtained from CBECS Table C18.</w:t>
      </w:r>
      <w:r w:rsidR="003C3CA0">
        <w:rPr>
          <w:rFonts w:ascii="ZWAdobeF" w:hAnsi="ZWAdobeF" w:cs="ZWAdobeF"/>
          <w:sz w:val="2"/>
          <w:szCs w:val="2"/>
        </w:rPr>
        <w:t>76F</w:t>
      </w:r>
      <w:r w:rsidR="00677600" w:rsidRPr="004C12C9">
        <w:rPr>
          <w:rStyle w:val="FootnoteReference"/>
        </w:rPr>
        <w:footnoteReference w:id="80"/>
      </w:r>
      <w:r w:rsidRPr="004C12C9">
        <w:t xml:space="preserve"> These values were averaged and converted to Btu</w:t>
      </w:r>
      <w:r w:rsidR="002E23FD" w:rsidRPr="004C12C9">
        <w:t>/</w:t>
      </w:r>
      <w:r w:rsidRPr="004C12C9">
        <w:t xml:space="preserve">square foot based on a standard conversion factor of 3,412.14 Btu per kWh. </w:t>
      </w:r>
      <w:r w:rsidRPr="004C12C9">
        <w:fldChar w:fldCharType="begin" w:fldLock="1"/>
      </w:r>
      <w:r w:rsidRPr="004C12C9">
        <w:instrText xml:space="preserve"> REF _Ref185796050 \h </w:instrText>
      </w:r>
      <w:r w:rsidRPr="004C12C9">
        <w:fldChar w:fldCharType="separate"/>
      </w:r>
      <w:r w:rsidR="00127094" w:rsidRPr="004C12C9">
        <w:t>Table 3</w:t>
      </w:r>
      <w:r w:rsidR="00127094" w:rsidRPr="004C12C9">
        <w:noBreakHyphen/>
        <w:t>4</w:t>
      </w:r>
      <w:r w:rsidRPr="004C12C9">
        <w:fldChar w:fldCharType="end"/>
      </w:r>
      <w:r w:rsidRPr="004C12C9">
        <w:t xml:space="preserve"> summarizes the data obtained from CBECS that was used to derive the values for commercial buildings shown in </w:t>
      </w:r>
      <w:r w:rsidR="001C23FA" w:rsidRPr="004C12C9">
        <w:fldChar w:fldCharType="begin" w:fldLock="1"/>
      </w:r>
      <w:r w:rsidR="001C23FA" w:rsidRPr="004C12C9">
        <w:instrText xml:space="preserve"> REF _Ref195606550 \h </w:instrText>
      </w:r>
      <w:r w:rsidR="001C23FA" w:rsidRPr="004C12C9">
        <w:fldChar w:fldCharType="separate"/>
      </w:r>
      <w:r w:rsidR="00127094" w:rsidRPr="004C12C9">
        <w:t>Table 3</w:t>
      </w:r>
      <w:r w:rsidR="00127094" w:rsidRPr="004C12C9">
        <w:noBreakHyphen/>
        <w:t>2</w:t>
      </w:r>
      <w:r w:rsidR="001C23FA" w:rsidRPr="004C12C9">
        <w:fldChar w:fldCharType="end"/>
      </w:r>
      <w:r w:rsidRPr="004C12C9">
        <w:t xml:space="preserve"> above.</w:t>
      </w:r>
    </w:p>
    <w:p w14:paraId="55A5855B" w14:textId="7ED43ABE" w:rsidR="006E470A" w:rsidRPr="004C12C9" w:rsidRDefault="006E470A" w:rsidP="00972CF9">
      <w:pPr>
        <w:pStyle w:val="Caption"/>
      </w:pPr>
      <w:bookmarkStart w:id="155" w:name="_Ref18579605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w:t>
      </w:r>
      <w:r w:rsidR="00F72B41">
        <w:fldChar w:fldCharType="end"/>
      </w:r>
      <w:bookmarkEnd w:id="155"/>
      <w:r w:rsidRPr="004C12C9">
        <w:t xml:space="preserve">. </w:t>
      </w:r>
      <w:r w:rsidR="00A14B59" w:rsidRPr="004C12C9">
        <w:t>Energy Intensity</w:t>
      </w:r>
      <w:r w:rsidR="007D7E52" w:rsidRPr="004C12C9">
        <w:t xml:space="preserve"> by Building Type for </w:t>
      </w:r>
      <w:r w:rsidR="00E833F1" w:rsidRPr="004C12C9">
        <w:t xml:space="preserve">Midwest </w:t>
      </w:r>
      <w:r w:rsidR="00BD19B6" w:rsidRPr="004C12C9">
        <w:t>Commercial Buildings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3"/>
        <w:gridCol w:w="2485"/>
        <w:gridCol w:w="2636"/>
        <w:gridCol w:w="2336"/>
      </w:tblGrid>
      <w:tr w:rsidR="007D6FA5" w:rsidRPr="004C12C9" w14:paraId="2E72BBB6" w14:textId="77777777" w:rsidTr="007D6FA5">
        <w:trPr>
          <w:trHeight w:val="215"/>
          <w:tblHeader/>
        </w:trPr>
        <w:tc>
          <w:tcPr>
            <w:tcW w:w="1297" w:type="pct"/>
            <w:vMerge w:val="restart"/>
            <w:shd w:val="clear" w:color="auto" w:fill="D9D9D9" w:themeFill="background1" w:themeFillShade="D9"/>
            <w:vAlign w:val="center"/>
          </w:tcPr>
          <w:p w14:paraId="49F9D8B0" w14:textId="5CA6C237" w:rsidR="007D6FA5" w:rsidRPr="004C12C9" w:rsidRDefault="007D6FA5" w:rsidP="005C3460">
            <w:pPr>
              <w:pStyle w:val="ICFTableHeading"/>
            </w:pPr>
            <w:r w:rsidRPr="004C12C9">
              <w:t>Building Type</w:t>
            </w:r>
          </w:p>
        </w:tc>
        <w:tc>
          <w:tcPr>
            <w:tcW w:w="3703" w:type="pct"/>
            <w:gridSpan w:val="3"/>
            <w:shd w:val="clear" w:color="auto" w:fill="D9D9D9" w:themeFill="background1" w:themeFillShade="D9"/>
            <w:vAlign w:val="center"/>
          </w:tcPr>
          <w:p w14:paraId="5ECE612C" w14:textId="60B21A1C" w:rsidR="007D6FA5" w:rsidRPr="004C12C9" w:rsidDel="00AD3665" w:rsidRDefault="007D6FA5" w:rsidP="005C3460">
            <w:pPr>
              <w:pStyle w:val="ICFTableHeading"/>
            </w:pPr>
            <w:r w:rsidRPr="004C12C9">
              <w:t>Energy Intensity</w:t>
            </w:r>
          </w:p>
        </w:tc>
      </w:tr>
      <w:tr w:rsidR="007D6FA5" w:rsidRPr="004C12C9" w14:paraId="3CAE98CC" w14:textId="77777777" w:rsidTr="007D6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blHeader/>
        </w:trPr>
        <w:tc>
          <w:tcPr>
            <w:tcW w:w="1297"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D012E23" w14:textId="778778CA" w:rsidR="007D6FA5" w:rsidRPr="004C12C9" w:rsidRDefault="007D6FA5" w:rsidP="007041DF">
            <w:pPr>
              <w:pStyle w:val="ICFTableHeading"/>
            </w:pPr>
          </w:p>
        </w:tc>
        <w:tc>
          <w:tcPr>
            <w:tcW w:w="12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C59DCF4" w14:textId="43BDB27D" w:rsidR="007D6FA5" w:rsidRPr="004C12C9" w:rsidRDefault="007D6FA5" w:rsidP="00F507FA">
            <w:pPr>
              <w:pStyle w:val="ICFTableHeading"/>
              <w:contextualSpacing/>
            </w:pPr>
            <w:r w:rsidRPr="004C12C9">
              <w:t>Natural Gas</w:t>
            </w:r>
          </w:p>
          <w:p w14:paraId="4153C45D" w14:textId="4E7E72F4" w:rsidR="007D6FA5" w:rsidRPr="004C12C9" w:rsidRDefault="007D6FA5" w:rsidP="00F507FA">
            <w:pPr>
              <w:pStyle w:val="ICFTableHeading"/>
              <w:contextualSpacing/>
            </w:pPr>
            <w:r w:rsidRPr="004C12C9">
              <w:t>(cubic feet/square foot)</w:t>
            </w: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40CCD49" w14:textId="5F754804" w:rsidR="007D6FA5" w:rsidRPr="004C12C9" w:rsidRDefault="007D6FA5" w:rsidP="00F507FA">
            <w:pPr>
              <w:pStyle w:val="ICFTableHeading"/>
              <w:contextualSpacing/>
            </w:pPr>
            <w:r w:rsidRPr="004C12C9">
              <w:t>Fuel Oil</w:t>
            </w:r>
          </w:p>
          <w:p w14:paraId="45A100D9" w14:textId="419FFC65" w:rsidR="007D6FA5" w:rsidRPr="004C12C9" w:rsidRDefault="007D6FA5" w:rsidP="00F507FA">
            <w:pPr>
              <w:pStyle w:val="ICFTableHeading"/>
              <w:contextualSpacing/>
            </w:pPr>
            <w:r w:rsidRPr="004C12C9">
              <w:t>(gallons/1000 square feet)</w:t>
            </w:r>
          </w:p>
        </w:tc>
        <w:tc>
          <w:tcPr>
            <w:tcW w:w="11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1237AF1" w14:textId="31589CCB" w:rsidR="007D6FA5" w:rsidRPr="004C12C9" w:rsidRDefault="007D6FA5" w:rsidP="00F507FA">
            <w:pPr>
              <w:pStyle w:val="ICFTableHeading"/>
              <w:contextualSpacing/>
            </w:pPr>
            <w:r w:rsidRPr="004C12C9">
              <w:t>Electricity</w:t>
            </w:r>
          </w:p>
          <w:p w14:paraId="4CAA4F3C" w14:textId="79306689" w:rsidR="007D6FA5" w:rsidRPr="004C12C9" w:rsidRDefault="007D6FA5" w:rsidP="00F507FA">
            <w:pPr>
              <w:pStyle w:val="ICFTableHeading"/>
              <w:contextualSpacing/>
            </w:pPr>
            <w:r w:rsidRPr="004C12C9">
              <w:t>(kWh/square foot)</w:t>
            </w:r>
          </w:p>
        </w:tc>
      </w:tr>
      <w:tr w:rsidR="006E470A" w:rsidRPr="004C12C9" w14:paraId="247C2E8D" w14:textId="77777777" w:rsidTr="007D6FA5">
        <w:trPr>
          <w:trHeight w:val="20"/>
        </w:trPr>
        <w:tc>
          <w:tcPr>
            <w:tcW w:w="1297" w:type="pct"/>
            <w:tcBorders>
              <w:top w:val="single" w:sz="4" w:space="0" w:color="BFBFBF" w:themeColor="background1" w:themeShade="BF"/>
            </w:tcBorders>
          </w:tcPr>
          <w:p w14:paraId="02981016" w14:textId="77777777" w:rsidR="006E470A" w:rsidRPr="004C12C9" w:rsidRDefault="006E470A" w:rsidP="003363E0">
            <w:pPr>
              <w:pStyle w:val="ICFTabletext"/>
            </w:pPr>
            <w:r w:rsidRPr="004C12C9">
              <w:t>Food sales</w:t>
            </w:r>
          </w:p>
        </w:tc>
        <w:tc>
          <w:tcPr>
            <w:tcW w:w="1234" w:type="pct"/>
            <w:tcBorders>
              <w:top w:val="single" w:sz="4" w:space="0" w:color="BFBFBF" w:themeColor="background1" w:themeShade="BF"/>
            </w:tcBorders>
          </w:tcPr>
          <w:p w14:paraId="1EADBCBD" w14:textId="334A84E6" w:rsidR="006E470A" w:rsidRPr="004C12C9" w:rsidRDefault="006E470A" w:rsidP="00D57933">
            <w:pPr>
              <w:pStyle w:val="ICFTabletext"/>
              <w:jc w:val="center"/>
            </w:pPr>
            <w:r w:rsidRPr="004C12C9">
              <w:t>Q</w:t>
            </w:r>
            <w:r w:rsidR="00A7596C" w:rsidRPr="004C12C9">
              <w:rPr>
                <w:vertAlign w:val="superscript"/>
              </w:rPr>
              <w:t>b</w:t>
            </w:r>
          </w:p>
        </w:tc>
        <w:tc>
          <w:tcPr>
            <w:tcW w:w="1309" w:type="pct"/>
            <w:tcBorders>
              <w:top w:val="single" w:sz="4" w:space="0" w:color="BFBFBF" w:themeColor="background1" w:themeShade="BF"/>
            </w:tcBorders>
          </w:tcPr>
          <w:p w14:paraId="0A2E609A" w14:textId="77777777" w:rsidR="006E470A" w:rsidRPr="004C12C9" w:rsidRDefault="006E470A" w:rsidP="00D57933">
            <w:pPr>
              <w:pStyle w:val="ICFTabletext"/>
              <w:jc w:val="center"/>
            </w:pPr>
            <w:r w:rsidRPr="004C12C9">
              <w:t>NA</w:t>
            </w:r>
          </w:p>
        </w:tc>
        <w:tc>
          <w:tcPr>
            <w:tcW w:w="1160" w:type="pct"/>
            <w:tcBorders>
              <w:top w:val="single" w:sz="4" w:space="0" w:color="BFBFBF" w:themeColor="background1" w:themeShade="BF"/>
            </w:tcBorders>
          </w:tcPr>
          <w:p w14:paraId="303CB86E" w14:textId="77777777" w:rsidR="006E470A" w:rsidRPr="004C12C9" w:rsidRDefault="006E470A" w:rsidP="00D57933">
            <w:pPr>
              <w:pStyle w:val="ICFTabletext"/>
              <w:jc w:val="center"/>
            </w:pPr>
            <w:r w:rsidRPr="004C12C9">
              <w:t>Q</w:t>
            </w:r>
          </w:p>
        </w:tc>
      </w:tr>
      <w:tr w:rsidR="006E470A" w:rsidRPr="004C12C9" w14:paraId="584984DA" w14:textId="77777777" w:rsidTr="007D6FA5">
        <w:trPr>
          <w:trHeight w:val="20"/>
        </w:trPr>
        <w:tc>
          <w:tcPr>
            <w:tcW w:w="1297" w:type="pct"/>
          </w:tcPr>
          <w:p w14:paraId="4B12A1DA" w14:textId="77777777" w:rsidR="006E470A" w:rsidRPr="004C12C9" w:rsidRDefault="006E470A" w:rsidP="003363E0">
            <w:pPr>
              <w:pStyle w:val="ICFTabletext"/>
            </w:pPr>
            <w:r w:rsidRPr="004C12C9">
              <w:t>Food service</w:t>
            </w:r>
          </w:p>
        </w:tc>
        <w:tc>
          <w:tcPr>
            <w:tcW w:w="1234" w:type="pct"/>
          </w:tcPr>
          <w:p w14:paraId="24D7FEBD" w14:textId="4EBC9FEC" w:rsidR="006E470A" w:rsidRPr="004C12C9" w:rsidRDefault="006E470A" w:rsidP="00D57933">
            <w:pPr>
              <w:pStyle w:val="ICFTabletext"/>
              <w:jc w:val="center"/>
            </w:pPr>
            <w:r w:rsidRPr="004C12C9">
              <w:t>Q</w:t>
            </w:r>
          </w:p>
        </w:tc>
        <w:tc>
          <w:tcPr>
            <w:tcW w:w="1309" w:type="pct"/>
          </w:tcPr>
          <w:p w14:paraId="0D546AA3" w14:textId="77777777" w:rsidR="006E470A" w:rsidRPr="004C12C9" w:rsidRDefault="006E470A" w:rsidP="00D57933">
            <w:pPr>
              <w:pStyle w:val="ICFTabletext"/>
              <w:jc w:val="center"/>
            </w:pPr>
            <w:r w:rsidRPr="004C12C9">
              <w:t>NA</w:t>
            </w:r>
          </w:p>
        </w:tc>
        <w:tc>
          <w:tcPr>
            <w:tcW w:w="1160" w:type="pct"/>
          </w:tcPr>
          <w:p w14:paraId="7A8B97BF" w14:textId="77777777" w:rsidR="006E470A" w:rsidRPr="004C12C9" w:rsidRDefault="006E470A" w:rsidP="00D57933">
            <w:pPr>
              <w:pStyle w:val="ICFTabletext"/>
              <w:jc w:val="center"/>
            </w:pPr>
            <w:r w:rsidRPr="004C12C9">
              <w:t>Q</w:t>
            </w:r>
          </w:p>
        </w:tc>
      </w:tr>
      <w:tr w:rsidR="006E470A" w:rsidRPr="004C12C9" w14:paraId="77C524FA" w14:textId="77777777" w:rsidTr="007D6FA5">
        <w:trPr>
          <w:trHeight w:val="20"/>
        </w:trPr>
        <w:tc>
          <w:tcPr>
            <w:tcW w:w="1297" w:type="pct"/>
          </w:tcPr>
          <w:p w14:paraId="177A92D0" w14:textId="77777777" w:rsidR="006E470A" w:rsidRPr="004C12C9" w:rsidRDefault="006E470A" w:rsidP="003363E0">
            <w:pPr>
              <w:pStyle w:val="ICFTabletext"/>
            </w:pPr>
            <w:r w:rsidRPr="004C12C9">
              <w:lastRenderedPageBreak/>
              <w:t>Lodging</w:t>
            </w:r>
          </w:p>
        </w:tc>
        <w:tc>
          <w:tcPr>
            <w:tcW w:w="1234" w:type="pct"/>
          </w:tcPr>
          <w:p w14:paraId="545EF374" w14:textId="6C6D876B" w:rsidR="006E470A" w:rsidRPr="004C12C9" w:rsidRDefault="006E470A" w:rsidP="00D57933">
            <w:pPr>
              <w:pStyle w:val="ICFTabletext"/>
              <w:jc w:val="center"/>
            </w:pPr>
            <w:r w:rsidRPr="004C12C9">
              <w:t>44</w:t>
            </w:r>
            <w:r w:rsidR="00642563" w:rsidRPr="004C12C9">
              <w:t>.0</w:t>
            </w:r>
          </w:p>
        </w:tc>
        <w:tc>
          <w:tcPr>
            <w:tcW w:w="1309" w:type="pct"/>
          </w:tcPr>
          <w:p w14:paraId="59AE8454" w14:textId="77777777" w:rsidR="006E470A" w:rsidRPr="004C12C9" w:rsidRDefault="006E470A" w:rsidP="00D57933">
            <w:pPr>
              <w:pStyle w:val="ICFTabletext"/>
              <w:jc w:val="center"/>
            </w:pPr>
            <w:r w:rsidRPr="004C12C9">
              <w:t>NA</w:t>
            </w:r>
          </w:p>
        </w:tc>
        <w:tc>
          <w:tcPr>
            <w:tcW w:w="1160" w:type="pct"/>
          </w:tcPr>
          <w:p w14:paraId="17176688" w14:textId="6BF03541" w:rsidR="006E470A" w:rsidRPr="004C12C9" w:rsidRDefault="006E470A" w:rsidP="00D57933">
            <w:pPr>
              <w:pStyle w:val="ICFTabletext"/>
              <w:jc w:val="center"/>
            </w:pPr>
            <w:r w:rsidRPr="004C12C9">
              <w:t>11</w:t>
            </w:r>
            <w:r w:rsidR="00F507FA" w:rsidRPr="004C12C9">
              <w:t>.0</w:t>
            </w:r>
          </w:p>
        </w:tc>
      </w:tr>
      <w:tr w:rsidR="006E470A" w:rsidRPr="004C12C9" w14:paraId="0DDF2A05" w14:textId="77777777" w:rsidTr="007D6FA5">
        <w:trPr>
          <w:trHeight w:val="20"/>
        </w:trPr>
        <w:tc>
          <w:tcPr>
            <w:tcW w:w="1297" w:type="pct"/>
          </w:tcPr>
          <w:p w14:paraId="61288627" w14:textId="5A857346" w:rsidR="006E470A" w:rsidRPr="004C12C9" w:rsidRDefault="006E470A" w:rsidP="003363E0">
            <w:pPr>
              <w:pStyle w:val="ICFTabletext"/>
            </w:pPr>
            <w:r w:rsidRPr="004C12C9">
              <w:t>Mercantile</w:t>
            </w:r>
            <w:r w:rsidR="00A7596C" w:rsidRPr="004C12C9">
              <w:rPr>
                <w:rStyle w:val="FootnoteReference"/>
              </w:rPr>
              <w:t>a</w:t>
            </w:r>
          </w:p>
        </w:tc>
        <w:tc>
          <w:tcPr>
            <w:tcW w:w="1234" w:type="pct"/>
          </w:tcPr>
          <w:p w14:paraId="6AAF5F68" w14:textId="78C78F3C" w:rsidR="006E470A" w:rsidRPr="004C12C9" w:rsidRDefault="006E470A" w:rsidP="00D57933">
            <w:pPr>
              <w:pStyle w:val="ICFTabletext"/>
              <w:jc w:val="center"/>
            </w:pPr>
            <w:r w:rsidRPr="004C12C9">
              <w:t>33</w:t>
            </w:r>
            <w:r w:rsidR="00642563" w:rsidRPr="004C12C9">
              <w:t>.0</w:t>
            </w:r>
          </w:p>
        </w:tc>
        <w:tc>
          <w:tcPr>
            <w:tcW w:w="1309" w:type="pct"/>
          </w:tcPr>
          <w:p w14:paraId="64EBFF6E" w14:textId="77777777" w:rsidR="006E470A" w:rsidRPr="004C12C9" w:rsidRDefault="006E470A" w:rsidP="00D57933">
            <w:pPr>
              <w:pStyle w:val="ICFTabletext"/>
              <w:jc w:val="center"/>
            </w:pPr>
            <w:r w:rsidRPr="004C12C9">
              <w:t>NA</w:t>
            </w:r>
          </w:p>
        </w:tc>
        <w:tc>
          <w:tcPr>
            <w:tcW w:w="1160" w:type="pct"/>
          </w:tcPr>
          <w:p w14:paraId="4CB31952" w14:textId="77777777" w:rsidR="006E470A" w:rsidRPr="004C12C9" w:rsidRDefault="006E470A" w:rsidP="00D57933">
            <w:pPr>
              <w:pStyle w:val="ICFTabletext"/>
              <w:jc w:val="center"/>
            </w:pPr>
            <w:r w:rsidRPr="004C12C9">
              <w:t>13.8</w:t>
            </w:r>
          </w:p>
        </w:tc>
      </w:tr>
      <w:tr w:rsidR="006E470A" w:rsidRPr="004C12C9" w14:paraId="5B25872B" w14:textId="77777777" w:rsidTr="007D6FA5">
        <w:trPr>
          <w:trHeight w:val="20"/>
        </w:trPr>
        <w:tc>
          <w:tcPr>
            <w:tcW w:w="1297" w:type="pct"/>
          </w:tcPr>
          <w:p w14:paraId="455BC361" w14:textId="77777777" w:rsidR="006E470A" w:rsidRPr="004C12C9" w:rsidRDefault="006E470A" w:rsidP="003363E0">
            <w:pPr>
              <w:pStyle w:val="ICFTabletext"/>
            </w:pPr>
            <w:r w:rsidRPr="004C12C9">
              <w:t>Office</w:t>
            </w:r>
          </w:p>
        </w:tc>
        <w:tc>
          <w:tcPr>
            <w:tcW w:w="1234" w:type="pct"/>
          </w:tcPr>
          <w:p w14:paraId="6C63379A" w14:textId="77777777" w:rsidR="006E470A" w:rsidRPr="004C12C9" w:rsidRDefault="006E470A" w:rsidP="00D57933">
            <w:pPr>
              <w:pStyle w:val="ICFTabletext"/>
              <w:jc w:val="center"/>
            </w:pPr>
            <w:r w:rsidRPr="004C12C9">
              <w:t>30.7</w:t>
            </w:r>
          </w:p>
        </w:tc>
        <w:tc>
          <w:tcPr>
            <w:tcW w:w="1309" w:type="pct"/>
          </w:tcPr>
          <w:p w14:paraId="35590735" w14:textId="77777777" w:rsidR="006E470A" w:rsidRPr="004C12C9" w:rsidRDefault="006E470A" w:rsidP="00D57933">
            <w:pPr>
              <w:pStyle w:val="ICFTabletext"/>
              <w:jc w:val="center"/>
            </w:pPr>
            <w:r w:rsidRPr="004C12C9">
              <w:t>5.2</w:t>
            </w:r>
          </w:p>
        </w:tc>
        <w:tc>
          <w:tcPr>
            <w:tcW w:w="1160" w:type="pct"/>
          </w:tcPr>
          <w:p w14:paraId="33764443" w14:textId="77777777" w:rsidR="006E470A" w:rsidRPr="004C12C9" w:rsidRDefault="006E470A" w:rsidP="00D57933">
            <w:pPr>
              <w:pStyle w:val="ICFTabletext"/>
              <w:jc w:val="center"/>
            </w:pPr>
            <w:r w:rsidRPr="004C12C9">
              <w:t>11.6</w:t>
            </w:r>
          </w:p>
        </w:tc>
      </w:tr>
      <w:tr w:rsidR="006E470A" w:rsidRPr="004C12C9" w14:paraId="45824BD4" w14:textId="77777777" w:rsidTr="007D6FA5">
        <w:trPr>
          <w:trHeight w:val="20"/>
        </w:trPr>
        <w:tc>
          <w:tcPr>
            <w:tcW w:w="1297" w:type="pct"/>
          </w:tcPr>
          <w:p w14:paraId="49BF6BBD" w14:textId="77777777" w:rsidR="006E470A" w:rsidRPr="004C12C9" w:rsidRDefault="006E470A" w:rsidP="003363E0">
            <w:pPr>
              <w:pStyle w:val="ICFTabletext"/>
            </w:pPr>
            <w:r w:rsidRPr="004C12C9">
              <w:t xml:space="preserve">Religious worship </w:t>
            </w:r>
          </w:p>
        </w:tc>
        <w:tc>
          <w:tcPr>
            <w:tcW w:w="1234" w:type="pct"/>
          </w:tcPr>
          <w:p w14:paraId="4F9519CF" w14:textId="77777777" w:rsidR="006E470A" w:rsidRPr="004C12C9" w:rsidRDefault="006E470A" w:rsidP="00D57933">
            <w:pPr>
              <w:pStyle w:val="ICFTabletext"/>
              <w:jc w:val="center"/>
            </w:pPr>
            <w:r w:rsidRPr="004C12C9">
              <w:t>Q</w:t>
            </w:r>
          </w:p>
        </w:tc>
        <w:tc>
          <w:tcPr>
            <w:tcW w:w="1309" w:type="pct"/>
          </w:tcPr>
          <w:p w14:paraId="260C0679" w14:textId="77777777" w:rsidR="006E470A" w:rsidRPr="004C12C9" w:rsidRDefault="006E470A" w:rsidP="00D57933">
            <w:pPr>
              <w:pStyle w:val="ICFTabletext"/>
              <w:jc w:val="center"/>
            </w:pPr>
            <w:r w:rsidRPr="004C12C9">
              <w:t>NA</w:t>
            </w:r>
          </w:p>
        </w:tc>
        <w:tc>
          <w:tcPr>
            <w:tcW w:w="1160" w:type="pct"/>
          </w:tcPr>
          <w:p w14:paraId="3661157E" w14:textId="77777777" w:rsidR="006E470A" w:rsidRPr="004C12C9" w:rsidRDefault="006E470A" w:rsidP="00D57933">
            <w:pPr>
              <w:pStyle w:val="ICFTabletext"/>
              <w:jc w:val="center"/>
            </w:pPr>
            <w:r w:rsidRPr="004C12C9">
              <w:t>5.3</w:t>
            </w:r>
          </w:p>
        </w:tc>
      </w:tr>
      <w:tr w:rsidR="006E470A" w:rsidRPr="004C12C9" w14:paraId="694A734F" w14:textId="77777777" w:rsidTr="007D6FA5">
        <w:trPr>
          <w:trHeight w:val="20"/>
        </w:trPr>
        <w:tc>
          <w:tcPr>
            <w:tcW w:w="1297" w:type="pct"/>
          </w:tcPr>
          <w:p w14:paraId="32A3E1AD" w14:textId="77777777" w:rsidR="006E470A" w:rsidRPr="004C12C9" w:rsidRDefault="006E470A" w:rsidP="003363E0">
            <w:pPr>
              <w:pStyle w:val="ICFTabletext"/>
            </w:pPr>
            <w:r w:rsidRPr="004C12C9">
              <w:t xml:space="preserve">Service </w:t>
            </w:r>
          </w:p>
        </w:tc>
        <w:tc>
          <w:tcPr>
            <w:tcW w:w="1234" w:type="pct"/>
          </w:tcPr>
          <w:p w14:paraId="541585A2" w14:textId="77777777" w:rsidR="006E470A" w:rsidRPr="004C12C9" w:rsidRDefault="006E470A" w:rsidP="00D57933">
            <w:pPr>
              <w:pStyle w:val="ICFTabletext"/>
              <w:jc w:val="center"/>
            </w:pPr>
            <w:r w:rsidRPr="004C12C9">
              <w:t>Q</w:t>
            </w:r>
          </w:p>
        </w:tc>
        <w:tc>
          <w:tcPr>
            <w:tcW w:w="1309" w:type="pct"/>
          </w:tcPr>
          <w:p w14:paraId="58B4853F" w14:textId="77777777" w:rsidR="006E470A" w:rsidRPr="004C12C9" w:rsidRDefault="006E470A" w:rsidP="00D57933">
            <w:pPr>
              <w:pStyle w:val="ICFTabletext"/>
              <w:jc w:val="center"/>
            </w:pPr>
            <w:r w:rsidRPr="004C12C9">
              <w:t>NA</w:t>
            </w:r>
          </w:p>
        </w:tc>
        <w:tc>
          <w:tcPr>
            <w:tcW w:w="1160" w:type="pct"/>
          </w:tcPr>
          <w:p w14:paraId="2068A339" w14:textId="77777777" w:rsidR="006E470A" w:rsidRPr="004C12C9" w:rsidRDefault="006E470A" w:rsidP="00D57933">
            <w:pPr>
              <w:pStyle w:val="ICFTabletext"/>
              <w:jc w:val="center"/>
            </w:pPr>
            <w:r w:rsidRPr="004C12C9">
              <w:t>4.3</w:t>
            </w:r>
          </w:p>
        </w:tc>
      </w:tr>
      <w:tr w:rsidR="006E470A" w:rsidRPr="004C12C9" w14:paraId="084E6CDC" w14:textId="77777777" w:rsidTr="007D6FA5">
        <w:trPr>
          <w:trHeight w:val="20"/>
        </w:trPr>
        <w:tc>
          <w:tcPr>
            <w:tcW w:w="1297" w:type="pct"/>
          </w:tcPr>
          <w:p w14:paraId="683680FA" w14:textId="77777777" w:rsidR="006E470A" w:rsidRPr="004C12C9" w:rsidRDefault="006E470A" w:rsidP="003363E0">
            <w:pPr>
              <w:pStyle w:val="ICFTabletext"/>
            </w:pPr>
            <w:r w:rsidRPr="004C12C9">
              <w:t>Warehouse and storage</w:t>
            </w:r>
          </w:p>
        </w:tc>
        <w:tc>
          <w:tcPr>
            <w:tcW w:w="1234" w:type="pct"/>
          </w:tcPr>
          <w:p w14:paraId="0DFEEA83" w14:textId="77777777" w:rsidR="006E470A" w:rsidRPr="004C12C9" w:rsidRDefault="006E470A" w:rsidP="00D57933">
            <w:pPr>
              <w:pStyle w:val="ICFTabletext"/>
              <w:jc w:val="center"/>
            </w:pPr>
            <w:r w:rsidRPr="004C12C9">
              <w:t>27.8</w:t>
            </w:r>
          </w:p>
        </w:tc>
        <w:tc>
          <w:tcPr>
            <w:tcW w:w="1309" w:type="pct"/>
          </w:tcPr>
          <w:p w14:paraId="07776874" w14:textId="77777777" w:rsidR="006E470A" w:rsidRPr="004C12C9" w:rsidRDefault="006E470A" w:rsidP="00D57933">
            <w:pPr>
              <w:pStyle w:val="ICFTabletext"/>
              <w:jc w:val="center"/>
            </w:pPr>
            <w:r w:rsidRPr="004C12C9">
              <w:t>NA</w:t>
            </w:r>
          </w:p>
        </w:tc>
        <w:tc>
          <w:tcPr>
            <w:tcW w:w="1160" w:type="pct"/>
          </w:tcPr>
          <w:p w14:paraId="0AEEDAD9" w14:textId="77777777" w:rsidR="006E470A" w:rsidRPr="004C12C9" w:rsidRDefault="006E470A" w:rsidP="00D57933">
            <w:pPr>
              <w:pStyle w:val="ICFTabletext"/>
              <w:jc w:val="center"/>
            </w:pPr>
            <w:r w:rsidRPr="004C12C9">
              <w:t>8.1</w:t>
            </w:r>
          </w:p>
        </w:tc>
      </w:tr>
      <w:tr w:rsidR="006E470A" w:rsidRPr="004C12C9" w14:paraId="124D46F7" w14:textId="77777777" w:rsidTr="007D6FA5">
        <w:trPr>
          <w:trHeight w:val="20"/>
        </w:trPr>
        <w:tc>
          <w:tcPr>
            <w:tcW w:w="1297" w:type="pct"/>
          </w:tcPr>
          <w:p w14:paraId="43B2E5F9" w14:textId="77777777" w:rsidR="006E470A" w:rsidRPr="004C12C9" w:rsidRDefault="006E470A" w:rsidP="003363E0">
            <w:pPr>
              <w:pStyle w:val="ICFTabletext"/>
            </w:pPr>
            <w:r w:rsidRPr="004C12C9">
              <w:t>Other</w:t>
            </w:r>
          </w:p>
        </w:tc>
        <w:tc>
          <w:tcPr>
            <w:tcW w:w="1234" w:type="pct"/>
          </w:tcPr>
          <w:p w14:paraId="412D682F" w14:textId="77777777" w:rsidR="006E470A" w:rsidRPr="004C12C9" w:rsidRDefault="006E470A" w:rsidP="00D57933">
            <w:pPr>
              <w:pStyle w:val="ICFTabletext"/>
              <w:jc w:val="center"/>
            </w:pPr>
            <w:r w:rsidRPr="004C12C9">
              <w:t>Q</w:t>
            </w:r>
          </w:p>
        </w:tc>
        <w:tc>
          <w:tcPr>
            <w:tcW w:w="1309" w:type="pct"/>
          </w:tcPr>
          <w:p w14:paraId="0602AE0B" w14:textId="4BB97C34" w:rsidR="006E470A" w:rsidRPr="004C12C9" w:rsidRDefault="006E470A" w:rsidP="00D57933">
            <w:pPr>
              <w:pStyle w:val="ICFTabletext"/>
              <w:jc w:val="center"/>
            </w:pPr>
            <w:r w:rsidRPr="004C12C9">
              <w:t>17</w:t>
            </w:r>
            <w:r w:rsidR="0031364F" w:rsidRPr="004C12C9">
              <w:t>.0</w:t>
            </w:r>
          </w:p>
        </w:tc>
        <w:tc>
          <w:tcPr>
            <w:tcW w:w="1160" w:type="pct"/>
          </w:tcPr>
          <w:p w14:paraId="2FDB7CBE" w14:textId="77777777" w:rsidR="006E470A" w:rsidRPr="004C12C9" w:rsidRDefault="006E470A" w:rsidP="00D57933">
            <w:pPr>
              <w:pStyle w:val="ICFTabletext"/>
              <w:jc w:val="center"/>
            </w:pPr>
            <w:r w:rsidRPr="004C12C9">
              <w:t>Q</w:t>
            </w:r>
          </w:p>
        </w:tc>
      </w:tr>
      <w:tr w:rsidR="006E470A" w:rsidRPr="004C12C9" w14:paraId="006FCB74" w14:textId="77777777" w:rsidTr="007D6FA5">
        <w:trPr>
          <w:trHeight w:val="20"/>
        </w:trPr>
        <w:tc>
          <w:tcPr>
            <w:tcW w:w="1297" w:type="pct"/>
          </w:tcPr>
          <w:p w14:paraId="39A81F36" w14:textId="77777777" w:rsidR="006E470A" w:rsidRPr="004C12C9" w:rsidRDefault="006E470A" w:rsidP="003363E0">
            <w:pPr>
              <w:pStyle w:val="ICFTabletext"/>
            </w:pPr>
            <w:r w:rsidRPr="004C12C9">
              <w:t>Vacant</w:t>
            </w:r>
          </w:p>
        </w:tc>
        <w:tc>
          <w:tcPr>
            <w:tcW w:w="1234" w:type="pct"/>
          </w:tcPr>
          <w:p w14:paraId="01C23E47" w14:textId="77777777" w:rsidR="006E470A" w:rsidRPr="004C12C9" w:rsidRDefault="006E470A" w:rsidP="00D57933">
            <w:pPr>
              <w:pStyle w:val="ICFTabletext"/>
              <w:jc w:val="center"/>
            </w:pPr>
            <w:r w:rsidRPr="004C12C9">
              <w:t>Q</w:t>
            </w:r>
          </w:p>
        </w:tc>
        <w:tc>
          <w:tcPr>
            <w:tcW w:w="1309" w:type="pct"/>
          </w:tcPr>
          <w:p w14:paraId="13DBCD3D" w14:textId="77777777" w:rsidR="006E470A" w:rsidRPr="004C12C9" w:rsidRDefault="006E470A" w:rsidP="00D57933">
            <w:pPr>
              <w:pStyle w:val="ICFTabletext"/>
              <w:jc w:val="center"/>
            </w:pPr>
            <w:r w:rsidRPr="004C12C9">
              <w:t>NA</w:t>
            </w:r>
          </w:p>
        </w:tc>
        <w:tc>
          <w:tcPr>
            <w:tcW w:w="1160" w:type="pct"/>
          </w:tcPr>
          <w:p w14:paraId="725D4D6A" w14:textId="77777777" w:rsidR="006E470A" w:rsidRPr="004C12C9" w:rsidRDefault="006E470A" w:rsidP="00D57933">
            <w:pPr>
              <w:pStyle w:val="ICFTabletext"/>
              <w:jc w:val="center"/>
            </w:pPr>
            <w:r w:rsidRPr="004C12C9">
              <w:t>Q</w:t>
            </w:r>
          </w:p>
        </w:tc>
      </w:tr>
    </w:tbl>
    <w:p w14:paraId="5BDCE300" w14:textId="26F59640" w:rsidR="006E470A" w:rsidRPr="004C12C9" w:rsidRDefault="00A7596C" w:rsidP="00EE60C0">
      <w:pPr>
        <w:pStyle w:val="TableFooter"/>
      </w:pPr>
      <w:r w:rsidRPr="004C12C9">
        <w:rPr>
          <w:vertAlign w:val="superscript"/>
        </w:rPr>
        <w:t>a</w:t>
      </w:r>
      <w:r w:rsidR="006E470A" w:rsidRPr="004C12C9">
        <w:rPr>
          <w:vertAlign w:val="superscript"/>
        </w:rPr>
        <w:t xml:space="preserve"> </w:t>
      </w:r>
      <w:r w:rsidR="006E470A" w:rsidRPr="004C12C9">
        <w:t>Mercantile includes Retail (other than mall) and strip malls.</w:t>
      </w:r>
    </w:p>
    <w:p w14:paraId="6BE19966" w14:textId="458D2DC5" w:rsidR="006E470A" w:rsidRPr="004C12C9" w:rsidRDefault="00A7596C" w:rsidP="00EE60C0">
      <w:pPr>
        <w:pStyle w:val="TableFooter"/>
      </w:pPr>
      <w:r w:rsidRPr="004C12C9">
        <w:rPr>
          <w:vertAlign w:val="superscript"/>
        </w:rPr>
        <w:t>b</w:t>
      </w:r>
      <w:r w:rsidRPr="004C12C9">
        <w:t xml:space="preserve"> </w:t>
      </w:r>
      <w:r w:rsidR="006E470A" w:rsidRPr="004C12C9">
        <w:t>Q = Data withheld either because the relative standard error was greater than 50% or the reporting sample had fewer than 20 buildings.</w:t>
      </w:r>
    </w:p>
    <w:p w14:paraId="48C6C5D5" w14:textId="7B17CB8A" w:rsidR="006E470A" w:rsidRPr="004C12C9" w:rsidRDefault="006E470A" w:rsidP="003B031A">
      <w:pPr>
        <w:pStyle w:val="Heading5"/>
      </w:pPr>
      <w:r w:rsidRPr="004C12C9">
        <w:t>Industrial</w:t>
      </w:r>
      <w:r w:rsidR="00D82C02" w:rsidRPr="004C12C9">
        <w:t xml:space="preserve"> Buildings</w:t>
      </w:r>
    </w:p>
    <w:p w14:paraId="0CA045E3" w14:textId="400FEE54" w:rsidR="006E470A" w:rsidRPr="004C12C9" w:rsidRDefault="006E470A" w:rsidP="00972CF9">
      <w:r w:rsidRPr="004C12C9">
        <w:t>Total energy consumption by fuel type by industrial buildings in the United States was obtained from MECS Table 1.1</w:t>
      </w:r>
      <w:r w:rsidR="00365ECB" w:rsidRPr="004C12C9">
        <w:rPr>
          <w:rStyle w:val="FootnoteReference"/>
        </w:rPr>
        <w:footnoteReference w:id="81"/>
      </w:r>
      <w:r w:rsidRPr="004C12C9">
        <w:t xml:space="preserve"> while approximate enclosed floorspace of industrial buildings was obtained from MECS Table 9.1.</w:t>
      </w:r>
      <w:r w:rsidR="00365ECB" w:rsidRPr="004C12C9">
        <w:rPr>
          <w:rStyle w:val="FootnoteReference"/>
        </w:rPr>
        <w:footnoteReference w:id="82"/>
      </w:r>
      <w:r w:rsidRPr="004C12C9">
        <w:t xml:space="preserve"> While energy consumption data for industrial buildings are available for the Midwest region, building floorspace is only available at the national level. As a result, national data were used to derive the building </w:t>
      </w:r>
      <w:r w:rsidR="00542DBB" w:rsidRPr="004C12C9">
        <w:t xml:space="preserve">energy </w:t>
      </w:r>
      <w:r w:rsidRPr="004C12C9">
        <w:t>intensity for industrial buildings. Conversion factors of 1,049 Btu</w:t>
      </w:r>
      <w:r w:rsidR="00A7596C" w:rsidRPr="004C12C9">
        <w:t>/</w:t>
      </w:r>
      <w:r w:rsidRPr="004C12C9">
        <w:t>cubic foot of natural gas, 5,770,000 Btu</w:t>
      </w:r>
      <w:r w:rsidR="00A7596C" w:rsidRPr="004C12C9">
        <w:t>/</w:t>
      </w:r>
      <w:r w:rsidRPr="004C12C9">
        <w:t>barrel distillate fuel oil,</w:t>
      </w:r>
      <w:r w:rsidRPr="004C12C9">
        <w:rPr>
          <w:rStyle w:val="FootnoteReference"/>
        </w:rPr>
        <w:footnoteReference w:id="83"/>
      </w:r>
      <w:r w:rsidRPr="004C12C9">
        <w:t xml:space="preserve"> and 3,412.14 Btu</w:t>
      </w:r>
      <w:r w:rsidR="00A7596C" w:rsidRPr="004C12C9">
        <w:t>/</w:t>
      </w:r>
      <w:r w:rsidRPr="004C12C9">
        <w:t xml:space="preserve">kWh were used to convert energy consumption values to Btu. </w:t>
      </w:r>
      <w:r w:rsidR="00AF226C" w:rsidRPr="004C12C9">
        <w:fldChar w:fldCharType="begin" w:fldLock="1"/>
      </w:r>
      <w:r w:rsidR="00AF226C" w:rsidRPr="004C12C9">
        <w:instrText xml:space="preserve"> REF _Ref195633150 \h </w:instrText>
      </w:r>
      <w:r w:rsidR="00AF226C" w:rsidRPr="004C12C9">
        <w:fldChar w:fldCharType="separate"/>
      </w:r>
      <w:r w:rsidR="00127094" w:rsidRPr="004C12C9">
        <w:t>Table 3</w:t>
      </w:r>
      <w:r w:rsidR="00127094" w:rsidRPr="004C12C9">
        <w:noBreakHyphen/>
        <w:t>5</w:t>
      </w:r>
      <w:r w:rsidR="00AF226C" w:rsidRPr="004C12C9">
        <w:fldChar w:fldCharType="end"/>
      </w:r>
      <w:r w:rsidRPr="004C12C9">
        <w:t xml:space="preserve"> summarizes the data obtained from MECS that was used to derive the values for industrial buildings shown in </w:t>
      </w:r>
      <w:r w:rsidR="001C23FA" w:rsidRPr="004C12C9">
        <w:fldChar w:fldCharType="begin" w:fldLock="1"/>
      </w:r>
      <w:r w:rsidR="001C23FA" w:rsidRPr="004C12C9">
        <w:instrText xml:space="preserve"> REF _Ref195606550 \h </w:instrText>
      </w:r>
      <w:r w:rsidR="001C23FA" w:rsidRPr="004C12C9">
        <w:fldChar w:fldCharType="separate"/>
      </w:r>
      <w:r w:rsidR="00127094" w:rsidRPr="004C12C9">
        <w:t>Table 3</w:t>
      </w:r>
      <w:r w:rsidR="00127094" w:rsidRPr="004C12C9">
        <w:noBreakHyphen/>
        <w:t>2</w:t>
      </w:r>
      <w:r w:rsidR="001C23FA" w:rsidRPr="004C12C9">
        <w:fldChar w:fldCharType="end"/>
      </w:r>
      <w:r w:rsidRPr="004C12C9">
        <w:t>.</w:t>
      </w:r>
    </w:p>
    <w:p w14:paraId="7BA5D035" w14:textId="109E5FA8" w:rsidR="006E470A" w:rsidRPr="004C12C9" w:rsidRDefault="006E470A" w:rsidP="00972CF9">
      <w:pPr>
        <w:pStyle w:val="Caption"/>
      </w:pPr>
      <w:bookmarkStart w:id="156" w:name="_Ref185800304"/>
      <w:bookmarkStart w:id="157" w:name="_Ref19563315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5</w:t>
      </w:r>
      <w:r w:rsidR="00F72B41">
        <w:fldChar w:fldCharType="end"/>
      </w:r>
      <w:bookmarkEnd w:id="156"/>
      <w:bookmarkEnd w:id="157"/>
      <w:r w:rsidRPr="004C12C9">
        <w:t xml:space="preserve">. </w:t>
      </w:r>
      <w:r w:rsidR="004C4F85" w:rsidRPr="004C12C9">
        <w:t xml:space="preserve">Total </w:t>
      </w:r>
      <w:r w:rsidR="001017ED" w:rsidRPr="004C12C9">
        <w:t>Floorspace</w:t>
      </w:r>
      <w:r w:rsidR="004C4F85" w:rsidRPr="004C12C9">
        <w:t xml:space="preserve"> and Energy Consumption fo</w:t>
      </w:r>
      <w:r w:rsidR="001017ED" w:rsidRPr="004C12C9">
        <w:t>r</w:t>
      </w:r>
      <w:r w:rsidRPr="004C12C9">
        <w:t xml:space="preserve"> United States</w:t>
      </w:r>
      <w:r w:rsidR="001017ED" w:rsidRPr="004C12C9">
        <w:t xml:space="preserve"> Industrial Buildings</w:t>
      </w:r>
    </w:p>
    <w:tbl>
      <w:tblPr>
        <w:tblStyle w:val="TableGrid1"/>
        <w:tblW w:w="5000" w:type="pct"/>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2"/>
        <w:gridCol w:w="2542"/>
        <w:gridCol w:w="2544"/>
        <w:gridCol w:w="2542"/>
      </w:tblGrid>
      <w:tr w:rsidR="00540AD1" w:rsidRPr="004C12C9" w14:paraId="6FF6B3D8" w14:textId="77777777" w:rsidTr="00EE60C0">
        <w:trPr>
          <w:cnfStyle w:val="100000000000" w:firstRow="1" w:lastRow="0" w:firstColumn="0" w:lastColumn="0" w:oddVBand="0" w:evenVBand="0" w:oddHBand="0" w:evenHBand="0" w:firstRowFirstColumn="0" w:firstRowLastColumn="0" w:lastRowFirstColumn="0" w:lastRowLastColumn="0"/>
          <w:trHeight w:val="143"/>
        </w:trPr>
        <w:tc>
          <w:tcPr>
            <w:tcW w:w="1213" w:type="pct"/>
            <w:vMerge w:val="restart"/>
          </w:tcPr>
          <w:p w14:paraId="23316AAE" w14:textId="77777777" w:rsidR="006E470A" w:rsidRPr="004C12C9" w:rsidRDefault="006E470A" w:rsidP="00EE60C0">
            <w:pPr>
              <w:pStyle w:val="ICFTableHeading"/>
            </w:pPr>
            <w:r w:rsidRPr="004C12C9">
              <w:t>Enclosed Floorspace (million square feet)</w:t>
            </w:r>
          </w:p>
        </w:tc>
        <w:tc>
          <w:tcPr>
            <w:tcW w:w="3787" w:type="pct"/>
            <w:gridSpan w:val="3"/>
          </w:tcPr>
          <w:p w14:paraId="39D65E91" w14:textId="77777777" w:rsidR="006E470A" w:rsidRPr="004C12C9" w:rsidRDefault="006E470A" w:rsidP="00EE60C0">
            <w:pPr>
              <w:pStyle w:val="ICFTableHeading"/>
            </w:pPr>
            <w:r w:rsidRPr="004C12C9">
              <w:t xml:space="preserve">Total Energy Consumption </w:t>
            </w:r>
          </w:p>
        </w:tc>
      </w:tr>
      <w:tr w:rsidR="002D6F74" w:rsidRPr="004C12C9" w14:paraId="42AF5AFC" w14:textId="77777777" w:rsidTr="00EE60C0">
        <w:trPr>
          <w:cnfStyle w:val="000000100000" w:firstRow="0" w:lastRow="0" w:firstColumn="0" w:lastColumn="0" w:oddVBand="0" w:evenVBand="0" w:oddHBand="1" w:evenHBand="0" w:firstRowFirstColumn="0" w:firstRowLastColumn="0" w:lastRowFirstColumn="0" w:lastRowLastColumn="0"/>
          <w:trHeight w:val="171"/>
        </w:trPr>
        <w:tc>
          <w:tcPr>
            <w:tcW w:w="1213" w:type="pct"/>
            <w:vMerge/>
            <w:shd w:val="clear" w:color="auto" w:fill="D9D9D9" w:themeFill="background1" w:themeFillShade="D9"/>
          </w:tcPr>
          <w:p w14:paraId="665E5722" w14:textId="77777777" w:rsidR="006E470A" w:rsidRPr="004C12C9" w:rsidRDefault="006E470A" w:rsidP="00EE60C0">
            <w:pPr>
              <w:pStyle w:val="ICFTableHeading"/>
            </w:pPr>
          </w:p>
        </w:tc>
        <w:tc>
          <w:tcPr>
            <w:tcW w:w="1262" w:type="pct"/>
            <w:shd w:val="clear" w:color="auto" w:fill="D9D9D9" w:themeFill="background1" w:themeFillShade="D9"/>
          </w:tcPr>
          <w:p w14:paraId="4C41A252" w14:textId="77777777" w:rsidR="006E470A" w:rsidRPr="004C12C9" w:rsidRDefault="006E470A" w:rsidP="00FE247F">
            <w:pPr>
              <w:pStyle w:val="ICFTableHeading"/>
              <w:contextualSpacing/>
            </w:pPr>
            <w:r w:rsidRPr="004C12C9">
              <w:t>Natural Gas</w:t>
            </w:r>
          </w:p>
          <w:p w14:paraId="0CFCFE02" w14:textId="77777777" w:rsidR="006E470A" w:rsidRPr="004C12C9" w:rsidRDefault="006E470A" w:rsidP="00FE247F">
            <w:pPr>
              <w:pStyle w:val="ICFTableHeading"/>
              <w:contextualSpacing/>
            </w:pPr>
            <w:r w:rsidRPr="004C12C9">
              <w:t>(billion cubic feet)</w:t>
            </w:r>
          </w:p>
        </w:tc>
        <w:tc>
          <w:tcPr>
            <w:tcW w:w="1263" w:type="pct"/>
            <w:shd w:val="clear" w:color="auto" w:fill="D9D9D9" w:themeFill="background1" w:themeFillShade="D9"/>
          </w:tcPr>
          <w:p w14:paraId="5718900B" w14:textId="3E36F3B1" w:rsidR="00586C19" w:rsidRPr="004C12C9" w:rsidRDefault="006E470A" w:rsidP="00FE247F">
            <w:pPr>
              <w:pStyle w:val="ICFTableHeading"/>
              <w:contextualSpacing/>
            </w:pPr>
            <w:r w:rsidRPr="004C12C9">
              <w:t>Distillate Fuel Oil</w:t>
            </w:r>
          </w:p>
          <w:p w14:paraId="60A93A83" w14:textId="2BA2D064" w:rsidR="006E470A" w:rsidRPr="004C12C9" w:rsidRDefault="006E470A" w:rsidP="00FE247F">
            <w:pPr>
              <w:pStyle w:val="ICFTableHeading"/>
              <w:contextualSpacing/>
            </w:pPr>
            <w:r w:rsidRPr="004C12C9">
              <w:t>(million bbl)</w:t>
            </w:r>
            <w:r w:rsidR="00A7596C" w:rsidRPr="004C12C9">
              <w:rPr>
                <w:vertAlign w:val="superscript"/>
              </w:rPr>
              <w:t>a</w:t>
            </w:r>
          </w:p>
        </w:tc>
        <w:tc>
          <w:tcPr>
            <w:tcW w:w="1263" w:type="pct"/>
            <w:shd w:val="clear" w:color="auto" w:fill="D9D9D9" w:themeFill="background1" w:themeFillShade="D9"/>
          </w:tcPr>
          <w:p w14:paraId="57369EBC" w14:textId="5D2FABB5" w:rsidR="006E470A" w:rsidRPr="004C12C9" w:rsidRDefault="006E470A" w:rsidP="00FE247F">
            <w:pPr>
              <w:pStyle w:val="ICFTableHeading"/>
              <w:contextualSpacing/>
            </w:pPr>
            <w:r w:rsidRPr="004C12C9">
              <w:t>Electricity</w:t>
            </w:r>
          </w:p>
          <w:p w14:paraId="657488C2" w14:textId="77777777" w:rsidR="006E470A" w:rsidRPr="004C12C9" w:rsidRDefault="006E470A" w:rsidP="00FE247F">
            <w:pPr>
              <w:pStyle w:val="ICFTableHeading"/>
              <w:contextualSpacing/>
            </w:pPr>
            <w:r w:rsidRPr="004C12C9">
              <w:t>(million kWh)</w:t>
            </w:r>
          </w:p>
        </w:tc>
      </w:tr>
      <w:tr w:rsidR="00C01094" w:rsidRPr="004C12C9" w14:paraId="6736A289" w14:textId="77777777" w:rsidTr="00EE60C0">
        <w:trPr>
          <w:cnfStyle w:val="000000010000" w:firstRow="0" w:lastRow="0" w:firstColumn="0" w:lastColumn="0" w:oddVBand="0" w:evenVBand="0" w:oddHBand="0" w:evenHBand="1" w:firstRowFirstColumn="0" w:firstRowLastColumn="0" w:lastRowFirstColumn="0" w:lastRowLastColumn="0"/>
          <w:trHeight w:val="144"/>
        </w:trPr>
        <w:tc>
          <w:tcPr>
            <w:tcW w:w="1213" w:type="pct"/>
          </w:tcPr>
          <w:p w14:paraId="5C424D96" w14:textId="77777777" w:rsidR="006E470A" w:rsidRPr="004C12C9" w:rsidRDefault="006E470A" w:rsidP="00EE60C0">
            <w:pPr>
              <w:pStyle w:val="ICFTabletext"/>
            </w:pPr>
            <w:r w:rsidRPr="004C12C9">
              <w:t>11,270</w:t>
            </w:r>
          </w:p>
        </w:tc>
        <w:tc>
          <w:tcPr>
            <w:tcW w:w="1262" w:type="pct"/>
          </w:tcPr>
          <w:p w14:paraId="76A75DBD" w14:textId="77777777" w:rsidR="006E470A" w:rsidRPr="004C12C9" w:rsidRDefault="006E470A" w:rsidP="00EE60C0">
            <w:pPr>
              <w:pStyle w:val="ICFTabletext"/>
            </w:pPr>
            <w:r w:rsidRPr="004C12C9">
              <w:t>7,052</w:t>
            </w:r>
          </w:p>
        </w:tc>
        <w:tc>
          <w:tcPr>
            <w:tcW w:w="1263" w:type="pct"/>
          </w:tcPr>
          <w:p w14:paraId="0DC40B3B" w14:textId="77777777" w:rsidR="006E470A" w:rsidRPr="004C12C9" w:rsidRDefault="006E470A" w:rsidP="00EE60C0">
            <w:pPr>
              <w:pStyle w:val="ICFTabletext"/>
            </w:pPr>
            <w:r w:rsidRPr="004C12C9">
              <w:t>16</w:t>
            </w:r>
          </w:p>
        </w:tc>
        <w:tc>
          <w:tcPr>
            <w:tcW w:w="1263" w:type="pct"/>
          </w:tcPr>
          <w:p w14:paraId="34EF9BBE" w14:textId="77777777" w:rsidR="006E470A" w:rsidRPr="004C12C9" w:rsidRDefault="006E470A" w:rsidP="00EE60C0">
            <w:pPr>
              <w:pStyle w:val="ICFTabletext"/>
            </w:pPr>
            <w:r w:rsidRPr="004C12C9">
              <w:t>759,512</w:t>
            </w:r>
          </w:p>
        </w:tc>
      </w:tr>
    </w:tbl>
    <w:p w14:paraId="2A968569" w14:textId="3870FE4D" w:rsidR="006E470A" w:rsidRPr="004C12C9" w:rsidRDefault="00A7596C" w:rsidP="00EE60C0">
      <w:pPr>
        <w:pStyle w:val="TableFooter"/>
      </w:pPr>
      <w:r w:rsidRPr="004C12C9">
        <w:rPr>
          <w:vertAlign w:val="superscript"/>
        </w:rPr>
        <w:t>a</w:t>
      </w:r>
      <w:r w:rsidR="006E470A" w:rsidRPr="004C12C9">
        <w:t xml:space="preserve"> No residual fuel oil was consumed in the Midwest region.</w:t>
      </w:r>
    </w:p>
    <w:p w14:paraId="6B88DEBD" w14:textId="65C4B4E5" w:rsidR="006E470A" w:rsidRPr="004C12C9" w:rsidRDefault="006E470A" w:rsidP="003B031A">
      <w:pPr>
        <w:pStyle w:val="Heading5"/>
      </w:pPr>
      <w:r w:rsidRPr="004C12C9">
        <w:lastRenderedPageBreak/>
        <w:t>Institutional</w:t>
      </w:r>
      <w:r w:rsidR="00D82C02" w:rsidRPr="004C12C9">
        <w:t xml:space="preserve"> Buildings</w:t>
      </w:r>
    </w:p>
    <w:p w14:paraId="7CD5F171" w14:textId="75892B2A" w:rsidR="006E470A" w:rsidRPr="004C12C9" w:rsidRDefault="006E470A" w:rsidP="00972CF9">
      <w:r w:rsidRPr="004C12C9">
        <w:t xml:space="preserve">The same data sources and approach that were used to derive values for commercial buildings were used to derive values for institutional buildings. </w:t>
      </w:r>
      <w:r w:rsidRPr="004C12C9">
        <w:fldChar w:fldCharType="begin" w:fldLock="1"/>
      </w:r>
      <w:r w:rsidRPr="004C12C9">
        <w:instrText xml:space="preserve"> REF _Ref185797160 \h </w:instrText>
      </w:r>
      <w:r w:rsidRPr="004C12C9">
        <w:fldChar w:fldCharType="separate"/>
      </w:r>
      <w:r w:rsidR="00127094" w:rsidRPr="004C12C9">
        <w:t>Table 3</w:t>
      </w:r>
      <w:r w:rsidR="00127094" w:rsidRPr="004C12C9">
        <w:noBreakHyphen/>
        <w:t>6</w:t>
      </w:r>
      <w:r w:rsidRPr="004C12C9">
        <w:fldChar w:fldCharType="end"/>
      </w:r>
      <w:r w:rsidRPr="004C12C9">
        <w:t xml:space="preserve"> summarizes the data obtained from CBECS</w:t>
      </w:r>
      <w:r w:rsidR="009E0DE9" w:rsidRPr="004C12C9">
        <w:rPr>
          <w:rStyle w:val="FootnoteReference"/>
        </w:rPr>
        <w:footnoteReference w:id="84"/>
      </w:r>
      <w:r w:rsidRPr="004C12C9">
        <w:t xml:space="preserve"> that was used to derive the values for institutional buildings shown in </w:t>
      </w:r>
      <w:r w:rsidR="001747A0" w:rsidRPr="004C12C9">
        <w:fldChar w:fldCharType="begin" w:fldLock="1"/>
      </w:r>
      <w:r w:rsidR="001747A0" w:rsidRPr="004C12C9">
        <w:instrText xml:space="preserve"> REF _Ref195606550 \h </w:instrText>
      </w:r>
      <w:r w:rsidR="001747A0" w:rsidRPr="004C12C9">
        <w:fldChar w:fldCharType="separate"/>
      </w:r>
      <w:r w:rsidR="00127094" w:rsidRPr="004C12C9">
        <w:t>Table 3</w:t>
      </w:r>
      <w:r w:rsidR="00127094" w:rsidRPr="004C12C9">
        <w:noBreakHyphen/>
        <w:t>2</w:t>
      </w:r>
      <w:r w:rsidR="001747A0" w:rsidRPr="004C12C9">
        <w:fldChar w:fldCharType="end"/>
      </w:r>
      <w:r w:rsidRPr="004C12C9">
        <w:t xml:space="preserve"> above.</w:t>
      </w:r>
    </w:p>
    <w:p w14:paraId="369C74C3" w14:textId="73B27B1E" w:rsidR="006E470A" w:rsidRPr="004C12C9" w:rsidRDefault="006E470A" w:rsidP="00972CF9">
      <w:pPr>
        <w:pStyle w:val="Caption"/>
      </w:pPr>
      <w:bookmarkStart w:id="158" w:name="_Ref18579716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6</w:t>
      </w:r>
      <w:r w:rsidR="00F72B41">
        <w:fldChar w:fldCharType="end"/>
      </w:r>
      <w:bookmarkEnd w:id="158"/>
      <w:r w:rsidRPr="004C12C9">
        <w:t xml:space="preserve">. </w:t>
      </w:r>
      <w:r w:rsidR="00317946" w:rsidRPr="004C12C9">
        <w:t>Energy Intensity by Building Type for Midwest</w:t>
      </w:r>
      <w:r w:rsidRPr="004C12C9">
        <w:t xml:space="preserve"> Institutional Building</w:t>
      </w:r>
      <w:r w:rsidR="00317946" w:rsidRPr="004C12C9">
        <w:t>s</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2431"/>
        <w:gridCol w:w="2878"/>
        <w:gridCol w:w="2246"/>
      </w:tblGrid>
      <w:tr w:rsidR="006E470A" w:rsidRPr="004C12C9" w14:paraId="5E28FC5B" w14:textId="77777777" w:rsidTr="00A272CD">
        <w:trPr>
          <w:cnfStyle w:val="100000000000" w:firstRow="1" w:lastRow="0" w:firstColumn="0" w:lastColumn="0" w:oddVBand="0" w:evenVBand="0" w:oddHBand="0" w:evenHBand="0" w:firstRowFirstColumn="0" w:firstRowLastColumn="0" w:lastRowFirstColumn="0" w:lastRowLastColumn="0"/>
          <w:trHeight w:val="233"/>
        </w:trPr>
        <w:tc>
          <w:tcPr>
            <w:tcW w:w="1249" w:type="pct"/>
            <w:vMerge w:val="restart"/>
          </w:tcPr>
          <w:p w14:paraId="2B38284B" w14:textId="77777777" w:rsidR="006E470A" w:rsidRPr="004C12C9" w:rsidRDefault="006E470A" w:rsidP="00EE60C0">
            <w:pPr>
              <w:pStyle w:val="ICFTableHeading"/>
            </w:pPr>
            <w:r w:rsidRPr="004C12C9">
              <w:t>Building Type</w:t>
            </w:r>
          </w:p>
        </w:tc>
        <w:tc>
          <w:tcPr>
            <w:tcW w:w="3751" w:type="pct"/>
            <w:gridSpan w:val="3"/>
          </w:tcPr>
          <w:p w14:paraId="59599EAB" w14:textId="561467C4" w:rsidR="006E470A" w:rsidRPr="004C12C9" w:rsidDel="00AD3665" w:rsidRDefault="00A272CD" w:rsidP="00EE60C0">
            <w:pPr>
              <w:pStyle w:val="ICFTableHeading"/>
            </w:pPr>
            <w:r w:rsidRPr="004C12C9">
              <w:t>Energy Intensity</w:t>
            </w:r>
          </w:p>
        </w:tc>
      </w:tr>
      <w:tr w:rsidR="00A272CD" w:rsidRPr="004C12C9" w14:paraId="75BDECEF" w14:textId="77777777" w:rsidTr="00F95DF4">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cnfStyle w:val="000000100000" w:firstRow="0" w:lastRow="0" w:firstColumn="0" w:lastColumn="0" w:oddVBand="0" w:evenVBand="0" w:oddHBand="1" w:evenHBand="0" w:firstRowFirstColumn="0" w:firstRowLastColumn="0" w:lastRowFirstColumn="0" w:lastRowLastColumn="0"/>
          <w:trHeight w:val="521"/>
        </w:trPr>
        <w:tc>
          <w:tcPr>
            <w:tcW w:w="1249" w:type="pct"/>
            <w:vMerge/>
          </w:tcPr>
          <w:p w14:paraId="40AE688B" w14:textId="77777777" w:rsidR="00A272CD" w:rsidRPr="004C12C9" w:rsidRDefault="00A272CD" w:rsidP="00A272CD">
            <w:pPr>
              <w:pStyle w:val="ICFTableHeading"/>
            </w:pPr>
          </w:p>
        </w:tc>
        <w:tc>
          <w:tcPr>
            <w:tcW w:w="1207" w:type="pct"/>
            <w:shd w:val="clear" w:color="auto" w:fill="D9D9D9" w:themeFill="background1" w:themeFillShade="D9"/>
          </w:tcPr>
          <w:p w14:paraId="60033FBE" w14:textId="794AAFAA" w:rsidR="00A272CD" w:rsidRPr="004C12C9" w:rsidRDefault="00A272CD" w:rsidP="00F76809">
            <w:pPr>
              <w:pStyle w:val="ICFTableHeading"/>
              <w:contextualSpacing/>
            </w:pPr>
            <w:r w:rsidRPr="004C12C9">
              <w:t>Natural Gas</w:t>
            </w:r>
          </w:p>
          <w:p w14:paraId="7DED6B2B" w14:textId="77B146CB" w:rsidR="00A272CD" w:rsidRPr="004C12C9" w:rsidRDefault="00A272CD" w:rsidP="00F76809">
            <w:pPr>
              <w:pStyle w:val="ICFTableHeading"/>
              <w:contextualSpacing/>
            </w:pPr>
            <w:r w:rsidRPr="004C12C9">
              <w:t>(cubic feet/square foot)</w:t>
            </w:r>
          </w:p>
        </w:tc>
        <w:tc>
          <w:tcPr>
            <w:tcW w:w="1429" w:type="pct"/>
            <w:shd w:val="clear" w:color="auto" w:fill="D9D9D9" w:themeFill="background1" w:themeFillShade="D9"/>
          </w:tcPr>
          <w:p w14:paraId="66F5D3BA" w14:textId="5DF9C006" w:rsidR="00A272CD" w:rsidRPr="004C12C9" w:rsidRDefault="00A272CD" w:rsidP="00F76809">
            <w:pPr>
              <w:pStyle w:val="ICFTableHeading"/>
              <w:contextualSpacing/>
            </w:pPr>
            <w:r w:rsidRPr="004C12C9">
              <w:t>Fuel Oil</w:t>
            </w:r>
          </w:p>
          <w:p w14:paraId="18354630" w14:textId="72E5DB8F" w:rsidR="00A272CD" w:rsidRPr="004C12C9" w:rsidRDefault="00A272CD" w:rsidP="00F76809">
            <w:pPr>
              <w:pStyle w:val="ICFTableHeading"/>
              <w:contextualSpacing/>
            </w:pPr>
            <w:r w:rsidRPr="004C12C9">
              <w:t>(gallons/1000 square feet)</w:t>
            </w:r>
          </w:p>
        </w:tc>
        <w:tc>
          <w:tcPr>
            <w:tcW w:w="1115" w:type="pct"/>
            <w:shd w:val="clear" w:color="auto" w:fill="D9D9D9" w:themeFill="background1" w:themeFillShade="D9"/>
          </w:tcPr>
          <w:p w14:paraId="493DBEBE" w14:textId="414217FA" w:rsidR="00A272CD" w:rsidRPr="004C12C9" w:rsidRDefault="00A272CD" w:rsidP="00F76809">
            <w:pPr>
              <w:pStyle w:val="ICFTableHeading"/>
              <w:contextualSpacing/>
            </w:pPr>
            <w:r w:rsidRPr="004C12C9">
              <w:t>Electricity</w:t>
            </w:r>
          </w:p>
          <w:p w14:paraId="4ED252C3" w14:textId="60CB54AA" w:rsidR="00A272CD" w:rsidRPr="004C12C9" w:rsidRDefault="00A272CD" w:rsidP="00F76809">
            <w:pPr>
              <w:pStyle w:val="ICFTableHeading"/>
              <w:contextualSpacing/>
            </w:pPr>
            <w:r w:rsidRPr="004C12C9">
              <w:t>(kWh/square foot)</w:t>
            </w:r>
          </w:p>
        </w:tc>
      </w:tr>
      <w:tr w:rsidR="006E470A" w:rsidRPr="004C12C9" w14:paraId="6C450149" w14:textId="77777777" w:rsidTr="00A272CD">
        <w:trPr>
          <w:cnfStyle w:val="000000010000" w:firstRow="0" w:lastRow="0" w:firstColumn="0" w:lastColumn="0" w:oddVBand="0" w:evenVBand="0" w:oddHBand="0" w:evenHBand="1" w:firstRowFirstColumn="0" w:firstRowLastColumn="0" w:lastRowFirstColumn="0" w:lastRowLastColumn="0"/>
          <w:trHeight w:val="20"/>
        </w:trPr>
        <w:tc>
          <w:tcPr>
            <w:tcW w:w="1249" w:type="pct"/>
          </w:tcPr>
          <w:p w14:paraId="65662106" w14:textId="77777777" w:rsidR="006E470A" w:rsidRPr="004C12C9" w:rsidRDefault="006E470A" w:rsidP="00A272CD">
            <w:pPr>
              <w:pStyle w:val="ICFTabletext"/>
              <w:jc w:val="left"/>
            </w:pPr>
            <w:r w:rsidRPr="004C12C9">
              <w:t>Education</w:t>
            </w:r>
          </w:p>
        </w:tc>
        <w:tc>
          <w:tcPr>
            <w:tcW w:w="1207" w:type="pct"/>
          </w:tcPr>
          <w:p w14:paraId="1A0DC796" w14:textId="77777777" w:rsidR="006E470A" w:rsidRPr="004C12C9" w:rsidRDefault="006E470A" w:rsidP="00EE60C0">
            <w:pPr>
              <w:pStyle w:val="ICFTabletext"/>
            </w:pPr>
            <w:r w:rsidRPr="004C12C9">
              <w:t>33.8</w:t>
            </w:r>
          </w:p>
        </w:tc>
        <w:tc>
          <w:tcPr>
            <w:tcW w:w="1429" w:type="pct"/>
          </w:tcPr>
          <w:p w14:paraId="1DAE8841" w14:textId="77777777" w:rsidR="006E470A" w:rsidRPr="004C12C9" w:rsidRDefault="006E470A" w:rsidP="00EE60C0">
            <w:pPr>
              <w:pStyle w:val="ICFTabletext"/>
            </w:pPr>
            <w:r w:rsidRPr="004C12C9">
              <w:t>28.8</w:t>
            </w:r>
          </w:p>
        </w:tc>
        <w:tc>
          <w:tcPr>
            <w:tcW w:w="1115" w:type="pct"/>
          </w:tcPr>
          <w:p w14:paraId="4BADF962" w14:textId="77777777" w:rsidR="006E470A" w:rsidRPr="004C12C9" w:rsidRDefault="006E470A" w:rsidP="00EE60C0">
            <w:pPr>
              <w:pStyle w:val="ICFTabletext"/>
            </w:pPr>
            <w:r w:rsidRPr="004C12C9">
              <w:t>8.8</w:t>
            </w:r>
          </w:p>
        </w:tc>
      </w:tr>
      <w:tr w:rsidR="006E470A" w:rsidRPr="004C12C9" w14:paraId="25126E11" w14:textId="77777777" w:rsidTr="003B031A">
        <w:trPr>
          <w:cnfStyle w:val="000000100000" w:firstRow="0" w:lastRow="0" w:firstColumn="0" w:lastColumn="0" w:oddVBand="0" w:evenVBand="0" w:oddHBand="1" w:evenHBand="0" w:firstRowFirstColumn="0" w:firstRowLastColumn="0" w:lastRowFirstColumn="0" w:lastRowLastColumn="0"/>
          <w:trHeight w:val="20"/>
        </w:trPr>
        <w:tc>
          <w:tcPr>
            <w:tcW w:w="1249" w:type="pct"/>
            <w:shd w:val="clear" w:color="auto" w:fill="auto"/>
          </w:tcPr>
          <w:p w14:paraId="2E4F41CF" w14:textId="58E1511F" w:rsidR="006E470A" w:rsidRPr="004C12C9" w:rsidRDefault="006E470A" w:rsidP="00A272CD">
            <w:pPr>
              <w:pStyle w:val="ICFTabletext"/>
              <w:jc w:val="left"/>
            </w:pPr>
            <w:r w:rsidRPr="004C12C9">
              <w:t>Health care</w:t>
            </w:r>
            <w:r w:rsidR="002E05A8" w:rsidRPr="004C12C9">
              <w:rPr>
                <w:rStyle w:val="FootnoteReference"/>
              </w:rPr>
              <w:t>a</w:t>
            </w:r>
          </w:p>
        </w:tc>
        <w:tc>
          <w:tcPr>
            <w:tcW w:w="1207" w:type="pct"/>
            <w:shd w:val="clear" w:color="auto" w:fill="auto"/>
          </w:tcPr>
          <w:p w14:paraId="319C7871" w14:textId="77777777" w:rsidR="006E470A" w:rsidRPr="004C12C9" w:rsidRDefault="006E470A" w:rsidP="00EE60C0">
            <w:pPr>
              <w:pStyle w:val="ICFTabletext"/>
            </w:pPr>
            <w:r w:rsidRPr="004C12C9">
              <w:t>65.9</w:t>
            </w:r>
          </w:p>
        </w:tc>
        <w:tc>
          <w:tcPr>
            <w:tcW w:w="1429" w:type="pct"/>
            <w:shd w:val="clear" w:color="auto" w:fill="auto"/>
          </w:tcPr>
          <w:p w14:paraId="5AC56383" w14:textId="77777777" w:rsidR="006E470A" w:rsidRPr="004C12C9" w:rsidRDefault="006E470A" w:rsidP="00EE60C0">
            <w:pPr>
              <w:pStyle w:val="ICFTabletext"/>
            </w:pPr>
            <w:r w:rsidRPr="004C12C9">
              <w:t>20.1</w:t>
            </w:r>
          </w:p>
        </w:tc>
        <w:tc>
          <w:tcPr>
            <w:tcW w:w="1115" w:type="pct"/>
            <w:shd w:val="clear" w:color="auto" w:fill="auto"/>
          </w:tcPr>
          <w:p w14:paraId="618777F9" w14:textId="77777777" w:rsidR="006E470A" w:rsidRPr="004C12C9" w:rsidRDefault="006E470A" w:rsidP="00EE60C0">
            <w:pPr>
              <w:pStyle w:val="ICFTabletext"/>
            </w:pPr>
            <w:r w:rsidRPr="004C12C9">
              <w:t>21.3</w:t>
            </w:r>
          </w:p>
        </w:tc>
      </w:tr>
      <w:tr w:rsidR="006E470A" w:rsidRPr="004C12C9" w14:paraId="6E2F005C" w14:textId="77777777" w:rsidTr="003B031A">
        <w:trPr>
          <w:cnfStyle w:val="000000010000" w:firstRow="0" w:lastRow="0" w:firstColumn="0" w:lastColumn="0" w:oddVBand="0" w:evenVBand="0" w:oddHBand="0" w:evenHBand="1" w:firstRowFirstColumn="0" w:firstRowLastColumn="0" w:lastRowFirstColumn="0" w:lastRowLastColumn="0"/>
          <w:trHeight w:val="20"/>
        </w:trPr>
        <w:tc>
          <w:tcPr>
            <w:tcW w:w="1249" w:type="pct"/>
            <w:shd w:val="clear" w:color="auto" w:fill="auto"/>
          </w:tcPr>
          <w:p w14:paraId="4F153726" w14:textId="77777777" w:rsidR="006E470A" w:rsidRPr="004C12C9" w:rsidRDefault="006E470A" w:rsidP="00A272CD">
            <w:pPr>
              <w:pStyle w:val="ICFTabletext"/>
              <w:jc w:val="left"/>
            </w:pPr>
            <w:r w:rsidRPr="004C12C9">
              <w:t>Public assembly</w:t>
            </w:r>
          </w:p>
        </w:tc>
        <w:tc>
          <w:tcPr>
            <w:tcW w:w="1207" w:type="pct"/>
            <w:shd w:val="clear" w:color="auto" w:fill="auto"/>
          </w:tcPr>
          <w:p w14:paraId="7BF196C0" w14:textId="77777777" w:rsidR="006E470A" w:rsidRPr="004C12C9" w:rsidRDefault="006E470A" w:rsidP="00EE60C0">
            <w:pPr>
              <w:pStyle w:val="ICFTabletext"/>
            </w:pPr>
            <w:r w:rsidRPr="004C12C9">
              <w:t>38.2</w:t>
            </w:r>
          </w:p>
        </w:tc>
        <w:tc>
          <w:tcPr>
            <w:tcW w:w="1429" w:type="pct"/>
            <w:shd w:val="clear" w:color="auto" w:fill="auto"/>
          </w:tcPr>
          <w:p w14:paraId="7E313DCE" w14:textId="77777777" w:rsidR="006E470A" w:rsidRPr="004C12C9" w:rsidRDefault="006E470A" w:rsidP="00EE60C0">
            <w:pPr>
              <w:pStyle w:val="ICFTabletext"/>
            </w:pPr>
            <w:r w:rsidRPr="004C12C9">
              <w:t>NA</w:t>
            </w:r>
          </w:p>
        </w:tc>
        <w:tc>
          <w:tcPr>
            <w:tcW w:w="1115" w:type="pct"/>
            <w:shd w:val="clear" w:color="auto" w:fill="auto"/>
          </w:tcPr>
          <w:p w14:paraId="421D03FE" w14:textId="77777777" w:rsidR="006E470A" w:rsidRPr="004C12C9" w:rsidRDefault="006E470A" w:rsidP="00EE60C0">
            <w:pPr>
              <w:pStyle w:val="ICFTabletext"/>
            </w:pPr>
            <w:r w:rsidRPr="004C12C9">
              <w:t>11.1</w:t>
            </w:r>
          </w:p>
        </w:tc>
      </w:tr>
      <w:tr w:rsidR="006E470A" w:rsidRPr="004C12C9" w14:paraId="2E68ABCA" w14:textId="77777777" w:rsidTr="003B031A">
        <w:trPr>
          <w:cnfStyle w:val="000000100000" w:firstRow="0" w:lastRow="0" w:firstColumn="0" w:lastColumn="0" w:oddVBand="0" w:evenVBand="0" w:oddHBand="1" w:evenHBand="0" w:firstRowFirstColumn="0" w:firstRowLastColumn="0" w:lastRowFirstColumn="0" w:lastRowLastColumn="0"/>
          <w:trHeight w:val="20"/>
        </w:trPr>
        <w:tc>
          <w:tcPr>
            <w:tcW w:w="1249" w:type="pct"/>
            <w:shd w:val="clear" w:color="auto" w:fill="auto"/>
          </w:tcPr>
          <w:p w14:paraId="1C2DC881" w14:textId="77777777" w:rsidR="006E470A" w:rsidRPr="004C12C9" w:rsidRDefault="006E470A" w:rsidP="00A272CD">
            <w:pPr>
              <w:pStyle w:val="ICFTabletext"/>
              <w:jc w:val="left"/>
            </w:pPr>
            <w:r w:rsidRPr="004C12C9">
              <w:t>Public order and safety</w:t>
            </w:r>
          </w:p>
        </w:tc>
        <w:tc>
          <w:tcPr>
            <w:tcW w:w="1207" w:type="pct"/>
            <w:shd w:val="clear" w:color="auto" w:fill="auto"/>
          </w:tcPr>
          <w:p w14:paraId="2371B2BD" w14:textId="758AF2BE" w:rsidR="006E470A" w:rsidRPr="004C12C9" w:rsidRDefault="006E470A" w:rsidP="00EE60C0">
            <w:pPr>
              <w:pStyle w:val="ICFTabletext"/>
            </w:pPr>
            <w:r w:rsidRPr="004C12C9">
              <w:t>Q</w:t>
            </w:r>
            <w:r w:rsidR="002E05A8" w:rsidRPr="004C12C9">
              <w:rPr>
                <w:vertAlign w:val="superscript"/>
              </w:rPr>
              <w:t>b</w:t>
            </w:r>
          </w:p>
        </w:tc>
        <w:tc>
          <w:tcPr>
            <w:tcW w:w="1429" w:type="pct"/>
            <w:shd w:val="clear" w:color="auto" w:fill="auto"/>
          </w:tcPr>
          <w:p w14:paraId="5BE2C723" w14:textId="77777777" w:rsidR="006E470A" w:rsidRPr="004C12C9" w:rsidRDefault="006E470A" w:rsidP="00EE60C0">
            <w:pPr>
              <w:pStyle w:val="ICFTabletext"/>
            </w:pPr>
            <w:r w:rsidRPr="004C12C9">
              <w:t>NA</w:t>
            </w:r>
          </w:p>
        </w:tc>
        <w:tc>
          <w:tcPr>
            <w:tcW w:w="1115" w:type="pct"/>
            <w:shd w:val="clear" w:color="auto" w:fill="auto"/>
          </w:tcPr>
          <w:p w14:paraId="25FE78B0" w14:textId="77777777" w:rsidR="006E470A" w:rsidRPr="004C12C9" w:rsidRDefault="006E470A" w:rsidP="00EE60C0">
            <w:pPr>
              <w:pStyle w:val="ICFTabletext"/>
            </w:pPr>
            <w:r w:rsidRPr="004C12C9">
              <w:t>Q</w:t>
            </w:r>
          </w:p>
        </w:tc>
      </w:tr>
    </w:tbl>
    <w:p w14:paraId="0093328A" w14:textId="06E0B4F6" w:rsidR="006E470A" w:rsidRPr="004C12C9" w:rsidRDefault="002E05A8" w:rsidP="00EE60C0">
      <w:pPr>
        <w:pStyle w:val="TableFooter"/>
      </w:pPr>
      <w:r w:rsidRPr="004C12C9">
        <w:rPr>
          <w:vertAlign w:val="superscript"/>
        </w:rPr>
        <w:t>a</w:t>
      </w:r>
      <w:r w:rsidR="006E470A" w:rsidRPr="004C12C9">
        <w:t xml:space="preserve"> Health care includes inpatient and outpatient.</w:t>
      </w:r>
    </w:p>
    <w:p w14:paraId="2A06768E" w14:textId="0DB38428" w:rsidR="006E470A" w:rsidRPr="004C12C9" w:rsidRDefault="002E05A8" w:rsidP="00EE60C0">
      <w:pPr>
        <w:pStyle w:val="TableFooter"/>
      </w:pPr>
      <w:r w:rsidRPr="004C12C9">
        <w:rPr>
          <w:vertAlign w:val="superscript"/>
        </w:rPr>
        <w:t>b</w:t>
      </w:r>
      <w:r w:rsidRPr="004C12C9">
        <w:t xml:space="preserve"> </w:t>
      </w:r>
      <w:r w:rsidR="006E470A" w:rsidRPr="004C12C9">
        <w:t>Q = Data withheld either because the relative standard error was greater than 50% or the reporting sample had fewer than 20 buildings.</w:t>
      </w:r>
    </w:p>
    <w:p w14:paraId="54242695" w14:textId="77777777" w:rsidR="006E470A" w:rsidRPr="004C12C9" w:rsidRDefault="006E470A" w:rsidP="00E31E37">
      <w:pPr>
        <w:pStyle w:val="Heading4"/>
      </w:pPr>
      <w:r w:rsidRPr="004C12C9">
        <w:t>Emission Factors</w:t>
      </w:r>
    </w:p>
    <w:p w14:paraId="6CC37C3D" w14:textId="4FA32593" w:rsidR="00995C1A" w:rsidRPr="004C12C9" w:rsidRDefault="003C563F" w:rsidP="00995C1A">
      <w:pPr>
        <w:rPr>
          <w:lang w:eastAsia="ja-JP" w:bidi="ar-SA"/>
        </w:rPr>
      </w:pPr>
      <w:r w:rsidRPr="004C12C9">
        <w:t xml:space="preserve">For electricity consumed by buildings, users have the option </w:t>
      </w:r>
      <w:r w:rsidR="00C106F5" w:rsidRPr="004C12C9">
        <w:t xml:space="preserve">to use </w:t>
      </w:r>
      <w:r w:rsidR="007E103E" w:rsidRPr="004C12C9">
        <w:t xml:space="preserve">a </w:t>
      </w:r>
      <w:r w:rsidR="00C106F5" w:rsidRPr="004C12C9">
        <w:t>grid average emission</w:t>
      </w:r>
      <w:r w:rsidR="00436586" w:rsidRPr="004C12C9">
        <w:t xml:space="preserve"> factor or </w:t>
      </w:r>
      <w:r w:rsidR="0081490E" w:rsidRPr="004C12C9">
        <w:t>utility-specific emission factors for s</w:t>
      </w:r>
      <w:r w:rsidR="002151B6" w:rsidRPr="004C12C9">
        <w:t xml:space="preserve">elect electricity providers in Minnesota. </w:t>
      </w:r>
      <w:r w:rsidR="00995C1A" w:rsidRPr="004C12C9">
        <w:t>The grid average</w:t>
      </w:r>
      <w:r w:rsidR="00B235C4" w:rsidRPr="004C12C9">
        <w:t xml:space="preserve"> and utility-specific</w:t>
      </w:r>
      <w:r w:rsidR="00995C1A" w:rsidRPr="004C12C9">
        <w:t xml:space="preserve"> electricity emission factors by year for </w:t>
      </w:r>
      <w:r w:rsidR="002151B6" w:rsidRPr="004C12C9">
        <w:rPr>
          <w:lang w:eastAsia="ja-JP" w:bidi="ar-SA"/>
        </w:rPr>
        <w:t xml:space="preserve">building </w:t>
      </w:r>
      <w:r w:rsidR="00995C1A" w:rsidRPr="004C12C9">
        <w:rPr>
          <w:lang w:eastAsia="ja-JP" w:bidi="ar-SA"/>
        </w:rPr>
        <w:t xml:space="preserve">electricity </w:t>
      </w:r>
      <w:r w:rsidR="002151B6" w:rsidRPr="004C12C9">
        <w:rPr>
          <w:lang w:eastAsia="ja-JP" w:bidi="ar-SA"/>
        </w:rPr>
        <w:t>consumption</w:t>
      </w:r>
      <w:r w:rsidR="00995C1A" w:rsidRPr="004C12C9">
        <w:rPr>
          <w:lang w:eastAsia="ja-JP" w:bidi="ar-SA"/>
        </w:rPr>
        <w:t>, as</w:t>
      </w:r>
      <w:r w:rsidR="00995C1A" w:rsidRPr="004C12C9">
        <w:t xml:space="preserve"> shown in</w:t>
      </w:r>
      <w:r w:rsidR="00B235C4" w:rsidRPr="004C12C9">
        <w:t xml:space="preserve"> </w:t>
      </w:r>
      <w:r w:rsidR="00A035DD" w:rsidRPr="004C12C9">
        <w:fldChar w:fldCharType="begin" w:fldLock="1"/>
      </w:r>
      <w:r w:rsidR="00A035DD" w:rsidRPr="004C12C9">
        <w:instrText xml:space="preserve"> REF _Ref195620572 \h </w:instrText>
      </w:r>
      <w:r w:rsidR="00A035DD" w:rsidRPr="004C12C9">
        <w:fldChar w:fldCharType="separate"/>
      </w:r>
      <w:r w:rsidR="00127094" w:rsidRPr="004C12C9">
        <w:t>Table 3</w:t>
      </w:r>
      <w:r w:rsidR="00127094" w:rsidRPr="004C12C9">
        <w:noBreakHyphen/>
        <w:t>7</w:t>
      </w:r>
      <w:r w:rsidR="00A035DD" w:rsidRPr="004C12C9">
        <w:fldChar w:fldCharType="end"/>
      </w:r>
      <w:r w:rsidR="00995C1A" w:rsidRPr="004C12C9">
        <w:t xml:space="preserve">, were derived based on the methodology described in </w:t>
      </w:r>
      <w:r w:rsidR="00995C1A" w:rsidRPr="004C12C9">
        <w:fldChar w:fldCharType="begin" w:fldLock="1"/>
      </w:r>
      <w:r w:rsidR="00995C1A" w:rsidRPr="004C12C9">
        <w:instrText xml:space="preserve"> REF _Ref195350188 \n \h </w:instrText>
      </w:r>
      <w:r w:rsidR="00995C1A" w:rsidRPr="004C12C9">
        <w:fldChar w:fldCharType="separate"/>
      </w:r>
      <w:r w:rsidR="00127094" w:rsidRPr="004C12C9">
        <w:t>Appendix C</w:t>
      </w:r>
      <w:r w:rsidR="00995C1A" w:rsidRPr="004C12C9">
        <w:fldChar w:fldCharType="end"/>
      </w:r>
      <w:r w:rsidR="00995C1A" w:rsidRPr="004C12C9">
        <w:t>.</w:t>
      </w:r>
    </w:p>
    <w:p w14:paraId="22823217" w14:textId="439ED21D" w:rsidR="00995C1A" w:rsidRPr="004C12C9" w:rsidRDefault="006E470A" w:rsidP="00995C1A">
      <w:pPr>
        <w:pStyle w:val="Caption"/>
        <w:rPr>
          <w:rFonts w:asciiTheme="minorHAnsi" w:hAnsiTheme="minorHAnsi" w:cstheme="minorHAnsi"/>
          <w:b w:val="0"/>
          <w:i/>
          <w:lang w:eastAsia="ja-JP" w:bidi="ar-SA"/>
        </w:rPr>
      </w:pPr>
      <w:bookmarkStart w:id="159" w:name="_Ref195620572"/>
      <w:bookmarkStart w:id="160" w:name="_Ref195641878"/>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7</w:t>
      </w:r>
      <w:r w:rsidR="00F72B41">
        <w:fldChar w:fldCharType="end"/>
      </w:r>
      <w:bookmarkEnd w:id="159"/>
      <w:r w:rsidR="003C60F3" w:rsidRPr="004C12C9">
        <w:t xml:space="preserve">. Electricity Emission </w:t>
      </w:r>
      <w:bookmarkEnd w:id="160"/>
      <w:r w:rsidR="003C60F3" w:rsidRPr="004C12C9">
        <w:t>Factor</w:t>
      </w:r>
      <w:r w:rsidR="0068648F" w:rsidRPr="004C12C9">
        <w:t>s</w:t>
      </w:r>
    </w:p>
    <w:tbl>
      <w:tblPr>
        <w:tblW w:w="505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25"/>
        <w:gridCol w:w="1174"/>
        <w:gridCol w:w="1175"/>
        <w:gridCol w:w="1175"/>
        <w:gridCol w:w="1174"/>
        <w:gridCol w:w="1175"/>
        <w:gridCol w:w="1175"/>
      </w:tblGrid>
      <w:tr w:rsidR="00995C1A" w:rsidRPr="004C12C9" w14:paraId="198FDE04" w14:textId="77777777" w:rsidTr="005A6B7C">
        <w:trPr>
          <w:trHeight w:val="290"/>
        </w:trPr>
        <w:tc>
          <w:tcPr>
            <w:tcW w:w="3125" w:type="dxa"/>
            <w:vMerge w:val="restart"/>
            <w:shd w:val="clear" w:color="auto" w:fill="D9D9D9" w:themeFill="background1" w:themeFillShade="D9"/>
            <w:vAlign w:val="center"/>
            <w:hideMark/>
          </w:tcPr>
          <w:p w14:paraId="77C84EA1" w14:textId="77777777" w:rsidR="00995C1A" w:rsidRPr="004C12C9" w:rsidRDefault="00995C1A" w:rsidP="00FD1D08">
            <w:pPr>
              <w:pStyle w:val="ICFTableHeading"/>
              <w:keepNext/>
              <w:rPr>
                <w:bCs/>
                <w:lang w:bidi="ar-SA"/>
              </w:rPr>
            </w:pPr>
            <w:r w:rsidRPr="004C12C9">
              <w:rPr>
                <w:lang w:bidi="ar-SA"/>
              </w:rPr>
              <w:t>Electricity Provider</w:t>
            </w:r>
          </w:p>
        </w:tc>
        <w:tc>
          <w:tcPr>
            <w:tcW w:w="7048" w:type="dxa"/>
            <w:gridSpan w:val="6"/>
            <w:shd w:val="clear" w:color="auto" w:fill="D9D9D9" w:themeFill="background1" w:themeFillShade="D9"/>
            <w:vAlign w:val="center"/>
            <w:hideMark/>
          </w:tcPr>
          <w:p w14:paraId="5A7D721E" w14:textId="32C2D496" w:rsidR="00995C1A" w:rsidRPr="004C12C9" w:rsidRDefault="00995C1A" w:rsidP="00FD1D08">
            <w:pPr>
              <w:pStyle w:val="ICFTableHeading"/>
              <w:keepNext/>
              <w:rPr>
                <w:lang w:bidi="ar-SA"/>
              </w:rPr>
            </w:pPr>
            <w:r w:rsidRPr="004C12C9">
              <w:rPr>
                <w:lang w:bidi="ar-SA"/>
              </w:rPr>
              <w:t>Emission Factor (kgCO</w:t>
            </w:r>
            <w:r w:rsidRPr="004C12C9">
              <w:rPr>
                <w:vertAlign w:val="subscript"/>
                <w:lang w:bidi="ar-SA"/>
              </w:rPr>
              <w:t>2</w:t>
            </w:r>
            <w:r w:rsidRPr="004C12C9">
              <w:rPr>
                <w:lang w:bidi="ar-SA"/>
              </w:rPr>
              <w:t>e/MMBtu)</w:t>
            </w:r>
            <w:r w:rsidR="005A6B7C" w:rsidRPr="004C12C9">
              <w:rPr>
                <w:vertAlign w:val="superscript"/>
                <w:lang w:bidi="ar-SA"/>
              </w:rPr>
              <w:t>a</w:t>
            </w:r>
          </w:p>
        </w:tc>
      </w:tr>
      <w:tr w:rsidR="00995C1A" w:rsidRPr="004C12C9" w14:paraId="088F73B3" w14:textId="77777777" w:rsidTr="005A6B7C">
        <w:trPr>
          <w:trHeight w:val="280"/>
        </w:trPr>
        <w:tc>
          <w:tcPr>
            <w:tcW w:w="3125" w:type="dxa"/>
            <w:vMerge/>
            <w:shd w:val="clear" w:color="auto" w:fill="D9D9D9" w:themeFill="background1" w:themeFillShade="D9"/>
            <w:vAlign w:val="center"/>
            <w:hideMark/>
          </w:tcPr>
          <w:p w14:paraId="3F44EF42" w14:textId="77777777" w:rsidR="00995C1A" w:rsidRPr="004C12C9" w:rsidRDefault="00995C1A" w:rsidP="00FD1D08">
            <w:pPr>
              <w:pStyle w:val="ICFTableHeading"/>
              <w:keepNext/>
              <w:rPr>
                <w:lang w:bidi="ar-SA"/>
              </w:rPr>
            </w:pPr>
          </w:p>
        </w:tc>
        <w:tc>
          <w:tcPr>
            <w:tcW w:w="1174" w:type="dxa"/>
            <w:shd w:val="clear" w:color="auto" w:fill="D9D9D9" w:themeFill="background1" w:themeFillShade="D9"/>
            <w:vAlign w:val="center"/>
            <w:hideMark/>
          </w:tcPr>
          <w:p w14:paraId="529B8C78" w14:textId="77777777" w:rsidR="00995C1A" w:rsidRPr="004C12C9" w:rsidRDefault="00995C1A" w:rsidP="00FD1D08">
            <w:pPr>
              <w:pStyle w:val="ICFTableHeading"/>
              <w:keepNext/>
              <w:rPr>
                <w:lang w:bidi="ar-SA"/>
              </w:rPr>
            </w:pPr>
            <w:r w:rsidRPr="004C12C9">
              <w:rPr>
                <w:lang w:bidi="ar-SA"/>
              </w:rPr>
              <w:t>2025</w:t>
            </w:r>
          </w:p>
        </w:tc>
        <w:tc>
          <w:tcPr>
            <w:tcW w:w="1175" w:type="dxa"/>
            <w:shd w:val="clear" w:color="auto" w:fill="D9D9D9" w:themeFill="background1" w:themeFillShade="D9"/>
            <w:vAlign w:val="center"/>
            <w:hideMark/>
          </w:tcPr>
          <w:p w14:paraId="3468BB19" w14:textId="77777777" w:rsidR="00995C1A" w:rsidRPr="004C12C9" w:rsidRDefault="00995C1A" w:rsidP="00FD1D08">
            <w:pPr>
              <w:pStyle w:val="ICFTableHeading"/>
              <w:keepNext/>
              <w:rPr>
                <w:lang w:bidi="ar-SA"/>
              </w:rPr>
            </w:pPr>
            <w:r w:rsidRPr="004C12C9">
              <w:rPr>
                <w:lang w:bidi="ar-SA"/>
              </w:rPr>
              <w:t>2030</w:t>
            </w:r>
          </w:p>
        </w:tc>
        <w:tc>
          <w:tcPr>
            <w:tcW w:w="1175" w:type="dxa"/>
            <w:shd w:val="clear" w:color="auto" w:fill="D9D9D9" w:themeFill="background1" w:themeFillShade="D9"/>
            <w:vAlign w:val="center"/>
            <w:hideMark/>
          </w:tcPr>
          <w:p w14:paraId="30DE9050" w14:textId="77777777" w:rsidR="00995C1A" w:rsidRPr="004C12C9" w:rsidRDefault="00995C1A" w:rsidP="00FD1D08">
            <w:pPr>
              <w:pStyle w:val="ICFTableHeading"/>
              <w:keepNext/>
              <w:rPr>
                <w:lang w:bidi="ar-SA"/>
              </w:rPr>
            </w:pPr>
            <w:r w:rsidRPr="004C12C9">
              <w:rPr>
                <w:lang w:bidi="ar-SA"/>
              </w:rPr>
              <w:t>2035</w:t>
            </w:r>
          </w:p>
        </w:tc>
        <w:tc>
          <w:tcPr>
            <w:tcW w:w="1174" w:type="dxa"/>
            <w:shd w:val="clear" w:color="auto" w:fill="D9D9D9" w:themeFill="background1" w:themeFillShade="D9"/>
            <w:vAlign w:val="center"/>
            <w:hideMark/>
          </w:tcPr>
          <w:p w14:paraId="65532BEB" w14:textId="77777777" w:rsidR="00995C1A" w:rsidRPr="004C12C9" w:rsidRDefault="00995C1A" w:rsidP="00FD1D08">
            <w:pPr>
              <w:pStyle w:val="ICFTableHeading"/>
              <w:keepNext/>
              <w:rPr>
                <w:lang w:bidi="ar-SA"/>
              </w:rPr>
            </w:pPr>
            <w:r w:rsidRPr="004C12C9">
              <w:rPr>
                <w:lang w:bidi="ar-SA"/>
              </w:rPr>
              <w:t>2040</w:t>
            </w:r>
          </w:p>
        </w:tc>
        <w:tc>
          <w:tcPr>
            <w:tcW w:w="1175" w:type="dxa"/>
            <w:shd w:val="clear" w:color="auto" w:fill="D9D9D9" w:themeFill="background1" w:themeFillShade="D9"/>
            <w:vAlign w:val="center"/>
            <w:hideMark/>
          </w:tcPr>
          <w:p w14:paraId="42C8D4ED" w14:textId="77777777" w:rsidR="00995C1A" w:rsidRPr="004C12C9" w:rsidRDefault="00995C1A" w:rsidP="00FD1D08">
            <w:pPr>
              <w:pStyle w:val="ICFTableHeading"/>
              <w:keepNext/>
              <w:rPr>
                <w:lang w:bidi="ar-SA"/>
              </w:rPr>
            </w:pPr>
            <w:r w:rsidRPr="004C12C9">
              <w:rPr>
                <w:lang w:bidi="ar-SA"/>
              </w:rPr>
              <w:t>2045</w:t>
            </w:r>
          </w:p>
        </w:tc>
        <w:tc>
          <w:tcPr>
            <w:tcW w:w="1175" w:type="dxa"/>
            <w:shd w:val="clear" w:color="auto" w:fill="D9D9D9" w:themeFill="background1" w:themeFillShade="D9"/>
            <w:vAlign w:val="center"/>
            <w:hideMark/>
          </w:tcPr>
          <w:p w14:paraId="2D9D59EC" w14:textId="77777777" w:rsidR="00995C1A" w:rsidRPr="004C12C9" w:rsidRDefault="00995C1A" w:rsidP="00FD1D08">
            <w:pPr>
              <w:pStyle w:val="ICFTableHeading"/>
              <w:keepNext/>
              <w:rPr>
                <w:lang w:bidi="ar-SA"/>
              </w:rPr>
            </w:pPr>
            <w:r w:rsidRPr="004C12C9">
              <w:rPr>
                <w:lang w:bidi="ar-SA"/>
              </w:rPr>
              <w:t>2050</w:t>
            </w:r>
          </w:p>
        </w:tc>
      </w:tr>
      <w:tr w:rsidR="00995C1A" w:rsidRPr="004C12C9" w14:paraId="75717659" w14:textId="77777777">
        <w:trPr>
          <w:trHeight w:val="283"/>
        </w:trPr>
        <w:tc>
          <w:tcPr>
            <w:tcW w:w="3125" w:type="dxa"/>
            <w:noWrap/>
            <w:vAlign w:val="center"/>
            <w:hideMark/>
          </w:tcPr>
          <w:p w14:paraId="02566004" w14:textId="2D4B08B2" w:rsidR="00995C1A" w:rsidRPr="004C12C9" w:rsidRDefault="00AE5BAE" w:rsidP="00FD1D08">
            <w:pPr>
              <w:pStyle w:val="ICFTabletext"/>
              <w:keepNext/>
              <w:rPr>
                <w:lang w:bidi="ar-SA"/>
              </w:rPr>
            </w:pPr>
            <w:r w:rsidRPr="004C12C9">
              <w:rPr>
                <w:lang w:bidi="ar-SA"/>
              </w:rPr>
              <w:t>Grid</w:t>
            </w:r>
            <w:r w:rsidR="00995C1A" w:rsidRPr="004C12C9">
              <w:rPr>
                <w:lang w:bidi="ar-SA"/>
              </w:rPr>
              <w:t xml:space="preserve"> Average</w:t>
            </w:r>
          </w:p>
        </w:tc>
        <w:tc>
          <w:tcPr>
            <w:tcW w:w="1174" w:type="dxa"/>
            <w:noWrap/>
            <w:hideMark/>
          </w:tcPr>
          <w:p w14:paraId="46AE1F97" w14:textId="542640F1" w:rsidR="00995C1A" w:rsidRPr="004C12C9" w:rsidRDefault="00D24D5C" w:rsidP="00FD1D08">
            <w:pPr>
              <w:pStyle w:val="ICFTabletext"/>
              <w:keepNext/>
              <w:jc w:val="center"/>
              <w:rPr>
                <w:color w:val="000000"/>
                <w:lang w:bidi="ar-SA"/>
              </w:rPr>
            </w:pPr>
            <w:r w:rsidRPr="004C12C9">
              <w:t xml:space="preserve"> 116.62 </w:t>
            </w:r>
          </w:p>
        </w:tc>
        <w:tc>
          <w:tcPr>
            <w:tcW w:w="1175" w:type="dxa"/>
            <w:noWrap/>
            <w:hideMark/>
          </w:tcPr>
          <w:p w14:paraId="20FECF28" w14:textId="52056FE9" w:rsidR="00995C1A" w:rsidRPr="004C12C9" w:rsidRDefault="00D24D5C" w:rsidP="00FD1D08">
            <w:pPr>
              <w:pStyle w:val="ICFTabletext"/>
              <w:keepNext/>
              <w:jc w:val="center"/>
              <w:rPr>
                <w:color w:val="000000"/>
                <w:lang w:bidi="ar-SA"/>
              </w:rPr>
            </w:pPr>
            <w:r w:rsidRPr="004C12C9">
              <w:t xml:space="preserve"> 42.63 </w:t>
            </w:r>
          </w:p>
        </w:tc>
        <w:tc>
          <w:tcPr>
            <w:tcW w:w="1175" w:type="dxa"/>
            <w:noWrap/>
            <w:hideMark/>
          </w:tcPr>
          <w:p w14:paraId="6A5E0034" w14:textId="4DA337E4" w:rsidR="00995C1A" w:rsidRPr="004C12C9" w:rsidRDefault="00D24D5C" w:rsidP="00FD1D08">
            <w:pPr>
              <w:pStyle w:val="ICFTabletext"/>
              <w:keepNext/>
              <w:jc w:val="center"/>
              <w:rPr>
                <w:color w:val="000000"/>
                <w:lang w:bidi="ar-SA"/>
              </w:rPr>
            </w:pPr>
            <w:r w:rsidRPr="004C12C9">
              <w:t xml:space="preserve"> </w:t>
            </w:r>
            <w:r w:rsidR="00995C1A" w:rsidRPr="004C12C9">
              <w:t>21.</w:t>
            </w:r>
            <w:r w:rsidRPr="004C12C9">
              <w:t xml:space="preserve">32 </w:t>
            </w:r>
          </w:p>
        </w:tc>
        <w:tc>
          <w:tcPr>
            <w:tcW w:w="1174" w:type="dxa"/>
            <w:noWrap/>
            <w:hideMark/>
          </w:tcPr>
          <w:p w14:paraId="333AC074" w14:textId="1007978C" w:rsidR="00995C1A" w:rsidRPr="004C12C9" w:rsidRDefault="00F76809" w:rsidP="00FD1D08">
            <w:pPr>
              <w:pStyle w:val="ICFTabletext"/>
              <w:keepNext/>
              <w:jc w:val="center"/>
              <w:rPr>
                <w:lang w:bidi="ar-SA"/>
              </w:rPr>
            </w:pPr>
            <w:r w:rsidRPr="004C12C9">
              <w:t xml:space="preserve"> - </w:t>
            </w:r>
          </w:p>
        </w:tc>
        <w:tc>
          <w:tcPr>
            <w:tcW w:w="1175" w:type="dxa"/>
            <w:noWrap/>
            <w:hideMark/>
          </w:tcPr>
          <w:p w14:paraId="6FF5FBC1" w14:textId="0E4D8059" w:rsidR="00995C1A" w:rsidRPr="004C12C9" w:rsidRDefault="00F76809" w:rsidP="00FD1D08">
            <w:pPr>
              <w:pStyle w:val="ICFTabletext"/>
              <w:keepNext/>
              <w:jc w:val="center"/>
              <w:rPr>
                <w:lang w:bidi="ar-SA"/>
              </w:rPr>
            </w:pPr>
            <w:r w:rsidRPr="004C12C9">
              <w:t xml:space="preserve"> - </w:t>
            </w:r>
          </w:p>
        </w:tc>
        <w:tc>
          <w:tcPr>
            <w:tcW w:w="1175" w:type="dxa"/>
            <w:noWrap/>
            <w:hideMark/>
          </w:tcPr>
          <w:p w14:paraId="4AC7FE3E" w14:textId="4E41896F" w:rsidR="00995C1A" w:rsidRPr="004C12C9" w:rsidRDefault="00F76809" w:rsidP="00FD1D08">
            <w:pPr>
              <w:pStyle w:val="ICFTabletext"/>
              <w:keepNext/>
              <w:jc w:val="center"/>
              <w:rPr>
                <w:lang w:bidi="ar-SA"/>
              </w:rPr>
            </w:pPr>
            <w:r w:rsidRPr="004C12C9">
              <w:t xml:space="preserve"> - </w:t>
            </w:r>
          </w:p>
        </w:tc>
      </w:tr>
      <w:tr w:rsidR="00CD47CB" w:rsidRPr="004C12C9" w14:paraId="1AF2D860" w14:textId="77777777" w:rsidTr="005A6B7C">
        <w:trPr>
          <w:trHeight w:val="283"/>
        </w:trPr>
        <w:tc>
          <w:tcPr>
            <w:tcW w:w="3125" w:type="dxa"/>
            <w:noWrap/>
          </w:tcPr>
          <w:p w14:paraId="14ED946B" w14:textId="2ABD02C6" w:rsidR="00CD47CB" w:rsidRPr="004C12C9" w:rsidRDefault="00CD47CB" w:rsidP="00CD47CB">
            <w:pPr>
              <w:pStyle w:val="ICFTabletext"/>
              <w:keepNext/>
              <w:rPr>
                <w:lang w:bidi="ar-SA"/>
              </w:rPr>
            </w:pPr>
            <w:r w:rsidRPr="004C12C9">
              <w:t>Xcel Energy</w:t>
            </w:r>
          </w:p>
        </w:tc>
        <w:tc>
          <w:tcPr>
            <w:tcW w:w="1174" w:type="dxa"/>
            <w:noWrap/>
          </w:tcPr>
          <w:p w14:paraId="79639360" w14:textId="30203295" w:rsidR="00CD47CB" w:rsidRPr="004C12C9" w:rsidRDefault="00CD47CB" w:rsidP="00CD47CB">
            <w:pPr>
              <w:pStyle w:val="ICFTabletext"/>
              <w:keepNext/>
              <w:jc w:val="center"/>
            </w:pPr>
            <w:r w:rsidRPr="004C12C9">
              <w:t xml:space="preserve"> 69.75 </w:t>
            </w:r>
          </w:p>
        </w:tc>
        <w:tc>
          <w:tcPr>
            <w:tcW w:w="1175" w:type="dxa"/>
            <w:noWrap/>
          </w:tcPr>
          <w:p w14:paraId="7C19C727" w14:textId="5E415100" w:rsidR="00CD47CB" w:rsidRPr="004C12C9" w:rsidRDefault="00CD47CB" w:rsidP="00CD47CB">
            <w:pPr>
              <w:pStyle w:val="ICFTabletext"/>
              <w:keepNext/>
              <w:jc w:val="center"/>
            </w:pPr>
            <w:r w:rsidRPr="004C12C9">
              <w:t xml:space="preserve"> 19.84 </w:t>
            </w:r>
          </w:p>
        </w:tc>
        <w:tc>
          <w:tcPr>
            <w:tcW w:w="1175" w:type="dxa"/>
            <w:noWrap/>
          </w:tcPr>
          <w:p w14:paraId="03FA17FC" w14:textId="0ACD42CC" w:rsidR="00CD47CB" w:rsidRPr="004C12C9" w:rsidRDefault="00CD47CB" w:rsidP="00CD47CB">
            <w:pPr>
              <w:pStyle w:val="ICFTabletext"/>
              <w:keepNext/>
              <w:jc w:val="center"/>
            </w:pPr>
            <w:r w:rsidRPr="004C12C9">
              <w:t xml:space="preserve"> 12.97 </w:t>
            </w:r>
          </w:p>
        </w:tc>
        <w:tc>
          <w:tcPr>
            <w:tcW w:w="1174" w:type="dxa"/>
            <w:noWrap/>
          </w:tcPr>
          <w:p w14:paraId="2C76D8EB" w14:textId="4A3E13A1" w:rsidR="00CD47CB" w:rsidRPr="004C12C9" w:rsidRDefault="00CD47CB" w:rsidP="00CD47CB">
            <w:pPr>
              <w:pStyle w:val="ICFTabletext"/>
              <w:keepNext/>
              <w:jc w:val="center"/>
              <w:rPr>
                <w:lang w:bidi="ar-SA"/>
              </w:rPr>
            </w:pPr>
            <w:r w:rsidRPr="004C12C9">
              <w:t xml:space="preserve"> - </w:t>
            </w:r>
          </w:p>
        </w:tc>
        <w:tc>
          <w:tcPr>
            <w:tcW w:w="1175" w:type="dxa"/>
            <w:noWrap/>
          </w:tcPr>
          <w:p w14:paraId="666C75F4" w14:textId="5F1881F2" w:rsidR="00CD47CB" w:rsidRPr="004C12C9" w:rsidRDefault="00CD47CB" w:rsidP="00CD47CB">
            <w:pPr>
              <w:pStyle w:val="ICFTabletext"/>
              <w:keepNext/>
              <w:jc w:val="center"/>
              <w:rPr>
                <w:lang w:bidi="ar-SA"/>
              </w:rPr>
            </w:pPr>
            <w:r w:rsidRPr="004C12C9">
              <w:t xml:space="preserve"> - </w:t>
            </w:r>
          </w:p>
        </w:tc>
        <w:tc>
          <w:tcPr>
            <w:tcW w:w="1175" w:type="dxa"/>
            <w:noWrap/>
          </w:tcPr>
          <w:p w14:paraId="69F5EF86" w14:textId="43423C85" w:rsidR="00CD47CB" w:rsidRPr="004C12C9" w:rsidRDefault="00CD47CB" w:rsidP="00CD47CB">
            <w:pPr>
              <w:pStyle w:val="ICFTabletext"/>
              <w:keepNext/>
              <w:jc w:val="center"/>
              <w:rPr>
                <w:lang w:bidi="ar-SA"/>
              </w:rPr>
            </w:pPr>
            <w:r w:rsidRPr="004C12C9">
              <w:t xml:space="preserve"> - </w:t>
            </w:r>
          </w:p>
        </w:tc>
      </w:tr>
      <w:tr w:rsidR="00D575F3" w:rsidRPr="004C12C9" w14:paraId="13B2AA27" w14:textId="77777777" w:rsidTr="005A6B7C">
        <w:trPr>
          <w:trHeight w:val="283"/>
        </w:trPr>
        <w:tc>
          <w:tcPr>
            <w:tcW w:w="3125" w:type="dxa"/>
            <w:noWrap/>
          </w:tcPr>
          <w:p w14:paraId="1A66118A" w14:textId="11E1172C" w:rsidR="00D575F3" w:rsidRPr="004C12C9" w:rsidRDefault="00CD47CB" w:rsidP="00FD1D08">
            <w:pPr>
              <w:pStyle w:val="ICFTabletext"/>
              <w:keepNext/>
              <w:rPr>
                <w:lang w:bidi="ar-SA"/>
              </w:rPr>
            </w:pPr>
            <w:r w:rsidRPr="004C12C9">
              <w:t>Minnesota Power</w:t>
            </w:r>
          </w:p>
        </w:tc>
        <w:tc>
          <w:tcPr>
            <w:tcW w:w="1174" w:type="dxa"/>
            <w:noWrap/>
          </w:tcPr>
          <w:p w14:paraId="58BBA828" w14:textId="0342BAFF" w:rsidR="00D575F3" w:rsidRPr="004C12C9" w:rsidRDefault="00CD47CB" w:rsidP="00FD1D08">
            <w:pPr>
              <w:pStyle w:val="ICFTabletext"/>
              <w:keepNext/>
              <w:jc w:val="center"/>
            </w:pPr>
            <w:r w:rsidRPr="004C12C9">
              <w:t xml:space="preserve"> 162.74 </w:t>
            </w:r>
          </w:p>
        </w:tc>
        <w:tc>
          <w:tcPr>
            <w:tcW w:w="1175" w:type="dxa"/>
            <w:noWrap/>
          </w:tcPr>
          <w:p w14:paraId="322EFC3F" w14:textId="320C6B1B" w:rsidR="00D575F3" w:rsidRPr="004C12C9" w:rsidRDefault="00CD47CB" w:rsidP="00FD1D08">
            <w:pPr>
              <w:pStyle w:val="ICFTabletext"/>
              <w:keepNext/>
              <w:jc w:val="center"/>
            </w:pPr>
            <w:r w:rsidRPr="004C12C9">
              <w:t xml:space="preserve"> 49.69 </w:t>
            </w:r>
          </w:p>
        </w:tc>
        <w:tc>
          <w:tcPr>
            <w:tcW w:w="1175" w:type="dxa"/>
            <w:noWrap/>
          </w:tcPr>
          <w:p w14:paraId="4F8FBE13" w14:textId="2175B392" w:rsidR="00D575F3" w:rsidRPr="004C12C9" w:rsidRDefault="00CD47CB" w:rsidP="00FD1D08">
            <w:pPr>
              <w:pStyle w:val="ICFTabletext"/>
              <w:keepNext/>
              <w:jc w:val="center"/>
            </w:pPr>
            <w:r w:rsidRPr="004C12C9">
              <w:t xml:space="preserve"> 16.88 </w:t>
            </w:r>
          </w:p>
        </w:tc>
        <w:tc>
          <w:tcPr>
            <w:tcW w:w="1174" w:type="dxa"/>
            <w:noWrap/>
          </w:tcPr>
          <w:p w14:paraId="587BB9CA" w14:textId="21A3EED0" w:rsidR="00D575F3" w:rsidRPr="004C12C9" w:rsidRDefault="00CD47CB" w:rsidP="00FD1D08">
            <w:pPr>
              <w:pStyle w:val="ICFTabletext"/>
              <w:keepNext/>
              <w:jc w:val="center"/>
              <w:rPr>
                <w:lang w:bidi="ar-SA"/>
              </w:rPr>
            </w:pPr>
            <w:r w:rsidRPr="004C12C9">
              <w:t xml:space="preserve"> - </w:t>
            </w:r>
          </w:p>
        </w:tc>
        <w:tc>
          <w:tcPr>
            <w:tcW w:w="1175" w:type="dxa"/>
            <w:noWrap/>
          </w:tcPr>
          <w:p w14:paraId="1D9360E3" w14:textId="00F421C1" w:rsidR="00D575F3" w:rsidRPr="004C12C9" w:rsidRDefault="00CD47CB" w:rsidP="00FD1D08">
            <w:pPr>
              <w:pStyle w:val="ICFTabletext"/>
              <w:keepNext/>
              <w:jc w:val="center"/>
              <w:rPr>
                <w:lang w:bidi="ar-SA"/>
              </w:rPr>
            </w:pPr>
            <w:r w:rsidRPr="004C12C9">
              <w:t xml:space="preserve"> - </w:t>
            </w:r>
          </w:p>
        </w:tc>
        <w:tc>
          <w:tcPr>
            <w:tcW w:w="1175" w:type="dxa"/>
            <w:noWrap/>
          </w:tcPr>
          <w:p w14:paraId="39F8AA86" w14:textId="4345CEC0" w:rsidR="00D575F3" w:rsidRPr="004C12C9" w:rsidRDefault="00CD47CB" w:rsidP="00FD1D08">
            <w:pPr>
              <w:pStyle w:val="ICFTabletext"/>
              <w:keepNext/>
              <w:jc w:val="center"/>
              <w:rPr>
                <w:lang w:bidi="ar-SA"/>
              </w:rPr>
            </w:pPr>
            <w:r w:rsidRPr="004C12C9">
              <w:t xml:space="preserve"> - </w:t>
            </w:r>
          </w:p>
        </w:tc>
      </w:tr>
      <w:tr w:rsidR="00D575F3" w:rsidRPr="004C12C9" w14:paraId="39910161" w14:textId="77777777" w:rsidTr="005A6B7C">
        <w:trPr>
          <w:trHeight w:val="283"/>
        </w:trPr>
        <w:tc>
          <w:tcPr>
            <w:tcW w:w="3125" w:type="dxa"/>
            <w:noWrap/>
          </w:tcPr>
          <w:p w14:paraId="3EEA3C88" w14:textId="589D0257" w:rsidR="00D575F3" w:rsidRPr="004C12C9" w:rsidRDefault="00CD47CB" w:rsidP="00FD1D08">
            <w:pPr>
              <w:pStyle w:val="ICFTabletext"/>
              <w:keepNext/>
              <w:rPr>
                <w:lang w:bidi="ar-SA"/>
              </w:rPr>
            </w:pPr>
            <w:r w:rsidRPr="004C12C9">
              <w:t>Great River Energy</w:t>
            </w:r>
          </w:p>
        </w:tc>
        <w:tc>
          <w:tcPr>
            <w:tcW w:w="1174" w:type="dxa"/>
            <w:noWrap/>
          </w:tcPr>
          <w:p w14:paraId="3B20F1E4" w14:textId="1A6F9A4D" w:rsidR="00D575F3" w:rsidRPr="004C12C9" w:rsidRDefault="00CD47CB" w:rsidP="00FD1D08">
            <w:pPr>
              <w:pStyle w:val="ICFTabletext"/>
              <w:keepNext/>
              <w:jc w:val="center"/>
            </w:pPr>
            <w:r w:rsidRPr="004C12C9">
              <w:t xml:space="preserve"> 161.81 </w:t>
            </w:r>
          </w:p>
        </w:tc>
        <w:tc>
          <w:tcPr>
            <w:tcW w:w="1175" w:type="dxa"/>
            <w:noWrap/>
          </w:tcPr>
          <w:p w14:paraId="79EC926A" w14:textId="467F3584" w:rsidR="00D575F3" w:rsidRPr="004C12C9" w:rsidRDefault="00CD47CB" w:rsidP="00FD1D08">
            <w:pPr>
              <w:pStyle w:val="ICFTabletext"/>
              <w:keepNext/>
              <w:jc w:val="center"/>
            </w:pPr>
            <w:r w:rsidRPr="004C12C9">
              <w:t xml:space="preserve"> 91.92 </w:t>
            </w:r>
          </w:p>
        </w:tc>
        <w:tc>
          <w:tcPr>
            <w:tcW w:w="1175" w:type="dxa"/>
            <w:noWrap/>
          </w:tcPr>
          <w:p w14:paraId="03B9DD81" w14:textId="1934F5FA" w:rsidR="00D575F3" w:rsidRPr="004C12C9" w:rsidRDefault="00CD47CB" w:rsidP="00FD1D08">
            <w:pPr>
              <w:pStyle w:val="ICFTabletext"/>
              <w:keepNext/>
              <w:jc w:val="center"/>
            </w:pPr>
            <w:r w:rsidRPr="004C12C9">
              <w:t xml:space="preserve"> 33.76 </w:t>
            </w:r>
          </w:p>
        </w:tc>
        <w:tc>
          <w:tcPr>
            <w:tcW w:w="1174" w:type="dxa"/>
            <w:noWrap/>
          </w:tcPr>
          <w:p w14:paraId="0C734E0C" w14:textId="7E2296FE" w:rsidR="00D575F3" w:rsidRPr="004C12C9" w:rsidRDefault="00CD47CB" w:rsidP="00FD1D08">
            <w:pPr>
              <w:pStyle w:val="ICFTabletext"/>
              <w:keepNext/>
              <w:jc w:val="center"/>
              <w:rPr>
                <w:lang w:bidi="ar-SA"/>
              </w:rPr>
            </w:pPr>
            <w:r w:rsidRPr="004C12C9">
              <w:t xml:space="preserve"> - </w:t>
            </w:r>
          </w:p>
        </w:tc>
        <w:tc>
          <w:tcPr>
            <w:tcW w:w="1175" w:type="dxa"/>
            <w:noWrap/>
          </w:tcPr>
          <w:p w14:paraId="3E85CDF8" w14:textId="0FDADE13" w:rsidR="00D575F3" w:rsidRPr="004C12C9" w:rsidRDefault="00CD47CB" w:rsidP="00FD1D08">
            <w:pPr>
              <w:pStyle w:val="ICFTabletext"/>
              <w:keepNext/>
              <w:jc w:val="center"/>
              <w:rPr>
                <w:lang w:bidi="ar-SA"/>
              </w:rPr>
            </w:pPr>
            <w:r w:rsidRPr="004C12C9">
              <w:t xml:space="preserve"> - </w:t>
            </w:r>
          </w:p>
        </w:tc>
        <w:tc>
          <w:tcPr>
            <w:tcW w:w="1175" w:type="dxa"/>
            <w:noWrap/>
          </w:tcPr>
          <w:p w14:paraId="2E3B71FF" w14:textId="34CDB779" w:rsidR="00D575F3" w:rsidRPr="004C12C9" w:rsidRDefault="00CD47CB" w:rsidP="00FD1D08">
            <w:pPr>
              <w:pStyle w:val="ICFTabletext"/>
              <w:keepNext/>
              <w:jc w:val="center"/>
              <w:rPr>
                <w:lang w:bidi="ar-SA"/>
              </w:rPr>
            </w:pPr>
            <w:r w:rsidRPr="004C12C9">
              <w:t xml:space="preserve"> - </w:t>
            </w:r>
          </w:p>
        </w:tc>
      </w:tr>
      <w:tr w:rsidR="00D575F3" w:rsidRPr="004C12C9" w14:paraId="1C3BDF82" w14:textId="77777777" w:rsidTr="005A6B7C">
        <w:trPr>
          <w:trHeight w:val="283"/>
        </w:trPr>
        <w:tc>
          <w:tcPr>
            <w:tcW w:w="3125" w:type="dxa"/>
            <w:noWrap/>
          </w:tcPr>
          <w:p w14:paraId="5A41E90A" w14:textId="637881E4" w:rsidR="00D575F3" w:rsidRPr="004C12C9" w:rsidRDefault="00CD47CB" w:rsidP="00FD1D08">
            <w:pPr>
              <w:pStyle w:val="ICFTabletext"/>
              <w:keepNext/>
              <w:rPr>
                <w:lang w:bidi="ar-SA"/>
              </w:rPr>
            </w:pPr>
            <w:r w:rsidRPr="004C12C9">
              <w:t>Otter Tail Power Company</w:t>
            </w:r>
          </w:p>
        </w:tc>
        <w:tc>
          <w:tcPr>
            <w:tcW w:w="1174" w:type="dxa"/>
            <w:noWrap/>
          </w:tcPr>
          <w:p w14:paraId="2D960032" w14:textId="211BE6FD" w:rsidR="00D575F3" w:rsidRPr="004C12C9" w:rsidRDefault="00CD47CB" w:rsidP="00FD1D08">
            <w:pPr>
              <w:pStyle w:val="ICFTabletext"/>
              <w:keepNext/>
              <w:jc w:val="center"/>
            </w:pPr>
            <w:r w:rsidRPr="004C12C9">
              <w:t xml:space="preserve"> 141.40 </w:t>
            </w:r>
          </w:p>
        </w:tc>
        <w:tc>
          <w:tcPr>
            <w:tcW w:w="1175" w:type="dxa"/>
            <w:noWrap/>
          </w:tcPr>
          <w:p w14:paraId="6E9256A7" w14:textId="4679459C" w:rsidR="00D575F3" w:rsidRPr="004C12C9" w:rsidRDefault="00CD47CB" w:rsidP="00FD1D08">
            <w:pPr>
              <w:pStyle w:val="ICFTabletext"/>
              <w:keepNext/>
              <w:jc w:val="center"/>
            </w:pPr>
            <w:r w:rsidRPr="004C12C9">
              <w:t xml:space="preserve"> 91.44 </w:t>
            </w:r>
          </w:p>
        </w:tc>
        <w:tc>
          <w:tcPr>
            <w:tcW w:w="1175" w:type="dxa"/>
            <w:noWrap/>
          </w:tcPr>
          <w:p w14:paraId="7F13325C" w14:textId="35705960" w:rsidR="00D575F3" w:rsidRPr="004C12C9" w:rsidRDefault="00CD47CB" w:rsidP="00FD1D08">
            <w:pPr>
              <w:pStyle w:val="ICFTabletext"/>
              <w:keepNext/>
              <w:jc w:val="center"/>
            </w:pPr>
            <w:r w:rsidRPr="004C12C9">
              <w:t xml:space="preserve"> 45.66 </w:t>
            </w:r>
          </w:p>
        </w:tc>
        <w:tc>
          <w:tcPr>
            <w:tcW w:w="1174" w:type="dxa"/>
            <w:noWrap/>
          </w:tcPr>
          <w:p w14:paraId="1E7FF0A1" w14:textId="69B1E01F" w:rsidR="00D575F3" w:rsidRPr="004C12C9" w:rsidRDefault="00CD47CB" w:rsidP="00FD1D08">
            <w:pPr>
              <w:pStyle w:val="ICFTabletext"/>
              <w:keepNext/>
              <w:jc w:val="center"/>
              <w:rPr>
                <w:lang w:bidi="ar-SA"/>
              </w:rPr>
            </w:pPr>
            <w:r w:rsidRPr="004C12C9">
              <w:t xml:space="preserve"> - </w:t>
            </w:r>
          </w:p>
        </w:tc>
        <w:tc>
          <w:tcPr>
            <w:tcW w:w="1175" w:type="dxa"/>
            <w:noWrap/>
          </w:tcPr>
          <w:p w14:paraId="2D3F180C" w14:textId="27949150" w:rsidR="00D575F3" w:rsidRPr="004C12C9" w:rsidRDefault="00CD47CB" w:rsidP="00FD1D08">
            <w:pPr>
              <w:pStyle w:val="ICFTabletext"/>
              <w:keepNext/>
              <w:jc w:val="center"/>
              <w:rPr>
                <w:lang w:bidi="ar-SA"/>
              </w:rPr>
            </w:pPr>
            <w:r w:rsidRPr="004C12C9">
              <w:t xml:space="preserve"> - </w:t>
            </w:r>
          </w:p>
        </w:tc>
        <w:tc>
          <w:tcPr>
            <w:tcW w:w="1175" w:type="dxa"/>
            <w:noWrap/>
          </w:tcPr>
          <w:p w14:paraId="688A49BE" w14:textId="6D81FF73" w:rsidR="00D575F3" w:rsidRPr="004C12C9" w:rsidRDefault="00CD47CB" w:rsidP="00FD1D08">
            <w:pPr>
              <w:pStyle w:val="ICFTabletext"/>
              <w:keepNext/>
              <w:jc w:val="center"/>
              <w:rPr>
                <w:lang w:bidi="ar-SA"/>
              </w:rPr>
            </w:pPr>
            <w:r w:rsidRPr="004C12C9">
              <w:t xml:space="preserve"> - </w:t>
            </w:r>
          </w:p>
        </w:tc>
      </w:tr>
    </w:tbl>
    <w:p w14:paraId="1D51997C" w14:textId="5D479778" w:rsidR="003C60F3" w:rsidRPr="004C12C9" w:rsidRDefault="005A6B7C" w:rsidP="003C60F3">
      <w:pPr>
        <w:pStyle w:val="TableFooter"/>
      </w:pPr>
      <w:r w:rsidRPr="004C12C9">
        <w:rPr>
          <w:vertAlign w:val="superscript"/>
          <w:lang w:bidi="ar-SA"/>
        </w:rPr>
        <w:t>a</w:t>
      </w:r>
      <w:r w:rsidR="003C60F3" w:rsidRPr="004C12C9">
        <w:t xml:space="preserve"> Values shown are based on AR5 global warming potentials.</w:t>
      </w:r>
    </w:p>
    <w:p w14:paraId="5B376AC4" w14:textId="1E8ABBAD" w:rsidR="006E470A" w:rsidRPr="004C12C9" w:rsidRDefault="006E470A" w:rsidP="00972CF9">
      <w:r w:rsidRPr="004C12C9">
        <w:lastRenderedPageBreak/>
        <w:t>For other building energy sources, emission factors were derived based on data obtained from EPA</w:t>
      </w:r>
      <w:r w:rsidR="005C26B8" w:rsidRPr="004C12C9">
        <w:t>’s</w:t>
      </w:r>
      <w:r w:rsidRPr="004C12C9">
        <w:t xml:space="preserve"> </w:t>
      </w:r>
      <w:r w:rsidR="00057003" w:rsidRPr="004C12C9">
        <w:t>GHG</w:t>
      </w:r>
      <w:r w:rsidRPr="004C12C9">
        <w:t xml:space="preserve"> Emission Factors Hub</w:t>
      </w:r>
      <w:r w:rsidRPr="004C12C9">
        <w:rPr>
          <w:rStyle w:val="FootnoteReference"/>
        </w:rPr>
        <w:footnoteReference w:id="85"/>
      </w:r>
      <w:r w:rsidRPr="004C12C9">
        <w:t xml:space="preserve"> and GREET</w:t>
      </w:r>
      <w:r w:rsidR="00EF03CD" w:rsidRPr="004C12C9">
        <w:t xml:space="preserve"> </w:t>
      </w:r>
      <w:r w:rsidRPr="004C12C9">
        <w:t>1 202</w:t>
      </w:r>
      <w:r w:rsidR="00036DFB" w:rsidRPr="004C12C9">
        <w:t>4</w:t>
      </w:r>
      <w:r w:rsidRPr="004C12C9">
        <w:t>.</w:t>
      </w:r>
      <w:r w:rsidR="00705F8F" w:rsidRPr="004C12C9">
        <w:rPr>
          <w:rStyle w:val="FootnoteReference"/>
        </w:rPr>
        <w:footnoteReference w:id="86"/>
      </w:r>
      <w:r w:rsidRPr="004C12C9">
        <w:t xml:space="preserve"> Emissions from combustion were obtained from EPA while upstream emissions were </w:t>
      </w:r>
      <w:r w:rsidR="00CD2820" w:rsidRPr="004C12C9">
        <w:t xml:space="preserve">obtained </w:t>
      </w:r>
      <w:r w:rsidRPr="004C12C9">
        <w:t>from GREET. The emission factors by fuel type</w:t>
      </w:r>
      <w:r w:rsidR="00D94FCF" w:rsidRPr="004C12C9">
        <w:t xml:space="preserve"> and</w:t>
      </w:r>
      <w:r w:rsidRPr="004C12C9">
        <w:t xml:space="preserve"> lifecycle stage are shown in </w:t>
      </w:r>
      <w:r w:rsidRPr="004C12C9">
        <w:fldChar w:fldCharType="begin" w:fldLock="1"/>
      </w:r>
      <w:r w:rsidRPr="004C12C9">
        <w:instrText xml:space="preserve"> REF _Ref185540313 \h </w:instrText>
      </w:r>
      <w:r w:rsidRPr="004C12C9">
        <w:fldChar w:fldCharType="separate"/>
      </w:r>
      <w:r w:rsidR="00127094" w:rsidRPr="004C12C9">
        <w:t>Table 3</w:t>
      </w:r>
      <w:r w:rsidR="00127094" w:rsidRPr="004C12C9">
        <w:noBreakHyphen/>
        <w:t>8.</w:t>
      </w:r>
      <w:r w:rsidRPr="004C12C9">
        <w:fldChar w:fldCharType="end"/>
      </w:r>
    </w:p>
    <w:p w14:paraId="7807C109" w14:textId="25920DC3" w:rsidR="006E470A" w:rsidRPr="004C12C9" w:rsidRDefault="006E470A" w:rsidP="00972CF9">
      <w:pPr>
        <w:pStyle w:val="Caption"/>
      </w:pPr>
      <w:bookmarkStart w:id="161" w:name="_Ref187695846"/>
      <w:bookmarkStart w:id="162" w:name="_Ref185540313"/>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8</w:t>
      </w:r>
      <w:r w:rsidR="00F72B41">
        <w:fldChar w:fldCharType="end"/>
      </w:r>
      <w:bookmarkEnd w:id="161"/>
      <w:r w:rsidRPr="004C12C9">
        <w:t>.</w:t>
      </w:r>
      <w:bookmarkEnd w:id="162"/>
      <w:r w:rsidRPr="004C12C9">
        <w:t xml:space="preserve"> Fossil Fuel Emission Factors for Stationary Combustion</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88"/>
        <w:gridCol w:w="2294"/>
        <w:gridCol w:w="2294"/>
        <w:gridCol w:w="2294"/>
      </w:tblGrid>
      <w:tr w:rsidR="006E470A" w:rsidRPr="004C12C9" w:rsidDel="00AD3665" w14:paraId="6E644AC6" w14:textId="77777777" w:rsidTr="00FD1D08">
        <w:trPr>
          <w:cnfStyle w:val="100000000000" w:firstRow="1" w:lastRow="0" w:firstColumn="0" w:lastColumn="0" w:oddVBand="0" w:evenVBand="0" w:oddHBand="0" w:evenHBand="0" w:firstRowFirstColumn="0" w:firstRowLastColumn="0" w:lastRowFirstColumn="0" w:lastRowLastColumn="0"/>
          <w:trHeight w:val="350"/>
        </w:trPr>
        <w:tc>
          <w:tcPr>
            <w:tcW w:w="1583" w:type="pct"/>
            <w:vMerge w:val="restart"/>
          </w:tcPr>
          <w:p w14:paraId="5C855C52" w14:textId="77777777" w:rsidR="006E470A" w:rsidRPr="004C12C9" w:rsidRDefault="006E470A" w:rsidP="0004250F">
            <w:pPr>
              <w:pStyle w:val="ICFTableHeading"/>
            </w:pPr>
            <w:r w:rsidRPr="004C12C9">
              <w:t>Fuel Type</w:t>
            </w:r>
          </w:p>
        </w:tc>
        <w:tc>
          <w:tcPr>
            <w:tcW w:w="3417" w:type="pct"/>
            <w:gridSpan w:val="3"/>
          </w:tcPr>
          <w:p w14:paraId="03339EEB" w14:textId="5F944C64" w:rsidR="006E470A" w:rsidRPr="004C12C9" w:rsidRDefault="006E470A" w:rsidP="0004250F">
            <w:pPr>
              <w:pStyle w:val="ICFTableHeading"/>
            </w:pPr>
            <w:r w:rsidRPr="004C12C9">
              <w:t>Emission Factor (kgCO</w:t>
            </w:r>
            <w:r w:rsidRPr="004C12C9">
              <w:rPr>
                <w:vertAlign w:val="subscript"/>
              </w:rPr>
              <w:t>2</w:t>
            </w:r>
            <w:r w:rsidRPr="004C12C9">
              <w:t>e/MMBtu)</w:t>
            </w:r>
            <w:r w:rsidR="00487106" w:rsidRPr="004C12C9">
              <w:rPr>
                <w:vertAlign w:val="superscript"/>
              </w:rPr>
              <w:t>a</w:t>
            </w:r>
          </w:p>
        </w:tc>
      </w:tr>
      <w:tr w:rsidR="006E470A" w:rsidRPr="004C12C9" w:rsidDel="00AD3665" w14:paraId="54412CBA" w14:textId="77777777" w:rsidTr="00FD1D08">
        <w:trPr>
          <w:cnfStyle w:val="000000100000" w:firstRow="0" w:lastRow="0" w:firstColumn="0" w:lastColumn="0" w:oddVBand="0" w:evenVBand="0" w:oddHBand="1" w:evenHBand="0" w:firstRowFirstColumn="0" w:firstRowLastColumn="0" w:lastRowFirstColumn="0" w:lastRowLastColumn="0"/>
          <w:trHeight w:val="287"/>
        </w:trPr>
        <w:tc>
          <w:tcPr>
            <w:tcW w:w="1583" w:type="pct"/>
            <w:vMerge/>
            <w:shd w:val="clear" w:color="auto" w:fill="D9D9D9" w:themeFill="background1" w:themeFillShade="D9"/>
          </w:tcPr>
          <w:p w14:paraId="189590FC" w14:textId="77777777" w:rsidR="006E470A" w:rsidRPr="004C12C9" w:rsidRDefault="006E470A" w:rsidP="0004250F">
            <w:pPr>
              <w:pStyle w:val="ICFTableHeading"/>
            </w:pPr>
          </w:p>
        </w:tc>
        <w:tc>
          <w:tcPr>
            <w:tcW w:w="1139" w:type="pct"/>
            <w:shd w:val="clear" w:color="auto" w:fill="D9D9D9" w:themeFill="background1" w:themeFillShade="D9"/>
          </w:tcPr>
          <w:p w14:paraId="3CE7D21D" w14:textId="77777777" w:rsidR="006E470A" w:rsidRPr="004C12C9" w:rsidRDefault="006E470A" w:rsidP="0004250F">
            <w:pPr>
              <w:pStyle w:val="ICFTableHeading"/>
            </w:pPr>
            <w:r w:rsidRPr="004C12C9">
              <w:t>Upstream</w:t>
            </w:r>
          </w:p>
        </w:tc>
        <w:tc>
          <w:tcPr>
            <w:tcW w:w="1139" w:type="pct"/>
            <w:shd w:val="clear" w:color="auto" w:fill="D9D9D9" w:themeFill="background1" w:themeFillShade="D9"/>
          </w:tcPr>
          <w:p w14:paraId="24746FB7" w14:textId="77777777" w:rsidR="006E470A" w:rsidRPr="004C12C9" w:rsidRDefault="006E470A" w:rsidP="0004250F">
            <w:pPr>
              <w:pStyle w:val="ICFTableHeading"/>
            </w:pPr>
            <w:r w:rsidRPr="004C12C9">
              <w:t>Combustion</w:t>
            </w:r>
          </w:p>
        </w:tc>
        <w:tc>
          <w:tcPr>
            <w:tcW w:w="1139" w:type="pct"/>
            <w:shd w:val="clear" w:color="auto" w:fill="D9D9D9" w:themeFill="background1" w:themeFillShade="D9"/>
          </w:tcPr>
          <w:p w14:paraId="21EE7668" w14:textId="77777777" w:rsidR="006E470A" w:rsidRPr="004C12C9" w:rsidDel="00AD3665" w:rsidRDefault="006E470A" w:rsidP="0004250F">
            <w:pPr>
              <w:pStyle w:val="ICFTableHeading"/>
            </w:pPr>
            <w:r w:rsidRPr="004C12C9">
              <w:t>Total</w:t>
            </w:r>
          </w:p>
        </w:tc>
      </w:tr>
      <w:tr w:rsidR="006E470A" w:rsidRPr="004C12C9" w14:paraId="4C86D947" w14:textId="77777777" w:rsidTr="009B1875">
        <w:trPr>
          <w:cnfStyle w:val="000000010000" w:firstRow="0" w:lastRow="0" w:firstColumn="0" w:lastColumn="0" w:oddVBand="0" w:evenVBand="0" w:oddHBand="0" w:evenHBand="1" w:firstRowFirstColumn="0" w:firstRowLastColumn="0" w:lastRowFirstColumn="0" w:lastRowLastColumn="0"/>
          <w:trHeight w:val="161"/>
        </w:trPr>
        <w:tc>
          <w:tcPr>
            <w:tcW w:w="1583" w:type="pct"/>
            <w:shd w:val="clear" w:color="auto" w:fill="auto"/>
          </w:tcPr>
          <w:p w14:paraId="635DB735" w14:textId="77777777" w:rsidR="006E470A" w:rsidRPr="004C12C9" w:rsidRDefault="006E470A" w:rsidP="008A6A27">
            <w:pPr>
              <w:pStyle w:val="ICFTabletext"/>
              <w:jc w:val="left"/>
            </w:pPr>
            <w:r w:rsidRPr="004C12C9">
              <w:t>Natural Gas</w:t>
            </w:r>
          </w:p>
        </w:tc>
        <w:tc>
          <w:tcPr>
            <w:tcW w:w="1139" w:type="pct"/>
            <w:shd w:val="clear" w:color="auto" w:fill="auto"/>
          </w:tcPr>
          <w:p w14:paraId="1D4A4BB7" w14:textId="64AE1AA6" w:rsidR="006E470A" w:rsidRPr="004C12C9" w:rsidRDefault="006E470A" w:rsidP="0004250F">
            <w:pPr>
              <w:pStyle w:val="ICFTabletext"/>
            </w:pPr>
            <w:r w:rsidRPr="004C12C9">
              <w:t>12.</w:t>
            </w:r>
            <w:r w:rsidR="00CB2C61" w:rsidRPr="004C12C9">
              <w:t>03</w:t>
            </w:r>
          </w:p>
        </w:tc>
        <w:tc>
          <w:tcPr>
            <w:tcW w:w="1139" w:type="pct"/>
            <w:shd w:val="clear" w:color="auto" w:fill="auto"/>
          </w:tcPr>
          <w:p w14:paraId="46476EB1" w14:textId="77777777" w:rsidR="006E470A" w:rsidRPr="004C12C9" w:rsidRDefault="006E470A" w:rsidP="0004250F">
            <w:pPr>
              <w:pStyle w:val="ICFTabletext"/>
            </w:pPr>
            <w:r w:rsidRPr="004C12C9">
              <w:t>53.11</w:t>
            </w:r>
          </w:p>
        </w:tc>
        <w:tc>
          <w:tcPr>
            <w:tcW w:w="1139" w:type="pct"/>
            <w:shd w:val="clear" w:color="auto" w:fill="auto"/>
          </w:tcPr>
          <w:p w14:paraId="3D6E5385" w14:textId="00D33561" w:rsidR="006E470A" w:rsidRPr="004C12C9" w:rsidRDefault="00CB2C61" w:rsidP="0004250F">
            <w:pPr>
              <w:pStyle w:val="ICFTabletext"/>
            </w:pPr>
            <w:r w:rsidRPr="004C12C9">
              <w:t>65.15</w:t>
            </w:r>
          </w:p>
        </w:tc>
      </w:tr>
      <w:tr w:rsidR="006E470A" w:rsidRPr="004C12C9" w14:paraId="5CBDB631" w14:textId="77777777" w:rsidTr="009B1875">
        <w:trPr>
          <w:cnfStyle w:val="000000100000" w:firstRow="0" w:lastRow="0" w:firstColumn="0" w:lastColumn="0" w:oddVBand="0" w:evenVBand="0" w:oddHBand="1" w:evenHBand="0" w:firstRowFirstColumn="0" w:firstRowLastColumn="0" w:lastRowFirstColumn="0" w:lastRowLastColumn="0"/>
          <w:trHeight w:val="161"/>
        </w:trPr>
        <w:tc>
          <w:tcPr>
            <w:tcW w:w="1583" w:type="pct"/>
            <w:shd w:val="clear" w:color="auto" w:fill="auto"/>
          </w:tcPr>
          <w:p w14:paraId="6C4A48F7" w14:textId="77777777" w:rsidR="006E470A" w:rsidRPr="004C12C9" w:rsidRDefault="006E470A" w:rsidP="008A6A27">
            <w:pPr>
              <w:pStyle w:val="ICFTabletext"/>
              <w:jc w:val="left"/>
            </w:pPr>
            <w:r w:rsidRPr="004C12C9">
              <w:t>Renewable Natural Gas</w:t>
            </w:r>
          </w:p>
        </w:tc>
        <w:tc>
          <w:tcPr>
            <w:tcW w:w="1139" w:type="pct"/>
            <w:shd w:val="clear" w:color="auto" w:fill="auto"/>
          </w:tcPr>
          <w:p w14:paraId="78DE1334" w14:textId="1BC61E16" w:rsidR="006E470A" w:rsidRPr="004C12C9" w:rsidRDefault="006E470A" w:rsidP="0004250F">
            <w:pPr>
              <w:pStyle w:val="ICFTabletext"/>
            </w:pPr>
            <w:r w:rsidRPr="004C12C9">
              <w:t>1</w:t>
            </w:r>
            <w:r w:rsidR="00CB2C61" w:rsidRPr="004C12C9">
              <w:t>8.50</w:t>
            </w:r>
            <w:r w:rsidR="00487106" w:rsidRPr="004C12C9">
              <w:rPr>
                <w:vertAlign w:val="superscript"/>
              </w:rPr>
              <w:t>b</w:t>
            </w:r>
          </w:p>
        </w:tc>
        <w:tc>
          <w:tcPr>
            <w:tcW w:w="1139" w:type="pct"/>
            <w:shd w:val="clear" w:color="auto" w:fill="auto"/>
          </w:tcPr>
          <w:p w14:paraId="7A93AC3F" w14:textId="281B15D4" w:rsidR="006E470A" w:rsidRPr="004C12C9" w:rsidRDefault="006E470A" w:rsidP="0004250F">
            <w:pPr>
              <w:pStyle w:val="ICFTabletext"/>
            </w:pPr>
            <w:r w:rsidRPr="004C12C9">
              <w:t>0.05</w:t>
            </w:r>
            <w:r w:rsidR="00487106" w:rsidRPr="004C12C9">
              <w:rPr>
                <w:vertAlign w:val="superscript"/>
              </w:rPr>
              <w:t>c</w:t>
            </w:r>
          </w:p>
        </w:tc>
        <w:tc>
          <w:tcPr>
            <w:tcW w:w="1139" w:type="pct"/>
            <w:shd w:val="clear" w:color="auto" w:fill="auto"/>
          </w:tcPr>
          <w:p w14:paraId="0E43DE8E" w14:textId="71E69D50" w:rsidR="006E470A" w:rsidRPr="004C12C9" w:rsidRDefault="00CB2C61" w:rsidP="0004250F">
            <w:pPr>
              <w:pStyle w:val="ICFTabletext"/>
            </w:pPr>
            <w:r w:rsidRPr="004C12C9">
              <w:t>18.56</w:t>
            </w:r>
          </w:p>
        </w:tc>
      </w:tr>
      <w:tr w:rsidR="006E470A" w:rsidRPr="004C12C9" w14:paraId="32FDEE7A" w14:textId="77777777" w:rsidTr="009B1875">
        <w:trPr>
          <w:cnfStyle w:val="000000010000" w:firstRow="0" w:lastRow="0" w:firstColumn="0" w:lastColumn="0" w:oddVBand="0" w:evenVBand="0" w:oddHBand="0" w:evenHBand="1" w:firstRowFirstColumn="0" w:firstRowLastColumn="0" w:lastRowFirstColumn="0" w:lastRowLastColumn="0"/>
          <w:trHeight w:val="77"/>
        </w:trPr>
        <w:tc>
          <w:tcPr>
            <w:tcW w:w="1583" w:type="pct"/>
            <w:shd w:val="clear" w:color="auto" w:fill="auto"/>
          </w:tcPr>
          <w:p w14:paraId="75035003" w14:textId="77777777" w:rsidR="006E470A" w:rsidRPr="004C12C9" w:rsidRDefault="006E470A" w:rsidP="008A6A27">
            <w:pPr>
              <w:pStyle w:val="ICFTabletext"/>
              <w:jc w:val="left"/>
            </w:pPr>
            <w:r w:rsidRPr="004C12C9">
              <w:t>Propane</w:t>
            </w:r>
          </w:p>
        </w:tc>
        <w:tc>
          <w:tcPr>
            <w:tcW w:w="1139" w:type="pct"/>
            <w:shd w:val="clear" w:color="auto" w:fill="auto"/>
          </w:tcPr>
          <w:p w14:paraId="1B21779B" w14:textId="0461F3BC" w:rsidR="006E470A" w:rsidRPr="004C12C9" w:rsidRDefault="00CB2C61" w:rsidP="0004250F">
            <w:pPr>
              <w:pStyle w:val="ICFTabletext"/>
            </w:pPr>
            <w:r w:rsidRPr="004C12C9">
              <w:t>18.17</w:t>
            </w:r>
          </w:p>
        </w:tc>
        <w:tc>
          <w:tcPr>
            <w:tcW w:w="1139" w:type="pct"/>
            <w:shd w:val="clear" w:color="auto" w:fill="auto"/>
          </w:tcPr>
          <w:p w14:paraId="6DF63A2A" w14:textId="77777777" w:rsidR="006E470A" w:rsidRPr="004C12C9" w:rsidRDefault="006E470A" w:rsidP="0004250F">
            <w:pPr>
              <w:pStyle w:val="ICFTabletext"/>
            </w:pPr>
            <w:r w:rsidRPr="004C12C9">
              <w:t>63.11</w:t>
            </w:r>
          </w:p>
        </w:tc>
        <w:tc>
          <w:tcPr>
            <w:tcW w:w="1139" w:type="pct"/>
            <w:shd w:val="clear" w:color="auto" w:fill="auto"/>
          </w:tcPr>
          <w:p w14:paraId="1A225AB1" w14:textId="3B2143E6" w:rsidR="006E470A" w:rsidRPr="004C12C9" w:rsidRDefault="00E3110F" w:rsidP="0004250F">
            <w:pPr>
              <w:pStyle w:val="ICFTabletext"/>
            </w:pPr>
            <w:r w:rsidRPr="004C12C9">
              <w:t>81.28</w:t>
            </w:r>
          </w:p>
        </w:tc>
      </w:tr>
      <w:tr w:rsidR="006E470A" w:rsidRPr="004C12C9" w14:paraId="0238C8DF" w14:textId="77777777" w:rsidTr="009B1875">
        <w:trPr>
          <w:cnfStyle w:val="000000100000" w:firstRow="0" w:lastRow="0" w:firstColumn="0" w:lastColumn="0" w:oddVBand="0" w:evenVBand="0" w:oddHBand="1" w:evenHBand="0" w:firstRowFirstColumn="0" w:firstRowLastColumn="0" w:lastRowFirstColumn="0" w:lastRowLastColumn="0"/>
          <w:trHeight w:val="77"/>
        </w:trPr>
        <w:tc>
          <w:tcPr>
            <w:tcW w:w="1583" w:type="pct"/>
            <w:shd w:val="clear" w:color="auto" w:fill="auto"/>
          </w:tcPr>
          <w:p w14:paraId="52B27E4F" w14:textId="77777777" w:rsidR="006E470A" w:rsidRPr="004C12C9" w:rsidRDefault="006E470A" w:rsidP="008A6A27">
            <w:pPr>
              <w:pStyle w:val="ICFTabletext"/>
              <w:jc w:val="left"/>
            </w:pPr>
            <w:r w:rsidRPr="004C12C9">
              <w:t>Kerosene</w:t>
            </w:r>
          </w:p>
        </w:tc>
        <w:tc>
          <w:tcPr>
            <w:tcW w:w="1139" w:type="pct"/>
            <w:shd w:val="clear" w:color="auto" w:fill="auto"/>
          </w:tcPr>
          <w:p w14:paraId="24A47B30" w14:textId="3B8560D1" w:rsidR="006E470A" w:rsidRPr="004C12C9" w:rsidRDefault="006E470A" w:rsidP="0004250F">
            <w:pPr>
              <w:pStyle w:val="ICFTabletext"/>
            </w:pPr>
            <w:r w:rsidRPr="004C12C9">
              <w:t>16.</w:t>
            </w:r>
            <w:r w:rsidR="00D11F10" w:rsidRPr="004C12C9">
              <w:t>11</w:t>
            </w:r>
            <w:r w:rsidR="00487106" w:rsidRPr="004C12C9">
              <w:rPr>
                <w:vertAlign w:val="superscript"/>
              </w:rPr>
              <w:t>d</w:t>
            </w:r>
          </w:p>
        </w:tc>
        <w:tc>
          <w:tcPr>
            <w:tcW w:w="1139" w:type="pct"/>
            <w:shd w:val="clear" w:color="auto" w:fill="auto"/>
          </w:tcPr>
          <w:p w14:paraId="551695C9" w14:textId="77777777" w:rsidR="006E470A" w:rsidRPr="004C12C9" w:rsidRDefault="006E470A" w:rsidP="0004250F">
            <w:pPr>
              <w:pStyle w:val="ICFTabletext"/>
            </w:pPr>
            <w:r w:rsidRPr="004C12C9">
              <w:t>75.44</w:t>
            </w:r>
          </w:p>
        </w:tc>
        <w:tc>
          <w:tcPr>
            <w:tcW w:w="1139" w:type="pct"/>
            <w:shd w:val="clear" w:color="auto" w:fill="auto"/>
          </w:tcPr>
          <w:p w14:paraId="5E7D2672" w14:textId="781557D1" w:rsidR="006E470A" w:rsidRPr="004C12C9" w:rsidRDefault="00D11F10" w:rsidP="0004250F">
            <w:pPr>
              <w:pStyle w:val="ICFTabletext"/>
            </w:pPr>
            <w:r w:rsidRPr="004C12C9">
              <w:t>91.55</w:t>
            </w:r>
          </w:p>
        </w:tc>
      </w:tr>
      <w:tr w:rsidR="006E470A" w:rsidRPr="004C12C9" w14:paraId="4E68651D" w14:textId="77777777" w:rsidTr="009B1875">
        <w:trPr>
          <w:cnfStyle w:val="000000010000" w:firstRow="0" w:lastRow="0" w:firstColumn="0" w:lastColumn="0" w:oddVBand="0" w:evenVBand="0" w:oddHBand="0" w:evenHBand="1" w:firstRowFirstColumn="0" w:firstRowLastColumn="0" w:lastRowFirstColumn="0" w:lastRowLastColumn="0"/>
          <w:trHeight w:val="77"/>
        </w:trPr>
        <w:tc>
          <w:tcPr>
            <w:tcW w:w="1583" w:type="pct"/>
            <w:shd w:val="clear" w:color="auto" w:fill="auto"/>
          </w:tcPr>
          <w:p w14:paraId="577EC43D" w14:textId="77777777" w:rsidR="006E470A" w:rsidRPr="004C12C9" w:rsidRDefault="006E470A" w:rsidP="008A6A27">
            <w:pPr>
              <w:pStyle w:val="ICFTabletext"/>
              <w:jc w:val="left"/>
            </w:pPr>
            <w:r w:rsidRPr="004C12C9">
              <w:t>Fuel Oil</w:t>
            </w:r>
          </w:p>
        </w:tc>
        <w:tc>
          <w:tcPr>
            <w:tcW w:w="1139" w:type="pct"/>
            <w:shd w:val="clear" w:color="auto" w:fill="auto"/>
          </w:tcPr>
          <w:p w14:paraId="353B3EF7" w14:textId="5A2DA706" w:rsidR="006E470A" w:rsidRPr="004C12C9" w:rsidRDefault="006E470A" w:rsidP="0004250F">
            <w:pPr>
              <w:pStyle w:val="ICFTabletext"/>
            </w:pPr>
            <w:r w:rsidRPr="004C12C9">
              <w:t>16.</w:t>
            </w:r>
            <w:r w:rsidR="000E36EB" w:rsidRPr="004C12C9">
              <w:t>11</w:t>
            </w:r>
            <w:r w:rsidR="00487106" w:rsidRPr="004C12C9">
              <w:rPr>
                <w:vertAlign w:val="superscript"/>
              </w:rPr>
              <w:t>d</w:t>
            </w:r>
          </w:p>
        </w:tc>
        <w:tc>
          <w:tcPr>
            <w:tcW w:w="1139" w:type="pct"/>
            <w:shd w:val="clear" w:color="auto" w:fill="auto"/>
          </w:tcPr>
          <w:p w14:paraId="3CEB5C4D" w14:textId="1E9512D1" w:rsidR="006E470A" w:rsidRPr="004C12C9" w:rsidRDefault="006E470A" w:rsidP="0004250F">
            <w:pPr>
              <w:pStyle w:val="ICFTabletext"/>
            </w:pPr>
            <w:r w:rsidRPr="004C12C9">
              <w:t>74.20</w:t>
            </w:r>
            <w:r w:rsidR="00487106" w:rsidRPr="004C12C9">
              <w:rPr>
                <w:vertAlign w:val="superscript"/>
              </w:rPr>
              <w:t>e</w:t>
            </w:r>
          </w:p>
        </w:tc>
        <w:tc>
          <w:tcPr>
            <w:tcW w:w="1139" w:type="pct"/>
            <w:shd w:val="clear" w:color="auto" w:fill="auto"/>
          </w:tcPr>
          <w:p w14:paraId="2C40D642" w14:textId="4E50946C" w:rsidR="006E470A" w:rsidRPr="004C12C9" w:rsidRDefault="006E470A" w:rsidP="0004250F">
            <w:pPr>
              <w:pStyle w:val="ICFTabletext"/>
            </w:pPr>
            <w:r w:rsidRPr="004C12C9">
              <w:t>90.</w:t>
            </w:r>
            <w:r w:rsidR="000E36EB" w:rsidRPr="004C12C9">
              <w:t>31</w:t>
            </w:r>
          </w:p>
        </w:tc>
      </w:tr>
    </w:tbl>
    <w:p w14:paraId="07E20AFB" w14:textId="4B4E9099" w:rsidR="00630751" w:rsidRPr="004C12C9" w:rsidRDefault="00487106" w:rsidP="00630751">
      <w:pPr>
        <w:pStyle w:val="TableFooter"/>
      </w:pPr>
      <w:r w:rsidRPr="004C12C9">
        <w:rPr>
          <w:vertAlign w:val="superscript"/>
        </w:rPr>
        <w:t>a</w:t>
      </w:r>
      <w:r w:rsidR="00630751" w:rsidRPr="004C12C9">
        <w:rPr>
          <w:vertAlign w:val="superscript"/>
        </w:rPr>
        <w:t xml:space="preserve"> </w:t>
      </w:r>
      <w:r w:rsidR="00630751" w:rsidRPr="004C12C9">
        <w:t>Values shown are based on AR5 global warming potentials.</w:t>
      </w:r>
    </w:p>
    <w:p w14:paraId="15FBD9C9" w14:textId="0E110466" w:rsidR="006E470A" w:rsidRPr="004C12C9" w:rsidRDefault="00487106" w:rsidP="006C4C9B">
      <w:pPr>
        <w:pStyle w:val="TableFooter"/>
      </w:pPr>
      <w:r w:rsidRPr="004C12C9">
        <w:rPr>
          <w:sz w:val="20"/>
          <w:szCs w:val="20"/>
          <w:vertAlign w:val="superscript"/>
        </w:rPr>
        <w:t>b</w:t>
      </w:r>
      <w:r w:rsidR="006E470A" w:rsidRPr="004C12C9">
        <w:rPr>
          <w:sz w:val="20"/>
          <w:szCs w:val="20"/>
          <w:vertAlign w:val="superscript"/>
        </w:rPr>
        <w:t xml:space="preserve"> </w:t>
      </w:r>
      <w:r w:rsidR="006E470A" w:rsidRPr="004C12C9">
        <w:t>Based on the emissions factor for landfill gas to natural gas.</w:t>
      </w:r>
    </w:p>
    <w:p w14:paraId="79DEBC19" w14:textId="0DF82EC8" w:rsidR="006E470A" w:rsidRPr="004C12C9" w:rsidRDefault="00487106" w:rsidP="006C4C9B">
      <w:pPr>
        <w:pStyle w:val="TableFooter"/>
      </w:pPr>
      <w:r w:rsidRPr="004C12C9">
        <w:rPr>
          <w:vertAlign w:val="superscript"/>
        </w:rPr>
        <w:t>c</w:t>
      </w:r>
      <w:r w:rsidR="006E470A" w:rsidRPr="004C12C9">
        <w:t xml:space="preserve"> Excludes CO</w:t>
      </w:r>
      <w:r w:rsidR="006E470A" w:rsidRPr="004C12C9">
        <w:rPr>
          <w:vertAlign w:val="subscript"/>
        </w:rPr>
        <w:t>2</w:t>
      </w:r>
      <w:r w:rsidR="006E470A" w:rsidRPr="004C12C9">
        <w:t xml:space="preserve"> emissions, which are considered biogenic.</w:t>
      </w:r>
    </w:p>
    <w:p w14:paraId="70E3013E" w14:textId="60B72A3B" w:rsidR="006E470A" w:rsidRPr="004C12C9" w:rsidRDefault="00487106" w:rsidP="006C4C9B">
      <w:pPr>
        <w:pStyle w:val="TableFooter"/>
      </w:pPr>
      <w:r w:rsidRPr="004C12C9">
        <w:rPr>
          <w:color w:val="000000"/>
          <w:vertAlign w:val="superscript"/>
        </w:rPr>
        <w:t>d</w:t>
      </w:r>
      <w:r w:rsidR="006E470A" w:rsidRPr="004C12C9">
        <w:t xml:space="preserve"> Based on the emissions factor for conventional diesel.</w:t>
      </w:r>
    </w:p>
    <w:p w14:paraId="4FB39298" w14:textId="367883B2" w:rsidR="006E470A" w:rsidRPr="004C12C9" w:rsidRDefault="00487106" w:rsidP="006C4C9B">
      <w:pPr>
        <w:pStyle w:val="TableFooter"/>
      </w:pPr>
      <w:r w:rsidRPr="004C12C9">
        <w:rPr>
          <w:color w:val="000000"/>
          <w:vertAlign w:val="superscript"/>
        </w:rPr>
        <w:t>e</w:t>
      </w:r>
      <w:r w:rsidR="006E470A" w:rsidRPr="004C12C9">
        <w:rPr>
          <w:color w:val="000000"/>
          <w:vertAlign w:val="superscript"/>
        </w:rPr>
        <w:t xml:space="preserve"> </w:t>
      </w:r>
      <w:r w:rsidR="006E470A" w:rsidRPr="004C12C9">
        <w:t>Based on the emissions factor for Distillate Fuel Oil No. 2.</w:t>
      </w:r>
    </w:p>
    <w:p w14:paraId="08D9311D" w14:textId="69F544E1" w:rsidR="00FC5F6E" w:rsidRPr="004C12C9" w:rsidRDefault="00B41F60" w:rsidP="00E31E37">
      <w:pPr>
        <w:pStyle w:val="Heading4"/>
      </w:pPr>
      <w:r w:rsidRPr="004C12C9">
        <w:t>Limitations</w:t>
      </w:r>
      <w:r w:rsidR="00FC5F6E" w:rsidRPr="004C12C9">
        <w:tab/>
      </w:r>
    </w:p>
    <w:p w14:paraId="1DE68A21" w14:textId="5D96A0CF" w:rsidR="003334DA" w:rsidRPr="004C12C9" w:rsidRDefault="003334DA" w:rsidP="003334DA">
      <w:r w:rsidRPr="004C12C9">
        <w:t>Key limitations of the methodology used to quantify emissions from building energy consumption include:</w:t>
      </w:r>
    </w:p>
    <w:p w14:paraId="38FBB95F" w14:textId="6F26A77C" w:rsidR="003E25EE" w:rsidRPr="004C12C9" w:rsidRDefault="00962C85" w:rsidP="003B5F7F">
      <w:pPr>
        <w:pStyle w:val="ListParagraph"/>
        <w:numPr>
          <w:ilvl w:val="0"/>
          <w:numId w:val="28"/>
        </w:numPr>
      </w:pPr>
      <w:r w:rsidRPr="004C12C9">
        <w:t>Default b</w:t>
      </w:r>
      <w:r w:rsidR="003E25EE" w:rsidRPr="004C12C9">
        <w:t xml:space="preserve">uilding energy intensities are </w:t>
      </w:r>
      <w:r w:rsidR="00C85C37" w:rsidRPr="004C12C9">
        <w:t>estimated by building type</w:t>
      </w:r>
      <w:r w:rsidR="00FF65FB" w:rsidRPr="004C12C9">
        <w:t xml:space="preserve"> (i.e., residential, commercial, industrial, and institutional)</w:t>
      </w:r>
      <w:r w:rsidR="00C85C37" w:rsidRPr="004C12C9">
        <w:t xml:space="preserve">. Significant variation is expected within these categories based on the specific </w:t>
      </w:r>
      <w:r w:rsidR="00830939" w:rsidRPr="004C12C9">
        <w:t>building use</w:t>
      </w:r>
      <w:r w:rsidR="002D72C7" w:rsidRPr="004C12C9">
        <w:t xml:space="preserve">. </w:t>
      </w:r>
      <w:r w:rsidR="00C43785" w:rsidRPr="004C12C9">
        <w:t xml:space="preserve">In particular, </w:t>
      </w:r>
      <w:r w:rsidR="00412829" w:rsidRPr="004C12C9">
        <w:t>the energy intensity</w:t>
      </w:r>
      <w:r w:rsidR="00F04976" w:rsidRPr="004C12C9">
        <w:t xml:space="preserve"> of industrial buildings is highly dependent on the industry type. </w:t>
      </w:r>
      <w:r w:rsidRPr="004C12C9">
        <w:t xml:space="preserve">Users </w:t>
      </w:r>
      <w:r w:rsidR="0047592E" w:rsidRPr="004C12C9">
        <w:t>are encouraged to</w:t>
      </w:r>
      <w:r w:rsidRPr="004C12C9">
        <w:t xml:space="preserve"> tailor </w:t>
      </w:r>
      <w:r w:rsidR="007B0B41" w:rsidRPr="004C12C9">
        <w:t>the energy intensit</w:t>
      </w:r>
      <w:r w:rsidR="00571F7D" w:rsidRPr="004C12C9">
        <w:t>ies</w:t>
      </w:r>
      <w:r w:rsidR="00880365" w:rsidRPr="004C12C9">
        <w:t xml:space="preserve"> to their specific project</w:t>
      </w:r>
      <w:r w:rsidR="007F6892" w:rsidRPr="004C12C9">
        <w:t>, as feasible.</w:t>
      </w:r>
    </w:p>
    <w:p w14:paraId="6059873E" w14:textId="18523005" w:rsidR="00F25EEE" w:rsidRPr="004C12C9" w:rsidRDefault="00D775B5" w:rsidP="003B5F7F">
      <w:pPr>
        <w:pStyle w:val="ListParagraph"/>
        <w:numPr>
          <w:ilvl w:val="0"/>
          <w:numId w:val="28"/>
        </w:numPr>
      </w:pPr>
      <w:r w:rsidRPr="004C12C9">
        <w:t xml:space="preserve">Where data was available, </w:t>
      </w:r>
      <w:r w:rsidR="0074325E" w:rsidRPr="004C12C9">
        <w:t xml:space="preserve">building energy intensity </w:t>
      </w:r>
      <w:r w:rsidR="009C23C9" w:rsidRPr="004C12C9">
        <w:t>was calculated</w:t>
      </w:r>
      <w:r w:rsidR="000C15B5" w:rsidRPr="004C12C9">
        <w:t xml:space="preserve"> for the Midwest region. However, in the case of </w:t>
      </w:r>
      <w:r w:rsidR="006C0CB6" w:rsidRPr="004C12C9">
        <w:t>i</w:t>
      </w:r>
      <w:r w:rsidR="00B224F4" w:rsidRPr="004C12C9">
        <w:t xml:space="preserve">ndustrial buildings, </w:t>
      </w:r>
      <w:r w:rsidR="00C859BE" w:rsidRPr="004C12C9">
        <w:t>floorspace data w</w:t>
      </w:r>
      <w:r w:rsidR="0033398D" w:rsidRPr="004C12C9">
        <w:t>ere</w:t>
      </w:r>
      <w:r w:rsidR="00C859BE" w:rsidRPr="004C12C9">
        <w:t xml:space="preserve"> only available at the national level</w:t>
      </w:r>
      <w:r w:rsidR="004D6AD8" w:rsidRPr="004C12C9">
        <w:t xml:space="preserve">. Therefore, the </w:t>
      </w:r>
      <w:r w:rsidR="00B619FA" w:rsidRPr="004C12C9">
        <w:t xml:space="preserve">building energy intensity </w:t>
      </w:r>
      <w:r w:rsidR="004A489E" w:rsidRPr="004C12C9">
        <w:t xml:space="preserve">for industrial buildings </w:t>
      </w:r>
      <w:r w:rsidR="00B619FA" w:rsidRPr="004C12C9">
        <w:t>was calculated at a national level.</w:t>
      </w:r>
    </w:p>
    <w:p w14:paraId="36E1A48C" w14:textId="7DAC18D8" w:rsidR="00B84BBE" w:rsidRDefault="0064777A" w:rsidP="003B5F7F">
      <w:pPr>
        <w:pStyle w:val="ListParagraph"/>
        <w:numPr>
          <w:ilvl w:val="0"/>
          <w:numId w:val="28"/>
        </w:numPr>
      </w:pPr>
      <w:r w:rsidRPr="004C12C9">
        <w:t xml:space="preserve">Building </w:t>
      </w:r>
      <w:r w:rsidR="00F25EEE" w:rsidRPr="004C12C9">
        <w:t>e</w:t>
      </w:r>
      <w:r w:rsidRPr="004C12C9">
        <w:t xml:space="preserve">nergy </w:t>
      </w:r>
      <w:r w:rsidR="00F25EEE" w:rsidRPr="004C12C9">
        <w:t>i</w:t>
      </w:r>
      <w:r w:rsidRPr="004C12C9">
        <w:t xml:space="preserve">ntensity data </w:t>
      </w:r>
      <w:r w:rsidR="004E0CA5" w:rsidRPr="004C12C9">
        <w:t xml:space="preserve">are </w:t>
      </w:r>
      <w:r w:rsidRPr="004C12C9">
        <w:t>from 2018</w:t>
      </w:r>
      <w:r w:rsidR="0092435E" w:rsidRPr="004C12C9">
        <w:t xml:space="preserve"> </w:t>
      </w:r>
      <w:r w:rsidR="00604A78" w:rsidRPr="004C12C9">
        <w:t xml:space="preserve">for </w:t>
      </w:r>
      <w:r w:rsidR="00D315BD" w:rsidRPr="004C12C9">
        <w:t>c</w:t>
      </w:r>
      <w:r w:rsidR="0011303B" w:rsidRPr="004C12C9">
        <w:t>ommercial,</w:t>
      </w:r>
      <w:r w:rsidR="00411F28" w:rsidRPr="004C12C9">
        <w:t xml:space="preserve"> </w:t>
      </w:r>
      <w:r w:rsidR="00D315BD" w:rsidRPr="004C12C9">
        <w:t>i</w:t>
      </w:r>
      <w:r w:rsidR="00411F28" w:rsidRPr="004C12C9">
        <w:t>ndustrial,</w:t>
      </w:r>
      <w:r w:rsidR="0011303B" w:rsidRPr="004C12C9">
        <w:t xml:space="preserve"> and </w:t>
      </w:r>
      <w:r w:rsidR="00D315BD" w:rsidRPr="004C12C9">
        <w:t>i</w:t>
      </w:r>
      <w:r w:rsidR="007C50F7" w:rsidRPr="004C12C9">
        <w:t>nstitutional</w:t>
      </w:r>
      <w:r w:rsidR="00D315BD" w:rsidRPr="004C12C9">
        <w:t xml:space="preserve"> buildings</w:t>
      </w:r>
      <w:r w:rsidR="0071247C" w:rsidRPr="004C12C9">
        <w:t xml:space="preserve"> and </w:t>
      </w:r>
      <w:r w:rsidR="00604A78" w:rsidRPr="004C12C9">
        <w:t>2020</w:t>
      </w:r>
      <w:r w:rsidR="0092435E" w:rsidRPr="004C12C9">
        <w:t xml:space="preserve"> </w:t>
      </w:r>
      <w:r w:rsidR="00604A78" w:rsidRPr="004C12C9">
        <w:t xml:space="preserve">for </w:t>
      </w:r>
      <w:r w:rsidR="006C5808" w:rsidRPr="004C12C9">
        <w:t>residential</w:t>
      </w:r>
      <w:r w:rsidR="00D85BFE" w:rsidRPr="004C12C9">
        <w:t xml:space="preserve"> </w:t>
      </w:r>
      <w:r w:rsidR="00096B56" w:rsidRPr="004C12C9">
        <w:t>buildings.</w:t>
      </w:r>
      <w:r w:rsidR="0092435E" w:rsidRPr="004C12C9">
        <w:t xml:space="preserve"> </w:t>
      </w:r>
      <w:r w:rsidR="00AC54D1" w:rsidRPr="004C12C9">
        <w:t>These values are expected to change over time as buildings</w:t>
      </w:r>
      <w:r w:rsidR="00E906E6" w:rsidRPr="004C12C9">
        <w:t xml:space="preserve"> become more efficient</w:t>
      </w:r>
      <w:r w:rsidR="00020ABF" w:rsidRPr="004C12C9">
        <w:t>.</w:t>
      </w:r>
      <w:r w:rsidR="00874696" w:rsidRPr="004C12C9">
        <w:t xml:space="preserve"> </w:t>
      </w:r>
      <w:r w:rsidR="00DE1C23" w:rsidRPr="004C12C9">
        <w:t>Additionally, t</w:t>
      </w:r>
      <w:r w:rsidR="00874696" w:rsidRPr="004C12C9">
        <w:t xml:space="preserve">hese </w:t>
      </w:r>
      <w:r w:rsidR="0043703F" w:rsidRPr="004C12C9">
        <w:t xml:space="preserve">default </w:t>
      </w:r>
      <w:r w:rsidR="00874696" w:rsidRPr="004C12C9">
        <w:t xml:space="preserve">values </w:t>
      </w:r>
      <w:r w:rsidR="0043703F" w:rsidRPr="004C12C9">
        <w:t xml:space="preserve">are derived based on </w:t>
      </w:r>
      <w:r w:rsidR="00F125DF" w:rsidRPr="004C12C9">
        <w:t xml:space="preserve">actual energy consumption </w:t>
      </w:r>
      <w:r w:rsidR="00317CC6" w:rsidRPr="004C12C9">
        <w:t xml:space="preserve">data for the region </w:t>
      </w:r>
      <w:r w:rsidR="00F125DF" w:rsidRPr="004C12C9">
        <w:t xml:space="preserve">and </w:t>
      </w:r>
      <w:r w:rsidR="00874696" w:rsidRPr="004C12C9">
        <w:t xml:space="preserve">do not </w:t>
      </w:r>
      <w:r w:rsidR="00466EBA" w:rsidRPr="004C12C9">
        <w:t>consider</w:t>
      </w:r>
      <w:r w:rsidR="00874696" w:rsidRPr="004C12C9">
        <w:t xml:space="preserve"> </w:t>
      </w:r>
      <w:r w:rsidR="00466EBA" w:rsidRPr="004C12C9">
        <w:t>energy efficiency standards</w:t>
      </w:r>
      <w:r w:rsidR="00F125DF" w:rsidRPr="004C12C9">
        <w:t xml:space="preserve"> for new</w:t>
      </w:r>
      <w:r w:rsidR="00365605" w:rsidRPr="004C12C9">
        <w:t xml:space="preserve"> or retrofitted buildings</w:t>
      </w:r>
      <w:r w:rsidR="00466EBA" w:rsidRPr="004C12C9">
        <w:t xml:space="preserve"> in Minnesota.</w:t>
      </w:r>
    </w:p>
    <w:p w14:paraId="40BA4C6A" w14:textId="03ACC9BC" w:rsidR="00FC71BB" w:rsidRPr="004C12C9" w:rsidRDefault="00FC5F6E" w:rsidP="00F25C37">
      <w:pPr>
        <w:pStyle w:val="Heading3"/>
      </w:pPr>
      <w:bookmarkStart w:id="163" w:name="_Toc219887774"/>
      <w:r w:rsidRPr="004C12C9">
        <w:lastRenderedPageBreak/>
        <w:t>Coal Production</w:t>
      </w:r>
      <w:bookmarkEnd w:id="163"/>
      <w:r w:rsidRPr="004C12C9">
        <w:tab/>
      </w:r>
    </w:p>
    <w:p w14:paraId="5A0BF265" w14:textId="7EF0118A" w:rsidR="00DC5E24" w:rsidRPr="004C12C9" w:rsidRDefault="00DC5E24" w:rsidP="00972CF9">
      <w:r w:rsidRPr="004C12C9">
        <w:t xml:space="preserve">Emissions from coal production include emissions tied to </w:t>
      </w:r>
      <w:r w:rsidR="00247E7B" w:rsidRPr="004C12C9">
        <w:t>the</w:t>
      </w:r>
      <w:r w:rsidRPr="004C12C9">
        <w:t xml:space="preserve"> underground mining, surface mining, coal cleaning, transportation of the coal to a power plant, and combustion</w:t>
      </w:r>
      <w:r w:rsidR="00247E7B" w:rsidRPr="004C12C9">
        <w:t xml:space="preserve"> activities</w:t>
      </w:r>
      <w:r w:rsidRPr="004C12C9">
        <w:t>.</w:t>
      </w:r>
      <w:r w:rsidRPr="004C12C9">
        <w:rPr>
          <w:rStyle w:val="FootnoteReference"/>
        </w:rPr>
        <w:footnoteReference w:id="87"/>
      </w:r>
      <w:r w:rsidRPr="004C12C9">
        <w:t xml:space="preserve"> </w:t>
      </w:r>
      <w:r w:rsidR="00A64952" w:rsidRPr="004C12C9">
        <w:t xml:space="preserve">The </w:t>
      </w:r>
      <w:r w:rsidR="007640AF" w:rsidRPr="004C12C9">
        <w:t xml:space="preserve">calculator </w:t>
      </w:r>
      <w:r w:rsidR="00A64952" w:rsidRPr="004C12C9">
        <w:t xml:space="preserve">quantifies </w:t>
      </w:r>
      <w:r w:rsidR="00337092" w:rsidRPr="004C12C9">
        <w:t xml:space="preserve">these </w:t>
      </w:r>
      <w:r w:rsidR="00A64952" w:rsidRPr="004C12C9">
        <w:t xml:space="preserve">emissions based on estimates of </w:t>
      </w:r>
      <w:r w:rsidR="00BC6BA2" w:rsidRPr="004C12C9">
        <w:t xml:space="preserve">additional </w:t>
      </w:r>
      <w:r w:rsidR="00164A77" w:rsidRPr="004C12C9">
        <w:t>coal production</w:t>
      </w:r>
      <w:r w:rsidR="002F57D3" w:rsidRPr="004C12C9">
        <w:t>, the heat content o</w:t>
      </w:r>
      <w:r w:rsidR="00EE39BD" w:rsidRPr="004C12C9">
        <w:t>f</w:t>
      </w:r>
      <w:r w:rsidR="00C807CA" w:rsidRPr="004C12C9">
        <w:t xml:space="preserve"> the coal, and emission factors</w:t>
      </w:r>
      <w:r w:rsidR="00A64952" w:rsidRPr="004C12C9">
        <w:t>, as shown in</w:t>
      </w:r>
      <w:r w:rsidR="00621192">
        <w:t xml:space="preserve"> </w:t>
      </w:r>
      <w:r w:rsidR="00621192">
        <w:fldChar w:fldCharType="begin"/>
      </w:r>
      <w:r w:rsidR="00621192">
        <w:instrText xml:space="preserve"> REF _Ref195624975 \h </w:instrText>
      </w:r>
      <w:r w:rsidR="00621192">
        <w:fldChar w:fldCharType="separate"/>
      </w:r>
      <w:r w:rsidR="00621192" w:rsidRPr="004C12C9">
        <w:t xml:space="preserve">Equation </w:t>
      </w:r>
      <w:r w:rsidR="00621192">
        <w:rPr>
          <w:noProof/>
        </w:rPr>
        <w:t>14</w:t>
      </w:r>
      <w:r w:rsidR="00621192">
        <w:fldChar w:fldCharType="end"/>
      </w:r>
      <w:r w:rsidR="009529A6" w:rsidRPr="004C12C9">
        <w:t>.</w:t>
      </w:r>
    </w:p>
    <w:p w14:paraId="11BD7539" w14:textId="5ADDCDB2" w:rsidR="007825E6" w:rsidRPr="004C12C9" w:rsidRDefault="007825E6" w:rsidP="007825E6">
      <w:pPr>
        <w:pStyle w:val="Caption"/>
      </w:pPr>
      <w:bookmarkStart w:id="164" w:name="_Ref195624975"/>
      <w:r w:rsidRPr="004C12C9">
        <w:t xml:space="preserve">Equation </w:t>
      </w:r>
      <w:r w:rsidR="00127094">
        <w:fldChar w:fldCharType="begin"/>
      </w:r>
      <w:r w:rsidR="00127094">
        <w:instrText xml:space="preserve"> SEQ Equation \* ARABIC </w:instrText>
      </w:r>
      <w:r w:rsidR="00127094">
        <w:fldChar w:fldCharType="separate"/>
      </w:r>
      <w:r w:rsidR="00C47624">
        <w:rPr>
          <w:noProof/>
        </w:rPr>
        <w:t>14</w:t>
      </w:r>
      <w:r w:rsidR="00127094">
        <w:fldChar w:fldCharType="end"/>
      </w:r>
      <w:bookmarkEnd w:id="164"/>
      <w:r w:rsidRPr="004C12C9">
        <w:t>. Annual Emissions from Coal 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20"/>
        <w:gridCol w:w="8450"/>
      </w:tblGrid>
      <w:tr w:rsidR="00F95B0E" w:rsidRPr="004C12C9" w14:paraId="191E05DF" w14:textId="77777777">
        <w:tc>
          <w:tcPr>
            <w:tcW w:w="10070" w:type="dxa"/>
            <w:gridSpan w:val="2"/>
            <w:shd w:val="clear" w:color="auto" w:fill="F2F2F2" w:themeFill="background1" w:themeFillShade="F2"/>
          </w:tcPr>
          <w:p w14:paraId="64AA2ECC" w14:textId="7F81DC2D" w:rsidR="00F95B0E" w:rsidRPr="004C12C9" w:rsidRDefault="000002AA" w:rsidP="00F95B0E">
            <w:pPr>
              <w:pStyle w:val="Equation"/>
              <w:rPr>
                <w:rFonts w:asciiTheme="minorHAnsi" w:hAnsiTheme="minorHAnsi" w:cstheme="minorHAnsi"/>
                <w:noProof w:val="0"/>
              </w:rPr>
            </w:pPr>
            <m:oMathPara>
              <m:oMath>
                <m:r>
                  <w:rPr>
                    <w:noProof w:val="0"/>
                  </w:rPr>
                  <m:t>annual GHG emissions=</m:t>
                </m:r>
                <m:nary>
                  <m:naryPr>
                    <m:chr m:val="∑"/>
                    <m:limLoc m:val="undOvr"/>
                    <m:subHide m:val="1"/>
                    <m:supHide m:val="1"/>
                    <m:ctrlPr>
                      <w:rPr>
                        <w:noProof w:val="0"/>
                      </w:rPr>
                    </m:ctrlPr>
                  </m:naryPr>
                  <m:sub/>
                  <m:sup/>
                  <m:e>
                    <m:r>
                      <w:rPr>
                        <w:noProof w:val="0"/>
                      </w:rPr>
                      <m:t>(</m:t>
                    </m:r>
                    <m:sSub>
                      <m:sSubPr>
                        <m:ctrlPr>
                          <w:rPr>
                            <w:noProof w:val="0"/>
                          </w:rPr>
                        </m:ctrlPr>
                      </m:sSubPr>
                      <m:e>
                        <m:r>
                          <w:rPr>
                            <w:noProof w:val="0"/>
                          </w:rPr>
                          <m:t>quantity</m:t>
                        </m:r>
                      </m:e>
                      <m:sub>
                        <m:r>
                          <w:rPr>
                            <w:noProof w:val="0"/>
                          </w:rPr>
                          <m:t>t</m:t>
                        </m:r>
                      </m:sub>
                    </m:sSub>
                    <m:r>
                      <w:rPr>
                        <w:noProof w:val="0"/>
                      </w:rPr>
                      <m:t xml:space="preserve"> × </m:t>
                    </m:r>
                    <m:sSub>
                      <m:sSubPr>
                        <m:ctrlPr>
                          <w:rPr>
                            <w:noProof w:val="0"/>
                          </w:rPr>
                        </m:ctrlPr>
                      </m:sSubPr>
                      <m:e>
                        <m:r>
                          <w:rPr>
                            <w:noProof w:val="0"/>
                          </w:rPr>
                          <m:t>heat content</m:t>
                        </m:r>
                      </m:e>
                      <m:sub>
                        <m:r>
                          <w:rPr>
                            <w:noProof w:val="0"/>
                          </w:rPr>
                          <m:t>t</m:t>
                        </m:r>
                      </m:sub>
                    </m:sSub>
                    <m:r>
                      <w:rPr>
                        <w:noProof w:val="0"/>
                      </w:rPr>
                      <m:t xml:space="preserve"> ×</m:t>
                    </m:r>
                    <m:sSub>
                      <m:sSubPr>
                        <m:ctrlPr>
                          <w:rPr>
                            <w:noProof w:val="0"/>
                          </w:rPr>
                        </m:ctrlPr>
                      </m:sSubPr>
                      <m:e>
                        <m:r>
                          <w:rPr>
                            <w:noProof w:val="0"/>
                          </w:rPr>
                          <m:t>emission factor</m:t>
                        </m:r>
                      </m:e>
                      <m:sub>
                        <m:r>
                          <w:rPr>
                            <w:noProof w:val="0"/>
                          </w:rPr>
                          <m:t>t</m:t>
                        </m:r>
                      </m:sub>
                    </m:sSub>
                    <m:r>
                      <w:rPr>
                        <w:noProof w:val="0"/>
                      </w:rPr>
                      <m:t xml:space="preserve"> ×0.000001)</m:t>
                    </m:r>
                  </m:e>
                </m:nary>
              </m:oMath>
            </m:oMathPara>
          </w:p>
          <w:p w14:paraId="3F3CC352" w14:textId="77777777" w:rsidR="00F95B0E" w:rsidRPr="004C12C9" w:rsidRDefault="00F95B0E">
            <w:pPr>
              <w:rPr>
                <w:rFonts w:asciiTheme="minorHAnsi" w:hAnsiTheme="minorHAnsi" w:cstheme="minorHAnsi"/>
                <w:i/>
              </w:rPr>
            </w:pPr>
            <w:r w:rsidRPr="004C12C9">
              <w:rPr>
                <w:rFonts w:asciiTheme="minorHAnsi" w:hAnsiTheme="minorHAnsi" w:cstheme="minorHAnsi"/>
                <w:i/>
                <w:sz w:val="20"/>
                <w:szCs w:val="20"/>
              </w:rPr>
              <w:t xml:space="preserve">where, </w:t>
            </w:r>
          </w:p>
        </w:tc>
      </w:tr>
      <w:tr w:rsidR="00F95B0E" w:rsidRPr="004C12C9" w14:paraId="45055E7C" w14:textId="77777777" w:rsidTr="0023257D">
        <w:tc>
          <w:tcPr>
            <w:tcW w:w="1620" w:type="dxa"/>
            <w:shd w:val="clear" w:color="auto" w:fill="F2F2F2" w:themeFill="background1" w:themeFillShade="F2"/>
          </w:tcPr>
          <w:p w14:paraId="3F0CDF65" w14:textId="6C2933AA" w:rsidR="00F95B0E" w:rsidRPr="004C12C9" w:rsidRDefault="00F95B0E" w:rsidP="00F95B0E">
            <w:pPr>
              <w:tabs>
                <w:tab w:val="left" w:pos="2160"/>
              </w:tabs>
              <w:spacing w:before="0" w:after="0" w:line="240" w:lineRule="auto"/>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Quantity</w:t>
            </w:r>
          </w:p>
          <w:p w14:paraId="5019600A" w14:textId="03B003BD" w:rsidR="00F95B0E" w:rsidRPr="004C12C9" w:rsidRDefault="00F95B0E" w:rsidP="00F95B0E">
            <w:pPr>
              <w:tabs>
                <w:tab w:val="left" w:pos="2160"/>
              </w:tabs>
              <w:spacing w:before="0" w:after="0" w:line="240" w:lineRule="auto"/>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Heat content</w:t>
            </w:r>
          </w:p>
          <w:p w14:paraId="48A60A4E" w14:textId="77777777" w:rsidR="00F95B0E" w:rsidRPr="004C12C9" w:rsidRDefault="00F95B0E" w:rsidP="00F95B0E">
            <w:pPr>
              <w:tabs>
                <w:tab w:val="left" w:pos="2160"/>
              </w:tabs>
              <w:spacing w:before="0" w:after="0" w:line="240" w:lineRule="auto"/>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Emission factor</w:t>
            </w:r>
          </w:p>
          <w:p w14:paraId="4CFAE729" w14:textId="24E61BFE" w:rsidR="00F95B0E" w:rsidRPr="004C12C9" w:rsidRDefault="00F95B0E" w:rsidP="00F95B0E">
            <w:pPr>
              <w:tabs>
                <w:tab w:val="left" w:pos="2160"/>
              </w:tabs>
              <w:spacing w:before="0" w:after="0" w:line="240" w:lineRule="auto"/>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0.000001</w:t>
            </w:r>
          </w:p>
        </w:tc>
        <w:tc>
          <w:tcPr>
            <w:tcW w:w="8450" w:type="dxa"/>
            <w:shd w:val="clear" w:color="auto" w:fill="F2F2F2" w:themeFill="background1" w:themeFillShade="F2"/>
          </w:tcPr>
          <w:p w14:paraId="1448563A" w14:textId="128C0A42" w:rsidR="00F95B0E" w:rsidRPr="004C12C9" w:rsidRDefault="00F95B0E" w:rsidP="00F95B0E">
            <w:pPr>
              <w:spacing w:before="0" w:after="0" w:line="240" w:lineRule="auto"/>
              <w:rPr>
                <w:rFonts w:asciiTheme="minorHAnsi" w:eastAsia="Arial" w:hAnsiTheme="minorHAnsi" w:cstheme="minorHAnsi"/>
                <w:sz w:val="20"/>
                <w:szCs w:val="20"/>
              </w:rPr>
            </w:pPr>
            <w:r w:rsidRPr="004C12C9">
              <w:rPr>
                <w:rFonts w:asciiTheme="minorHAnsi" w:eastAsia="Arial" w:hAnsiTheme="minorHAnsi" w:cstheme="minorHAnsi"/>
                <w:sz w:val="20"/>
                <w:szCs w:val="20"/>
              </w:rPr>
              <w:t>= Amount of additional coal production by coal type</w:t>
            </w:r>
            <w:r w:rsidR="0023257D" w:rsidRPr="004C12C9">
              <w:rPr>
                <w:rFonts w:asciiTheme="minorHAnsi" w:eastAsia="Arial" w:hAnsiTheme="minorHAnsi" w:cstheme="minorHAnsi"/>
                <w:sz w:val="20"/>
                <w:szCs w:val="20"/>
              </w:rPr>
              <w:t>, t</w:t>
            </w:r>
            <w:r w:rsidRPr="004C12C9">
              <w:rPr>
                <w:rFonts w:asciiTheme="minorHAnsi" w:eastAsia="Arial" w:hAnsiTheme="minorHAnsi" w:cstheme="minorHAnsi"/>
                <w:sz w:val="20"/>
                <w:szCs w:val="20"/>
              </w:rPr>
              <w:t xml:space="preserve"> (short tons/year)</w:t>
            </w:r>
          </w:p>
          <w:p w14:paraId="6C9DAB5B" w14:textId="6EE901E9" w:rsidR="00F95B0E" w:rsidRPr="004C12C9" w:rsidRDefault="00F95B0E" w:rsidP="00F95B0E">
            <w:pPr>
              <w:spacing w:before="0" w:after="0" w:line="240" w:lineRule="auto"/>
              <w:rPr>
                <w:rFonts w:asciiTheme="minorHAnsi" w:eastAsia="Arial" w:hAnsiTheme="minorHAnsi" w:cstheme="minorHAnsi"/>
                <w:sz w:val="20"/>
                <w:szCs w:val="20"/>
              </w:rPr>
            </w:pPr>
            <w:r w:rsidRPr="004C12C9">
              <w:rPr>
                <w:rFonts w:asciiTheme="minorHAnsi" w:eastAsia="Arial" w:hAnsiTheme="minorHAnsi" w:cstheme="minorHAnsi"/>
                <w:sz w:val="20"/>
                <w:szCs w:val="20"/>
              </w:rPr>
              <w:t xml:space="preserve">= Heat content conversion factor </w:t>
            </w:r>
            <w:r w:rsidR="0023257D" w:rsidRPr="004C12C9">
              <w:rPr>
                <w:rFonts w:asciiTheme="minorHAnsi" w:eastAsia="Arial" w:hAnsiTheme="minorHAnsi" w:cstheme="minorHAnsi"/>
                <w:sz w:val="20"/>
                <w:szCs w:val="20"/>
              </w:rPr>
              <w:t>by</w:t>
            </w:r>
            <w:r w:rsidRPr="004C12C9">
              <w:rPr>
                <w:rFonts w:asciiTheme="minorHAnsi" w:eastAsia="Arial" w:hAnsiTheme="minorHAnsi" w:cstheme="minorHAnsi"/>
                <w:sz w:val="20"/>
                <w:szCs w:val="20"/>
              </w:rPr>
              <w:t xml:space="preserve"> coal type</w:t>
            </w:r>
            <w:r w:rsidR="0023257D" w:rsidRPr="004C12C9">
              <w:rPr>
                <w:rFonts w:asciiTheme="minorHAnsi" w:eastAsia="Arial" w:hAnsiTheme="minorHAnsi" w:cstheme="minorHAnsi"/>
                <w:sz w:val="20"/>
                <w:szCs w:val="20"/>
              </w:rPr>
              <w:t>, t</w:t>
            </w:r>
            <w:r w:rsidRPr="004C12C9">
              <w:rPr>
                <w:rFonts w:asciiTheme="minorHAnsi" w:eastAsia="Arial" w:hAnsiTheme="minorHAnsi" w:cstheme="minorHAnsi"/>
                <w:sz w:val="20"/>
                <w:szCs w:val="20"/>
              </w:rPr>
              <w:t xml:space="preserve"> (Btu/ton)</w:t>
            </w:r>
          </w:p>
          <w:p w14:paraId="75309DD5" w14:textId="2B48D5C3" w:rsidR="00F95B0E" w:rsidRPr="004C12C9" w:rsidRDefault="00F95B0E" w:rsidP="00F95B0E">
            <w:pPr>
              <w:tabs>
                <w:tab w:val="left" w:pos="2160"/>
              </w:tabs>
              <w:spacing w:before="0" w:after="0" w:line="240" w:lineRule="auto"/>
              <w:ind w:left="135" w:hanging="135"/>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 Life cycle coal emissions, from coal production through combustion</w:t>
            </w:r>
            <w:r w:rsidR="0023257D" w:rsidRPr="004C12C9">
              <w:rPr>
                <w:rFonts w:asciiTheme="minorHAnsi" w:eastAsia="Arial" w:hAnsiTheme="minorHAnsi" w:cstheme="minorHAnsi"/>
                <w:sz w:val="20"/>
                <w:szCs w:val="20"/>
              </w:rPr>
              <w:t>, by type, t</w:t>
            </w:r>
            <w:r w:rsidRPr="004C12C9">
              <w:rPr>
                <w:rFonts w:asciiTheme="minorHAnsi" w:eastAsia="Arial" w:hAnsiTheme="minorHAnsi" w:cstheme="minorHAnsi"/>
                <w:sz w:val="20"/>
                <w:szCs w:val="20"/>
              </w:rPr>
              <w:t xml:space="preserve"> (kgCO</w:t>
            </w:r>
            <w:r w:rsidRPr="004C12C9">
              <w:rPr>
                <w:rFonts w:asciiTheme="minorHAnsi" w:eastAsia="Arial" w:hAnsiTheme="minorHAnsi" w:cstheme="minorHAnsi"/>
                <w:sz w:val="20"/>
                <w:szCs w:val="20"/>
                <w:vertAlign w:val="subscript"/>
              </w:rPr>
              <w:t>2</w:t>
            </w:r>
            <w:r w:rsidRPr="004C12C9">
              <w:rPr>
                <w:rFonts w:asciiTheme="minorHAnsi" w:eastAsia="Arial" w:hAnsiTheme="minorHAnsi" w:cstheme="minorHAnsi"/>
                <w:sz w:val="20"/>
                <w:szCs w:val="20"/>
              </w:rPr>
              <w:t>e/MMBtu)</w:t>
            </w:r>
          </w:p>
          <w:p w14:paraId="6C3172DF" w14:textId="77777777" w:rsidR="00F95B0E" w:rsidRPr="004C12C9" w:rsidRDefault="00F95B0E" w:rsidP="00F95B0E">
            <w:pPr>
              <w:tabs>
                <w:tab w:val="left" w:pos="2160"/>
              </w:tabs>
              <w:contextualSpacing/>
              <w:rPr>
                <w:rFonts w:asciiTheme="minorHAnsi" w:eastAsia="Arial" w:hAnsiTheme="minorHAnsi" w:cstheme="minorHAnsi"/>
                <w:sz w:val="20"/>
                <w:szCs w:val="20"/>
              </w:rPr>
            </w:pPr>
            <w:r w:rsidRPr="004C12C9">
              <w:rPr>
                <w:rFonts w:asciiTheme="minorHAnsi" w:eastAsia="Arial" w:hAnsiTheme="minorHAnsi" w:cstheme="minorHAnsi"/>
                <w:sz w:val="20"/>
                <w:szCs w:val="20"/>
              </w:rPr>
              <w:t>= Unit conversion from Btu to MMBtu</w:t>
            </w:r>
          </w:p>
          <w:p w14:paraId="77BDBCEA" w14:textId="77777777" w:rsidR="00F95B0E" w:rsidRPr="004C12C9" w:rsidRDefault="00F95B0E" w:rsidP="00F95B0E">
            <w:pPr>
              <w:tabs>
                <w:tab w:val="left" w:pos="2160"/>
              </w:tabs>
              <w:spacing w:before="0" w:after="0" w:line="240" w:lineRule="auto"/>
              <w:contextualSpacing/>
              <w:rPr>
                <w:rFonts w:asciiTheme="minorHAnsi" w:eastAsia="Arial" w:hAnsiTheme="minorHAnsi" w:cstheme="minorHAnsi"/>
                <w:sz w:val="20"/>
                <w:szCs w:val="20"/>
              </w:rPr>
            </w:pPr>
          </w:p>
        </w:tc>
      </w:tr>
    </w:tbl>
    <w:p w14:paraId="66362E20" w14:textId="77777777" w:rsidR="00DC5E24" w:rsidRPr="004C12C9" w:rsidRDefault="00DC5E24" w:rsidP="00E31E37">
      <w:pPr>
        <w:pStyle w:val="Heading4"/>
      </w:pPr>
      <w:r w:rsidRPr="004C12C9">
        <w:t>Coal Quantity and Heat Content</w:t>
      </w:r>
    </w:p>
    <w:p w14:paraId="47945D56" w14:textId="6A6C981C" w:rsidR="00DC5E24" w:rsidRPr="004C12C9" w:rsidRDefault="00083933" w:rsidP="00972CF9">
      <w:r w:rsidRPr="004C12C9">
        <w:t>Users are required to provide data in short tons on the</w:t>
      </w:r>
      <w:r w:rsidR="00DC5E24" w:rsidRPr="004C12C9">
        <w:t xml:space="preserve"> additional quantity of coal produced and consumed as a result of the proposed project</w:t>
      </w:r>
      <w:r w:rsidRPr="004C12C9">
        <w:t>.</w:t>
      </w:r>
      <w:r w:rsidR="00DC5E24" w:rsidRPr="004C12C9">
        <w:t xml:space="preserve"> </w:t>
      </w:r>
      <w:r w:rsidR="00DC5E24" w:rsidRPr="004C12C9">
        <w:fldChar w:fldCharType="begin" w:fldLock="1"/>
      </w:r>
      <w:r w:rsidR="00DC5E24" w:rsidRPr="004C12C9">
        <w:instrText xml:space="preserve"> REF _Ref188903682 \h  \* MERGEFORMAT </w:instrText>
      </w:r>
      <w:r w:rsidR="00DC5E24" w:rsidRPr="004C12C9">
        <w:fldChar w:fldCharType="separate"/>
      </w:r>
      <w:r w:rsidR="00127094" w:rsidRPr="004C12C9">
        <w:t>Table 3</w:t>
      </w:r>
      <w:r w:rsidR="00127094" w:rsidRPr="004C12C9">
        <w:noBreakHyphen/>
        <w:t>9</w:t>
      </w:r>
      <w:r w:rsidR="00DC5E24" w:rsidRPr="004C12C9">
        <w:fldChar w:fldCharType="end"/>
      </w:r>
      <w:r w:rsidR="00DC5E24" w:rsidRPr="004C12C9">
        <w:t xml:space="preserve"> below lists the coal types that </w:t>
      </w:r>
      <w:r w:rsidR="00E43638" w:rsidRPr="004C12C9">
        <w:t>are</w:t>
      </w:r>
      <w:r w:rsidR="00DC5E24" w:rsidRPr="004C12C9">
        <w:t xml:space="preserve"> included in the </w:t>
      </w:r>
      <w:r w:rsidR="007640AF" w:rsidRPr="004C12C9">
        <w:t xml:space="preserve">calculator </w:t>
      </w:r>
      <w:r w:rsidR="00DC5E24" w:rsidRPr="004C12C9">
        <w:t>and their assumed heat content, as obtained from EPA</w:t>
      </w:r>
      <w:r w:rsidR="00721DC0" w:rsidRPr="004C12C9">
        <w:t>’s GHG</w:t>
      </w:r>
      <w:r w:rsidR="00DC5E24" w:rsidRPr="004C12C9">
        <w:t xml:space="preserve"> Emission Factors Hub.</w:t>
      </w:r>
      <w:r w:rsidR="00DC5E24" w:rsidRPr="004C12C9">
        <w:rPr>
          <w:rStyle w:val="FootnoteReference"/>
        </w:rPr>
        <w:footnoteReference w:id="88"/>
      </w:r>
    </w:p>
    <w:p w14:paraId="21CD92AC" w14:textId="73F904F0" w:rsidR="00DC5E24" w:rsidRPr="004C12C9" w:rsidRDefault="00DC5E24" w:rsidP="00972CF9">
      <w:pPr>
        <w:pStyle w:val="Caption"/>
      </w:pPr>
      <w:bookmarkStart w:id="165" w:name="_Ref188903682"/>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9</w:t>
      </w:r>
      <w:r w:rsidR="00F72B41">
        <w:fldChar w:fldCharType="end"/>
      </w:r>
      <w:bookmarkEnd w:id="165"/>
      <w:r w:rsidRPr="004C12C9">
        <w:t>.</w:t>
      </w:r>
      <w:r w:rsidRPr="004C12C9" w:rsidDel="00AD4CEA">
        <w:t xml:space="preserve"> </w:t>
      </w:r>
      <w:r w:rsidRPr="004C12C9">
        <w:t>Heat Content of Coal by Type</w:t>
      </w:r>
    </w:p>
    <w:tbl>
      <w:tblPr>
        <w:tblW w:w="290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3330"/>
      </w:tblGrid>
      <w:tr w:rsidR="00DC5E24" w:rsidRPr="004C12C9" w14:paraId="3954E413" w14:textId="77777777" w:rsidTr="00872A7E">
        <w:trPr>
          <w:trHeight w:val="290"/>
          <w:tblHeader/>
        </w:trPr>
        <w:tc>
          <w:tcPr>
            <w:tcW w:w="2515" w:type="dxa"/>
            <w:shd w:val="clear" w:color="auto" w:fill="D9D9D9" w:themeFill="background1" w:themeFillShade="D9"/>
            <w:noWrap/>
            <w:vAlign w:val="center"/>
            <w:hideMark/>
          </w:tcPr>
          <w:p w14:paraId="66808F92" w14:textId="77777777" w:rsidR="00DC5E24" w:rsidRPr="004C12C9" w:rsidRDefault="00DC5E24" w:rsidP="008165DE">
            <w:pPr>
              <w:pStyle w:val="ICFTableHeading"/>
            </w:pPr>
            <w:r w:rsidRPr="004C12C9">
              <w:t>Coal Type</w:t>
            </w:r>
          </w:p>
        </w:tc>
        <w:tc>
          <w:tcPr>
            <w:tcW w:w="3330" w:type="dxa"/>
            <w:shd w:val="clear" w:color="auto" w:fill="D9D9D9" w:themeFill="background1" w:themeFillShade="D9"/>
            <w:vAlign w:val="center"/>
            <w:hideMark/>
          </w:tcPr>
          <w:p w14:paraId="6D10D1FE" w14:textId="77777777" w:rsidR="00DC5E24" w:rsidRPr="004C12C9" w:rsidRDefault="00DC5E24" w:rsidP="008165DE">
            <w:pPr>
              <w:pStyle w:val="ICFTableHeading"/>
            </w:pPr>
            <w:r w:rsidRPr="004C12C9" w:rsidDel="004C1E81">
              <w:t>Heating Value (</w:t>
            </w:r>
            <w:r w:rsidRPr="004C12C9">
              <w:t>Btu/ton</w:t>
            </w:r>
            <w:r w:rsidRPr="004C12C9" w:rsidDel="004C1E81">
              <w:t>)</w:t>
            </w:r>
          </w:p>
        </w:tc>
      </w:tr>
      <w:tr w:rsidR="00DC5E24" w:rsidRPr="004C12C9" w14:paraId="205D4A3F" w14:textId="77777777" w:rsidTr="008165DE">
        <w:trPr>
          <w:trHeight w:val="290"/>
        </w:trPr>
        <w:tc>
          <w:tcPr>
            <w:tcW w:w="2515" w:type="dxa"/>
            <w:noWrap/>
            <w:vAlign w:val="center"/>
            <w:hideMark/>
          </w:tcPr>
          <w:p w14:paraId="08BE8ED6" w14:textId="77777777" w:rsidR="00DC5E24" w:rsidRPr="004C12C9" w:rsidRDefault="00DC5E24" w:rsidP="008165DE">
            <w:pPr>
              <w:pStyle w:val="ICFTabletext"/>
            </w:pPr>
            <w:r w:rsidRPr="004C12C9">
              <w:rPr>
                <w:rFonts w:hint="eastAsia"/>
              </w:rPr>
              <w:t>Mixed</w:t>
            </w:r>
            <w:r w:rsidRPr="004C12C9">
              <w:t>*</w:t>
            </w:r>
          </w:p>
        </w:tc>
        <w:tc>
          <w:tcPr>
            <w:tcW w:w="3330" w:type="dxa"/>
            <w:noWrap/>
            <w:vAlign w:val="center"/>
            <w:hideMark/>
          </w:tcPr>
          <w:p w14:paraId="117A6ABB" w14:textId="77777777" w:rsidR="00DC5E24" w:rsidRPr="004C12C9" w:rsidRDefault="00DC5E24" w:rsidP="008165DE">
            <w:pPr>
              <w:pStyle w:val="ICFTabletext"/>
              <w:jc w:val="center"/>
            </w:pPr>
            <w:r w:rsidRPr="004C12C9">
              <w:t>19,730,000</w:t>
            </w:r>
          </w:p>
        </w:tc>
      </w:tr>
      <w:tr w:rsidR="00DC5E24" w:rsidRPr="004C12C9" w14:paraId="3EFA74CD" w14:textId="77777777" w:rsidTr="008165DE">
        <w:trPr>
          <w:trHeight w:val="290"/>
        </w:trPr>
        <w:tc>
          <w:tcPr>
            <w:tcW w:w="2515" w:type="dxa"/>
            <w:noWrap/>
            <w:vAlign w:val="center"/>
          </w:tcPr>
          <w:p w14:paraId="35F62336" w14:textId="77777777" w:rsidR="00DC5E24" w:rsidRPr="004C12C9" w:rsidRDefault="00DC5E24" w:rsidP="008165DE">
            <w:pPr>
              <w:pStyle w:val="ICFTabletext"/>
            </w:pPr>
            <w:r w:rsidRPr="004C12C9">
              <w:rPr>
                <w:rFonts w:hint="eastAsia"/>
              </w:rPr>
              <w:t xml:space="preserve">Anthracite </w:t>
            </w:r>
          </w:p>
        </w:tc>
        <w:tc>
          <w:tcPr>
            <w:tcW w:w="3330" w:type="dxa"/>
            <w:noWrap/>
            <w:vAlign w:val="center"/>
          </w:tcPr>
          <w:p w14:paraId="3EB19DAB" w14:textId="77777777" w:rsidR="00DC5E24" w:rsidRPr="004C12C9" w:rsidRDefault="00DC5E24" w:rsidP="008165DE">
            <w:pPr>
              <w:pStyle w:val="ICFTabletext"/>
              <w:jc w:val="center"/>
              <w:rPr>
                <w:color w:val="000000"/>
              </w:rPr>
            </w:pPr>
            <w:r w:rsidRPr="004C12C9">
              <w:t>25,090,000</w:t>
            </w:r>
          </w:p>
        </w:tc>
      </w:tr>
      <w:tr w:rsidR="00DC5E24" w:rsidRPr="004C12C9" w14:paraId="50CCC415" w14:textId="77777777" w:rsidTr="008165DE">
        <w:trPr>
          <w:trHeight w:val="290"/>
        </w:trPr>
        <w:tc>
          <w:tcPr>
            <w:tcW w:w="2515" w:type="dxa"/>
            <w:noWrap/>
            <w:vAlign w:val="center"/>
          </w:tcPr>
          <w:p w14:paraId="295FA17C" w14:textId="77777777" w:rsidR="00DC5E24" w:rsidRPr="004C12C9" w:rsidRDefault="00DC5E24" w:rsidP="008165DE">
            <w:pPr>
              <w:pStyle w:val="ICFTabletext"/>
            </w:pPr>
            <w:r w:rsidRPr="004C12C9">
              <w:rPr>
                <w:rFonts w:hint="eastAsia"/>
              </w:rPr>
              <w:t xml:space="preserve">Bituminous </w:t>
            </w:r>
          </w:p>
        </w:tc>
        <w:tc>
          <w:tcPr>
            <w:tcW w:w="3330" w:type="dxa"/>
            <w:noWrap/>
            <w:vAlign w:val="center"/>
          </w:tcPr>
          <w:p w14:paraId="54C2D0B0" w14:textId="77777777" w:rsidR="00DC5E24" w:rsidRPr="004C12C9" w:rsidRDefault="00DC5E24" w:rsidP="008165DE">
            <w:pPr>
              <w:pStyle w:val="ICFTabletext"/>
              <w:jc w:val="center"/>
              <w:rPr>
                <w:color w:val="000000"/>
              </w:rPr>
            </w:pPr>
            <w:r w:rsidRPr="004C12C9">
              <w:t>24,930,000</w:t>
            </w:r>
          </w:p>
        </w:tc>
      </w:tr>
      <w:tr w:rsidR="00DC5E24" w:rsidRPr="004C12C9" w14:paraId="102DD514" w14:textId="77777777" w:rsidTr="008165DE">
        <w:trPr>
          <w:trHeight w:val="290"/>
        </w:trPr>
        <w:tc>
          <w:tcPr>
            <w:tcW w:w="2515" w:type="dxa"/>
            <w:noWrap/>
            <w:vAlign w:val="center"/>
          </w:tcPr>
          <w:p w14:paraId="5A8B32CB" w14:textId="77777777" w:rsidR="00DC5E24" w:rsidRPr="004C12C9" w:rsidRDefault="00DC5E24" w:rsidP="008165DE">
            <w:pPr>
              <w:pStyle w:val="ICFTabletext"/>
            </w:pPr>
            <w:r w:rsidRPr="004C12C9">
              <w:rPr>
                <w:rFonts w:hint="eastAsia"/>
              </w:rPr>
              <w:t xml:space="preserve">Subbituminous </w:t>
            </w:r>
          </w:p>
        </w:tc>
        <w:tc>
          <w:tcPr>
            <w:tcW w:w="3330" w:type="dxa"/>
            <w:noWrap/>
            <w:vAlign w:val="center"/>
          </w:tcPr>
          <w:p w14:paraId="2928756E" w14:textId="77777777" w:rsidR="00DC5E24" w:rsidRPr="004C12C9" w:rsidRDefault="00DC5E24" w:rsidP="008165DE">
            <w:pPr>
              <w:pStyle w:val="ICFTabletext"/>
              <w:jc w:val="center"/>
              <w:rPr>
                <w:color w:val="000000"/>
              </w:rPr>
            </w:pPr>
            <w:r w:rsidRPr="004C12C9">
              <w:t>17,250,000</w:t>
            </w:r>
          </w:p>
        </w:tc>
      </w:tr>
      <w:tr w:rsidR="00DC5E24" w:rsidRPr="004C12C9" w14:paraId="51FE60F1" w14:textId="77777777" w:rsidTr="008165DE">
        <w:trPr>
          <w:trHeight w:val="290"/>
        </w:trPr>
        <w:tc>
          <w:tcPr>
            <w:tcW w:w="2515" w:type="dxa"/>
            <w:noWrap/>
            <w:vAlign w:val="center"/>
          </w:tcPr>
          <w:p w14:paraId="49542B1E" w14:textId="77777777" w:rsidR="00DC5E24" w:rsidRPr="004C12C9" w:rsidRDefault="00DC5E24" w:rsidP="008165DE">
            <w:pPr>
              <w:pStyle w:val="ICFTabletext"/>
            </w:pPr>
            <w:r w:rsidRPr="004C12C9">
              <w:rPr>
                <w:rFonts w:hint="eastAsia"/>
              </w:rPr>
              <w:t xml:space="preserve">Lignite </w:t>
            </w:r>
          </w:p>
        </w:tc>
        <w:tc>
          <w:tcPr>
            <w:tcW w:w="3330" w:type="dxa"/>
            <w:noWrap/>
            <w:vAlign w:val="center"/>
          </w:tcPr>
          <w:p w14:paraId="3D070959" w14:textId="77777777" w:rsidR="00DC5E24" w:rsidRPr="004C12C9" w:rsidRDefault="00DC5E24" w:rsidP="008165DE">
            <w:pPr>
              <w:pStyle w:val="ICFTabletext"/>
              <w:jc w:val="center"/>
              <w:rPr>
                <w:color w:val="000000"/>
              </w:rPr>
            </w:pPr>
            <w:r w:rsidRPr="004C12C9">
              <w:t>14,210,000</w:t>
            </w:r>
          </w:p>
        </w:tc>
      </w:tr>
      <w:tr w:rsidR="00DC5E24" w:rsidRPr="004C12C9" w14:paraId="64774EB6" w14:textId="77777777" w:rsidTr="008165DE">
        <w:trPr>
          <w:trHeight w:val="290"/>
        </w:trPr>
        <w:tc>
          <w:tcPr>
            <w:tcW w:w="2515" w:type="dxa"/>
            <w:noWrap/>
            <w:vAlign w:val="center"/>
          </w:tcPr>
          <w:p w14:paraId="26D9CD93" w14:textId="77777777" w:rsidR="00DC5E24" w:rsidRPr="004C12C9" w:rsidRDefault="00DC5E24" w:rsidP="008165DE">
            <w:pPr>
              <w:pStyle w:val="ICFTabletext"/>
            </w:pPr>
            <w:r w:rsidRPr="004C12C9">
              <w:rPr>
                <w:rFonts w:hint="eastAsia"/>
              </w:rPr>
              <w:t>Coal Coke</w:t>
            </w:r>
          </w:p>
        </w:tc>
        <w:tc>
          <w:tcPr>
            <w:tcW w:w="3330" w:type="dxa"/>
            <w:noWrap/>
            <w:vAlign w:val="center"/>
          </w:tcPr>
          <w:p w14:paraId="0CB059F2" w14:textId="0A0C954F" w:rsidR="00DC5E24" w:rsidRPr="004C12C9" w:rsidRDefault="00DC5E24" w:rsidP="008165DE">
            <w:pPr>
              <w:pStyle w:val="ICFTabletext"/>
              <w:jc w:val="center"/>
              <w:rPr>
                <w:rStyle w:val="FootnoteReference"/>
                <w:color w:val="000000"/>
              </w:rPr>
            </w:pPr>
            <w:r w:rsidRPr="004C12C9">
              <w:t>24,800,000</w:t>
            </w:r>
          </w:p>
        </w:tc>
      </w:tr>
    </w:tbl>
    <w:p w14:paraId="501385FD" w14:textId="281279BA" w:rsidR="00DC5E24" w:rsidRPr="004C12C9" w:rsidRDefault="00DC5E24" w:rsidP="008165DE">
      <w:pPr>
        <w:pStyle w:val="footnote"/>
      </w:pPr>
      <w:r w:rsidRPr="004C12C9">
        <w:t xml:space="preserve">*Based on </w:t>
      </w:r>
      <w:r w:rsidR="00EB3080" w:rsidRPr="004C12C9">
        <w:t>an assumed</w:t>
      </w:r>
      <w:r w:rsidR="009668C7" w:rsidRPr="004C12C9">
        <w:t xml:space="preserve"> </w:t>
      </w:r>
      <w:r w:rsidRPr="004C12C9">
        <w:t>electric power sector mix.</w:t>
      </w:r>
    </w:p>
    <w:p w14:paraId="18082E01" w14:textId="77777777" w:rsidR="00DC5E24" w:rsidRPr="004C12C9" w:rsidRDefault="00DC5E24" w:rsidP="00E31E37">
      <w:pPr>
        <w:pStyle w:val="Heading4"/>
      </w:pPr>
      <w:r w:rsidRPr="004C12C9">
        <w:lastRenderedPageBreak/>
        <w:t>Emission Factors</w:t>
      </w:r>
    </w:p>
    <w:p w14:paraId="0CD98FD8" w14:textId="217239FB" w:rsidR="00DC5E24" w:rsidRPr="004C12C9" w:rsidRDefault="00DC5E24" w:rsidP="00972CF9">
      <w:r w:rsidRPr="004C12C9">
        <w:t>The emission factors for coal were derived based on data obtained from EPA</w:t>
      </w:r>
      <w:r w:rsidR="00872A7E" w:rsidRPr="004C12C9">
        <w:t>’s GHG</w:t>
      </w:r>
      <w:r w:rsidRPr="004C12C9">
        <w:t xml:space="preserve"> Emission Factors Hub</w:t>
      </w:r>
      <w:r w:rsidRPr="004C12C9">
        <w:rPr>
          <w:rStyle w:val="FootnoteReference"/>
        </w:rPr>
        <w:footnoteReference w:id="89"/>
      </w:r>
      <w:r w:rsidRPr="004C12C9">
        <w:t xml:space="preserve"> and GREET</w:t>
      </w:r>
      <w:r w:rsidR="00B72BFD" w:rsidRPr="004C12C9">
        <w:t xml:space="preserve"> </w:t>
      </w:r>
      <w:r w:rsidRPr="004C12C9">
        <w:t>1 2024.</w:t>
      </w:r>
      <w:r w:rsidR="00872A7E" w:rsidRPr="004C12C9">
        <w:rPr>
          <w:rStyle w:val="FootnoteReference"/>
        </w:rPr>
        <w:footnoteReference w:id="90"/>
      </w:r>
      <w:r w:rsidRPr="004C12C9">
        <w:t xml:space="preserve"> Emissions from combustion were obtained from EPA while upstream emissions associated with coal mining, coal cleaning, and the transportation of coal to power plants were derived from GREET</w:t>
      </w:r>
      <w:r w:rsidR="00D314FF" w:rsidRPr="004C12C9">
        <w:t xml:space="preserve"> 1 2024</w:t>
      </w:r>
      <w:r w:rsidRPr="004C12C9">
        <w:t xml:space="preserve">. GREET </w:t>
      </w:r>
      <w:r w:rsidR="00251540" w:rsidRPr="004C12C9">
        <w:t>1 2024</w:t>
      </w:r>
      <w:r w:rsidRPr="004C12C9">
        <w:t xml:space="preserve"> does not distinguish between different coal types. Consequently, a single upstream emissions factor from GREET </w:t>
      </w:r>
      <w:r w:rsidR="00251540" w:rsidRPr="004C12C9">
        <w:t>1 2024</w:t>
      </w:r>
      <w:r w:rsidRPr="004C12C9">
        <w:t xml:space="preserve"> is assumed for all coal types. The emission factors for each coal type broken out by upstream activities and product combustion are summarized in </w:t>
      </w:r>
      <w:r w:rsidRPr="004C12C9">
        <w:fldChar w:fldCharType="begin" w:fldLock="1"/>
      </w:r>
      <w:r w:rsidRPr="004C12C9">
        <w:instrText xml:space="preserve"> REF _Ref188904761 \h  \* MERGEFORMAT </w:instrText>
      </w:r>
      <w:r w:rsidRPr="004C12C9">
        <w:fldChar w:fldCharType="separate"/>
      </w:r>
      <w:r w:rsidR="00127094" w:rsidRPr="004C12C9">
        <w:t>Table 3</w:t>
      </w:r>
      <w:r w:rsidR="00127094" w:rsidRPr="004C12C9">
        <w:noBreakHyphen/>
        <w:t>10</w:t>
      </w:r>
      <w:r w:rsidRPr="004C12C9">
        <w:fldChar w:fldCharType="end"/>
      </w:r>
      <w:r w:rsidRPr="004C12C9">
        <w:t>.</w:t>
      </w:r>
    </w:p>
    <w:p w14:paraId="116FFCC8" w14:textId="556D163D" w:rsidR="00DC5E24" w:rsidRPr="004C12C9" w:rsidRDefault="00DC5E24" w:rsidP="00972CF9">
      <w:pPr>
        <w:pStyle w:val="Caption"/>
      </w:pPr>
      <w:bookmarkStart w:id="166" w:name="_Ref18890476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10</w:t>
      </w:r>
      <w:r w:rsidR="00F72B41">
        <w:fldChar w:fldCharType="end"/>
      </w:r>
      <w:bookmarkEnd w:id="166"/>
      <w:r w:rsidRPr="004C12C9">
        <w:t>. Coal Emission Factors</w:t>
      </w:r>
    </w:p>
    <w:tbl>
      <w:tblPr>
        <w:tblStyle w:val="GridTable4-Accent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22"/>
        <w:gridCol w:w="2550"/>
        <w:gridCol w:w="2550"/>
        <w:gridCol w:w="2548"/>
      </w:tblGrid>
      <w:tr w:rsidR="00DC5E24" w:rsidRPr="004C12C9" w14:paraId="35323E3A" w14:textId="77777777" w:rsidTr="00B74D28">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3"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04137B0" w14:textId="77777777" w:rsidR="00DC5E24" w:rsidRPr="004C12C9" w:rsidRDefault="00DC5E24" w:rsidP="008165DE">
            <w:pPr>
              <w:pStyle w:val="ICFTableHeading"/>
              <w:rPr>
                <w:b/>
                <w:color w:val="auto"/>
                <w:sz w:val="22"/>
                <w:szCs w:val="22"/>
              </w:rPr>
            </w:pPr>
            <w:r w:rsidRPr="004C12C9">
              <w:rPr>
                <w:b/>
                <w:color w:val="auto"/>
                <w:sz w:val="22"/>
                <w:szCs w:val="22"/>
              </w:rPr>
              <w:t>Coal Type</w:t>
            </w:r>
          </w:p>
        </w:tc>
        <w:tc>
          <w:tcPr>
            <w:tcW w:w="379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10202CD" w14:textId="77777777" w:rsidR="00DC5E24" w:rsidRPr="004C12C9" w:rsidRDefault="00DC5E24" w:rsidP="008165DE">
            <w:pPr>
              <w:pStyle w:val="ICFTableHeading"/>
              <w:cnfStyle w:val="100000000000" w:firstRow="1" w:lastRow="0" w:firstColumn="0" w:lastColumn="0" w:oddVBand="0" w:evenVBand="0" w:oddHBand="0" w:evenHBand="0" w:firstRowFirstColumn="0" w:firstRowLastColumn="0" w:lastRowFirstColumn="0" w:lastRowLastColumn="0"/>
              <w:rPr>
                <w:b/>
              </w:rPr>
            </w:pPr>
            <w:r w:rsidRPr="004C12C9">
              <w:rPr>
                <w:rFonts w:eastAsia="Times New Roman"/>
                <w:b/>
                <w:color w:val="auto"/>
                <w:sz w:val="22"/>
                <w:szCs w:val="22"/>
                <w:lang w:eastAsia="en-US"/>
              </w:rPr>
              <w:t>Emission Factor (kgCO</w:t>
            </w:r>
            <w:r w:rsidRPr="004C12C9">
              <w:rPr>
                <w:rFonts w:eastAsia="Times New Roman"/>
                <w:b/>
                <w:color w:val="auto"/>
                <w:sz w:val="22"/>
                <w:szCs w:val="22"/>
                <w:vertAlign w:val="subscript"/>
                <w:lang w:eastAsia="en-US"/>
              </w:rPr>
              <w:t>2</w:t>
            </w:r>
            <w:r w:rsidRPr="004C12C9">
              <w:rPr>
                <w:rFonts w:eastAsia="Times New Roman"/>
                <w:b/>
                <w:color w:val="auto"/>
                <w:sz w:val="22"/>
                <w:szCs w:val="22"/>
                <w:lang w:eastAsia="en-US"/>
              </w:rPr>
              <w:t>e/MMBtu)*</w:t>
            </w:r>
          </w:p>
        </w:tc>
      </w:tr>
      <w:tr w:rsidR="00DC5E24" w:rsidRPr="004C12C9" w14:paraId="103E38A9" w14:textId="77777777" w:rsidTr="0076239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D9D9" w:themeFill="background1" w:themeFillShade="D9"/>
            <w:vAlign w:val="center"/>
          </w:tcPr>
          <w:p w14:paraId="638A030C" w14:textId="77777777" w:rsidR="00DC5E24" w:rsidRPr="004C12C9" w:rsidRDefault="00DC5E24" w:rsidP="008165DE">
            <w:pPr>
              <w:pStyle w:val="ICFTableHeading"/>
              <w:rPr>
                <w:b/>
                <w:sz w:val="22"/>
                <w:szCs w:val="22"/>
              </w:rPr>
            </w:pPr>
          </w:p>
        </w:tc>
        <w:tc>
          <w:tcPr>
            <w:tcW w:w="1266" w:type="pct"/>
            <w:shd w:val="clear" w:color="auto" w:fill="D9D9D9" w:themeFill="background1" w:themeFillShade="D9"/>
            <w:vAlign w:val="center"/>
          </w:tcPr>
          <w:p w14:paraId="40A3C43E" w14:textId="77777777" w:rsidR="00DC5E24" w:rsidRPr="004C12C9" w:rsidRDefault="00DC5E24" w:rsidP="008165DE">
            <w:pPr>
              <w:pStyle w:val="ICFTableHeading"/>
              <w:cnfStyle w:val="000000100000" w:firstRow="0" w:lastRow="0" w:firstColumn="0" w:lastColumn="0" w:oddVBand="0" w:evenVBand="0" w:oddHBand="1" w:evenHBand="0" w:firstRowFirstColumn="0" w:firstRowLastColumn="0" w:lastRowFirstColumn="0" w:lastRowLastColumn="0"/>
              <w:rPr>
                <w:sz w:val="22"/>
                <w:szCs w:val="22"/>
              </w:rPr>
            </w:pPr>
            <w:r w:rsidRPr="004C12C9">
              <w:rPr>
                <w:rFonts w:eastAsia="Times New Roman"/>
                <w:sz w:val="22"/>
                <w:szCs w:val="22"/>
                <w:lang w:eastAsia="en-US"/>
              </w:rPr>
              <w:t>Upstream</w:t>
            </w:r>
          </w:p>
        </w:tc>
        <w:tc>
          <w:tcPr>
            <w:tcW w:w="1266" w:type="pct"/>
            <w:shd w:val="clear" w:color="auto" w:fill="D9D9D9" w:themeFill="background1" w:themeFillShade="D9"/>
            <w:vAlign w:val="center"/>
          </w:tcPr>
          <w:p w14:paraId="65AC530A" w14:textId="77777777" w:rsidR="00DC5E24" w:rsidRPr="004C12C9" w:rsidRDefault="00DC5E24" w:rsidP="008165DE">
            <w:pPr>
              <w:pStyle w:val="ICFTableHeading"/>
              <w:cnfStyle w:val="000000100000" w:firstRow="0" w:lastRow="0" w:firstColumn="0" w:lastColumn="0" w:oddVBand="0" w:evenVBand="0" w:oddHBand="1" w:evenHBand="0" w:firstRowFirstColumn="0" w:firstRowLastColumn="0" w:lastRowFirstColumn="0" w:lastRowLastColumn="0"/>
              <w:rPr>
                <w:sz w:val="22"/>
                <w:szCs w:val="22"/>
              </w:rPr>
            </w:pPr>
            <w:r w:rsidRPr="004C12C9">
              <w:rPr>
                <w:rFonts w:eastAsia="Times New Roman"/>
                <w:sz w:val="22"/>
                <w:szCs w:val="22"/>
                <w:lang w:eastAsia="en-US"/>
              </w:rPr>
              <w:t>Combustion</w:t>
            </w:r>
          </w:p>
        </w:tc>
        <w:tc>
          <w:tcPr>
            <w:tcW w:w="1265" w:type="pct"/>
            <w:shd w:val="clear" w:color="auto" w:fill="D9D9D9" w:themeFill="background1" w:themeFillShade="D9"/>
            <w:vAlign w:val="center"/>
          </w:tcPr>
          <w:p w14:paraId="1EFAA2A4" w14:textId="77777777" w:rsidR="00DC5E24" w:rsidRPr="004C12C9" w:rsidRDefault="00DC5E24" w:rsidP="008165DE">
            <w:pPr>
              <w:pStyle w:val="ICFTableHeading"/>
              <w:cnfStyle w:val="000000100000" w:firstRow="0" w:lastRow="0" w:firstColumn="0" w:lastColumn="0" w:oddVBand="0" w:evenVBand="0" w:oddHBand="1" w:evenHBand="0" w:firstRowFirstColumn="0" w:firstRowLastColumn="0" w:lastRowFirstColumn="0" w:lastRowLastColumn="0"/>
              <w:rPr>
                <w:sz w:val="22"/>
                <w:szCs w:val="22"/>
              </w:rPr>
            </w:pPr>
            <w:r w:rsidRPr="004C12C9">
              <w:rPr>
                <w:rFonts w:eastAsia="Times New Roman"/>
                <w:sz w:val="22"/>
                <w:szCs w:val="22"/>
                <w:lang w:eastAsia="en-US"/>
              </w:rPr>
              <w:t>Total</w:t>
            </w:r>
          </w:p>
        </w:tc>
      </w:tr>
      <w:tr w:rsidR="00DC5E24" w:rsidRPr="004C12C9" w14:paraId="227F2A7F" w14:textId="77777777" w:rsidTr="00762395">
        <w:trPr>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3E105F05" w14:textId="77777777" w:rsidR="00DC5E24" w:rsidRPr="004C12C9" w:rsidRDefault="00DC5E24" w:rsidP="00252EFD">
            <w:pPr>
              <w:pStyle w:val="ICFTabletext"/>
              <w:rPr>
                <w:b w:val="0"/>
                <w:sz w:val="22"/>
                <w:szCs w:val="22"/>
              </w:rPr>
            </w:pPr>
            <w:r w:rsidRPr="004C12C9">
              <w:rPr>
                <w:b w:val="0"/>
                <w:sz w:val="22"/>
                <w:szCs w:val="22"/>
              </w:rPr>
              <w:t>Mixed**</w:t>
            </w:r>
          </w:p>
        </w:tc>
        <w:tc>
          <w:tcPr>
            <w:tcW w:w="1266" w:type="pct"/>
            <w:shd w:val="clear" w:color="auto" w:fill="FFFFFF" w:themeFill="background1"/>
            <w:vAlign w:val="center"/>
          </w:tcPr>
          <w:p w14:paraId="151A226E" w14:textId="696E4435"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26A780BF" w14:textId="77777777"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rFonts w:hint="eastAsia"/>
                <w:sz w:val="22"/>
                <w:szCs w:val="22"/>
              </w:rPr>
              <w:t>96.25</w:t>
            </w:r>
          </w:p>
        </w:tc>
        <w:tc>
          <w:tcPr>
            <w:tcW w:w="1265" w:type="pct"/>
            <w:shd w:val="clear" w:color="auto" w:fill="FFFFFF" w:themeFill="background1"/>
            <w:vAlign w:val="center"/>
          </w:tcPr>
          <w:p w14:paraId="0302EE5D" w14:textId="3894D297"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10</w:t>
            </w:r>
            <w:r w:rsidR="00792245" w:rsidRPr="004C12C9">
              <w:rPr>
                <w:sz w:val="22"/>
                <w:szCs w:val="22"/>
              </w:rPr>
              <w:t>2.02</w:t>
            </w:r>
          </w:p>
        </w:tc>
      </w:tr>
      <w:tr w:rsidR="00DC5E24" w:rsidRPr="004C12C9" w14:paraId="5284B6A2" w14:textId="77777777" w:rsidTr="00762395">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038E1346" w14:textId="77777777" w:rsidR="00DC5E24" w:rsidRPr="004C12C9" w:rsidRDefault="00DC5E24" w:rsidP="00252EFD">
            <w:pPr>
              <w:pStyle w:val="ICFTabletext"/>
              <w:rPr>
                <w:b w:val="0"/>
                <w:sz w:val="22"/>
                <w:szCs w:val="22"/>
              </w:rPr>
            </w:pPr>
            <w:r w:rsidRPr="004C12C9">
              <w:rPr>
                <w:b w:val="0"/>
                <w:sz w:val="22"/>
                <w:szCs w:val="22"/>
              </w:rPr>
              <w:t xml:space="preserve">Anthracite </w:t>
            </w:r>
          </w:p>
        </w:tc>
        <w:tc>
          <w:tcPr>
            <w:tcW w:w="1266" w:type="pct"/>
            <w:shd w:val="clear" w:color="auto" w:fill="FFFFFF" w:themeFill="background1"/>
            <w:vAlign w:val="center"/>
          </w:tcPr>
          <w:p w14:paraId="7C861355" w14:textId="05EDA552"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3EA098D8" w14:textId="77777777"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rFonts w:hint="eastAsia"/>
                <w:sz w:val="22"/>
                <w:szCs w:val="22"/>
              </w:rPr>
              <w:t>104.42</w:t>
            </w:r>
          </w:p>
        </w:tc>
        <w:tc>
          <w:tcPr>
            <w:tcW w:w="1265" w:type="pct"/>
            <w:shd w:val="clear" w:color="auto" w:fill="FFFFFF" w:themeFill="background1"/>
            <w:vAlign w:val="center"/>
          </w:tcPr>
          <w:p w14:paraId="32145EC7" w14:textId="17729DE7"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110.</w:t>
            </w:r>
            <w:r w:rsidR="00792245" w:rsidRPr="004C12C9">
              <w:rPr>
                <w:sz w:val="22"/>
                <w:szCs w:val="22"/>
              </w:rPr>
              <w:t>19</w:t>
            </w:r>
          </w:p>
        </w:tc>
      </w:tr>
      <w:tr w:rsidR="00DC5E24" w:rsidRPr="004C12C9" w14:paraId="77258BD0" w14:textId="77777777" w:rsidTr="00762395">
        <w:trPr>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485F437C" w14:textId="77777777" w:rsidR="00DC5E24" w:rsidRPr="004C12C9" w:rsidRDefault="00DC5E24" w:rsidP="00252EFD">
            <w:pPr>
              <w:pStyle w:val="ICFTabletext"/>
              <w:rPr>
                <w:b w:val="0"/>
                <w:sz w:val="22"/>
                <w:szCs w:val="22"/>
              </w:rPr>
            </w:pPr>
            <w:r w:rsidRPr="004C12C9">
              <w:rPr>
                <w:b w:val="0"/>
                <w:sz w:val="22"/>
                <w:szCs w:val="22"/>
              </w:rPr>
              <w:t xml:space="preserve">Bituminous </w:t>
            </w:r>
          </w:p>
        </w:tc>
        <w:tc>
          <w:tcPr>
            <w:tcW w:w="1266" w:type="pct"/>
            <w:shd w:val="clear" w:color="auto" w:fill="FFFFFF" w:themeFill="background1"/>
            <w:vAlign w:val="center"/>
          </w:tcPr>
          <w:p w14:paraId="09ACD5B3" w14:textId="6422B1F8"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468EEBD9" w14:textId="77777777"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rFonts w:hint="eastAsia"/>
                <w:sz w:val="22"/>
                <w:szCs w:val="22"/>
              </w:rPr>
              <w:t>94.01</w:t>
            </w:r>
          </w:p>
        </w:tc>
        <w:tc>
          <w:tcPr>
            <w:tcW w:w="1265" w:type="pct"/>
            <w:shd w:val="clear" w:color="auto" w:fill="FFFFFF" w:themeFill="background1"/>
            <w:vAlign w:val="center"/>
          </w:tcPr>
          <w:p w14:paraId="73FACA08" w14:textId="5C5A15D1"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99.</w:t>
            </w:r>
            <w:r w:rsidR="00792245" w:rsidRPr="004C12C9">
              <w:rPr>
                <w:sz w:val="22"/>
                <w:szCs w:val="22"/>
              </w:rPr>
              <w:t>78</w:t>
            </w:r>
          </w:p>
        </w:tc>
      </w:tr>
      <w:tr w:rsidR="00DC5E24" w:rsidRPr="004C12C9" w14:paraId="205ACFFF" w14:textId="77777777" w:rsidTr="00762395">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7671B4F4" w14:textId="77777777" w:rsidR="00DC5E24" w:rsidRPr="004C12C9" w:rsidRDefault="00DC5E24" w:rsidP="00252EFD">
            <w:pPr>
              <w:pStyle w:val="ICFTabletext"/>
              <w:rPr>
                <w:b w:val="0"/>
                <w:sz w:val="22"/>
                <w:szCs w:val="22"/>
              </w:rPr>
            </w:pPr>
            <w:r w:rsidRPr="004C12C9">
              <w:rPr>
                <w:b w:val="0"/>
                <w:sz w:val="22"/>
                <w:szCs w:val="22"/>
              </w:rPr>
              <w:t xml:space="preserve">Subbituminous </w:t>
            </w:r>
          </w:p>
        </w:tc>
        <w:tc>
          <w:tcPr>
            <w:tcW w:w="1266" w:type="pct"/>
            <w:shd w:val="clear" w:color="auto" w:fill="FFFFFF" w:themeFill="background1"/>
            <w:vAlign w:val="center"/>
          </w:tcPr>
          <w:p w14:paraId="0337E15E" w14:textId="35A61C41"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11CD75D8" w14:textId="77777777"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rFonts w:hint="eastAsia"/>
                <w:sz w:val="22"/>
                <w:szCs w:val="22"/>
              </w:rPr>
              <w:t>97.90</w:t>
            </w:r>
          </w:p>
        </w:tc>
        <w:tc>
          <w:tcPr>
            <w:tcW w:w="1265" w:type="pct"/>
            <w:shd w:val="clear" w:color="auto" w:fill="FFFFFF" w:themeFill="background1"/>
            <w:vAlign w:val="center"/>
          </w:tcPr>
          <w:p w14:paraId="122E96C5" w14:textId="1811B037"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103.</w:t>
            </w:r>
            <w:r w:rsidR="00616150" w:rsidRPr="004C12C9">
              <w:rPr>
                <w:sz w:val="22"/>
                <w:szCs w:val="22"/>
              </w:rPr>
              <w:t>67</w:t>
            </w:r>
          </w:p>
        </w:tc>
      </w:tr>
      <w:tr w:rsidR="00DC5E24" w:rsidRPr="004C12C9" w14:paraId="514565E8" w14:textId="77777777" w:rsidTr="00762395">
        <w:trPr>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56EA279A" w14:textId="77777777" w:rsidR="00DC5E24" w:rsidRPr="004C12C9" w:rsidRDefault="00DC5E24" w:rsidP="00252EFD">
            <w:pPr>
              <w:pStyle w:val="ICFTabletext"/>
              <w:rPr>
                <w:b w:val="0"/>
                <w:sz w:val="22"/>
                <w:szCs w:val="22"/>
              </w:rPr>
            </w:pPr>
            <w:r w:rsidRPr="004C12C9">
              <w:rPr>
                <w:b w:val="0"/>
                <w:sz w:val="22"/>
                <w:szCs w:val="22"/>
              </w:rPr>
              <w:t xml:space="preserve">Lignite </w:t>
            </w:r>
          </w:p>
        </w:tc>
        <w:tc>
          <w:tcPr>
            <w:tcW w:w="1266" w:type="pct"/>
            <w:shd w:val="clear" w:color="auto" w:fill="FFFFFF" w:themeFill="background1"/>
            <w:vAlign w:val="center"/>
          </w:tcPr>
          <w:p w14:paraId="6FFE2119" w14:textId="70066B24"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0348BA57" w14:textId="77777777"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rFonts w:hint="eastAsia"/>
                <w:sz w:val="22"/>
                <w:szCs w:val="22"/>
              </w:rPr>
              <w:t>98.45</w:t>
            </w:r>
          </w:p>
        </w:tc>
        <w:tc>
          <w:tcPr>
            <w:tcW w:w="1265" w:type="pct"/>
            <w:shd w:val="clear" w:color="auto" w:fill="FFFFFF" w:themeFill="background1"/>
            <w:vAlign w:val="center"/>
          </w:tcPr>
          <w:p w14:paraId="182151A2" w14:textId="73D2500C" w:rsidR="00DC5E24" w:rsidRPr="004C12C9" w:rsidRDefault="00DC5E24" w:rsidP="00762395">
            <w:pPr>
              <w:pStyle w:val="ICFTabletext"/>
              <w:jc w:val="center"/>
              <w:cnfStyle w:val="000000000000" w:firstRow="0" w:lastRow="0" w:firstColumn="0" w:lastColumn="0" w:oddVBand="0" w:evenVBand="0" w:oddHBand="0" w:evenHBand="0" w:firstRowFirstColumn="0" w:firstRowLastColumn="0" w:lastRowFirstColumn="0" w:lastRowLastColumn="0"/>
              <w:rPr>
                <w:sz w:val="22"/>
                <w:szCs w:val="22"/>
              </w:rPr>
            </w:pPr>
            <w:r w:rsidRPr="004C12C9">
              <w:rPr>
                <w:sz w:val="22"/>
                <w:szCs w:val="22"/>
              </w:rPr>
              <w:t>104.</w:t>
            </w:r>
            <w:r w:rsidR="00616150" w:rsidRPr="004C12C9">
              <w:rPr>
                <w:sz w:val="22"/>
                <w:szCs w:val="22"/>
              </w:rPr>
              <w:t>22</w:t>
            </w:r>
          </w:p>
        </w:tc>
      </w:tr>
      <w:tr w:rsidR="00DC5E24" w:rsidRPr="004C12C9" w14:paraId="232AE698" w14:textId="77777777" w:rsidTr="00762395">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vAlign w:val="bottom"/>
          </w:tcPr>
          <w:p w14:paraId="6E634CA5" w14:textId="77777777" w:rsidR="00DC5E24" w:rsidRPr="004C12C9" w:rsidRDefault="00DC5E24" w:rsidP="00252EFD">
            <w:pPr>
              <w:pStyle w:val="ICFTabletext"/>
              <w:rPr>
                <w:b w:val="0"/>
                <w:sz w:val="22"/>
                <w:szCs w:val="22"/>
              </w:rPr>
            </w:pPr>
            <w:r w:rsidRPr="004C12C9">
              <w:rPr>
                <w:b w:val="0"/>
                <w:sz w:val="22"/>
                <w:szCs w:val="22"/>
              </w:rPr>
              <w:t>Coal Coke</w:t>
            </w:r>
          </w:p>
        </w:tc>
        <w:tc>
          <w:tcPr>
            <w:tcW w:w="1266" w:type="pct"/>
            <w:shd w:val="clear" w:color="auto" w:fill="FFFFFF" w:themeFill="background1"/>
            <w:vAlign w:val="center"/>
          </w:tcPr>
          <w:p w14:paraId="72804E33" w14:textId="31E75A40"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5.</w:t>
            </w:r>
            <w:r w:rsidR="00A0143B" w:rsidRPr="004C12C9">
              <w:rPr>
                <w:sz w:val="22"/>
                <w:szCs w:val="22"/>
              </w:rPr>
              <w:t>76</w:t>
            </w:r>
          </w:p>
        </w:tc>
        <w:tc>
          <w:tcPr>
            <w:tcW w:w="1266" w:type="pct"/>
            <w:shd w:val="clear" w:color="auto" w:fill="FFFFFF" w:themeFill="background1"/>
            <w:vAlign w:val="center"/>
          </w:tcPr>
          <w:p w14:paraId="3F44E8E6" w14:textId="77777777"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rFonts w:hint="eastAsia"/>
                <w:sz w:val="22"/>
                <w:szCs w:val="22"/>
              </w:rPr>
              <w:t>114.40</w:t>
            </w:r>
          </w:p>
        </w:tc>
        <w:tc>
          <w:tcPr>
            <w:tcW w:w="1265" w:type="pct"/>
            <w:shd w:val="clear" w:color="auto" w:fill="FFFFFF" w:themeFill="background1"/>
            <w:vAlign w:val="center"/>
          </w:tcPr>
          <w:p w14:paraId="51A78876" w14:textId="3DCF2EE4" w:rsidR="00DC5E24" w:rsidRPr="004C12C9" w:rsidRDefault="00DC5E24" w:rsidP="00762395">
            <w:pPr>
              <w:pStyle w:val="ICF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4C12C9">
              <w:rPr>
                <w:sz w:val="22"/>
                <w:szCs w:val="22"/>
              </w:rPr>
              <w:t>120.</w:t>
            </w:r>
            <w:r w:rsidR="00BD39B5" w:rsidRPr="004C12C9">
              <w:rPr>
                <w:sz w:val="22"/>
                <w:szCs w:val="22"/>
              </w:rPr>
              <w:t>17</w:t>
            </w:r>
          </w:p>
        </w:tc>
      </w:tr>
    </w:tbl>
    <w:p w14:paraId="3FDD12E3" w14:textId="362707E8" w:rsidR="00DC5E24" w:rsidRPr="004C12C9" w:rsidRDefault="00DC5E24" w:rsidP="00762395">
      <w:pPr>
        <w:pStyle w:val="TableFooter"/>
      </w:pPr>
      <w:r w:rsidRPr="004C12C9">
        <w:t>* Values shown are based on AR</w:t>
      </w:r>
      <w:r w:rsidR="00A0143B" w:rsidRPr="004C12C9">
        <w:t>5</w:t>
      </w:r>
      <w:r w:rsidRPr="004C12C9">
        <w:t xml:space="preserve"> global warming potentials.</w:t>
      </w:r>
    </w:p>
    <w:p w14:paraId="1F2A54C0" w14:textId="77777777" w:rsidR="00DC5E24" w:rsidRPr="004C12C9" w:rsidRDefault="00DC5E24" w:rsidP="00762395">
      <w:pPr>
        <w:pStyle w:val="TableFooter"/>
      </w:pPr>
      <w:r w:rsidRPr="004C12C9">
        <w:t>**Based on electric power sector mix.</w:t>
      </w:r>
    </w:p>
    <w:p w14:paraId="7FA76AE1" w14:textId="76E29EBF" w:rsidR="00D4035D" w:rsidRPr="004C12C9" w:rsidRDefault="00D4035D" w:rsidP="00F11B20">
      <w:pPr>
        <w:pStyle w:val="Heading4"/>
      </w:pPr>
      <w:r w:rsidRPr="004C12C9">
        <w:t>Limitations</w:t>
      </w:r>
    </w:p>
    <w:p w14:paraId="7629E012" w14:textId="6DDD67D5" w:rsidR="001B5EC3" w:rsidRPr="004C12C9" w:rsidRDefault="001B5EC3" w:rsidP="001B5EC3">
      <w:r w:rsidRPr="004C12C9">
        <w:t>Key limitations of the methodology used to quantify emissions from coal production include:</w:t>
      </w:r>
    </w:p>
    <w:p w14:paraId="33E48BD9" w14:textId="632E53FB" w:rsidR="00FC5F6E" w:rsidRPr="004C12C9" w:rsidRDefault="00D4035D" w:rsidP="003B5F7F">
      <w:pPr>
        <w:pStyle w:val="ListParagraph"/>
        <w:numPr>
          <w:ilvl w:val="0"/>
          <w:numId w:val="29"/>
        </w:numPr>
      </w:pPr>
      <w:r w:rsidRPr="004C12C9">
        <w:t>Emissions from coal mining are heavily dependent on the characteristics of the coal and the way it is handled after leaving the mine. As a result, the proposed methodology relies on user</w:t>
      </w:r>
      <w:r w:rsidR="00EA5F4D" w:rsidRPr="004C12C9">
        <w:t>s</w:t>
      </w:r>
      <w:r w:rsidRPr="004C12C9">
        <w:t xml:space="preserve"> to </w:t>
      </w:r>
      <w:r w:rsidR="00345434" w:rsidRPr="004C12C9">
        <w:t xml:space="preserve">identify the </w:t>
      </w:r>
      <w:r w:rsidR="00146979" w:rsidRPr="004C12C9">
        <w:t>c</w:t>
      </w:r>
      <w:r w:rsidR="00345434" w:rsidRPr="004C12C9">
        <w:t>oal type, and the</w:t>
      </w:r>
      <w:r w:rsidRPr="004C12C9">
        <w:t xml:space="preserve"> emissions </w:t>
      </w:r>
      <w:r w:rsidR="00345434" w:rsidRPr="004C12C9">
        <w:t>quantified may simplify some o</w:t>
      </w:r>
      <w:r w:rsidR="00610B5A" w:rsidRPr="004C12C9">
        <w:t xml:space="preserve">f the </w:t>
      </w:r>
      <w:r w:rsidR="002F1A2B" w:rsidRPr="004C12C9">
        <w:t>project-specific operational considerations relevant for</w:t>
      </w:r>
      <w:r w:rsidRPr="004C12C9">
        <w:t xml:space="preserve"> this source</w:t>
      </w:r>
      <w:r w:rsidR="002F1A2B" w:rsidRPr="004C12C9">
        <w:t>.</w:t>
      </w:r>
      <w:r w:rsidR="00FC71BB" w:rsidRPr="004C12C9">
        <w:tab/>
      </w:r>
      <w:r w:rsidR="00FC5F6E" w:rsidRPr="004C12C9">
        <w:tab/>
      </w:r>
      <w:r w:rsidR="00FC5F6E" w:rsidRPr="004C12C9">
        <w:tab/>
      </w:r>
      <w:r w:rsidR="00FC5F6E" w:rsidRPr="004C12C9">
        <w:tab/>
      </w:r>
    </w:p>
    <w:p w14:paraId="6FF42433" w14:textId="5B845D09" w:rsidR="00FC71BB" w:rsidRPr="004C12C9" w:rsidRDefault="00FC5F6E" w:rsidP="00F25C37">
      <w:pPr>
        <w:pStyle w:val="Heading3"/>
      </w:pPr>
      <w:bookmarkStart w:id="167" w:name="_Ref196129749"/>
      <w:bookmarkStart w:id="168" w:name="_Toc219887775"/>
      <w:r w:rsidRPr="004C12C9">
        <w:t xml:space="preserve">Natural Gas and </w:t>
      </w:r>
      <w:r w:rsidR="004E5793" w:rsidRPr="004C12C9">
        <w:t>Oil Products</w:t>
      </w:r>
      <w:bookmarkEnd w:id="167"/>
      <w:bookmarkEnd w:id="168"/>
      <w:r w:rsidRPr="004C12C9">
        <w:tab/>
      </w:r>
      <w:r w:rsidRPr="004C12C9">
        <w:tab/>
      </w:r>
      <w:r w:rsidRPr="004C12C9">
        <w:tab/>
      </w:r>
    </w:p>
    <w:p w14:paraId="1FC9E676" w14:textId="2454FA6B" w:rsidR="002B0FAF" w:rsidRPr="004C12C9" w:rsidRDefault="002B0FAF" w:rsidP="00745F22">
      <w:pPr>
        <w:pStyle w:val="Heading4"/>
      </w:pPr>
      <w:r w:rsidRPr="004C12C9">
        <w:t>Natural Gas Systems</w:t>
      </w:r>
    </w:p>
    <w:p w14:paraId="6413DD70" w14:textId="3E515EC3" w:rsidR="00BA4764" w:rsidRPr="004C12C9" w:rsidRDefault="00BA4764" w:rsidP="00972CF9">
      <w:r w:rsidRPr="004C12C9">
        <w:t xml:space="preserve">Emissions from natural gas systems occur during natural gas recovery, gathering and boosting, processing, transmission and storage, distribution, and ultimately from the combustion of the fuel. </w:t>
      </w:r>
      <w:r w:rsidR="00477568" w:rsidRPr="004C12C9">
        <w:t xml:space="preserve">This emission source </w:t>
      </w:r>
      <w:r w:rsidR="00AD0DB7" w:rsidRPr="004C12C9">
        <w:t>is</w:t>
      </w:r>
      <w:r w:rsidRPr="004C12C9">
        <w:t xml:space="preserve"> applicable to projects that expand the delivery capacity of natural gas (e.g., pipelines, processing plants, </w:t>
      </w:r>
      <w:r w:rsidRPr="004C12C9">
        <w:lastRenderedPageBreak/>
        <w:t xml:space="preserve">storage). </w:t>
      </w:r>
      <w:r w:rsidR="00A46F68" w:rsidRPr="004C12C9">
        <w:t xml:space="preserve">The </w:t>
      </w:r>
      <w:r w:rsidR="007640AF" w:rsidRPr="004C12C9">
        <w:t xml:space="preserve">calculator </w:t>
      </w:r>
      <w:r w:rsidR="00A46F68" w:rsidRPr="004C12C9">
        <w:t xml:space="preserve">quantifies emissions </w:t>
      </w:r>
      <w:r w:rsidR="00A46F68" w:rsidRPr="004C12C9">
        <w:rPr>
          <w:rFonts w:eastAsia="MS PGothic"/>
        </w:rPr>
        <w:t xml:space="preserve">from </w:t>
      </w:r>
      <w:r w:rsidR="00A46F68" w:rsidRPr="004C12C9">
        <w:t xml:space="preserve">natural gas systems based on estimates of additional </w:t>
      </w:r>
      <w:r w:rsidR="00F43FE0" w:rsidRPr="004C12C9">
        <w:t>natural gas thr</w:t>
      </w:r>
      <w:r w:rsidR="002D4483" w:rsidRPr="004C12C9">
        <w:t>oughput</w:t>
      </w:r>
      <w:r w:rsidR="00A46F68" w:rsidRPr="004C12C9">
        <w:t xml:space="preserve">, the heat content of </w:t>
      </w:r>
      <w:r w:rsidR="002D4483" w:rsidRPr="004C12C9">
        <w:t>natural gas</w:t>
      </w:r>
      <w:r w:rsidR="00A46F68" w:rsidRPr="004C12C9">
        <w:t xml:space="preserve">, and </w:t>
      </w:r>
      <w:r w:rsidR="0091545F" w:rsidRPr="004C12C9">
        <w:t xml:space="preserve">a fuel-specific </w:t>
      </w:r>
      <w:r w:rsidR="00A46F68" w:rsidRPr="004C12C9">
        <w:t>emission factor, as shown in</w:t>
      </w:r>
      <w:r w:rsidR="005C0C98">
        <w:t xml:space="preserve"> </w:t>
      </w:r>
      <w:r w:rsidR="005C0C98">
        <w:fldChar w:fldCharType="begin"/>
      </w:r>
      <w:r w:rsidR="005C0C98">
        <w:instrText xml:space="preserve"> REF _Ref195625728 \h </w:instrText>
      </w:r>
      <w:r w:rsidR="005C0C98">
        <w:fldChar w:fldCharType="separate"/>
      </w:r>
      <w:r w:rsidR="005C0C98" w:rsidRPr="004C12C9">
        <w:t xml:space="preserve">Equation </w:t>
      </w:r>
      <w:r w:rsidR="005C0C98">
        <w:rPr>
          <w:noProof/>
        </w:rPr>
        <w:t>15</w:t>
      </w:r>
      <w:r w:rsidR="005C0C98">
        <w:fldChar w:fldCharType="end"/>
      </w:r>
      <w:r w:rsidR="0091545F" w:rsidRPr="004C12C9">
        <w:t>.</w:t>
      </w:r>
    </w:p>
    <w:p w14:paraId="026B2042" w14:textId="52AD44BE" w:rsidR="0091545F" w:rsidRPr="004C12C9" w:rsidRDefault="0091545F" w:rsidP="0091545F">
      <w:pPr>
        <w:pStyle w:val="Caption"/>
      </w:pPr>
      <w:bookmarkStart w:id="169" w:name="_Ref195625728"/>
      <w:r w:rsidRPr="004C12C9">
        <w:t xml:space="preserve">Equation </w:t>
      </w:r>
      <w:r w:rsidR="00127094">
        <w:fldChar w:fldCharType="begin"/>
      </w:r>
      <w:r w:rsidR="00127094">
        <w:instrText xml:space="preserve"> SEQ Equation \* ARABIC </w:instrText>
      </w:r>
      <w:r w:rsidR="00127094">
        <w:fldChar w:fldCharType="separate"/>
      </w:r>
      <w:r w:rsidR="00C47624">
        <w:rPr>
          <w:noProof/>
        </w:rPr>
        <w:t>15</w:t>
      </w:r>
      <w:r w:rsidR="00127094">
        <w:fldChar w:fldCharType="end"/>
      </w:r>
      <w:bookmarkEnd w:id="169"/>
      <w:r w:rsidRPr="004C12C9">
        <w:t>. Annual Emissions from Natural Gas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340"/>
        <w:gridCol w:w="7730"/>
      </w:tblGrid>
      <w:tr w:rsidR="0091545F" w:rsidRPr="004C12C9" w14:paraId="1B583E31" w14:textId="77777777">
        <w:tc>
          <w:tcPr>
            <w:tcW w:w="10070" w:type="dxa"/>
            <w:gridSpan w:val="2"/>
            <w:shd w:val="clear" w:color="auto" w:fill="F2F2F2" w:themeFill="background1" w:themeFillShade="F2"/>
          </w:tcPr>
          <w:p w14:paraId="62C1332E" w14:textId="12673231" w:rsidR="0091545F" w:rsidRPr="004C12C9" w:rsidRDefault="000002AA" w:rsidP="00B82D52">
            <w:pPr>
              <w:pStyle w:val="Equation"/>
              <w:rPr>
                <w:noProof w:val="0"/>
              </w:rPr>
            </w:pPr>
            <m:oMathPara>
              <m:oMath>
                <m:r>
                  <w:rPr>
                    <w:noProof w:val="0"/>
                  </w:rPr>
                  <m:t>aannual GHG emissions=</m:t>
                </m:r>
                <m:d>
                  <m:dPr>
                    <m:ctrlPr>
                      <w:rPr>
                        <w:noProof w:val="0"/>
                      </w:rPr>
                    </m:ctrlPr>
                  </m:dPr>
                  <m:e>
                    <m:r>
                      <w:rPr>
                        <w:noProof w:val="0"/>
                      </w:rPr>
                      <m:t>throughput×heat content×emission factor ×0.000001</m:t>
                    </m:r>
                  </m:e>
                </m:d>
              </m:oMath>
            </m:oMathPara>
          </w:p>
          <w:p w14:paraId="28D55630" w14:textId="77777777" w:rsidR="0091545F" w:rsidRPr="004C12C9" w:rsidRDefault="0091545F">
            <w:pPr>
              <w:rPr>
                <w:i/>
                <w:iCs/>
              </w:rPr>
            </w:pPr>
            <w:r w:rsidRPr="004C12C9">
              <w:rPr>
                <w:i/>
                <w:iCs/>
                <w:sz w:val="20"/>
                <w:szCs w:val="20"/>
              </w:rPr>
              <w:t xml:space="preserve">where, </w:t>
            </w:r>
          </w:p>
        </w:tc>
      </w:tr>
      <w:tr w:rsidR="0091545F" w:rsidRPr="004C12C9" w14:paraId="7E2C993F" w14:textId="77777777" w:rsidTr="00FF58A1">
        <w:tc>
          <w:tcPr>
            <w:tcW w:w="2340" w:type="dxa"/>
            <w:shd w:val="clear" w:color="auto" w:fill="F2F2F2" w:themeFill="background1" w:themeFillShade="F2"/>
          </w:tcPr>
          <w:p w14:paraId="23568D9B" w14:textId="2C65D0B0" w:rsidR="0091545F" w:rsidRPr="004C12C9" w:rsidRDefault="00F02604">
            <w:pPr>
              <w:tabs>
                <w:tab w:val="left" w:pos="2160"/>
              </w:tabs>
              <w:spacing w:before="0" w:after="0" w:line="240" w:lineRule="auto"/>
              <w:contextualSpacing/>
              <w:rPr>
                <w:rFonts w:eastAsia="Arial"/>
                <w:sz w:val="20"/>
                <w:szCs w:val="20"/>
              </w:rPr>
            </w:pPr>
            <w:r w:rsidRPr="004C12C9">
              <w:rPr>
                <w:rFonts w:eastAsia="Arial"/>
                <w:sz w:val="20"/>
                <w:szCs w:val="20"/>
              </w:rPr>
              <w:t>Throughput</w:t>
            </w:r>
          </w:p>
          <w:p w14:paraId="4A8348CD" w14:textId="1BFD2C4A" w:rsidR="0091545F" w:rsidRPr="004C12C9" w:rsidRDefault="0091545F">
            <w:pPr>
              <w:tabs>
                <w:tab w:val="left" w:pos="2160"/>
              </w:tabs>
              <w:spacing w:before="0" w:after="0" w:line="240" w:lineRule="auto"/>
              <w:contextualSpacing/>
              <w:rPr>
                <w:rFonts w:eastAsia="Arial"/>
                <w:sz w:val="20"/>
                <w:szCs w:val="20"/>
              </w:rPr>
            </w:pPr>
            <w:r w:rsidRPr="004C12C9">
              <w:rPr>
                <w:rFonts w:eastAsia="Arial"/>
                <w:sz w:val="20"/>
                <w:szCs w:val="20"/>
              </w:rPr>
              <w:t>Heat content</w:t>
            </w:r>
          </w:p>
          <w:p w14:paraId="298CC3FB" w14:textId="77777777" w:rsidR="0091545F" w:rsidRPr="004C12C9" w:rsidRDefault="0091545F">
            <w:pPr>
              <w:tabs>
                <w:tab w:val="left" w:pos="2160"/>
              </w:tabs>
              <w:spacing w:before="0" w:after="0" w:line="240" w:lineRule="auto"/>
              <w:contextualSpacing/>
              <w:rPr>
                <w:rFonts w:eastAsia="Arial"/>
                <w:sz w:val="20"/>
                <w:szCs w:val="20"/>
              </w:rPr>
            </w:pPr>
            <w:r w:rsidRPr="004C12C9">
              <w:rPr>
                <w:rFonts w:eastAsia="Arial"/>
                <w:sz w:val="20"/>
                <w:szCs w:val="20"/>
              </w:rPr>
              <w:t>Emission factor</w:t>
            </w:r>
          </w:p>
          <w:p w14:paraId="1847300E" w14:textId="77777777" w:rsidR="0091545F" w:rsidRPr="004C12C9" w:rsidRDefault="0091545F">
            <w:pPr>
              <w:tabs>
                <w:tab w:val="left" w:pos="2160"/>
              </w:tabs>
              <w:spacing w:before="0" w:after="0" w:line="240" w:lineRule="auto"/>
              <w:contextualSpacing/>
              <w:rPr>
                <w:rFonts w:eastAsia="Arial"/>
                <w:sz w:val="20"/>
                <w:szCs w:val="20"/>
              </w:rPr>
            </w:pPr>
            <w:r w:rsidRPr="004C12C9">
              <w:rPr>
                <w:rFonts w:eastAsia="Arial"/>
                <w:sz w:val="20"/>
                <w:szCs w:val="20"/>
              </w:rPr>
              <w:t>0.000001</w:t>
            </w:r>
          </w:p>
        </w:tc>
        <w:tc>
          <w:tcPr>
            <w:tcW w:w="7730" w:type="dxa"/>
            <w:shd w:val="clear" w:color="auto" w:fill="F2F2F2" w:themeFill="background1" w:themeFillShade="F2"/>
          </w:tcPr>
          <w:p w14:paraId="7E0B4194" w14:textId="5D95DC5F" w:rsidR="009F5BAF" w:rsidRPr="004C12C9" w:rsidRDefault="0091545F">
            <w:pPr>
              <w:spacing w:before="0" w:after="0" w:line="240" w:lineRule="auto"/>
              <w:rPr>
                <w:rFonts w:eastAsia="Arial"/>
                <w:sz w:val="20"/>
                <w:szCs w:val="20"/>
              </w:rPr>
            </w:pPr>
            <w:r w:rsidRPr="004C12C9">
              <w:rPr>
                <w:rFonts w:eastAsia="Arial"/>
                <w:sz w:val="20"/>
                <w:szCs w:val="20"/>
              </w:rPr>
              <w:t xml:space="preserve">= Amount of additional </w:t>
            </w:r>
            <w:r w:rsidR="008A0AB6" w:rsidRPr="004C12C9">
              <w:rPr>
                <w:rFonts w:eastAsia="Arial"/>
                <w:sz w:val="20"/>
                <w:szCs w:val="20"/>
              </w:rPr>
              <w:t>natural gas throughput (cubic feet/year)</w:t>
            </w:r>
          </w:p>
          <w:p w14:paraId="10DFC953" w14:textId="2F603489" w:rsidR="0091545F" w:rsidRPr="004C12C9" w:rsidRDefault="0091545F">
            <w:pPr>
              <w:spacing w:before="0" w:after="0" w:line="240" w:lineRule="auto"/>
              <w:rPr>
                <w:rFonts w:eastAsia="Arial"/>
                <w:sz w:val="20"/>
                <w:szCs w:val="20"/>
              </w:rPr>
            </w:pPr>
            <w:r w:rsidRPr="004C12C9">
              <w:rPr>
                <w:rFonts w:eastAsia="Arial"/>
                <w:sz w:val="20"/>
                <w:szCs w:val="20"/>
              </w:rPr>
              <w:t>= Heat content conversion</w:t>
            </w:r>
            <w:r w:rsidR="00170540" w:rsidRPr="004C12C9">
              <w:rPr>
                <w:rFonts w:eastAsia="Arial"/>
                <w:sz w:val="20"/>
                <w:szCs w:val="20"/>
              </w:rPr>
              <w:t xml:space="preserve"> factor</w:t>
            </w:r>
            <w:r w:rsidRPr="004C12C9">
              <w:rPr>
                <w:rFonts w:eastAsia="Arial"/>
                <w:sz w:val="20"/>
                <w:szCs w:val="20"/>
              </w:rPr>
              <w:t xml:space="preserve"> </w:t>
            </w:r>
            <w:r w:rsidR="00170540" w:rsidRPr="004C12C9">
              <w:rPr>
                <w:rFonts w:eastAsia="Arial"/>
                <w:sz w:val="20"/>
                <w:szCs w:val="20"/>
              </w:rPr>
              <w:t>natural gas, 1,026</w:t>
            </w:r>
            <w:r w:rsidR="00170540" w:rsidRPr="004C12C9" w:rsidDel="000A7052">
              <w:rPr>
                <w:rFonts w:eastAsia="Arial"/>
                <w:sz w:val="20"/>
                <w:szCs w:val="20"/>
              </w:rPr>
              <w:t xml:space="preserve"> </w:t>
            </w:r>
            <w:r w:rsidR="00170540" w:rsidRPr="004C12C9">
              <w:rPr>
                <w:rFonts w:eastAsia="Arial"/>
                <w:sz w:val="20"/>
                <w:szCs w:val="20"/>
              </w:rPr>
              <w:t>(Btu/cubic foot)</w:t>
            </w:r>
            <w:r w:rsidR="00170540" w:rsidRPr="004C12C9">
              <w:rPr>
                <w:rFonts w:eastAsia="Arial"/>
                <w:vertAlign w:val="superscript"/>
              </w:rPr>
              <w:footnoteReference w:id="91"/>
            </w:r>
          </w:p>
          <w:p w14:paraId="743B20AF" w14:textId="27832860" w:rsidR="0091545F" w:rsidRPr="004C12C9" w:rsidRDefault="0091545F">
            <w:pPr>
              <w:tabs>
                <w:tab w:val="left" w:pos="2160"/>
              </w:tabs>
              <w:spacing w:before="0" w:after="0" w:line="240" w:lineRule="auto"/>
              <w:contextualSpacing/>
              <w:rPr>
                <w:rFonts w:eastAsia="Arial"/>
                <w:sz w:val="20"/>
                <w:szCs w:val="20"/>
              </w:rPr>
            </w:pPr>
            <w:r w:rsidRPr="004C12C9">
              <w:rPr>
                <w:rFonts w:eastAsia="Arial"/>
                <w:sz w:val="20"/>
                <w:szCs w:val="20"/>
              </w:rPr>
              <w:t xml:space="preserve">= </w:t>
            </w:r>
            <w:r w:rsidR="00FF58A1" w:rsidRPr="004C12C9">
              <w:rPr>
                <w:rFonts w:eastAsia="Arial"/>
                <w:sz w:val="20"/>
                <w:szCs w:val="20"/>
              </w:rPr>
              <w:t>Life cycle emissions, from recovery through combustion</w:t>
            </w:r>
            <w:r w:rsidRPr="004C12C9">
              <w:rPr>
                <w:rFonts w:eastAsia="Arial"/>
                <w:sz w:val="20"/>
                <w:szCs w:val="20"/>
              </w:rPr>
              <w:t xml:space="preserve"> (kgCO</w:t>
            </w:r>
            <w:r w:rsidRPr="004C12C9">
              <w:rPr>
                <w:rFonts w:eastAsia="Arial"/>
                <w:sz w:val="20"/>
                <w:szCs w:val="20"/>
                <w:vertAlign w:val="subscript"/>
              </w:rPr>
              <w:t>2</w:t>
            </w:r>
            <w:r w:rsidRPr="004C12C9">
              <w:rPr>
                <w:rFonts w:eastAsia="Arial"/>
                <w:sz w:val="20"/>
                <w:szCs w:val="20"/>
              </w:rPr>
              <w:t>e/MMBtu)</w:t>
            </w:r>
          </w:p>
          <w:p w14:paraId="1B61C7DF" w14:textId="77777777" w:rsidR="0091545F" w:rsidRPr="004C12C9" w:rsidRDefault="0091545F">
            <w:pPr>
              <w:tabs>
                <w:tab w:val="left" w:pos="2160"/>
              </w:tabs>
              <w:contextualSpacing/>
              <w:rPr>
                <w:rFonts w:eastAsia="Arial"/>
                <w:sz w:val="20"/>
                <w:szCs w:val="20"/>
              </w:rPr>
            </w:pPr>
            <w:r w:rsidRPr="004C12C9">
              <w:rPr>
                <w:rFonts w:eastAsia="Arial"/>
                <w:sz w:val="20"/>
                <w:szCs w:val="20"/>
              </w:rPr>
              <w:t>= Unit conversion from Btu to MMBtu</w:t>
            </w:r>
          </w:p>
          <w:p w14:paraId="113D77E0" w14:textId="77777777" w:rsidR="0091545F" w:rsidRPr="004C12C9" w:rsidRDefault="0091545F">
            <w:pPr>
              <w:tabs>
                <w:tab w:val="left" w:pos="2160"/>
              </w:tabs>
              <w:spacing w:before="0" w:after="0" w:line="240" w:lineRule="auto"/>
              <w:contextualSpacing/>
              <w:rPr>
                <w:rFonts w:eastAsia="Arial"/>
                <w:sz w:val="20"/>
                <w:szCs w:val="20"/>
              </w:rPr>
            </w:pPr>
          </w:p>
        </w:tc>
      </w:tr>
    </w:tbl>
    <w:p w14:paraId="58298338" w14:textId="5A98C5FC" w:rsidR="00BA4764" w:rsidRPr="004C12C9" w:rsidRDefault="00BA4764" w:rsidP="00745F22">
      <w:pPr>
        <w:pStyle w:val="Heading5"/>
      </w:pPr>
      <w:bookmarkStart w:id="170" w:name="_Ref188279978"/>
      <w:r w:rsidRPr="004C12C9">
        <w:t>Natural Gas Throughput</w:t>
      </w:r>
    </w:p>
    <w:p w14:paraId="4B9BD9AE" w14:textId="3049464A" w:rsidR="00BA4764" w:rsidRPr="004C12C9" w:rsidRDefault="005D3A9B" w:rsidP="00972CF9">
      <w:r w:rsidRPr="004C12C9">
        <w:t xml:space="preserve">Users are required to provide data </w:t>
      </w:r>
      <w:r w:rsidR="00444E72" w:rsidRPr="004C12C9">
        <w:t xml:space="preserve">in cubic feet </w:t>
      </w:r>
      <w:r w:rsidRPr="004C12C9">
        <w:t>on the</w:t>
      </w:r>
      <w:r w:rsidR="00BA4764" w:rsidRPr="004C12C9">
        <w:t xml:space="preserve"> additional quantity of natural gas produced and consumed as a result of the proposed project.</w:t>
      </w:r>
    </w:p>
    <w:p w14:paraId="34FAB5FD" w14:textId="77777777" w:rsidR="00BA4764" w:rsidRPr="004C12C9" w:rsidRDefault="00BA4764" w:rsidP="00745F22">
      <w:pPr>
        <w:pStyle w:val="Heading5"/>
      </w:pPr>
      <w:r w:rsidRPr="004C12C9">
        <w:t>Emission Factor</w:t>
      </w:r>
    </w:p>
    <w:p w14:paraId="11247338" w14:textId="2CC91BE4" w:rsidR="00BA4764" w:rsidRPr="004C12C9" w:rsidRDefault="00BA4764" w:rsidP="00972CF9">
      <w:r w:rsidRPr="004C12C9">
        <w:t>The emission factor for natural gas was derived based on data obtained from EPA’s Emission Factors Hub</w:t>
      </w:r>
      <w:r w:rsidRPr="004C12C9">
        <w:rPr>
          <w:rStyle w:val="FootnoteReference"/>
        </w:rPr>
        <w:footnoteReference w:id="92"/>
      </w:r>
      <w:r w:rsidRPr="004C12C9">
        <w:t xml:space="preserve"> and GREET</w:t>
      </w:r>
      <w:r w:rsidR="00B72BFD" w:rsidRPr="004C12C9">
        <w:t xml:space="preserve"> </w:t>
      </w:r>
      <w:r w:rsidRPr="004C12C9">
        <w:t>1 2024.</w:t>
      </w:r>
      <w:r w:rsidR="00D4355E" w:rsidRPr="004C12C9">
        <w:rPr>
          <w:rStyle w:val="FootnoteReference"/>
        </w:rPr>
        <w:footnoteReference w:id="93"/>
      </w:r>
      <w:r w:rsidRPr="004C12C9">
        <w:t xml:space="preserve"> Emissions from combustion were obtained from EPA</w:t>
      </w:r>
      <w:r w:rsidR="00C858CE" w:rsidRPr="004C12C9">
        <w:t>,</w:t>
      </w:r>
      <w:r w:rsidRPr="004C12C9">
        <w:t xml:space="preserve"> </w:t>
      </w:r>
      <w:r w:rsidR="00C858CE" w:rsidRPr="004C12C9">
        <w:t>and</w:t>
      </w:r>
      <w:r w:rsidRPr="004C12C9">
        <w:t xml:space="preserve"> upstream emissions from natural gas recovery through distribution to the end user were derived from GREET</w:t>
      </w:r>
      <w:r w:rsidR="00B72BFD" w:rsidRPr="004C12C9">
        <w:t xml:space="preserve"> </w:t>
      </w:r>
      <w:r w:rsidRPr="004C12C9">
        <w:t>1 2024. The emission factor broken out by lifecycle stage is summarized in</w:t>
      </w:r>
      <w:r w:rsidR="005C0C98">
        <w:t xml:space="preserve"> </w:t>
      </w:r>
      <w:r w:rsidR="005C0C98">
        <w:fldChar w:fldCharType="begin"/>
      </w:r>
      <w:r w:rsidR="005C0C98">
        <w:instrText xml:space="preserve"> REF _Ref219829380 \h </w:instrText>
      </w:r>
      <w:r w:rsidR="005C0C98">
        <w:fldChar w:fldCharType="separate"/>
      </w:r>
      <w:r w:rsidR="005C0C98" w:rsidRPr="004C12C9">
        <w:t xml:space="preserve">Table </w:t>
      </w:r>
      <w:r w:rsidR="005C0C98">
        <w:rPr>
          <w:noProof/>
        </w:rPr>
        <w:t>3</w:t>
      </w:r>
      <w:r w:rsidR="005C0C98">
        <w:noBreakHyphen/>
      </w:r>
      <w:r w:rsidR="005C0C98">
        <w:rPr>
          <w:noProof/>
        </w:rPr>
        <w:t>11</w:t>
      </w:r>
      <w:r w:rsidR="005C0C98">
        <w:fldChar w:fldCharType="end"/>
      </w:r>
      <w:r w:rsidRPr="004C12C9">
        <w:t>.</w:t>
      </w:r>
    </w:p>
    <w:p w14:paraId="3E64E9AF" w14:textId="2387FEEF" w:rsidR="00BA4764" w:rsidRPr="004C12C9" w:rsidRDefault="00BA4764" w:rsidP="00972CF9">
      <w:pPr>
        <w:pStyle w:val="Caption"/>
      </w:pPr>
      <w:bookmarkStart w:id="171" w:name="_Ref21982938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11</w:t>
      </w:r>
      <w:r w:rsidR="00F72B41">
        <w:fldChar w:fldCharType="end"/>
      </w:r>
      <w:bookmarkEnd w:id="171"/>
      <w:r w:rsidRPr="004C12C9">
        <w:t>. Natural Gas Emission Factors</w:t>
      </w:r>
    </w:p>
    <w:tbl>
      <w:tblPr>
        <w:tblW w:w="491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5"/>
        <w:gridCol w:w="2292"/>
        <w:gridCol w:w="2292"/>
        <w:gridCol w:w="2296"/>
      </w:tblGrid>
      <w:tr w:rsidR="00BA4764" w:rsidRPr="004C12C9" w14:paraId="3989131B" w14:textId="77777777" w:rsidTr="003C787E">
        <w:trPr>
          <w:trHeight w:val="350"/>
        </w:trPr>
        <w:tc>
          <w:tcPr>
            <w:tcW w:w="1527" w:type="pct"/>
            <w:vMerge w:val="restart"/>
            <w:shd w:val="clear" w:color="auto" w:fill="D9D9D9" w:themeFill="background1" w:themeFillShade="D9"/>
            <w:vAlign w:val="center"/>
          </w:tcPr>
          <w:p w14:paraId="4065BD35" w14:textId="77777777" w:rsidR="00BA4764" w:rsidRPr="004C12C9" w:rsidRDefault="00BA4764" w:rsidP="00DD0468">
            <w:pPr>
              <w:pStyle w:val="ICFTableHeading"/>
              <w:keepNext/>
            </w:pPr>
            <w:r w:rsidRPr="004C12C9">
              <w:t>Fuel Type</w:t>
            </w:r>
          </w:p>
        </w:tc>
        <w:tc>
          <w:tcPr>
            <w:tcW w:w="3473" w:type="pct"/>
            <w:gridSpan w:val="3"/>
            <w:shd w:val="clear" w:color="auto" w:fill="D9D9D9" w:themeFill="background1" w:themeFillShade="D9"/>
            <w:vAlign w:val="center"/>
          </w:tcPr>
          <w:p w14:paraId="1A1883E8" w14:textId="4611A4F0" w:rsidR="00BA4764" w:rsidRPr="004C12C9" w:rsidRDefault="00BA4764" w:rsidP="00DD0468">
            <w:pPr>
              <w:pStyle w:val="ICFTableHeading"/>
              <w:keepNext/>
            </w:pPr>
            <w:r w:rsidRPr="004C12C9">
              <w:t>Emission Factor (kgCO</w:t>
            </w:r>
            <w:r w:rsidRPr="004C12C9">
              <w:rPr>
                <w:vertAlign w:val="subscript"/>
              </w:rPr>
              <w:t>2</w:t>
            </w:r>
            <w:r w:rsidRPr="004C12C9">
              <w:t>e/MMBtu)*</w:t>
            </w:r>
          </w:p>
        </w:tc>
      </w:tr>
      <w:tr w:rsidR="00BA4764" w:rsidRPr="004C12C9" w:rsidDel="00AD3665" w14:paraId="7921FEEB" w14:textId="77777777" w:rsidTr="003C787E">
        <w:trPr>
          <w:trHeight w:val="287"/>
        </w:trPr>
        <w:tc>
          <w:tcPr>
            <w:tcW w:w="1527" w:type="pct"/>
            <w:vMerge/>
            <w:shd w:val="clear" w:color="auto" w:fill="D9D9D9" w:themeFill="background1" w:themeFillShade="D9"/>
            <w:vAlign w:val="center"/>
          </w:tcPr>
          <w:p w14:paraId="5AAEB2A5" w14:textId="77777777" w:rsidR="00BA4764" w:rsidRPr="004C12C9" w:rsidRDefault="00BA4764" w:rsidP="003C787E">
            <w:pPr>
              <w:pStyle w:val="ICFTableHeading"/>
            </w:pPr>
          </w:p>
        </w:tc>
        <w:tc>
          <w:tcPr>
            <w:tcW w:w="1157" w:type="pct"/>
            <w:shd w:val="clear" w:color="auto" w:fill="D9D9D9" w:themeFill="background1" w:themeFillShade="D9"/>
            <w:vAlign w:val="center"/>
          </w:tcPr>
          <w:p w14:paraId="7B085AD9" w14:textId="77777777" w:rsidR="00BA4764" w:rsidRPr="004C12C9" w:rsidRDefault="00BA4764" w:rsidP="003C787E">
            <w:pPr>
              <w:pStyle w:val="ICFTableHeading"/>
            </w:pPr>
            <w:r w:rsidRPr="004C12C9">
              <w:t>Upstream</w:t>
            </w:r>
          </w:p>
        </w:tc>
        <w:tc>
          <w:tcPr>
            <w:tcW w:w="1157" w:type="pct"/>
            <w:shd w:val="clear" w:color="auto" w:fill="D9D9D9" w:themeFill="background1" w:themeFillShade="D9"/>
          </w:tcPr>
          <w:p w14:paraId="0A924127" w14:textId="77777777" w:rsidR="00BA4764" w:rsidRPr="004C12C9" w:rsidRDefault="00BA4764" w:rsidP="003C787E">
            <w:pPr>
              <w:pStyle w:val="ICFTableHeading"/>
            </w:pPr>
            <w:r w:rsidRPr="004C12C9">
              <w:t>Combustion</w:t>
            </w:r>
          </w:p>
        </w:tc>
        <w:tc>
          <w:tcPr>
            <w:tcW w:w="1159" w:type="pct"/>
            <w:shd w:val="clear" w:color="auto" w:fill="D9D9D9" w:themeFill="background1" w:themeFillShade="D9"/>
          </w:tcPr>
          <w:p w14:paraId="27DA34A2" w14:textId="77777777" w:rsidR="00BA4764" w:rsidRPr="004C12C9" w:rsidDel="00AD3665" w:rsidRDefault="00BA4764" w:rsidP="003C787E">
            <w:pPr>
              <w:pStyle w:val="ICFTableHeading"/>
            </w:pPr>
            <w:r w:rsidRPr="004C12C9">
              <w:t>Total</w:t>
            </w:r>
          </w:p>
        </w:tc>
      </w:tr>
      <w:tr w:rsidR="00BA4764" w:rsidRPr="004C12C9" w14:paraId="5B247959" w14:textId="77777777" w:rsidTr="003C787E">
        <w:trPr>
          <w:trHeight w:val="161"/>
        </w:trPr>
        <w:tc>
          <w:tcPr>
            <w:tcW w:w="1527" w:type="pct"/>
          </w:tcPr>
          <w:p w14:paraId="283D75EF" w14:textId="77777777" w:rsidR="00BA4764" w:rsidRPr="004C12C9" w:rsidRDefault="00BA4764" w:rsidP="003C787E">
            <w:pPr>
              <w:pStyle w:val="ICFTabletext"/>
            </w:pPr>
            <w:r w:rsidRPr="004C12C9">
              <w:t>Natural Gas</w:t>
            </w:r>
          </w:p>
        </w:tc>
        <w:tc>
          <w:tcPr>
            <w:tcW w:w="1157" w:type="pct"/>
          </w:tcPr>
          <w:p w14:paraId="58E20F57" w14:textId="352D9B0B" w:rsidR="00BA4764" w:rsidRPr="004C12C9" w:rsidRDefault="00BA4764" w:rsidP="003C787E">
            <w:pPr>
              <w:pStyle w:val="ICFTabletext"/>
              <w:jc w:val="center"/>
            </w:pPr>
            <w:r w:rsidRPr="004C12C9">
              <w:t>1</w:t>
            </w:r>
            <w:r w:rsidR="00D45154" w:rsidRPr="004C12C9">
              <w:t>2.03</w:t>
            </w:r>
            <w:r w:rsidRPr="004C12C9">
              <w:rPr>
                <w:vertAlign w:val="superscript"/>
              </w:rPr>
              <w:t>a</w:t>
            </w:r>
          </w:p>
        </w:tc>
        <w:tc>
          <w:tcPr>
            <w:tcW w:w="1157" w:type="pct"/>
          </w:tcPr>
          <w:p w14:paraId="73735B50" w14:textId="77777777" w:rsidR="00BA4764" w:rsidRPr="004C12C9" w:rsidRDefault="00BA4764" w:rsidP="003C787E">
            <w:pPr>
              <w:pStyle w:val="ICFTabletext"/>
              <w:jc w:val="center"/>
            </w:pPr>
            <w:r w:rsidRPr="004C12C9">
              <w:t>53.11</w:t>
            </w:r>
          </w:p>
        </w:tc>
        <w:tc>
          <w:tcPr>
            <w:tcW w:w="1159" w:type="pct"/>
          </w:tcPr>
          <w:p w14:paraId="2B82FCAE" w14:textId="7F6620D6" w:rsidR="00BA4764" w:rsidRPr="004C12C9" w:rsidRDefault="00BA4764" w:rsidP="003C787E">
            <w:pPr>
              <w:pStyle w:val="ICFTabletext"/>
              <w:jc w:val="center"/>
            </w:pPr>
            <w:r w:rsidRPr="004C12C9">
              <w:t>6</w:t>
            </w:r>
            <w:r w:rsidR="001D3C91" w:rsidRPr="004C12C9">
              <w:t>5.15</w:t>
            </w:r>
          </w:p>
        </w:tc>
      </w:tr>
    </w:tbl>
    <w:p w14:paraId="215038E1" w14:textId="657E25A7" w:rsidR="00BA4764" w:rsidRPr="004C12C9" w:rsidRDefault="00BA4764" w:rsidP="00F070F2">
      <w:pPr>
        <w:pStyle w:val="TableFooter"/>
      </w:pPr>
      <w:r w:rsidRPr="004C12C9">
        <w:rPr>
          <w:rFonts w:asciiTheme="majorHAnsi" w:hAnsiTheme="majorHAnsi"/>
          <w:color w:val="000000"/>
          <w:sz w:val="20"/>
          <w:szCs w:val="20"/>
          <w:vertAlign w:val="superscript"/>
        </w:rPr>
        <w:t>a</w:t>
      </w:r>
      <w:r w:rsidRPr="004C12C9">
        <w:t xml:space="preserve"> Based on GREET’s default assumptions for the share of conventional and shale gas in North America and the transmission and distribution loss factor for natural gas.</w:t>
      </w:r>
    </w:p>
    <w:p w14:paraId="1DA2D8A5" w14:textId="33776A62" w:rsidR="00BA4764" w:rsidRPr="004C12C9" w:rsidRDefault="00BA4764" w:rsidP="00F070F2">
      <w:pPr>
        <w:pStyle w:val="TableFooter"/>
        <w:rPr>
          <w:u w:val="single"/>
        </w:rPr>
      </w:pPr>
      <w:r w:rsidRPr="004C12C9">
        <w:t>* Values shown are based on AR</w:t>
      </w:r>
      <w:r w:rsidR="001D3C91" w:rsidRPr="004C12C9">
        <w:t>5</w:t>
      </w:r>
      <w:r w:rsidRPr="004C12C9">
        <w:t xml:space="preserve"> global warming potentials.</w:t>
      </w:r>
    </w:p>
    <w:bookmarkEnd w:id="170"/>
    <w:p w14:paraId="0B5E01AB" w14:textId="77777777" w:rsidR="00BA4764" w:rsidRPr="004C12C9" w:rsidRDefault="00BA4764" w:rsidP="00745F22">
      <w:pPr>
        <w:pStyle w:val="Heading5"/>
      </w:pPr>
      <w:r w:rsidRPr="004C12C9">
        <w:t>Leakage and Venting</w:t>
      </w:r>
    </w:p>
    <w:p w14:paraId="3072BACA" w14:textId="07390EF7" w:rsidR="00BA4764" w:rsidRPr="004C12C9" w:rsidRDefault="00BA4764" w:rsidP="00972CF9">
      <w:pPr>
        <w:rPr>
          <w:sz w:val="20"/>
          <w:szCs w:val="20"/>
        </w:rPr>
      </w:pPr>
      <w:r w:rsidRPr="004C12C9">
        <w:t xml:space="preserve">The upstream emissions for natural gas in </w:t>
      </w:r>
      <w:r w:rsidR="001D3C91" w:rsidRPr="004C12C9">
        <w:fldChar w:fldCharType="begin" w:fldLock="1"/>
      </w:r>
      <w:r w:rsidR="001D3C91" w:rsidRPr="004C12C9">
        <w:instrText xml:space="preserve"> REF _Ref188277963 \h </w:instrText>
      </w:r>
      <w:r w:rsidR="001D3C91" w:rsidRPr="004C12C9">
        <w:fldChar w:fldCharType="separate"/>
      </w:r>
      <w:r w:rsidR="00127094" w:rsidRPr="004C12C9">
        <w:t>Table 3</w:t>
      </w:r>
      <w:r w:rsidR="00127094" w:rsidRPr="004C12C9">
        <w:noBreakHyphen/>
        <w:t>12</w:t>
      </w:r>
      <w:r w:rsidR="001D3C91" w:rsidRPr="004C12C9">
        <w:fldChar w:fldCharType="end"/>
      </w:r>
      <w:r w:rsidRPr="004C12C9">
        <w:t xml:space="preserve"> include methane emissions from equipment leaks and venting. Equipment leaks, commonly referred to as fugitive emissions, are unintentional methane leaks that can occur from equipment components during operational/fueling activities.</w:t>
      </w:r>
      <w:r w:rsidRPr="004C12C9">
        <w:rPr>
          <w:rFonts w:eastAsiaTheme="minorHAnsi"/>
        </w:rPr>
        <w:t xml:space="preserve"> </w:t>
      </w:r>
      <w:r w:rsidRPr="004C12C9">
        <w:t xml:space="preserve">Venting is the intentional, direct </w:t>
      </w:r>
      <w:r w:rsidRPr="004C12C9">
        <w:lastRenderedPageBreak/>
        <w:t xml:space="preserve">release of natural gas into the atmosphere, which is commonly done for operational, safety, and maintenance purposes. A further breakdown of the methane leakage and venting emissions, which represent approximately 6.35% of the total natural gas life cycle emissions for average U.S. production, is shown in </w:t>
      </w:r>
      <w:r w:rsidRPr="004C12C9">
        <w:fldChar w:fldCharType="begin" w:fldLock="1"/>
      </w:r>
      <w:r w:rsidRPr="004C12C9">
        <w:rPr>
          <w:highlight w:val="yellow"/>
        </w:rPr>
        <w:instrText xml:space="preserve"> REF _Ref188277963 \h  \* MERGEFORMAT </w:instrText>
      </w:r>
      <w:r w:rsidRPr="004C12C9">
        <w:fldChar w:fldCharType="separate"/>
      </w:r>
      <w:r w:rsidR="00127094" w:rsidRPr="004C12C9">
        <w:t>Table 3</w:t>
      </w:r>
      <w:r w:rsidR="00127094" w:rsidRPr="004C12C9">
        <w:noBreakHyphen/>
        <w:t>12</w:t>
      </w:r>
      <w:r w:rsidRPr="004C12C9">
        <w:fldChar w:fldCharType="end"/>
      </w:r>
      <w:r w:rsidRPr="004C12C9">
        <w:t>.</w:t>
      </w:r>
    </w:p>
    <w:p w14:paraId="3C749DAB" w14:textId="3CE6319A" w:rsidR="00BA4764" w:rsidRPr="004C12C9" w:rsidRDefault="00BA4764" w:rsidP="00972CF9">
      <w:pPr>
        <w:pStyle w:val="Caption"/>
      </w:pPr>
      <w:bookmarkStart w:id="172" w:name="_Ref188277963"/>
      <w:bookmarkStart w:id="173" w:name="_Ref195779922"/>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12</w:t>
      </w:r>
      <w:r w:rsidR="00F72B41">
        <w:fldChar w:fldCharType="end"/>
      </w:r>
      <w:bookmarkEnd w:id="172"/>
      <w:bookmarkEnd w:id="173"/>
      <w:r w:rsidRPr="004C12C9">
        <w:t>. Methane Leakage and Venting Emissions</w:t>
      </w:r>
    </w:p>
    <w:tbl>
      <w:tblPr>
        <w:tblW w:w="437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1"/>
        <w:gridCol w:w="2559"/>
        <w:gridCol w:w="2495"/>
      </w:tblGrid>
      <w:tr w:rsidR="00BA4764" w:rsidRPr="004C12C9" w14:paraId="488B59ED" w14:textId="77777777" w:rsidTr="003C787E">
        <w:trPr>
          <w:trHeight w:val="290"/>
        </w:trPr>
        <w:tc>
          <w:tcPr>
            <w:tcW w:w="3492" w:type="dxa"/>
            <w:shd w:val="clear" w:color="auto" w:fill="D9D9D9" w:themeFill="background1" w:themeFillShade="D9"/>
            <w:noWrap/>
            <w:hideMark/>
          </w:tcPr>
          <w:p w14:paraId="60D16B22" w14:textId="77777777" w:rsidR="00BA4764" w:rsidRPr="004C12C9" w:rsidRDefault="00BA4764" w:rsidP="003C787E">
            <w:pPr>
              <w:pStyle w:val="ICFTableHeading"/>
            </w:pPr>
            <w:r w:rsidRPr="004C12C9">
              <w:t>Natural Gas Supply Chain Segment</w:t>
            </w:r>
          </w:p>
        </w:tc>
        <w:tc>
          <w:tcPr>
            <w:tcW w:w="2376" w:type="dxa"/>
            <w:shd w:val="clear" w:color="auto" w:fill="D9D9D9" w:themeFill="background1" w:themeFillShade="D9"/>
            <w:hideMark/>
          </w:tcPr>
          <w:p w14:paraId="5D07D22A" w14:textId="77777777" w:rsidR="00BA4764" w:rsidRPr="004C12C9" w:rsidRDefault="00BA4764" w:rsidP="003C787E">
            <w:pPr>
              <w:pStyle w:val="ICFTableHeading"/>
            </w:pPr>
            <w:r w:rsidRPr="004C12C9">
              <w:t>gCH</w:t>
            </w:r>
            <w:r w:rsidRPr="004C12C9">
              <w:rPr>
                <w:vertAlign w:val="subscript"/>
              </w:rPr>
              <w:t>4</w:t>
            </w:r>
            <w:r w:rsidRPr="004C12C9">
              <w:t>/MMBtu</w:t>
            </w:r>
          </w:p>
        </w:tc>
        <w:tc>
          <w:tcPr>
            <w:tcW w:w="2317" w:type="dxa"/>
            <w:shd w:val="clear" w:color="auto" w:fill="D9D9D9" w:themeFill="background1" w:themeFillShade="D9"/>
          </w:tcPr>
          <w:p w14:paraId="101674CB" w14:textId="675815E7" w:rsidR="00BA4764" w:rsidRPr="004C12C9" w:rsidDel="00003D08" w:rsidRDefault="00BA4764" w:rsidP="003C787E">
            <w:pPr>
              <w:pStyle w:val="ICFTableHeading"/>
            </w:pPr>
            <w:r w:rsidRPr="004C12C9">
              <w:t>kgCO</w:t>
            </w:r>
            <w:r w:rsidRPr="004C12C9">
              <w:rPr>
                <w:vertAlign w:val="subscript"/>
              </w:rPr>
              <w:t>2</w:t>
            </w:r>
            <w:r w:rsidRPr="004C12C9">
              <w:t>e/MMBtu</w:t>
            </w:r>
            <w:r w:rsidR="00A83929" w:rsidRPr="004C12C9">
              <w:rPr>
                <w:vertAlign w:val="superscript"/>
              </w:rPr>
              <w:t>a</w:t>
            </w:r>
          </w:p>
        </w:tc>
      </w:tr>
      <w:tr w:rsidR="00BA4764" w:rsidRPr="004C12C9" w14:paraId="1611080B" w14:textId="77777777" w:rsidTr="003C787E">
        <w:trPr>
          <w:trHeight w:val="290"/>
        </w:trPr>
        <w:tc>
          <w:tcPr>
            <w:tcW w:w="3492" w:type="dxa"/>
            <w:noWrap/>
          </w:tcPr>
          <w:p w14:paraId="2505AC32" w14:textId="77777777" w:rsidR="00BA4764" w:rsidRPr="004C12C9" w:rsidRDefault="00BA4764" w:rsidP="003C787E">
            <w:pPr>
              <w:pStyle w:val="ICFTabletext"/>
            </w:pPr>
            <w:r w:rsidRPr="004C12C9">
              <w:t>Recovery</w:t>
            </w:r>
          </w:p>
        </w:tc>
        <w:tc>
          <w:tcPr>
            <w:tcW w:w="2376" w:type="dxa"/>
            <w:noWrap/>
          </w:tcPr>
          <w:p w14:paraId="65ABBE7F" w14:textId="77777777" w:rsidR="00BA4764" w:rsidRPr="004C12C9" w:rsidRDefault="00BA4764" w:rsidP="003C787E">
            <w:pPr>
              <w:pStyle w:val="ICFTabletext"/>
              <w:jc w:val="center"/>
            </w:pPr>
            <w:r w:rsidRPr="004C12C9">
              <w:t>93.88</w:t>
            </w:r>
          </w:p>
        </w:tc>
        <w:tc>
          <w:tcPr>
            <w:tcW w:w="2317" w:type="dxa"/>
          </w:tcPr>
          <w:p w14:paraId="08B80128" w14:textId="5A89D90B" w:rsidR="00BA4764" w:rsidRPr="004C12C9" w:rsidRDefault="00BA4764" w:rsidP="003C787E">
            <w:pPr>
              <w:pStyle w:val="ICFTabletext"/>
              <w:jc w:val="center"/>
            </w:pPr>
            <w:r w:rsidRPr="004C12C9">
              <w:t>2.</w:t>
            </w:r>
            <w:r w:rsidR="00703CC5" w:rsidRPr="004C12C9">
              <w:t>6</w:t>
            </w:r>
            <w:r w:rsidRPr="004C12C9">
              <w:t>3</w:t>
            </w:r>
          </w:p>
        </w:tc>
      </w:tr>
      <w:tr w:rsidR="00BA4764" w:rsidRPr="004C12C9" w14:paraId="2A1D2017" w14:textId="77777777" w:rsidTr="003C787E">
        <w:trPr>
          <w:trHeight w:val="290"/>
        </w:trPr>
        <w:tc>
          <w:tcPr>
            <w:tcW w:w="3492" w:type="dxa"/>
            <w:noWrap/>
          </w:tcPr>
          <w:p w14:paraId="266E3D6D" w14:textId="77777777" w:rsidR="00BA4764" w:rsidRPr="004C12C9" w:rsidRDefault="00BA4764" w:rsidP="003C787E">
            <w:pPr>
              <w:pStyle w:val="ICFTabletext"/>
            </w:pPr>
            <w:r w:rsidRPr="004C12C9">
              <w:t>Processing</w:t>
            </w:r>
          </w:p>
        </w:tc>
        <w:tc>
          <w:tcPr>
            <w:tcW w:w="2376" w:type="dxa"/>
            <w:noWrap/>
          </w:tcPr>
          <w:p w14:paraId="6E37579C" w14:textId="77777777" w:rsidR="00BA4764" w:rsidRPr="004C12C9" w:rsidRDefault="00BA4764" w:rsidP="003C787E">
            <w:pPr>
              <w:pStyle w:val="ICFTabletext"/>
              <w:jc w:val="center"/>
            </w:pPr>
            <w:r w:rsidRPr="004C12C9">
              <w:t>5.70</w:t>
            </w:r>
          </w:p>
        </w:tc>
        <w:tc>
          <w:tcPr>
            <w:tcW w:w="2317" w:type="dxa"/>
          </w:tcPr>
          <w:p w14:paraId="5C28F3C8" w14:textId="57E6B0FC" w:rsidR="00BA4764" w:rsidRPr="004C12C9" w:rsidRDefault="00BA4764" w:rsidP="003C787E">
            <w:pPr>
              <w:pStyle w:val="ICFTabletext"/>
              <w:jc w:val="center"/>
            </w:pPr>
            <w:r w:rsidRPr="004C12C9">
              <w:t>0.1</w:t>
            </w:r>
            <w:r w:rsidR="00703CC5" w:rsidRPr="004C12C9">
              <w:t>6</w:t>
            </w:r>
          </w:p>
        </w:tc>
      </w:tr>
      <w:tr w:rsidR="00BA4764" w:rsidRPr="004C12C9" w14:paraId="560240DA" w14:textId="77777777" w:rsidTr="003C787E">
        <w:trPr>
          <w:trHeight w:val="290"/>
        </w:trPr>
        <w:tc>
          <w:tcPr>
            <w:tcW w:w="3492" w:type="dxa"/>
            <w:noWrap/>
          </w:tcPr>
          <w:p w14:paraId="3A64E36E" w14:textId="77777777" w:rsidR="00BA4764" w:rsidRPr="004C12C9" w:rsidRDefault="00BA4764" w:rsidP="003C787E">
            <w:pPr>
              <w:pStyle w:val="ICFTabletext"/>
            </w:pPr>
            <w:r w:rsidRPr="004C12C9">
              <w:t>Transmission and Distribution</w:t>
            </w:r>
          </w:p>
        </w:tc>
        <w:tc>
          <w:tcPr>
            <w:tcW w:w="2376" w:type="dxa"/>
            <w:noWrap/>
          </w:tcPr>
          <w:p w14:paraId="4B75BAF7" w14:textId="77777777" w:rsidR="00BA4764" w:rsidRPr="004C12C9" w:rsidRDefault="00BA4764" w:rsidP="003C787E">
            <w:pPr>
              <w:pStyle w:val="ICFTabletext"/>
              <w:jc w:val="center"/>
            </w:pPr>
            <w:r w:rsidRPr="004C12C9">
              <w:t>53.32</w:t>
            </w:r>
          </w:p>
        </w:tc>
        <w:tc>
          <w:tcPr>
            <w:tcW w:w="2317" w:type="dxa"/>
          </w:tcPr>
          <w:p w14:paraId="7E9284EC" w14:textId="44538D83" w:rsidR="00BA4764" w:rsidRPr="004C12C9" w:rsidRDefault="00BA4764" w:rsidP="003C787E">
            <w:pPr>
              <w:pStyle w:val="ICFTabletext"/>
              <w:jc w:val="center"/>
            </w:pPr>
            <w:r w:rsidRPr="004C12C9">
              <w:t>1.4</w:t>
            </w:r>
            <w:r w:rsidR="004F101C" w:rsidRPr="004C12C9">
              <w:t>9</w:t>
            </w:r>
          </w:p>
        </w:tc>
      </w:tr>
      <w:tr w:rsidR="00BA4764" w:rsidRPr="004C12C9" w14:paraId="193D43B6" w14:textId="77777777" w:rsidTr="003C787E">
        <w:trPr>
          <w:trHeight w:val="116"/>
        </w:trPr>
        <w:tc>
          <w:tcPr>
            <w:tcW w:w="3492" w:type="dxa"/>
            <w:noWrap/>
          </w:tcPr>
          <w:p w14:paraId="2F7ED36C" w14:textId="77777777" w:rsidR="00BA4764" w:rsidRPr="004C12C9" w:rsidRDefault="00BA4764" w:rsidP="003C787E">
            <w:pPr>
              <w:pStyle w:val="ICFTabletext"/>
              <w:rPr>
                <w:b/>
              </w:rPr>
            </w:pPr>
            <w:r w:rsidRPr="004C12C9">
              <w:rPr>
                <w:b/>
              </w:rPr>
              <w:t>Total</w:t>
            </w:r>
          </w:p>
        </w:tc>
        <w:tc>
          <w:tcPr>
            <w:tcW w:w="2376" w:type="dxa"/>
            <w:noWrap/>
          </w:tcPr>
          <w:p w14:paraId="2F81A31D" w14:textId="77777777" w:rsidR="00BA4764" w:rsidRPr="004C12C9" w:rsidRDefault="00BA4764" w:rsidP="003C787E">
            <w:pPr>
              <w:pStyle w:val="ICFTabletext"/>
              <w:jc w:val="center"/>
              <w:rPr>
                <w:b/>
              </w:rPr>
            </w:pPr>
            <w:r w:rsidRPr="004C12C9">
              <w:rPr>
                <w:b/>
              </w:rPr>
              <w:t>152.90</w:t>
            </w:r>
          </w:p>
        </w:tc>
        <w:tc>
          <w:tcPr>
            <w:tcW w:w="2317" w:type="dxa"/>
          </w:tcPr>
          <w:p w14:paraId="1B5B50F3" w14:textId="7840A66D" w:rsidR="00BA4764" w:rsidRPr="004C12C9" w:rsidRDefault="00BA4764" w:rsidP="003C787E">
            <w:pPr>
              <w:pStyle w:val="ICFTabletext"/>
              <w:jc w:val="center"/>
              <w:rPr>
                <w:b/>
              </w:rPr>
            </w:pPr>
            <w:r w:rsidRPr="004C12C9">
              <w:rPr>
                <w:b/>
              </w:rPr>
              <w:t>4.</w:t>
            </w:r>
            <w:r w:rsidR="004F101C" w:rsidRPr="004C12C9">
              <w:rPr>
                <w:b/>
                <w:bCs/>
              </w:rPr>
              <w:t>28</w:t>
            </w:r>
          </w:p>
        </w:tc>
      </w:tr>
    </w:tbl>
    <w:p w14:paraId="5E5B50E4" w14:textId="32FFD9A5" w:rsidR="00BA4764" w:rsidRPr="004C12C9" w:rsidRDefault="00BA4764" w:rsidP="003C787E">
      <w:pPr>
        <w:pStyle w:val="TableFooter"/>
      </w:pPr>
      <w:r w:rsidRPr="004C12C9">
        <w:t xml:space="preserve">Note: Based on GREET 1 2024 default assumptions for the pathway of natural gas production for stationary fuel, including an assumed </w:t>
      </w:r>
      <w:r w:rsidRPr="004C12C9">
        <w:rPr>
          <w:iCs/>
        </w:rPr>
        <w:t>transmission</w:t>
      </w:r>
      <w:r w:rsidRPr="004C12C9">
        <w:t xml:space="preserve"> and distribution loss factor for natural gas.</w:t>
      </w:r>
    </w:p>
    <w:p w14:paraId="703B285F" w14:textId="1C4D6676" w:rsidR="00BA4764" w:rsidRPr="004C12C9" w:rsidRDefault="00A83929" w:rsidP="003C787E">
      <w:pPr>
        <w:pStyle w:val="TableFooter"/>
      </w:pPr>
      <w:r w:rsidRPr="004C12C9">
        <w:rPr>
          <w:vertAlign w:val="superscript"/>
        </w:rPr>
        <w:t>a</w:t>
      </w:r>
      <w:r w:rsidR="00BA4764" w:rsidRPr="004C12C9">
        <w:t xml:space="preserve"> Values shown are based on AR</w:t>
      </w:r>
      <w:r w:rsidR="004F101C" w:rsidRPr="004C12C9">
        <w:t>5</w:t>
      </w:r>
      <w:r w:rsidR="00BA4764" w:rsidRPr="004C12C9">
        <w:t xml:space="preserve"> global warming potentials.</w:t>
      </w:r>
    </w:p>
    <w:p w14:paraId="2888B3C8" w14:textId="1FFBCF6D" w:rsidR="00BA4764" w:rsidRPr="004C12C9" w:rsidRDefault="00BA4764" w:rsidP="00972CF9">
      <w:r w:rsidRPr="004C12C9">
        <w:t xml:space="preserve">To accommodate the implementation of technologies and practices that minimize these emissions, the </w:t>
      </w:r>
      <w:r w:rsidR="007640AF" w:rsidRPr="004C12C9">
        <w:t xml:space="preserve">calculator </w:t>
      </w:r>
      <w:r w:rsidRPr="004C12C9">
        <w:t>allow</w:t>
      </w:r>
      <w:r w:rsidR="00C94094" w:rsidRPr="004C12C9">
        <w:t>s</w:t>
      </w:r>
      <w:r w:rsidRPr="004C12C9">
        <w:t xml:space="preserve"> users to adjust the default emissions associated with leakage and venting. Specifically, users may enter a value between 0</w:t>
      </w:r>
      <w:r w:rsidR="00A240B9" w:rsidRPr="004C12C9">
        <w:rPr>
          <w:rFonts w:cs="Calibri"/>
        </w:rPr>
        <w:t>–</w:t>
      </w:r>
      <w:r w:rsidRPr="004C12C9">
        <w:t>75</w:t>
      </w:r>
      <w:r w:rsidR="004D7344" w:rsidRPr="004C12C9">
        <w:t>%</w:t>
      </w:r>
      <w:r w:rsidRPr="004C12C9">
        <w:t xml:space="preserve"> to indicate the percent by which leakage and venting emissions are expected to be reduced relative to the default assumption.</w:t>
      </w:r>
      <w:r w:rsidR="00625A69" w:rsidRPr="004C12C9">
        <w:rPr>
          <w:rStyle w:val="FootnoteReference"/>
        </w:rPr>
        <w:footnoteReference w:id="94"/>
      </w:r>
      <w:r w:rsidRPr="004C12C9">
        <w:t xml:space="preserve"> </w:t>
      </w:r>
      <w:r w:rsidR="005C0C98">
        <w:fldChar w:fldCharType="begin"/>
      </w:r>
      <w:r w:rsidR="005C0C98">
        <w:instrText xml:space="preserve"> REF _Ref195626933 \h </w:instrText>
      </w:r>
      <w:r w:rsidR="005C0C98">
        <w:fldChar w:fldCharType="separate"/>
      </w:r>
      <w:r w:rsidR="005C0C98" w:rsidRPr="004C12C9">
        <w:t xml:space="preserve">Equation </w:t>
      </w:r>
      <w:r w:rsidR="005C0C98">
        <w:rPr>
          <w:noProof/>
        </w:rPr>
        <w:t>16</w:t>
      </w:r>
      <w:r w:rsidR="005C0C98">
        <w:fldChar w:fldCharType="end"/>
      </w:r>
      <w:r w:rsidR="005C0C98">
        <w:t xml:space="preserve"> </w:t>
      </w:r>
      <w:r w:rsidR="005F29B0" w:rsidRPr="004C12C9">
        <w:t>details the</w:t>
      </w:r>
      <w:r w:rsidRPr="004C12C9">
        <w:t xml:space="preserve"> equation used to adjust the lifecycle natural gas emission factor</w:t>
      </w:r>
      <w:r w:rsidR="002D5054" w:rsidRPr="004C12C9">
        <w:t xml:space="preserve"> </w:t>
      </w:r>
      <w:r w:rsidR="00DC2F24" w:rsidRPr="004C12C9">
        <w:t xml:space="preserve">in the </w:t>
      </w:r>
      <w:r w:rsidR="007640AF" w:rsidRPr="004C12C9">
        <w:t>calculator</w:t>
      </w:r>
      <w:r w:rsidR="00F03116" w:rsidRPr="004C12C9">
        <w:t>.</w:t>
      </w:r>
    </w:p>
    <w:p w14:paraId="4E6FDF6B" w14:textId="1A513B67" w:rsidR="00C404AE" w:rsidRPr="004C12C9" w:rsidRDefault="00C404AE" w:rsidP="00C404AE">
      <w:pPr>
        <w:pStyle w:val="Caption"/>
      </w:pPr>
      <w:bookmarkStart w:id="174" w:name="_Ref195626933"/>
      <w:r w:rsidRPr="004C12C9">
        <w:t xml:space="preserve">Equation </w:t>
      </w:r>
      <w:r w:rsidR="00127094">
        <w:fldChar w:fldCharType="begin"/>
      </w:r>
      <w:r w:rsidR="00127094">
        <w:instrText xml:space="preserve"> SEQ Equation \* ARABIC </w:instrText>
      </w:r>
      <w:r w:rsidR="00127094">
        <w:fldChar w:fldCharType="separate"/>
      </w:r>
      <w:r w:rsidR="00C47624">
        <w:rPr>
          <w:noProof/>
        </w:rPr>
        <w:t>16</w:t>
      </w:r>
      <w:r w:rsidR="00127094">
        <w:fldChar w:fldCharType="end"/>
      </w:r>
      <w:bookmarkEnd w:id="174"/>
      <w:r w:rsidRPr="004C12C9">
        <w:t xml:space="preserve">: </w:t>
      </w:r>
      <w:r w:rsidR="00483D26" w:rsidRPr="004C12C9">
        <w:t xml:space="preserve">Adjusted </w:t>
      </w:r>
      <w:r w:rsidR="003F2A9D" w:rsidRPr="004C12C9">
        <w:t xml:space="preserve">Natural Gas </w:t>
      </w:r>
      <w:r w:rsidR="00483D26" w:rsidRPr="004C12C9">
        <w:t>Emission Factor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90"/>
        <w:gridCol w:w="7470"/>
      </w:tblGrid>
      <w:tr w:rsidR="00C404AE" w:rsidRPr="004C12C9" w14:paraId="6990B9EB" w14:textId="77777777" w:rsidTr="00890E60">
        <w:tc>
          <w:tcPr>
            <w:tcW w:w="9360" w:type="dxa"/>
            <w:gridSpan w:val="2"/>
            <w:shd w:val="clear" w:color="auto" w:fill="F2F2F2" w:themeFill="background1" w:themeFillShade="F2"/>
          </w:tcPr>
          <w:p w14:paraId="670DCA0A" w14:textId="29F4A52A" w:rsidR="00C404AE" w:rsidRPr="004C12C9" w:rsidRDefault="00000000" w:rsidP="00C404AE">
            <w:pPr>
              <w:pStyle w:val="Equation"/>
              <w:rPr>
                <w:noProof w:val="0"/>
              </w:rPr>
            </w:pPr>
            <m:oMathPara>
              <m:oMath>
                <m:sSub>
                  <m:sSubPr>
                    <m:ctrlPr>
                      <w:rPr>
                        <w:noProof w:val="0"/>
                      </w:rPr>
                    </m:ctrlPr>
                  </m:sSubPr>
                  <m:e>
                    <m:r>
                      <w:rPr>
                        <w:noProof w:val="0"/>
                      </w:rPr>
                      <m:t>EF</m:t>
                    </m:r>
                  </m:e>
                  <m:sub>
                    <m:r>
                      <w:rPr>
                        <w:noProof w:val="0"/>
                      </w:rPr>
                      <m:t>adjusted</m:t>
                    </m:r>
                  </m:sub>
                </m:sSub>
                <m:r>
                  <w:rPr>
                    <w:noProof w:val="0"/>
                  </w:rPr>
                  <m:t>=emission factor- leakage &amp; venting +</m:t>
                </m:r>
                <m:d>
                  <m:dPr>
                    <m:ctrlPr>
                      <w:rPr>
                        <w:noProof w:val="0"/>
                      </w:rPr>
                    </m:ctrlPr>
                  </m:dPr>
                  <m:e>
                    <m:r>
                      <w:rPr>
                        <w:noProof w:val="0"/>
                      </w:rPr>
                      <m:t>leakage &amp; venting ×</m:t>
                    </m:r>
                    <m:d>
                      <m:dPr>
                        <m:ctrlPr>
                          <w:rPr>
                            <w:noProof w:val="0"/>
                          </w:rPr>
                        </m:ctrlPr>
                      </m:dPr>
                      <m:e>
                        <m:r>
                          <w:rPr>
                            <w:noProof w:val="0"/>
                          </w:rPr>
                          <m:t>1-reduction</m:t>
                        </m:r>
                      </m:e>
                    </m:d>
                  </m:e>
                </m:d>
              </m:oMath>
            </m:oMathPara>
          </w:p>
          <w:p w14:paraId="4F040DC2" w14:textId="77777777" w:rsidR="00C404AE" w:rsidRPr="004C12C9" w:rsidRDefault="00C404AE">
            <w:pPr>
              <w:rPr>
                <w:i/>
                <w:iCs/>
              </w:rPr>
            </w:pPr>
            <w:r w:rsidRPr="004C12C9">
              <w:rPr>
                <w:i/>
                <w:iCs/>
                <w:sz w:val="20"/>
                <w:szCs w:val="20"/>
              </w:rPr>
              <w:t xml:space="preserve">where, </w:t>
            </w:r>
          </w:p>
        </w:tc>
      </w:tr>
      <w:tr w:rsidR="00C404AE" w:rsidRPr="004C12C9" w14:paraId="6E6886ED" w14:textId="77777777" w:rsidTr="00890E60">
        <w:tc>
          <w:tcPr>
            <w:tcW w:w="1890" w:type="dxa"/>
            <w:shd w:val="clear" w:color="auto" w:fill="F2F2F2" w:themeFill="background1" w:themeFillShade="F2"/>
          </w:tcPr>
          <w:p w14:paraId="6683D783" w14:textId="77777777" w:rsidR="00C404AE" w:rsidRPr="004C12C9" w:rsidRDefault="00C404AE">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 factor</w:t>
            </w:r>
          </w:p>
          <w:p w14:paraId="2EBB8A13" w14:textId="77777777" w:rsidR="00CF3B82" w:rsidRPr="004C12C9" w:rsidRDefault="00CF3B82">
            <w:pPr>
              <w:pStyle w:val="Equation"/>
              <w:spacing w:before="0" w:after="0"/>
              <w:jc w:val="left"/>
              <w:rPr>
                <w:rFonts w:eastAsia="Arial"/>
                <w:noProof w:val="0"/>
              </w:rPr>
            </w:pPr>
          </w:p>
          <w:p w14:paraId="6BFDAF53" w14:textId="5E454765" w:rsidR="00FF3410" w:rsidRPr="004C12C9" w:rsidRDefault="00CF3B8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w:t>
            </w:r>
            <w:r w:rsidR="00FF3410" w:rsidRPr="004C12C9">
              <w:rPr>
                <w:rFonts w:ascii="Calibri" w:eastAsia="Arial" w:hAnsi="Calibri"/>
                <w:bCs w:val="0"/>
                <w:i w:val="0"/>
                <w:noProof w:val="0"/>
                <w:color w:val="auto"/>
                <w:sz w:val="20"/>
                <w:szCs w:val="20"/>
              </w:rPr>
              <w:t>eakage &amp; venting</w:t>
            </w:r>
          </w:p>
          <w:p w14:paraId="05945C6B" w14:textId="4F5E15EB" w:rsidR="00CF3B82" w:rsidRPr="004C12C9" w:rsidRDefault="0008237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R</w:t>
            </w:r>
            <w:r w:rsidR="00CF3B82" w:rsidRPr="004C12C9">
              <w:rPr>
                <w:rFonts w:ascii="Calibri" w:eastAsia="Arial" w:hAnsi="Calibri"/>
                <w:bCs w:val="0"/>
                <w:i w:val="0"/>
                <w:noProof w:val="0"/>
                <w:color w:val="auto"/>
                <w:sz w:val="20"/>
                <w:szCs w:val="20"/>
              </w:rPr>
              <w:t>eduction</w:t>
            </w:r>
          </w:p>
        </w:tc>
        <w:tc>
          <w:tcPr>
            <w:tcW w:w="7470" w:type="dxa"/>
            <w:shd w:val="clear" w:color="auto" w:fill="F2F2F2" w:themeFill="background1" w:themeFillShade="F2"/>
          </w:tcPr>
          <w:p w14:paraId="31F01E90" w14:textId="11729FED" w:rsidR="00C404AE" w:rsidRPr="004C12C9" w:rsidRDefault="00C404AE">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F3410" w:rsidRPr="004C12C9">
              <w:rPr>
                <w:rFonts w:ascii="Calibri" w:eastAsia="Arial" w:hAnsi="Calibri"/>
                <w:bCs w:val="0"/>
                <w:i w:val="0"/>
                <w:noProof w:val="0"/>
                <w:color w:val="auto"/>
                <w:sz w:val="20"/>
                <w:szCs w:val="20"/>
              </w:rPr>
              <w:t>Default life cycle natural gas emissions, from natural gas recovery through combustion (kgCO</w:t>
            </w:r>
            <w:r w:rsidR="00FF3410" w:rsidRPr="004C12C9">
              <w:rPr>
                <w:rFonts w:ascii="Calibri" w:eastAsia="Arial" w:hAnsi="Calibri"/>
                <w:bCs w:val="0"/>
                <w:i w:val="0"/>
                <w:noProof w:val="0"/>
                <w:color w:val="auto"/>
                <w:sz w:val="20"/>
                <w:szCs w:val="20"/>
                <w:vertAlign w:val="subscript"/>
              </w:rPr>
              <w:t>2</w:t>
            </w:r>
            <w:r w:rsidR="00FF3410" w:rsidRPr="004C12C9">
              <w:rPr>
                <w:rFonts w:ascii="Calibri" w:eastAsia="Arial" w:hAnsi="Calibri"/>
                <w:bCs w:val="0"/>
                <w:i w:val="0"/>
                <w:noProof w:val="0"/>
                <w:color w:val="auto"/>
                <w:sz w:val="20"/>
                <w:szCs w:val="20"/>
              </w:rPr>
              <w:t>e/MMBtu)</w:t>
            </w:r>
          </w:p>
          <w:p w14:paraId="3B631FC6" w14:textId="0A9F5FF9" w:rsidR="00CF3B82" w:rsidRPr="004C12C9" w:rsidRDefault="00CF3B8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Default leakage and venting emissions (kgCO</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e/MMBtu)</w:t>
            </w:r>
          </w:p>
          <w:p w14:paraId="2823A752" w14:textId="56666508" w:rsidR="00CF3B82" w:rsidRPr="004C12C9" w:rsidRDefault="00CF3B8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Percent of leaking and venting emissions that are reduced due to implementation of mitigation strategies</w:t>
            </w:r>
            <w:r w:rsidR="00082373" w:rsidRPr="004C12C9">
              <w:rPr>
                <w:rFonts w:ascii="Calibri" w:eastAsia="Arial" w:hAnsi="Calibri"/>
                <w:bCs w:val="0"/>
                <w:i w:val="0"/>
                <w:noProof w:val="0"/>
                <w:color w:val="auto"/>
                <w:sz w:val="20"/>
                <w:szCs w:val="20"/>
              </w:rPr>
              <w:t xml:space="preserve"> (%)</w:t>
            </w:r>
          </w:p>
          <w:p w14:paraId="63D1459D" w14:textId="77777777" w:rsidR="00C404AE" w:rsidRPr="004C12C9" w:rsidRDefault="00C404AE">
            <w:pPr>
              <w:pStyle w:val="Equation"/>
              <w:spacing w:before="0" w:after="0"/>
              <w:ind w:left="165" w:hanging="165"/>
              <w:jc w:val="left"/>
              <w:rPr>
                <w:rFonts w:ascii="Calibri" w:eastAsia="Arial" w:hAnsi="Calibri"/>
                <w:bCs w:val="0"/>
                <w:i w:val="0"/>
                <w:noProof w:val="0"/>
                <w:color w:val="auto"/>
                <w:sz w:val="20"/>
                <w:szCs w:val="20"/>
              </w:rPr>
            </w:pPr>
          </w:p>
        </w:tc>
      </w:tr>
    </w:tbl>
    <w:p w14:paraId="2B272A6D" w14:textId="023CA2B8" w:rsidR="00BA4764" w:rsidRPr="004C12C9" w:rsidRDefault="00C374EE" w:rsidP="00745F22">
      <w:pPr>
        <w:pStyle w:val="Heading4"/>
      </w:pPr>
      <w:r w:rsidRPr="004C12C9">
        <w:t>Petroleum</w:t>
      </w:r>
      <w:r w:rsidR="0033706E" w:rsidRPr="004C12C9">
        <w:t xml:space="preserve"> Products</w:t>
      </w:r>
    </w:p>
    <w:p w14:paraId="189368D3" w14:textId="396097BD" w:rsidR="00BA4764" w:rsidRPr="004C12C9" w:rsidRDefault="00BA4764" w:rsidP="00972CF9">
      <w:r w:rsidRPr="004C12C9">
        <w:t xml:space="preserve">Emissions from petroleum </w:t>
      </w:r>
      <w:r w:rsidR="00B25AD2" w:rsidRPr="004C12C9">
        <w:t>products</w:t>
      </w:r>
      <w:r w:rsidRPr="004C12C9">
        <w:t xml:space="preserve"> include emissions tied to crude oil recovery, transportation to refineries, storage,</w:t>
      </w:r>
      <w:r w:rsidRPr="004C12C9" w:rsidDel="00EC0ACA">
        <w:t xml:space="preserve"> </w:t>
      </w:r>
      <w:r w:rsidR="00DA3DBF" w:rsidRPr="004C12C9">
        <w:t>oil</w:t>
      </w:r>
      <w:r w:rsidRPr="004C12C9">
        <w:t xml:space="preserve"> product refinement</w:t>
      </w:r>
      <w:r w:rsidRPr="004C12C9" w:rsidDel="00EC0ACA">
        <w:t xml:space="preserve"> </w:t>
      </w:r>
      <w:r w:rsidRPr="004C12C9">
        <w:t>(e.g.</w:t>
      </w:r>
      <w:r w:rsidR="00867635" w:rsidRPr="004C12C9">
        <w:t>,</w:t>
      </w:r>
      <w:r w:rsidRPr="004C12C9">
        <w:t xml:space="preserve"> from crude oil to conventional gasoline), and the subsequent transportation, distribution, storage, and combustion of petroleum products. This emissions source is applicable </w:t>
      </w:r>
      <w:r w:rsidRPr="004C12C9">
        <w:lastRenderedPageBreak/>
        <w:t xml:space="preserve">to projects that expand the delivery capacity of </w:t>
      </w:r>
      <w:r w:rsidR="00DA3DBF" w:rsidRPr="004C12C9">
        <w:t>oil</w:t>
      </w:r>
      <w:r w:rsidRPr="004C12C9">
        <w:t xml:space="preserve"> products (e.g., pipelines, refineries, storage). </w:t>
      </w:r>
      <w:r w:rsidR="00AD3AD6" w:rsidRPr="004C12C9">
        <w:t xml:space="preserve">The </w:t>
      </w:r>
      <w:r w:rsidR="007640AF" w:rsidRPr="004C12C9">
        <w:t xml:space="preserve">calculator </w:t>
      </w:r>
      <w:r w:rsidR="00AD3AD6" w:rsidRPr="004C12C9">
        <w:t xml:space="preserve">quantifies emissions </w:t>
      </w:r>
      <w:r w:rsidR="00AD3AD6" w:rsidRPr="004C12C9">
        <w:rPr>
          <w:rFonts w:eastAsia="MS PGothic"/>
        </w:rPr>
        <w:t xml:space="preserve">from </w:t>
      </w:r>
      <w:r w:rsidR="00E308C6" w:rsidRPr="004C12C9">
        <w:t>oil products</w:t>
      </w:r>
      <w:r w:rsidR="00AD3AD6" w:rsidRPr="004C12C9">
        <w:t xml:space="preserve"> based on estimates of additional </w:t>
      </w:r>
      <w:r w:rsidR="00B6204E" w:rsidRPr="004C12C9">
        <w:t>product</w:t>
      </w:r>
      <w:r w:rsidR="00AD3AD6" w:rsidRPr="004C12C9">
        <w:t xml:space="preserve"> throughput, the heat content of </w:t>
      </w:r>
      <w:r w:rsidR="00D7308D" w:rsidRPr="004C12C9">
        <w:t xml:space="preserve">the </w:t>
      </w:r>
      <w:r w:rsidR="00C374EE" w:rsidRPr="004C12C9">
        <w:t>petroleum</w:t>
      </w:r>
      <w:r w:rsidR="004161F1" w:rsidRPr="004C12C9">
        <w:t xml:space="preserve"> </w:t>
      </w:r>
      <w:r w:rsidR="00D7308D" w:rsidRPr="004C12C9">
        <w:t>product</w:t>
      </w:r>
      <w:r w:rsidR="00AD3AD6" w:rsidRPr="004C12C9">
        <w:t>, and a fuel-specific emission factor, as shown in</w:t>
      </w:r>
      <w:r w:rsidRPr="004C12C9">
        <w:t xml:space="preserve"> </w:t>
      </w:r>
      <w:r w:rsidR="005C0C98">
        <w:fldChar w:fldCharType="begin"/>
      </w:r>
      <w:r w:rsidR="005C0C98">
        <w:instrText xml:space="preserve"> REF _Ref195700203 \h </w:instrText>
      </w:r>
      <w:r w:rsidR="005C0C98">
        <w:fldChar w:fldCharType="separate"/>
      </w:r>
      <w:r w:rsidR="005C0C98" w:rsidRPr="004C12C9">
        <w:t xml:space="preserve">Equation </w:t>
      </w:r>
      <w:r w:rsidR="005C0C98">
        <w:rPr>
          <w:noProof/>
        </w:rPr>
        <w:t>17</w:t>
      </w:r>
      <w:r w:rsidR="005C0C98">
        <w:fldChar w:fldCharType="end"/>
      </w:r>
      <w:r w:rsidR="00534637" w:rsidRPr="004C12C9">
        <w:fldChar w:fldCharType="begin" w:fldLock="1"/>
      </w:r>
      <w:r w:rsidR="00534637" w:rsidRPr="004C12C9">
        <w:instrText xml:space="preserve"> REF _Ref195700203 \h </w:instrText>
      </w:r>
      <w:r w:rsidR="002656C3" w:rsidRPr="004C12C9">
        <w:instrText xml:space="preserve"> \* MERGEFORMAT </w:instrText>
      </w:r>
      <w:r w:rsidR="00534637" w:rsidRPr="004C12C9">
        <w:fldChar w:fldCharType="separate"/>
      </w:r>
      <w:r w:rsidR="00534637" w:rsidRPr="004C12C9">
        <w:fldChar w:fldCharType="end"/>
      </w:r>
      <w:r w:rsidR="00534637" w:rsidRPr="004C12C9">
        <w:t>.</w:t>
      </w:r>
    </w:p>
    <w:p w14:paraId="35E7D241" w14:textId="49AA05C7" w:rsidR="00085AFD" w:rsidRPr="004C12C9" w:rsidRDefault="00085AFD" w:rsidP="00085AFD">
      <w:pPr>
        <w:pStyle w:val="Caption"/>
      </w:pPr>
      <w:bookmarkStart w:id="175" w:name="_Ref195700203"/>
      <w:r w:rsidRPr="004C12C9">
        <w:t xml:space="preserve">Equation </w:t>
      </w:r>
      <w:r w:rsidR="00127094">
        <w:fldChar w:fldCharType="begin"/>
      </w:r>
      <w:r w:rsidR="00127094">
        <w:instrText xml:space="preserve"> SEQ Equation \* ARABIC </w:instrText>
      </w:r>
      <w:r w:rsidR="00127094">
        <w:fldChar w:fldCharType="separate"/>
      </w:r>
      <w:r w:rsidR="00C47624">
        <w:rPr>
          <w:noProof/>
        </w:rPr>
        <w:t>17</w:t>
      </w:r>
      <w:r w:rsidR="00127094">
        <w:fldChar w:fldCharType="end"/>
      </w:r>
      <w:bookmarkEnd w:id="175"/>
      <w:r w:rsidRPr="004C12C9">
        <w:t xml:space="preserve">. GHG Emissions from </w:t>
      </w:r>
      <w:r w:rsidR="00C374EE" w:rsidRPr="004C12C9">
        <w:t>Petroleum</w:t>
      </w:r>
      <w:r w:rsidRPr="004C12C9">
        <w:t xml:space="preserv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6C47A9" w:rsidRPr="004C12C9" w14:paraId="0DDAEE31" w14:textId="77777777" w:rsidTr="006C47A9">
        <w:tc>
          <w:tcPr>
            <w:tcW w:w="10070" w:type="dxa"/>
            <w:gridSpan w:val="2"/>
            <w:shd w:val="clear" w:color="auto" w:fill="F2F2F2" w:themeFill="background1" w:themeFillShade="F2"/>
          </w:tcPr>
          <w:p w14:paraId="7792E700" w14:textId="24906F4B" w:rsidR="006C47A9" w:rsidRPr="004C12C9" w:rsidRDefault="000002AA" w:rsidP="006C47A9">
            <w:pPr>
              <w:pStyle w:val="Equation"/>
              <w:rPr>
                <w:noProof w:val="0"/>
              </w:rPr>
            </w:pPr>
            <m:oMathPara>
              <m:oMath>
                <m:r>
                  <w:rPr>
                    <w:noProof w:val="0"/>
                  </w:rPr>
                  <m:t>annual GHG emissions=</m:t>
                </m:r>
                <m:d>
                  <m:dPr>
                    <m:ctrlPr>
                      <w:rPr>
                        <w:noProof w:val="0"/>
                      </w:rPr>
                    </m:ctrlPr>
                  </m:dPr>
                  <m:e>
                    <m:r>
                      <w:rPr>
                        <w:noProof w:val="0"/>
                      </w:rPr>
                      <m:t xml:space="preserve">throughput× </m:t>
                    </m:r>
                    <m:sSub>
                      <m:sSubPr>
                        <m:ctrlPr>
                          <w:rPr>
                            <w:noProof w:val="0"/>
                          </w:rPr>
                        </m:ctrlPr>
                      </m:sSubPr>
                      <m:e>
                        <m:r>
                          <w:rPr>
                            <w:noProof w:val="0"/>
                          </w:rPr>
                          <m:t>heat content</m:t>
                        </m:r>
                      </m:e>
                      <m:sub>
                        <m:r>
                          <w:rPr>
                            <w:noProof w:val="0"/>
                          </w:rPr>
                          <m:t>p</m:t>
                        </m:r>
                      </m:sub>
                    </m:sSub>
                    <m:r>
                      <w:rPr>
                        <w:noProof w:val="0"/>
                      </w:rPr>
                      <m:t>×</m:t>
                    </m:r>
                    <m:sSub>
                      <m:sSubPr>
                        <m:ctrlPr>
                          <w:rPr>
                            <w:noProof w:val="0"/>
                          </w:rPr>
                        </m:ctrlPr>
                      </m:sSubPr>
                      <m:e>
                        <m:r>
                          <w:rPr>
                            <w:noProof w:val="0"/>
                          </w:rPr>
                          <m:t>emission factor</m:t>
                        </m:r>
                      </m:e>
                      <m:sub>
                        <m:r>
                          <w:rPr>
                            <w:noProof w:val="0"/>
                          </w:rPr>
                          <m:t>p</m:t>
                        </m:r>
                      </m:sub>
                    </m:sSub>
                  </m:e>
                </m:d>
              </m:oMath>
            </m:oMathPara>
          </w:p>
          <w:p w14:paraId="59B4F2FE" w14:textId="77777777" w:rsidR="006C47A9" w:rsidRPr="004C12C9" w:rsidRDefault="006C47A9" w:rsidP="006C47A9">
            <w:pPr>
              <w:rPr>
                <w:i/>
                <w:iCs/>
              </w:rPr>
            </w:pPr>
            <w:r w:rsidRPr="004C12C9">
              <w:rPr>
                <w:i/>
                <w:iCs/>
                <w:sz w:val="20"/>
                <w:szCs w:val="20"/>
              </w:rPr>
              <w:t xml:space="preserve">where, </w:t>
            </w:r>
          </w:p>
        </w:tc>
      </w:tr>
      <w:tr w:rsidR="006C47A9" w:rsidRPr="004C12C9" w14:paraId="46B21447" w14:textId="77777777" w:rsidTr="006C47A9">
        <w:tc>
          <w:tcPr>
            <w:tcW w:w="1800" w:type="dxa"/>
            <w:shd w:val="clear" w:color="auto" w:fill="F2F2F2" w:themeFill="background1" w:themeFillShade="F2"/>
          </w:tcPr>
          <w:p w14:paraId="22F08134" w14:textId="7F7738FB" w:rsidR="006C47A9" w:rsidRPr="004C12C9" w:rsidRDefault="0040642A" w:rsidP="006C47A9">
            <w:pPr>
              <w:pStyle w:val="Equation"/>
              <w:spacing w:before="0" w:after="0"/>
              <w:jc w:val="left"/>
              <w:rPr>
                <w:rFonts w:asciiTheme="minorHAnsi" w:eastAsia="Arial" w:hAnsiTheme="minorHAnsi" w:cstheme="minorHAnsi"/>
                <w:i w:val="0"/>
                <w:noProof w:val="0"/>
                <w:color w:val="auto"/>
                <w:sz w:val="20"/>
                <w:szCs w:val="20"/>
              </w:rPr>
            </w:pPr>
            <w:r w:rsidRPr="004C12C9">
              <w:rPr>
                <w:rFonts w:asciiTheme="minorHAnsi" w:eastAsia="Arial" w:hAnsiTheme="minorHAnsi" w:cstheme="minorHAnsi"/>
                <w:i w:val="0"/>
                <w:noProof w:val="0"/>
                <w:color w:val="auto"/>
                <w:sz w:val="20"/>
                <w:szCs w:val="20"/>
              </w:rPr>
              <w:t>throu</w:t>
            </w:r>
            <w:r w:rsidR="003254A2" w:rsidRPr="004C12C9">
              <w:rPr>
                <w:rFonts w:asciiTheme="minorHAnsi" w:eastAsia="Arial" w:hAnsiTheme="minorHAnsi" w:cstheme="minorHAnsi"/>
                <w:i w:val="0"/>
                <w:noProof w:val="0"/>
                <w:color w:val="auto"/>
                <w:sz w:val="20"/>
                <w:szCs w:val="20"/>
              </w:rPr>
              <w:t>ghput</w:t>
            </w:r>
          </w:p>
          <w:p w14:paraId="3E5FA8FF" w14:textId="303BF7E0" w:rsidR="003254A2" w:rsidRPr="004C12C9" w:rsidRDefault="003254A2">
            <w:pPr>
              <w:pStyle w:val="Equation"/>
              <w:spacing w:before="0" w:after="0"/>
              <w:jc w:val="left"/>
              <w:rPr>
                <w:rFonts w:asciiTheme="minorHAnsi" w:eastAsia="Arial" w:hAnsiTheme="minorHAnsi" w:cstheme="minorBidi"/>
                <w:i w:val="0"/>
                <w:noProof w:val="0"/>
                <w:sz w:val="20"/>
                <w:szCs w:val="20"/>
              </w:rPr>
            </w:pPr>
            <w:r w:rsidRPr="004C12C9">
              <w:rPr>
                <w:rFonts w:asciiTheme="minorHAnsi" w:eastAsia="Arial" w:hAnsiTheme="minorHAnsi" w:cstheme="minorBidi"/>
                <w:i w:val="0"/>
                <w:noProof w:val="0"/>
                <w:sz w:val="20"/>
                <w:szCs w:val="20"/>
              </w:rPr>
              <w:t xml:space="preserve">heat </w:t>
            </w:r>
            <w:r w:rsidR="001D331E" w:rsidRPr="004C12C9">
              <w:rPr>
                <w:rFonts w:asciiTheme="minorHAnsi" w:eastAsia="Arial" w:hAnsiTheme="minorHAnsi" w:cstheme="minorBidi"/>
                <w:i w:val="0"/>
                <w:noProof w:val="0"/>
                <w:sz w:val="20"/>
                <w:szCs w:val="20"/>
              </w:rPr>
              <w:t>content</w:t>
            </w:r>
          </w:p>
          <w:p w14:paraId="4817E9C9" w14:textId="6DA7E756" w:rsidR="006C47A9" w:rsidRPr="004C12C9" w:rsidRDefault="00E8353D" w:rsidP="006C47A9">
            <w:pPr>
              <w:pStyle w:val="Equation"/>
              <w:spacing w:before="0" w:after="0"/>
              <w:jc w:val="left"/>
              <w:rPr>
                <w:rFonts w:asciiTheme="minorHAnsi" w:eastAsia="Arial" w:hAnsiTheme="minorHAnsi" w:cstheme="minorHAnsi"/>
                <w:noProof w:val="0"/>
                <w:sz w:val="20"/>
                <w:szCs w:val="20"/>
              </w:rPr>
            </w:pPr>
            <w:r w:rsidRPr="004C12C9">
              <w:rPr>
                <w:rFonts w:asciiTheme="minorHAnsi" w:eastAsia="Arial" w:hAnsiTheme="minorHAnsi" w:cstheme="minorHAnsi"/>
                <w:bCs w:val="0"/>
                <w:i w:val="0"/>
                <w:noProof w:val="0"/>
                <w:color w:val="auto"/>
                <w:sz w:val="20"/>
                <w:szCs w:val="20"/>
              </w:rPr>
              <w:t>E</w:t>
            </w:r>
            <w:r w:rsidR="00077478" w:rsidRPr="004C12C9">
              <w:rPr>
                <w:rFonts w:asciiTheme="minorHAnsi" w:eastAsia="Arial" w:hAnsiTheme="minorHAnsi" w:cstheme="minorHAnsi"/>
                <w:bCs w:val="0"/>
                <w:i w:val="0"/>
                <w:noProof w:val="0"/>
                <w:color w:val="auto"/>
                <w:sz w:val="20"/>
                <w:szCs w:val="20"/>
              </w:rPr>
              <w:t>mission factor</w:t>
            </w:r>
          </w:p>
        </w:tc>
        <w:tc>
          <w:tcPr>
            <w:tcW w:w="8270" w:type="dxa"/>
            <w:shd w:val="clear" w:color="auto" w:fill="F2F2F2" w:themeFill="background1" w:themeFillShade="F2"/>
          </w:tcPr>
          <w:p w14:paraId="5870934B" w14:textId="6DCDBE42" w:rsidR="006C47A9" w:rsidRPr="004C12C9" w:rsidRDefault="006C47A9" w:rsidP="006C47A9">
            <w:pPr>
              <w:pStyle w:val="Equation"/>
              <w:spacing w:before="0" w:after="0"/>
              <w:ind w:left="165" w:hanging="165"/>
              <w:jc w:val="left"/>
              <w:rPr>
                <w:rFonts w:asciiTheme="minorHAnsi" w:eastAsia="Arial" w:hAnsiTheme="minorHAnsi" w:cstheme="minorHAnsi"/>
                <w:noProof w:val="0"/>
                <w:sz w:val="20"/>
                <w:szCs w:val="20"/>
              </w:rPr>
            </w:pPr>
            <w:r w:rsidRPr="004C12C9">
              <w:rPr>
                <w:rFonts w:asciiTheme="minorHAnsi" w:eastAsia="Arial" w:hAnsiTheme="minorHAnsi" w:cstheme="minorHAnsi"/>
                <w:i w:val="0"/>
                <w:noProof w:val="0"/>
                <w:color w:val="auto"/>
                <w:sz w:val="20"/>
                <w:szCs w:val="20"/>
              </w:rPr>
              <w:t xml:space="preserve">= </w:t>
            </w:r>
            <w:r w:rsidR="003254A2" w:rsidRPr="004C12C9">
              <w:rPr>
                <w:rFonts w:asciiTheme="minorHAnsi" w:eastAsia="Arial" w:hAnsiTheme="minorHAnsi" w:cstheme="minorHAnsi"/>
                <w:i w:val="0"/>
                <w:noProof w:val="0"/>
                <w:sz w:val="20"/>
                <w:szCs w:val="20"/>
              </w:rPr>
              <w:t xml:space="preserve">Amount of additional </w:t>
            </w:r>
            <w:r w:rsidR="00E308C6" w:rsidRPr="004C12C9">
              <w:rPr>
                <w:rFonts w:asciiTheme="minorHAnsi" w:eastAsia="Arial" w:hAnsiTheme="minorHAnsi" w:cstheme="minorHAnsi"/>
                <w:i w:val="0"/>
                <w:iCs/>
                <w:noProof w:val="0"/>
                <w:sz w:val="20"/>
                <w:szCs w:val="20"/>
              </w:rPr>
              <w:t>oil</w:t>
            </w:r>
            <w:r w:rsidR="003254A2" w:rsidRPr="004C12C9">
              <w:rPr>
                <w:rFonts w:asciiTheme="minorHAnsi" w:eastAsia="Arial" w:hAnsiTheme="minorHAnsi" w:cstheme="minorHAnsi"/>
                <w:i w:val="0"/>
                <w:noProof w:val="0"/>
                <w:sz w:val="20"/>
                <w:szCs w:val="20"/>
              </w:rPr>
              <w:t xml:space="preserve"> product (gallons/year)</w:t>
            </w:r>
          </w:p>
          <w:p w14:paraId="71CF84D3" w14:textId="6068026C" w:rsidR="006C47A9" w:rsidRPr="004C12C9" w:rsidRDefault="006C47A9" w:rsidP="006C47A9">
            <w:pPr>
              <w:pStyle w:val="Equation"/>
              <w:spacing w:before="0" w:after="0"/>
              <w:ind w:left="165" w:hanging="165"/>
              <w:jc w:val="left"/>
              <w:rPr>
                <w:rFonts w:asciiTheme="minorHAnsi" w:eastAsia="Arial" w:hAnsiTheme="minorHAnsi" w:cstheme="minorHAnsi"/>
                <w:i w:val="0"/>
                <w:noProof w:val="0"/>
                <w:color w:val="auto"/>
                <w:sz w:val="20"/>
                <w:szCs w:val="20"/>
              </w:rPr>
            </w:pPr>
            <w:r w:rsidRPr="004C12C9">
              <w:rPr>
                <w:rFonts w:asciiTheme="minorHAnsi" w:eastAsia="Arial" w:hAnsiTheme="minorHAnsi" w:cstheme="minorHAnsi"/>
                <w:i w:val="0"/>
                <w:noProof w:val="0"/>
                <w:color w:val="auto"/>
                <w:sz w:val="20"/>
                <w:szCs w:val="20"/>
              </w:rPr>
              <w:t xml:space="preserve">= </w:t>
            </w:r>
            <w:r w:rsidR="001D331E" w:rsidRPr="004C12C9">
              <w:rPr>
                <w:rFonts w:asciiTheme="minorHAnsi" w:eastAsia="Arial" w:hAnsiTheme="minorHAnsi" w:cstheme="minorHAnsi"/>
                <w:i w:val="0"/>
                <w:noProof w:val="0"/>
                <w:sz w:val="20"/>
                <w:szCs w:val="20"/>
              </w:rPr>
              <w:t xml:space="preserve">Heat content conversion factor for </w:t>
            </w:r>
            <w:r w:rsidR="00C374EE" w:rsidRPr="004C12C9">
              <w:rPr>
                <w:rFonts w:eastAsia="Arial"/>
                <w:i w:val="0"/>
                <w:noProof w:val="0"/>
              </w:rPr>
              <w:t>petroleum</w:t>
            </w:r>
            <w:r w:rsidR="001D331E" w:rsidRPr="004C12C9">
              <w:rPr>
                <w:rFonts w:asciiTheme="minorHAnsi" w:eastAsia="Arial" w:hAnsiTheme="minorHAnsi" w:cstheme="minorHAnsi"/>
                <w:i w:val="0"/>
                <w:noProof w:val="0"/>
                <w:sz w:val="20"/>
                <w:szCs w:val="20"/>
              </w:rPr>
              <w:t xml:space="preserve"> product, p</w:t>
            </w:r>
            <w:r w:rsidR="001D331E" w:rsidRPr="004C12C9" w:rsidDel="00B708D4">
              <w:rPr>
                <w:rFonts w:asciiTheme="minorHAnsi" w:eastAsia="Arial" w:hAnsiTheme="minorHAnsi" w:cstheme="minorHAnsi"/>
                <w:i w:val="0"/>
                <w:noProof w:val="0"/>
                <w:sz w:val="20"/>
                <w:szCs w:val="20"/>
              </w:rPr>
              <w:t xml:space="preserve"> </w:t>
            </w:r>
            <w:r w:rsidR="001D331E" w:rsidRPr="004C12C9">
              <w:rPr>
                <w:rFonts w:asciiTheme="minorHAnsi" w:eastAsia="Arial" w:hAnsiTheme="minorHAnsi" w:cstheme="minorHAnsi"/>
                <w:i w:val="0"/>
                <w:noProof w:val="0"/>
                <w:sz w:val="20"/>
                <w:szCs w:val="20"/>
              </w:rPr>
              <w:t>(Btu/gallon)</w:t>
            </w:r>
          </w:p>
          <w:p w14:paraId="41279806" w14:textId="57535A8A" w:rsidR="006C47A9" w:rsidRPr="004C12C9" w:rsidRDefault="006C47A9" w:rsidP="006C47A9">
            <w:pPr>
              <w:pStyle w:val="Equation"/>
              <w:spacing w:before="0" w:after="0"/>
              <w:ind w:left="165" w:hanging="165"/>
              <w:jc w:val="left"/>
              <w:rPr>
                <w:rFonts w:asciiTheme="minorHAnsi" w:eastAsia="Arial" w:hAnsiTheme="minorHAnsi" w:cstheme="minorHAnsi"/>
                <w:i w:val="0"/>
                <w:noProof w:val="0"/>
                <w:color w:val="auto"/>
                <w:sz w:val="20"/>
                <w:szCs w:val="20"/>
              </w:rPr>
            </w:pPr>
            <w:r w:rsidRPr="004C12C9">
              <w:rPr>
                <w:rFonts w:asciiTheme="minorHAnsi" w:eastAsia="Arial" w:hAnsiTheme="minorHAnsi" w:cstheme="minorHAnsi"/>
                <w:bCs w:val="0"/>
                <w:i w:val="0"/>
                <w:iCs/>
                <w:noProof w:val="0"/>
                <w:color w:val="auto"/>
                <w:sz w:val="20"/>
                <w:szCs w:val="20"/>
              </w:rPr>
              <w:t xml:space="preserve">= </w:t>
            </w:r>
            <w:r w:rsidR="00085AFD" w:rsidRPr="004C12C9">
              <w:rPr>
                <w:rFonts w:asciiTheme="minorHAnsi" w:eastAsia="Arial" w:hAnsiTheme="minorHAnsi" w:cstheme="minorHAnsi"/>
                <w:i w:val="0"/>
                <w:iCs/>
                <w:noProof w:val="0"/>
                <w:sz w:val="20"/>
                <w:szCs w:val="20"/>
              </w:rPr>
              <w:t xml:space="preserve">Life cycle emissions from crude oil recovery through fuel combustion for </w:t>
            </w:r>
            <w:r w:rsidR="00C374EE" w:rsidRPr="004C12C9">
              <w:rPr>
                <w:rFonts w:eastAsia="Arial"/>
                <w:i w:val="0"/>
                <w:noProof w:val="0"/>
              </w:rPr>
              <w:t>petroleum</w:t>
            </w:r>
            <w:r w:rsidR="00085AFD" w:rsidRPr="004C12C9">
              <w:rPr>
                <w:rFonts w:asciiTheme="minorHAnsi" w:eastAsia="Arial" w:hAnsiTheme="minorHAnsi" w:cstheme="minorHAnsi"/>
                <w:i w:val="0"/>
                <w:iCs/>
                <w:noProof w:val="0"/>
                <w:sz w:val="20"/>
                <w:szCs w:val="20"/>
              </w:rPr>
              <w:t xml:space="preserve"> product, p (kgCO</w:t>
            </w:r>
            <w:r w:rsidR="00085AFD" w:rsidRPr="004C12C9">
              <w:rPr>
                <w:rFonts w:asciiTheme="minorHAnsi" w:eastAsia="Arial" w:hAnsiTheme="minorHAnsi" w:cstheme="minorHAnsi"/>
                <w:i w:val="0"/>
                <w:iCs/>
                <w:noProof w:val="0"/>
                <w:sz w:val="20"/>
                <w:szCs w:val="20"/>
                <w:vertAlign w:val="subscript"/>
              </w:rPr>
              <w:t>2</w:t>
            </w:r>
            <w:r w:rsidR="00085AFD" w:rsidRPr="004C12C9">
              <w:rPr>
                <w:rFonts w:asciiTheme="minorHAnsi" w:eastAsia="Arial" w:hAnsiTheme="minorHAnsi" w:cstheme="minorHAnsi"/>
                <w:i w:val="0"/>
                <w:iCs/>
                <w:noProof w:val="0"/>
                <w:sz w:val="20"/>
                <w:szCs w:val="20"/>
              </w:rPr>
              <w:t>e/MMBtu)</w:t>
            </w:r>
          </w:p>
          <w:p w14:paraId="2700044F" w14:textId="77777777" w:rsidR="006C47A9" w:rsidRPr="004C12C9" w:rsidRDefault="006C47A9" w:rsidP="006C47A9">
            <w:pPr>
              <w:pStyle w:val="Equation"/>
              <w:spacing w:before="0" w:after="0"/>
              <w:ind w:left="165" w:hanging="165"/>
              <w:jc w:val="left"/>
              <w:rPr>
                <w:rFonts w:asciiTheme="minorHAnsi" w:eastAsia="Arial" w:hAnsiTheme="minorHAnsi" w:cstheme="minorHAnsi"/>
                <w:i w:val="0"/>
                <w:noProof w:val="0"/>
                <w:color w:val="auto"/>
                <w:sz w:val="20"/>
                <w:szCs w:val="20"/>
              </w:rPr>
            </w:pPr>
          </w:p>
        </w:tc>
      </w:tr>
    </w:tbl>
    <w:p w14:paraId="4E023D4E" w14:textId="1C579608" w:rsidR="00BA4764" w:rsidRPr="004C12C9" w:rsidRDefault="00BA4764" w:rsidP="00F227F0">
      <w:pPr>
        <w:pStyle w:val="Heading5"/>
      </w:pPr>
      <w:r w:rsidRPr="004C12C9">
        <w:t>Petroleum Product Throughput and Heat Content</w:t>
      </w:r>
    </w:p>
    <w:p w14:paraId="46F6CB01" w14:textId="4CF9EED4" w:rsidR="00BA4764" w:rsidRPr="004C12C9" w:rsidRDefault="00BA4764" w:rsidP="00972CF9">
      <w:r w:rsidRPr="004C12C9">
        <w:t xml:space="preserve">The additional throughput of petroleum products will be provided by the user in gallons. </w:t>
      </w:r>
      <w:r w:rsidRPr="004C12C9">
        <w:fldChar w:fldCharType="begin" w:fldLock="1"/>
      </w:r>
      <w:r w:rsidRPr="004C12C9">
        <w:instrText xml:space="preserve"> REF _Ref188362131 \h  \* MERGEFORMAT </w:instrText>
      </w:r>
      <w:r w:rsidRPr="004C12C9">
        <w:fldChar w:fldCharType="separate"/>
      </w:r>
      <w:r w:rsidR="00127094" w:rsidRPr="004C12C9">
        <w:t>Table 3</w:t>
      </w:r>
      <w:r w:rsidR="00127094" w:rsidRPr="004C12C9">
        <w:noBreakHyphen/>
        <w:t>13</w:t>
      </w:r>
      <w:r w:rsidRPr="004C12C9">
        <w:fldChar w:fldCharType="end"/>
      </w:r>
      <w:r w:rsidRPr="004C12C9">
        <w:t xml:space="preserve"> below lists the petroleum products that </w:t>
      </w:r>
      <w:r w:rsidR="00741232" w:rsidRPr="004C12C9">
        <w:t>are</w:t>
      </w:r>
      <w:r w:rsidRPr="004C12C9">
        <w:t xml:space="preserve"> included in the </w:t>
      </w:r>
      <w:r w:rsidR="007640AF" w:rsidRPr="004C12C9">
        <w:t xml:space="preserve">calculator </w:t>
      </w:r>
      <w:r w:rsidRPr="004C12C9">
        <w:t>and their assumed heat content from EPA’s Emission Factors Hub.</w:t>
      </w:r>
      <w:r w:rsidRPr="004C12C9">
        <w:rPr>
          <w:rStyle w:val="FootnoteReference"/>
        </w:rPr>
        <w:footnoteReference w:id="95"/>
      </w:r>
    </w:p>
    <w:p w14:paraId="04D6ADE6" w14:textId="54589F3E" w:rsidR="00BA4764" w:rsidRPr="004C12C9" w:rsidRDefault="00BA4764" w:rsidP="00972CF9">
      <w:pPr>
        <w:pStyle w:val="Caption"/>
      </w:pPr>
      <w:bookmarkStart w:id="176" w:name="_Ref18836213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13</w:t>
      </w:r>
      <w:r w:rsidR="00F72B41">
        <w:fldChar w:fldCharType="end"/>
      </w:r>
      <w:bookmarkEnd w:id="176"/>
      <w:r w:rsidRPr="004C12C9">
        <w:t>. Heat Content of Petroleum Products</w:t>
      </w:r>
    </w:p>
    <w:tbl>
      <w:tblPr>
        <w:tblW w:w="4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0"/>
        <w:gridCol w:w="4296"/>
      </w:tblGrid>
      <w:tr w:rsidR="00BA4764" w:rsidRPr="004C12C9" w14:paraId="41BF38C7" w14:textId="77777777" w:rsidTr="00CC0A1B">
        <w:trPr>
          <w:trHeight w:val="290"/>
        </w:trPr>
        <w:tc>
          <w:tcPr>
            <w:tcW w:w="3491" w:type="dxa"/>
            <w:shd w:val="clear" w:color="auto" w:fill="D9D9D9" w:themeFill="background1" w:themeFillShade="D9"/>
            <w:noWrap/>
            <w:vAlign w:val="center"/>
            <w:hideMark/>
          </w:tcPr>
          <w:p w14:paraId="3AD9FD70" w14:textId="1B1731F4" w:rsidR="00BA4764" w:rsidRPr="004C12C9" w:rsidRDefault="00BA4764" w:rsidP="00CC0A1B">
            <w:pPr>
              <w:pStyle w:val="ICFTableHeading"/>
            </w:pPr>
            <w:r w:rsidRPr="004C12C9">
              <w:t>Petroleum Product</w:t>
            </w:r>
          </w:p>
        </w:tc>
        <w:tc>
          <w:tcPr>
            <w:tcW w:w="3989" w:type="dxa"/>
            <w:shd w:val="clear" w:color="auto" w:fill="D9D9D9" w:themeFill="background1" w:themeFillShade="D9"/>
            <w:vAlign w:val="center"/>
            <w:hideMark/>
          </w:tcPr>
          <w:p w14:paraId="57DC83F5" w14:textId="6280DCD5" w:rsidR="00BA4764" w:rsidRPr="004C12C9" w:rsidRDefault="00BA4764" w:rsidP="00CC0A1B">
            <w:pPr>
              <w:pStyle w:val="ICFTableHeading"/>
            </w:pPr>
            <w:r w:rsidRPr="004C12C9">
              <w:t xml:space="preserve">Heating </w:t>
            </w:r>
            <w:r w:rsidR="3B2F8089" w:rsidRPr="004C12C9">
              <w:t>Content</w:t>
            </w:r>
            <w:r w:rsidRPr="004C12C9">
              <w:t xml:space="preserve"> (Btu/gallon)</w:t>
            </w:r>
          </w:p>
        </w:tc>
      </w:tr>
      <w:tr w:rsidR="00BA4764" w:rsidRPr="004C12C9" w14:paraId="567090A5" w14:textId="77777777" w:rsidTr="00CC0A1B">
        <w:trPr>
          <w:trHeight w:val="290"/>
        </w:trPr>
        <w:tc>
          <w:tcPr>
            <w:tcW w:w="3491" w:type="dxa"/>
            <w:noWrap/>
            <w:vAlign w:val="center"/>
            <w:hideMark/>
          </w:tcPr>
          <w:p w14:paraId="5FF1FDE9" w14:textId="77777777" w:rsidR="00BA4764" w:rsidRPr="004C12C9" w:rsidRDefault="00BA4764" w:rsidP="00CC0A1B">
            <w:pPr>
              <w:pStyle w:val="ICFTabletext"/>
            </w:pPr>
            <w:r w:rsidRPr="004C12C9">
              <w:t>Propane</w:t>
            </w:r>
          </w:p>
        </w:tc>
        <w:tc>
          <w:tcPr>
            <w:tcW w:w="3989" w:type="dxa"/>
            <w:noWrap/>
            <w:vAlign w:val="center"/>
            <w:hideMark/>
          </w:tcPr>
          <w:p w14:paraId="61A6C8C1" w14:textId="77777777" w:rsidR="00BA4764" w:rsidRPr="004C12C9" w:rsidRDefault="00BA4764" w:rsidP="00CC0A1B">
            <w:pPr>
              <w:pStyle w:val="ICFTabletext"/>
              <w:jc w:val="center"/>
              <w:rPr>
                <w:color w:val="000000"/>
              </w:rPr>
            </w:pPr>
            <w:r w:rsidRPr="004C12C9">
              <w:t>91,000</w:t>
            </w:r>
          </w:p>
        </w:tc>
      </w:tr>
      <w:tr w:rsidR="00BA4764" w:rsidRPr="004C12C9" w14:paraId="63670F3F" w14:textId="77777777" w:rsidTr="00CC0A1B">
        <w:trPr>
          <w:trHeight w:val="290"/>
        </w:trPr>
        <w:tc>
          <w:tcPr>
            <w:tcW w:w="3491" w:type="dxa"/>
            <w:noWrap/>
            <w:vAlign w:val="center"/>
          </w:tcPr>
          <w:p w14:paraId="3769DF6F" w14:textId="77777777" w:rsidR="00BA4764" w:rsidRPr="004C12C9" w:rsidRDefault="00BA4764" w:rsidP="00CC0A1B">
            <w:pPr>
              <w:pStyle w:val="ICFTabletext"/>
            </w:pPr>
            <w:r w:rsidRPr="004C12C9">
              <w:t>Gasoline</w:t>
            </w:r>
          </w:p>
        </w:tc>
        <w:tc>
          <w:tcPr>
            <w:tcW w:w="3989" w:type="dxa"/>
            <w:noWrap/>
            <w:vAlign w:val="center"/>
          </w:tcPr>
          <w:p w14:paraId="73AD88D3" w14:textId="77777777" w:rsidR="00BA4764" w:rsidRPr="004C12C9" w:rsidRDefault="00BA4764" w:rsidP="00CC0A1B">
            <w:pPr>
              <w:pStyle w:val="ICFTabletext"/>
              <w:jc w:val="center"/>
              <w:rPr>
                <w:color w:val="000000"/>
              </w:rPr>
            </w:pPr>
            <w:r w:rsidRPr="004C12C9">
              <w:t>125,000</w:t>
            </w:r>
          </w:p>
        </w:tc>
      </w:tr>
      <w:tr w:rsidR="00BA4764" w:rsidRPr="004C12C9" w14:paraId="0EB5F67B" w14:textId="77777777" w:rsidTr="00CC0A1B">
        <w:trPr>
          <w:trHeight w:val="290"/>
        </w:trPr>
        <w:tc>
          <w:tcPr>
            <w:tcW w:w="3491" w:type="dxa"/>
            <w:noWrap/>
            <w:vAlign w:val="center"/>
          </w:tcPr>
          <w:p w14:paraId="03C0C2D3" w14:textId="77777777" w:rsidR="00BA4764" w:rsidRPr="004C12C9" w:rsidRDefault="00BA4764" w:rsidP="00CC0A1B">
            <w:pPr>
              <w:pStyle w:val="ICFTabletext"/>
              <w:rPr>
                <w:color w:val="000000"/>
              </w:rPr>
            </w:pPr>
            <w:r w:rsidRPr="004C12C9">
              <w:t>Distillate Fuel Oil No. 1</w:t>
            </w:r>
          </w:p>
        </w:tc>
        <w:tc>
          <w:tcPr>
            <w:tcW w:w="3989" w:type="dxa"/>
            <w:noWrap/>
            <w:vAlign w:val="center"/>
          </w:tcPr>
          <w:p w14:paraId="14FED173" w14:textId="77777777" w:rsidR="00BA4764" w:rsidRPr="004C12C9" w:rsidRDefault="00BA4764" w:rsidP="00CC0A1B">
            <w:pPr>
              <w:pStyle w:val="ICFTabletext"/>
              <w:jc w:val="center"/>
              <w:rPr>
                <w:color w:val="000000"/>
              </w:rPr>
            </w:pPr>
            <w:r w:rsidRPr="004C12C9">
              <w:t>139,000</w:t>
            </w:r>
          </w:p>
        </w:tc>
      </w:tr>
      <w:tr w:rsidR="00BA4764" w:rsidRPr="004C12C9" w14:paraId="4BB5F7EA" w14:textId="77777777" w:rsidTr="00CC0A1B">
        <w:trPr>
          <w:trHeight w:val="290"/>
        </w:trPr>
        <w:tc>
          <w:tcPr>
            <w:tcW w:w="3491" w:type="dxa"/>
            <w:noWrap/>
            <w:vAlign w:val="center"/>
          </w:tcPr>
          <w:p w14:paraId="75BD8E05" w14:textId="77777777" w:rsidR="00BA4764" w:rsidRPr="004C12C9" w:rsidRDefault="00BA4764" w:rsidP="00CC0A1B">
            <w:pPr>
              <w:pStyle w:val="ICFTabletext"/>
              <w:rPr>
                <w:color w:val="000000"/>
              </w:rPr>
            </w:pPr>
            <w:r w:rsidRPr="004C12C9">
              <w:t>Distillate Fuel Oil No. 2</w:t>
            </w:r>
          </w:p>
        </w:tc>
        <w:tc>
          <w:tcPr>
            <w:tcW w:w="3989" w:type="dxa"/>
            <w:noWrap/>
            <w:vAlign w:val="center"/>
          </w:tcPr>
          <w:p w14:paraId="03FE3EA5" w14:textId="77777777" w:rsidR="00BA4764" w:rsidRPr="004C12C9" w:rsidRDefault="00BA4764" w:rsidP="00CC0A1B">
            <w:pPr>
              <w:pStyle w:val="ICFTabletext"/>
              <w:jc w:val="center"/>
              <w:rPr>
                <w:color w:val="000000"/>
              </w:rPr>
            </w:pPr>
            <w:r w:rsidRPr="004C12C9">
              <w:t>138,000</w:t>
            </w:r>
          </w:p>
        </w:tc>
      </w:tr>
      <w:tr w:rsidR="00BA4764" w:rsidRPr="004C12C9" w14:paraId="61FA60DB" w14:textId="77777777" w:rsidTr="00CC0A1B">
        <w:trPr>
          <w:trHeight w:val="290"/>
        </w:trPr>
        <w:tc>
          <w:tcPr>
            <w:tcW w:w="3491" w:type="dxa"/>
            <w:noWrap/>
            <w:vAlign w:val="center"/>
          </w:tcPr>
          <w:p w14:paraId="1EF499C9" w14:textId="77777777" w:rsidR="00BA4764" w:rsidRPr="004C12C9" w:rsidRDefault="00BA4764" w:rsidP="00CC0A1B">
            <w:pPr>
              <w:pStyle w:val="ICFTabletext"/>
              <w:rPr>
                <w:color w:val="000000"/>
              </w:rPr>
            </w:pPr>
            <w:r w:rsidRPr="004C12C9">
              <w:t>Distillate Fuel Oil No. 4</w:t>
            </w:r>
          </w:p>
        </w:tc>
        <w:tc>
          <w:tcPr>
            <w:tcW w:w="3989" w:type="dxa"/>
            <w:noWrap/>
            <w:vAlign w:val="center"/>
          </w:tcPr>
          <w:p w14:paraId="28BC7C54" w14:textId="77777777" w:rsidR="00BA4764" w:rsidRPr="004C12C9" w:rsidRDefault="00BA4764" w:rsidP="00CC0A1B">
            <w:pPr>
              <w:pStyle w:val="ICFTabletext"/>
              <w:jc w:val="center"/>
              <w:rPr>
                <w:color w:val="000000"/>
              </w:rPr>
            </w:pPr>
            <w:r w:rsidRPr="004C12C9">
              <w:t>146,000</w:t>
            </w:r>
          </w:p>
        </w:tc>
      </w:tr>
      <w:tr w:rsidR="00BA4764" w:rsidRPr="004C12C9" w14:paraId="79D2C6F6" w14:textId="77777777" w:rsidTr="00CC0A1B">
        <w:trPr>
          <w:trHeight w:val="290"/>
        </w:trPr>
        <w:tc>
          <w:tcPr>
            <w:tcW w:w="3491" w:type="dxa"/>
            <w:noWrap/>
            <w:vAlign w:val="center"/>
          </w:tcPr>
          <w:p w14:paraId="5D629031" w14:textId="77777777" w:rsidR="00BA4764" w:rsidRPr="004C12C9" w:rsidRDefault="00BA4764" w:rsidP="00CC0A1B">
            <w:pPr>
              <w:pStyle w:val="ICFTabletext"/>
              <w:rPr>
                <w:color w:val="000000"/>
              </w:rPr>
            </w:pPr>
            <w:r w:rsidRPr="004C12C9">
              <w:t>Residual Fuel Oil No. 5</w:t>
            </w:r>
          </w:p>
        </w:tc>
        <w:tc>
          <w:tcPr>
            <w:tcW w:w="3989" w:type="dxa"/>
            <w:noWrap/>
            <w:vAlign w:val="center"/>
          </w:tcPr>
          <w:p w14:paraId="29429174" w14:textId="77777777" w:rsidR="00BA4764" w:rsidRPr="004C12C9" w:rsidRDefault="00BA4764" w:rsidP="00CC0A1B">
            <w:pPr>
              <w:pStyle w:val="ICFTabletext"/>
              <w:jc w:val="center"/>
              <w:rPr>
                <w:color w:val="000000"/>
              </w:rPr>
            </w:pPr>
            <w:r w:rsidRPr="004C12C9">
              <w:t>140,000</w:t>
            </w:r>
          </w:p>
        </w:tc>
      </w:tr>
      <w:tr w:rsidR="00BA4764" w:rsidRPr="004C12C9" w14:paraId="6EDAA472" w14:textId="77777777" w:rsidTr="00CC0A1B">
        <w:trPr>
          <w:trHeight w:val="290"/>
        </w:trPr>
        <w:tc>
          <w:tcPr>
            <w:tcW w:w="3491" w:type="dxa"/>
            <w:noWrap/>
            <w:vAlign w:val="center"/>
          </w:tcPr>
          <w:p w14:paraId="2627B192" w14:textId="77777777" w:rsidR="00BA4764" w:rsidRPr="004C12C9" w:rsidRDefault="00BA4764" w:rsidP="00CC0A1B">
            <w:pPr>
              <w:pStyle w:val="ICFTabletext"/>
              <w:rPr>
                <w:color w:val="000000"/>
              </w:rPr>
            </w:pPr>
            <w:r w:rsidRPr="004C12C9">
              <w:t>Residual Fuel Oil No. 6</w:t>
            </w:r>
          </w:p>
        </w:tc>
        <w:tc>
          <w:tcPr>
            <w:tcW w:w="3989" w:type="dxa"/>
            <w:noWrap/>
            <w:vAlign w:val="center"/>
          </w:tcPr>
          <w:p w14:paraId="5BD3FE96" w14:textId="77777777" w:rsidR="00BA4764" w:rsidRPr="004C12C9" w:rsidRDefault="00BA4764" w:rsidP="00CC0A1B">
            <w:pPr>
              <w:pStyle w:val="ICFTabletext"/>
              <w:jc w:val="center"/>
              <w:rPr>
                <w:color w:val="000000"/>
              </w:rPr>
            </w:pPr>
            <w:r w:rsidRPr="004C12C9">
              <w:t>150,000</w:t>
            </w:r>
          </w:p>
        </w:tc>
      </w:tr>
      <w:tr w:rsidR="00BA4764" w:rsidRPr="004C12C9" w14:paraId="3654D281" w14:textId="77777777" w:rsidTr="00CC0A1B">
        <w:trPr>
          <w:trHeight w:val="290"/>
        </w:trPr>
        <w:tc>
          <w:tcPr>
            <w:tcW w:w="3491" w:type="dxa"/>
            <w:noWrap/>
            <w:vAlign w:val="center"/>
          </w:tcPr>
          <w:p w14:paraId="54E38F17" w14:textId="505162D2" w:rsidR="00BA4764" w:rsidRPr="004C12C9" w:rsidRDefault="00BA4764" w:rsidP="00CC0A1B">
            <w:pPr>
              <w:pStyle w:val="ICFTabletext"/>
            </w:pPr>
            <w:r w:rsidRPr="004C12C9">
              <w:t>Liqu</w:t>
            </w:r>
            <w:r w:rsidR="00AF2352" w:rsidRPr="004C12C9">
              <w:t>e</w:t>
            </w:r>
            <w:r w:rsidRPr="004C12C9">
              <w:t>fied Petroleum Gas (LPG)</w:t>
            </w:r>
          </w:p>
        </w:tc>
        <w:tc>
          <w:tcPr>
            <w:tcW w:w="3989" w:type="dxa"/>
            <w:noWrap/>
            <w:vAlign w:val="center"/>
          </w:tcPr>
          <w:p w14:paraId="38F551ED" w14:textId="77777777" w:rsidR="00BA4764" w:rsidRPr="004C12C9" w:rsidRDefault="00BA4764" w:rsidP="00CC0A1B">
            <w:pPr>
              <w:pStyle w:val="ICFTabletext"/>
              <w:jc w:val="center"/>
              <w:rPr>
                <w:color w:val="000000"/>
              </w:rPr>
            </w:pPr>
            <w:r w:rsidRPr="004C12C9">
              <w:t>92,000</w:t>
            </w:r>
          </w:p>
        </w:tc>
      </w:tr>
      <w:tr w:rsidR="00BA4764" w:rsidRPr="004C12C9" w14:paraId="754C56EA" w14:textId="77777777" w:rsidTr="00CC0A1B">
        <w:trPr>
          <w:trHeight w:val="290"/>
        </w:trPr>
        <w:tc>
          <w:tcPr>
            <w:tcW w:w="3491" w:type="dxa"/>
            <w:noWrap/>
            <w:vAlign w:val="center"/>
          </w:tcPr>
          <w:p w14:paraId="6F1C7DCB" w14:textId="77777777" w:rsidR="00BA4764" w:rsidRPr="004C12C9" w:rsidRDefault="00BA4764" w:rsidP="00CC0A1B">
            <w:pPr>
              <w:pStyle w:val="ICFTabletext"/>
            </w:pPr>
            <w:r w:rsidRPr="004C12C9">
              <w:t>Kerosene</w:t>
            </w:r>
          </w:p>
        </w:tc>
        <w:tc>
          <w:tcPr>
            <w:tcW w:w="3989" w:type="dxa"/>
            <w:noWrap/>
            <w:vAlign w:val="center"/>
          </w:tcPr>
          <w:p w14:paraId="3312DA45" w14:textId="77777777" w:rsidR="00BA4764" w:rsidRPr="004C12C9" w:rsidRDefault="00BA4764" w:rsidP="00CC0A1B">
            <w:pPr>
              <w:pStyle w:val="ICFTabletext"/>
              <w:jc w:val="center"/>
              <w:rPr>
                <w:color w:val="000000"/>
              </w:rPr>
            </w:pPr>
            <w:r w:rsidRPr="004C12C9">
              <w:t>135,000</w:t>
            </w:r>
          </w:p>
        </w:tc>
      </w:tr>
      <w:tr w:rsidR="00BA4764" w:rsidRPr="004C12C9" w14:paraId="237C096F" w14:textId="77777777" w:rsidTr="00CC0A1B">
        <w:trPr>
          <w:trHeight w:val="290"/>
        </w:trPr>
        <w:tc>
          <w:tcPr>
            <w:tcW w:w="3491" w:type="dxa"/>
            <w:noWrap/>
            <w:vAlign w:val="center"/>
          </w:tcPr>
          <w:p w14:paraId="0CAF44A6" w14:textId="77777777" w:rsidR="00BA4764" w:rsidRPr="004C12C9" w:rsidRDefault="00BA4764" w:rsidP="00CC0A1B">
            <w:pPr>
              <w:pStyle w:val="ICFTabletext"/>
            </w:pPr>
            <w:r w:rsidRPr="004C12C9">
              <w:t>Kerosene Jet Fuel</w:t>
            </w:r>
          </w:p>
        </w:tc>
        <w:tc>
          <w:tcPr>
            <w:tcW w:w="3989" w:type="dxa"/>
            <w:noWrap/>
            <w:vAlign w:val="center"/>
          </w:tcPr>
          <w:p w14:paraId="3AE94EAD" w14:textId="77777777" w:rsidR="00BA4764" w:rsidRPr="004C12C9" w:rsidRDefault="00BA4764" w:rsidP="00CC0A1B">
            <w:pPr>
              <w:pStyle w:val="ICFTabletext"/>
              <w:jc w:val="center"/>
              <w:rPr>
                <w:color w:val="000000"/>
              </w:rPr>
            </w:pPr>
            <w:r w:rsidRPr="004C12C9">
              <w:t>135,000</w:t>
            </w:r>
          </w:p>
        </w:tc>
      </w:tr>
    </w:tbl>
    <w:p w14:paraId="7614B528" w14:textId="25899BEF" w:rsidR="00BA4764" w:rsidRPr="004C12C9" w:rsidRDefault="00BA4764" w:rsidP="00F227F0">
      <w:pPr>
        <w:pStyle w:val="Heading5"/>
      </w:pPr>
      <w:r w:rsidRPr="004C12C9">
        <w:lastRenderedPageBreak/>
        <w:t>Emission Factors</w:t>
      </w:r>
    </w:p>
    <w:p w14:paraId="1376C6EE" w14:textId="6E59E039" w:rsidR="00BA4764" w:rsidRPr="004C12C9" w:rsidRDefault="00BA4764" w:rsidP="00972CF9">
      <w:r w:rsidRPr="004C12C9">
        <w:t>The emission factors for petroleum products were derived based on data obtained from</w:t>
      </w:r>
      <w:r w:rsidRPr="004C12C9" w:rsidDel="008862C5">
        <w:t xml:space="preserve"> the </w:t>
      </w:r>
      <w:r w:rsidRPr="004C12C9">
        <w:t>EPA Emission Factors Hub</w:t>
      </w:r>
      <w:r w:rsidRPr="004C12C9">
        <w:rPr>
          <w:rStyle w:val="FootnoteReference"/>
        </w:rPr>
        <w:footnoteReference w:id="96"/>
      </w:r>
      <w:r w:rsidRPr="004C12C9">
        <w:t xml:space="preserve"> and GREET</w:t>
      </w:r>
      <w:r w:rsidR="00A4624A" w:rsidRPr="004C12C9">
        <w:t xml:space="preserve"> </w:t>
      </w:r>
      <w:r w:rsidRPr="004C12C9">
        <w:t>1 2024.</w:t>
      </w:r>
      <w:r w:rsidR="00191D89" w:rsidRPr="004C12C9">
        <w:rPr>
          <w:rStyle w:val="FootnoteReference"/>
        </w:rPr>
        <w:footnoteReference w:id="97"/>
      </w:r>
      <w:r w:rsidRPr="004C12C9">
        <w:t xml:space="preserve"> Emissions from combustion were obtained from EPA while upstream emissions from crude oil recovery through distribution of the product to the end user (identified as Upstream in </w:t>
      </w:r>
      <w:r w:rsidRPr="004C12C9">
        <w:fldChar w:fldCharType="begin" w:fldLock="1"/>
      </w:r>
      <w:r w:rsidRPr="004C12C9">
        <w:instrText xml:space="preserve"> REF _Ref188442777 \h  \* MERGEFORMAT </w:instrText>
      </w:r>
      <w:r w:rsidRPr="004C12C9">
        <w:fldChar w:fldCharType="separate"/>
      </w:r>
      <w:r w:rsidR="00127094" w:rsidRPr="004C12C9">
        <w:t>Table 3</w:t>
      </w:r>
      <w:r w:rsidR="00127094" w:rsidRPr="004C12C9">
        <w:noBreakHyphen/>
        <w:t>14</w:t>
      </w:r>
      <w:r w:rsidRPr="004C12C9">
        <w:fldChar w:fldCharType="end"/>
      </w:r>
      <w:r w:rsidRPr="004C12C9">
        <w:t>), were derived from GREET</w:t>
      </w:r>
      <w:r w:rsidR="00A4624A" w:rsidRPr="004C12C9">
        <w:t xml:space="preserve"> </w:t>
      </w:r>
      <w:r w:rsidRPr="004C12C9">
        <w:t>1 2024. The emission factors</w:t>
      </w:r>
      <w:r w:rsidR="00AE3E61" w:rsidRPr="004C12C9">
        <w:t>,</w:t>
      </w:r>
      <w:r w:rsidRPr="004C12C9">
        <w:t xml:space="preserve"> broken out by lifecycle stage</w:t>
      </w:r>
      <w:r w:rsidR="00AE3E61" w:rsidRPr="004C12C9">
        <w:t>,</w:t>
      </w:r>
      <w:r w:rsidRPr="004C12C9">
        <w:t xml:space="preserve"> are summarized in </w:t>
      </w:r>
      <w:r w:rsidRPr="004C12C9">
        <w:fldChar w:fldCharType="begin" w:fldLock="1"/>
      </w:r>
      <w:r w:rsidRPr="004C12C9">
        <w:instrText xml:space="preserve"> REF _Ref188442777 \h  \* MERGEFORMAT </w:instrText>
      </w:r>
      <w:r w:rsidRPr="004C12C9">
        <w:fldChar w:fldCharType="separate"/>
      </w:r>
      <w:r w:rsidR="00127094" w:rsidRPr="004C12C9">
        <w:t>Table 3</w:t>
      </w:r>
      <w:r w:rsidR="00127094" w:rsidRPr="004C12C9">
        <w:noBreakHyphen/>
        <w:t>14</w:t>
      </w:r>
      <w:r w:rsidRPr="004C12C9">
        <w:fldChar w:fldCharType="end"/>
      </w:r>
      <w:r w:rsidRPr="004C12C9">
        <w:t>.</w:t>
      </w:r>
    </w:p>
    <w:p w14:paraId="4EBA54A1" w14:textId="09BBF4BC" w:rsidR="00BA4764" w:rsidRPr="004C12C9" w:rsidRDefault="00BA4764" w:rsidP="00972CF9">
      <w:pPr>
        <w:pStyle w:val="Caption"/>
      </w:pPr>
      <w:bookmarkStart w:id="177" w:name="_Ref188442777"/>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14</w:t>
      </w:r>
      <w:r w:rsidR="00F72B41">
        <w:fldChar w:fldCharType="end"/>
      </w:r>
      <w:bookmarkEnd w:id="177"/>
      <w:r w:rsidRPr="004C12C9">
        <w:t>.</w:t>
      </w:r>
      <w:r w:rsidRPr="004C12C9" w:rsidDel="0071694C">
        <w:t xml:space="preserve"> </w:t>
      </w:r>
      <w:r w:rsidR="00241AEB" w:rsidRPr="004C12C9">
        <w:t>Oil</w:t>
      </w:r>
      <w:r w:rsidRPr="004C12C9">
        <w:t xml:space="preserve"> Product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23"/>
        <w:gridCol w:w="2249"/>
        <w:gridCol w:w="2249"/>
        <w:gridCol w:w="2249"/>
      </w:tblGrid>
      <w:tr w:rsidR="00BA4764" w:rsidRPr="004C12C9" w14:paraId="40888ECF" w14:textId="77777777" w:rsidTr="00F10ADF">
        <w:trPr>
          <w:trHeight w:val="290"/>
          <w:tblHeader/>
        </w:trPr>
        <w:tc>
          <w:tcPr>
            <w:tcW w:w="3323" w:type="dxa"/>
            <w:vMerge w:val="restart"/>
            <w:shd w:val="clear" w:color="auto" w:fill="D9D9D9" w:themeFill="background1" w:themeFillShade="D9"/>
            <w:noWrap/>
            <w:vAlign w:val="center"/>
            <w:hideMark/>
          </w:tcPr>
          <w:p w14:paraId="5D4D78DB" w14:textId="77777777" w:rsidR="00BA4764" w:rsidRPr="004C12C9" w:rsidRDefault="00BA4764" w:rsidP="00E15FC5">
            <w:pPr>
              <w:pStyle w:val="ICFTableHeading"/>
            </w:pPr>
            <w:r w:rsidRPr="004C12C9">
              <w:t>Fuel Type</w:t>
            </w:r>
          </w:p>
        </w:tc>
        <w:tc>
          <w:tcPr>
            <w:tcW w:w="6747" w:type="dxa"/>
            <w:gridSpan w:val="3"/>
            <w:shd w:val="clear" w:color="auto" w:fill="D9D9D9" w:themeFill="background1" w:themeFillShade="D9"/>
            <w:noWrap/>
            <w:vAlign w:val="center"/>
            <w:hideMark/>
          </w:tcPr>
          <w:p w14:paraId="002257A2" w14:textId="77777777" w:rsidR="00BA4764" w:rsidRPr="004C12C9" w:rsidRDefault="00BA4764" w:rsidP="00E15FC5">
            <w:pPr>
              <w:pStyle w:val="ICFTableHeading"/>
            </w:pPr>
            <w:r w:rsidRPr="004C12C9">
              <w:t>Emission Factor (kgCO</w:t>
            </w:r>
            <w:r w:rsidRPr="004C12C9">
              <w:rPr>
                <w:vertAlign w:val="subscript"/>
              </w:rPr>
              <w:t>2</w:t>
            </w:r>
            <w:r w:rsidRPr="004C12C9">
              <w:t>e/MMBtu)*</w:t>
            </w:r>
          </w:p>
        </w:tc>
      </w:tr>
      <w:tr w:rsidR="00BA4764" w:rsidRPr="004C12C9" w14:paraId="1B0E2DB7" w14:textId="77777777" w:rsidTr="00F10ADF">
        <w:trPr>
          <w:trHeight w:val="290"/>
          <w:tblHeader/>
        </w:trPr>
        <w:tc>
          <w:tcPr>
            <w:tcW w:w="3323" w:type="dxa"/>
            <w:vMerge/>
            <w:shd w:val="clear" w:color="auto" w:fill="D9D9D9" w:themeFill="background1" w:themeFillShade="D9"/>
            <w:vAlign w:val="center"/>
            <w:hideMark/>
          </w:tcPr>
          <w:p w14:paraId="51DB7471" w14:textId="77777777" w:rsidR="00BA4764" w:rsidRPr="004C12C9" w:rsidRDefault="00BA4764" w:rsidP="00E15FC5">
            <w:pPr>
              <w:pStyle w:val="ICFTableHeading"/>
            </w:pPr>
          </w:p>
        </w:tc>
        <w:tc>
          <w:tcPr>
            <w:tcW w:w="2249" w:type="dxa"/>
            <w:shd w:val="clear" w:color="auto" w:fill="D9D9D9" w:themeFill="background1" w:themeFillShade="D9"/>
            <w:noWrap/>
            <w:vAlign w:val="center"/>
            <w:hideMark/>
          </w:tcPr>
          <w:p w14:paraId="6B0EE1B9" w14:textId="77777777" w:rsidR="00BA4764" w:rsidRPr="004C12C9" w:rsidRDefault="00BA4764" w:rsidP="00E15FC5">
            <w:pPr>
              <w:pStyle w:val="ICFTableHeading"/>
            </w:pPr>
            <w:r w:rsidRPr="004C12C9">
              <w:t>Upstream</w:t>
            </w:r>
          </w:p>
        </w:tc>
        <w:tc>
          <w:tcPr>
            <w:tcW w:w="2249" w:type="dxa"/>
            <w:shd w:val="clear" w:color="auto" w:fill="D9D9D9" w:themeFill="background1" w:themeFillShade="D9"/>
            <w:noWrap/>
            <w:vAlign w:val="center"/>
            <w:hideMark/>
          </w:tcPr>
          <w:p w14:paraId="34F66BC5" w14:textId="77777777" w:rsidR="00BA4764" w:rsidRPr="004C12C9" w:rsidRDefault="00BA4764" w:rsidP="00E15FC5">
            <w:pPr>
              <w:pStyle w:val="ICFTableHeading"/>
            </w:pPr>
            <w:r w:rsidRPr="004C12C9">
              <w:t>Combustion</w:t>
            </w:r>
          </w:p>
        </w:tc>
        <w:tc>
          <w:tcPr>
            <w:tcW w:w="2249" w:type="dxa"/>
            <w:shd w:val="clear" w:color="auto" w:fill="D9D9D9" w:themeFill="background1" w:themeFillShade="D9"/>
            <w:noWrap/>
            <w:vAlign w:val="center"/>
            <w:hideMark/>
          </w:tcPr>
          <w:p w14:paraId="6C913E41" w14:textId="77777777" w:rsidR="00BA4764" w:rsidRPr="004C12C9" w:rsidRDefault="00BA4764" w:rsidP="00E15FC5">
            <w:pPr>
              <w:pStyle w:val="ICFTableHeading"/>
            </w:pPr>
            <w:r w:rsidRPr="004C12C9">
              <w:t>Total</w:t>
            </w:r>
          </w:p>
        </w:tc>
      </w:tr>
      <w:tr w:rsidR="00BA4764" w:rsidRPr="004C12C9" w14:paraId="1E952018" w14:textId="77777777" w:rsidTr="00F10ADF">
        <w:trPr>
          <w:trHeight w:val="290"/>
        </w:trPr>
        <w:tc>
          <w:tcPr>
            <w:tcW w:w="3323" w:type="dxa"/>
            <w:shd w:val="clear" w:color="auto" w:fill="FFFFFF" w:themeFill="background1"/>
            <w:noWrap/>
            <w:vAlign w:val="center"/>
            <w:hideMark/>
          </w:tcPr>
          <w:p w14:paraId="09FC80C1" w14:textId="77777777" w:rsidR="00BA4764" w:rsidRPr="004C12C9" w:rsidRDefault="00BA4764" w:rsidP="00E15FC5">
            <w:pPr>
              <w:pStyle w:val="ICFTabletext"/>
              <w:rPr>
                <w:color w:val="000000"/>
              </w:rPr>
            </w:pPr>
            <w:r w:rsidRPr="004C12C9">
              <w:t>Propane</w:t>
            </w:r>
          </w:p>
        </w:tc>
        <w:tc>
          <w:tcPr>
            <w:tcW w:w="2249" w:type="dxa"/>
            <w:shd w:val="clear" w:color="auto" w:fill="FFFFFF" w:themeFill="background1"/>
            <w:noWrap/>
            <w:vAlign w:val="bottom"/>
            <w:hideMark/>
          </w:tcPr>
          <w:p w14:paraId="36E4133A" w14:textId="3A087D25" w:rsidR="00BA4764" w:rsidRPr="004C12C9" w:rsidRDefault="00BA4764" w:rsidP="00B2094B">
            <w:pPr>
              <w:pStyle w:val="ICFTabletext"/>
              <w:jc w:val="center"/>
              <w:rPr>
                <w:color w:val="000000"/>
              </w:rPr>
            </w:pPr>
            <w:r w:rsidRPr="004C12C9">
              <w:rPr>
                <w:color w:val="000000"/>
              </w:rPr>
              <w:t>18.</w:t>
            </w:r>
            <w:r w:rsidR="00F10ADF" w:rsidRPr="004C12C9">
              <w:rPr>
                <w:color w:val="000000"/>
              </w:rPr>
              <w:t>17</w:t>
            </w:r>
          </w:p>
        </w:tc>
        <w:tc>
          <w:tcPr>
            <w:tcW w:w="2249" w:type="dxa"/>
            <w:shd w:val="clear" w:color="auto" w:fill="FFFFFF" w:themeFill="background1"/>
            <w:noWrap/>
            <w:vAlign w:val="bottom"/>
            <w:hideMark/>
          </w:tcPr>
          <w:p w14:paraId="66C26ADD" w14:textId="77777777" w:rsidR="00BA4764" w:rsidRPr="004C12C9" w:rsidRDefault="00BA4764" w:rsidP="00B2094B">
            <w:pPr>
              <w:pStyle w:val="ICFTabletext"/>
              <w:jc w:val="center"/>
              <w:rPr>
                <w:color w:val="000000"/>
              </w:rPr>
            </w:pPr>
            <w:r w:rsidRPr="004C12C9">
              <w:rPr>
                <w:color w:val="000000"/>
              </w:rPr>
              <w:t>63.11</w:t>
            </w:r>
          </w:p>
        </w:tc>
        <w:tc>
          <w:tcPr>
            <w:tcW w:w="2249" w:type="dxa"/>
            <w:shd w:val="clear" w:color="auto" w:fill="FFFFFF" w:themeFill="background1"/>
            <w:noWrap/>
            <w:vAlign w:val="bottom"/>
            <w:hideMark/>
          </w:tcPr>
          <w:p w14:paraId="4B8A9579" w14:textId="61E278C1" w:rsidR="00BA4764" w:rsidRPr="004C12C9" w:rsidRDefault="00BA4764" w:rsidP="00B2094B">
            <w:pPr>
              <w:pStyle w:val="ICFTabletext"/>
              <w:jc w:val="center"/>
              <w:rPr>
                <w:color w:val="000000"/>
              </w:rPr>
            </w:pPr>
            <w:r w:rsidRPr="004C12C9">
              <w:rPr>
                <w:color w:val="000000"/>
              </w:rPr>
              <w:t>81.</w:t>
            </w:r>
            <w:r w:rsidR="00F10ADF" w:rsidRPr="004C12C9">
              <w:rPr>
                <w:color w:val="000000"/>
              </w:rPr>
              <w:t>28</w:t>
            </w:r>
          </w:p>
        </w:tc>
      </w:tr>
      <w:tr w:rsidR="00BA4764" w:rsidRPr="004C12C9" w14:paraId="7EC8EDBE" w14:textId="77777777" w:rsidTr="00F10ADF">
        <w:trPr>
          <w:trHeight w:val="290"/>
        </w:trPr>
        <w:tc>
          <w:tcPr>
            <w:tcW w:w="3323" w:type="dxa"/>
            <w:shd w:val="clear" w:color="auto" w:fill="FFFFFF" w:themeFill="background1"/>
            <w:noWrap/>
            <w:vAlign w:val="center"/>
            <w:hideMark/>
          </w:tcPr>
          <w:p w14:paraId="59FD0A17" w14:textId="77777777" w:rsidR="00BA4764" w:rsidRPr="004C12C9" w:rsidRDefault="00BA4764" w:rsidP="00E15FC5">
            <w:pPr>
              <w:pStyle w:val="ICFTabletext"/>
              <w:rPr>
                <w:color w:val="000000"/>
              </w:rPr>
            </w:pPr>
            <w:r w:rsidRPr="004C12C9">
              <w:t>Gasoline</w:t>
            </w:r>
          </w:p>
        </w:tc>
        <w:tc>
          <w:tcPr>
            <w:tcW w:w="2249" w:type="dxa"/>
            <w:shd w:val="clear" w:color="auto" w:fill="FFFFFF" w:themeFill="background1"/>
            <w:noWrap/>
            <w:vAlign w:val="bottom"/>
            <w:hideMark/>
          </w:tcPr>
          <w:p w14:paraId="5B78F83C" w14:textId="470071E4" w:rsidR="00BA4764" w:rsidRPr="004C12C9" w:rsidRDefault="00BA4764" w:rsidP="00B2094B">
            <w:pPr>
              <w:pStyle w:val="ICFTabletext"/>
              <w:jc w:val="center"/>
              <w:rPr>
                <w:color w:val="000000"/>
              </w:rPr>
            </w:pPr>
            <w:r w:rsidRPr="004C12C9">
              <w:rPr>
                <w:color w:val="000000"/>
              </w:rPr>
              <w:t>22.</w:t>
            </w:r>
            <w:r w:rsidR="00F10ADF" w:rsidRPr="004C12C9">
              <w:rPr>
                <w:color w:val="000000"/>
              </w:rPr>
              <w:t>86</w:t>
            </w:r>
          </w:p>
        </w:tc>
        <w:tc>
          <w:tcPr>
            <w:tcW w:w="2249" w:type="dxa"/>
            <w:shd w:val="clear" w:color="auto" w:fill="FFFFFF" w:themeFill="background1"/>
            <w:noWrap/>
            <w:vAlign w:val="bottom"/>
            <w:hideMark/>
          </w:tcPr>
          <w:p w14:paraId="4AD7F482" w14:textId="77777777" w:rsidR="00BA4764" w:rsidRPr="004C12C9" w:rsidRDefault="00BA4764" w:rsidP="00B2094B">
            <w:pPr>
              <w:pStyle w:val="ICFTabletext"/>
              <w:jc w:val="center"/>
              <w:rPr>
                <w:color w:val="000000"/>
              </w:rPr>
            </w:pPr>
            <w:r w:rsidRPr="004C12C9">
              <w:rPr>
                <w:color w:val="000000"/>
              </w:rPr>
              <w:t>70.46</w:t>
            </w:r>
          </w:p>
        </w:tc>
        <w:tc>
          <w:tcPr>
            <w:tcW w:w="2249" w:type="dxa"/>
            <w:shd w:val="clear" w:color="auto" w:fill="FFFFFF" w:themeFill="background1"/>
            <w:noWrap/>
            <w:vAlign w:val="bottom"/>
            <w:hideMark/>
          </w:tcPr>
          <w:p w14:paraId="59CBE97B" w14:textId="2A392A5B" w:rsidR="00BA4764" w:rsidRPr="004C12C9" w:rsidRDefault="00BA4764" w:rsidP="00B2094B">
            <w:pPr>
              <w:pStyle w:val="ICFTabletext"/>
              <w:jc w:val="center"/>
              <w:rPr>
                <w:color w:val="000000"/>
              </w:rPr>
            </w:pPr>
            <w:r w:rsidRPr="004C12C9">
              <w:rPr>
                <w:color w:val="000000"/>
              </w:rPr>
              <w:t>93.</w:t>
            </w:r>
            <w:r w:rsidR="00F10ADF" w:rsidRPr="004C12C9">
              <w:rPr>
                <w:color w:val="000000"/>
              </w:rPr>
              <w:t>33</w:t>
            </w:r>
          </w:p>
        </w:tc>
      </w:tr>
      <w:tr w:rsidR="00BA4764" w:rsidRPr="004C12C9" w14:paraId="0DA7C4E0" w14:textId="77777777" w:rsidTr="00F10ADF">
        <w:trPr>
          <w:trHeight w:val="290"/>
        </w:trPr>
        <w:tc>
          <w:tcPr>
            <w:tcW w:w="3323" w:type="dxa"/>
            <w:shd w:val="clear" w:color="auto" w:fill="FFFFFF" w:themeFill="background1"/>
            <w:noWrap/>
            <w:vAlign w:val="center"/>
            <w:hideMark/>
          </w:tcPr>
          <w:p w14:paraId="7D559EF6" w14:textId="77777777" w:rsidR="00BA4764" w:rsidRPr="004C12C9" w:rsidRDefault="00BA4764" w:rsidP="00E15FC5">
            <w:pPr>
              <w:pStyle w:val="ICFTabletext"/>
              <w:rPr>
                <w:color w:val="000000"/>
              </w:rPr>
            </w:pPr>
            <w:r w:rsidRPr="004C12C9">
              <w:t>Distillate Fuel Oil No. 1</w:t>
            </w:r>
          </w:p>
        </w:tc>
        <w:tc>
          <w:tcPr>
            <w:tcW w:w="2249" w:type="dxa"/>
            <w:shd w:val="clear" w:color="auto" w:fill="FFFFFF" w:themeFill="background1"/>
            <w:noWrap/>
            <w:vAlign w:val="bottom"/>
            <w:hideMark/>
          </w:tcPr>
          <w:p w14:paraId="58C036D5" w14:textId="12511848" w:rsidR="00BA4764" w:rsidRPr="004C12C9" w:rsidRDefault="00BA4764" w:rsidP="00B2094B">
            <w:pPr>
              <w:pStyle w:val="ICFTabletext"/>
              <w:jc w:val="center"/>
              <w:rPr>
                <w:color w:val="000000"/>
              </w:rPr>
            </w:pPr>
            <w:r w:rsidRPr="004C12C9">
              <w:rPr>
                <w:color w:val="000000"/>
              </w:rPr>
              <w:t>16.</w:t>
            </w:r>
            <w:r w:rsidR="00F10ADF" w:rsidRPr="004C12C9">
              <w:rPr>
                <w:color w:val="000000"/>
              </w:rPr>
              <w:t>11</w:t>
            </w:r>
          </w:p>
        </w:tc>
        <w:tc>
          <w:tcPr>
            <w:tcW w:w="2249" w:type="dxa"/>
            <w:shd w:val="clear" w:color="auto" w:fill="FFFFFF" w:themeFill="background1"/>
            <w:noWrap/>
            <w:vAlign w:val="bottom"/>
            <w:hideMark/>
          </w:tcPr>
          <w:p w14:paraId="61045FC5" w14:textId="77777777" w:rsidR="00BA4764" w:rsidRPr="004C12C9" w:rsidRDefault="00BA4764" w:rsidP="00B2094B">
            <w:pPr>
              <w:pStyle w:val="ICFTabletext"/>
              <w:jc w:val="center"/>
              <w:rPr>
                <w:color w:val="000000"/>
              </w:rPr>
            </w:pPr>
            <w:r w:rsidRPr="004C12C9">
              <w:rPr>
                <w:color w:val="000000"/>
              </w:rPr>
              <w:t>73.49</w:t>
            </w:r>
          </w:p>
        </w:tc>
        <w:tc>
          <w:tcPr>
            <w:tcW w:w="2249" w:type="dxa"/>
            <w:shd w:val="clear" w:color="auto" w:fill="FFFFFF" w:themeFill="background1"/>
            <w:noWrap/>
            <w:vAlign w:val="bottom"/>
            <w:hideMark/>
          </w:tcPr>
          <w:p w14:paraId="7FDAF2F6" w14:textId="4AAD4C7C" w:rsidR="00BA4764" w:rsidRPr="004C12C9" w:rsidRDefault="00BA4764" w:rsidP="00B2094B">
            <w:pPr>
              <w:pStyle w:val="ICFTabletext"/>
              <w:jc w:val="center"/>
              <w:rPr>
                <w:color w:val="000000"/>
              </w:rPr>
            </w:pPr>
            <w:r w:rsidRPr="004C12C9">
              <w:rPr>
                <w:color w:val="000000"/>
              </w:rPr>
              <w:t>89.</w:t>
            </w:r>
            <w:r w:rsidR="00F10ADF" w:rsidRPr="004C12C9">
              <w:rPr>
                <w:color w:val="000000"/>
              </w:rPr>
              <w:t>60</w:t>
            </w:r>
          </w:p>
        </w:tc>
      </w:tr>
      <w:tr w:rsidR="00BA4764" w:rsidRPr="004C12C9" w14:paraId="244731D7" w14:textId="77777777" w:rsidTr="00F10ADF">
        <w:trPr>
          <w:trHeight w:val="290"/>
        </w:trPr>
        <w:tc>
          <w:tcPr>
            <w:tcW w:w="3323" w:type="dxa"/>
            <w:shd w:val="clear" w:color="auto" w:fill="FFFFFF" w:themeFill="background1"/>
            <w:noWrap/>
            <w:vAlign w:val="center"/>
            <w:hideMark/>
          </w:tcPr>
          <w:p w14:paraId="78388270" w14:textId="77777777" w:rsidR="00BA4764" w:rsidRPr="004C12C9" w:rsidRDefault="00BA4764" w:rsidP="00E15FC5">
            <w:pPr>
              <w:pStyle w:val="ICFTabletext"/>
              <w:rPr>
                <w:color w:val="000000"/>
              </w:rPr>
            </w:pPr>
            <w:r w:rsidRPr="004C12C9">
              <w:t>Distillate Fuel Oil No. 2</w:t>
            </w:r>
          </w:p>
        </w:tc>
        <w:tc>
          <w:tcPr>
            <w:tcW w:w="2249" w:type="dxa"/>
            <w:shd w:val="clear" w:color="auto" w:fill="FFFFFF" w:themeFill="background1"/>
            <w:noWrap/>
            <w:vAlign w:val="bottom"/>
            <w:hideMark/>
          </w:tcPr>
          <w:p w14:paraId="2AF10451" w14:textId="65C187A7" w:rsidR="00BA4764" w:rsidRPr="004C12C9" w:rsidRDefault="00BA4764" w:rsidP="00B2094B">
            <w:pPr>
              <w:pStyle w:val="ICFTabletext"/>
              <w:jc w:val="center"/>
              <w:rPr>
                <w:color w:val="000000"/>
              </w:rPr>
            </w:pPr>
            <w:r w:rsidRPr="004C12C9">
              <w:rPr>
                <w:color w:val="000000"/>
              </w:rPr>
              <w:t>16.</w:t>
            </w:r>
            <w:r w:rsidR="00F10ADF" w:rsidRPr="004C12C9">
              <w:rPr>
                <w:color w:val="000000"/>
              </w:rPr>
              <w:t>11</w:t>
            </w:r>
          </w:p>
        </w:tc>
        <w:tc>
          <w:tcPr>
            <w:tcW w:w="2249" w:type="dxa"/>
            <w:shd w:val="clear" w:color="auto" w:fill="FFFFFF" w:themeFill="background1"/>
            <w:noWrap/>
            <w:vAlign w:val="bottom"/>
            <w:hideMark/>
          </w:tcPr>
          <w:p w14:paraId="7B3F5430" w14:textId="77777777" w:rsidR="00BA4764" w:rsidRPr="004C12C9" w:rsidRDefault="00BA4764" w:rsidP="00B2094B">
            <w:pPr>
              <w:pStyle w:val="ICFTabletext"/>
              <w:jc w:val="center"/>
              <w:rPr>
                <w:color w:val="000000"/>
              </w:rPr>
            </w:pPr>
            <w:r w:rsidRPr="004C12C9">
              <w:rPr>
                <w:color w:val="000000"/>
              </w:rPr>
              <w:t>74.20</w:t>
            </w:r>
          </w:p>
        </w:tc>
        <w:tc>
          <w:tcPr>
            <w:tcW w:w="2249" w:type="dxa"/>
            <w:shd w:val="clear" w:color="auto" w:fill="FFFFFF" w:themeFill="background1"/>
            <w:noWrap/>
            <w:vAlign w:val="bottom"/>
            <w:hideMark/>
          </w:tcPr>
          <w:p w14:paraId="478DC18E" w14:textId="3B8400CA" w:rsidR="00BA4764" w:rsidRPr="004C12C9" w:rsidRDefault="00BA4764" w:rsidP="00B2094B">
            <w:pPr>
              <w:pStyle w:val="ICFTabletext"/>
              <w:jc w:val="center"/>
              <w:rPr>
                <w:color w:val="000000"/>
              </w:rPr>
            </w:pPr>
            <w:r w:rsidRPr="004C12C9">
              <w:rPr>
                <w:color w:val="000000"/>
              </w:rPr>
              <w:t>90.</w:t>
            </w:r>
            <w:r w:rsidR="00F10ADF" w:rsidRPr="004C12C9">
              <w:rPr>
                <w:color w:val="000000"/>
              </w:rPr>
              <w:t>31</w:t>
            </w:r>
          </w:p>
        </w:tc>
      </w:tr>
      <w:tr w:rsidR="00BA4764" w:rsidRPr="004C12C9" w14:paraId="5D22E3A2" w14:textId="77777777" w:rsidTr="00F10ADF">
        <w:trPr>
          <w:trHeight w:val="290"/>
        </w:trPr>
        <w:tc>
          <w:tcPr>
            <w:tcW w:w="3323" w:type="dxa"/>
            <w:shd w:val="clear" w:color="auto" w:fill="FFFFFF" w:themeFill="background1"/>
            <w:noWrap/>
            <w:vAlign w:val="center"/>
            <w:hideMark/>
          </w:tcPr>
          <w:p w14:paraId="5A4FC2FF" w14:textId="77777777" w:rsidR="00BA4764" w:rsidRPr="004C12C9" w:rsidRDefault="00BA4764" w:rsidP="00E15FC5">
            <w:pPr>
              <w:pStyle w:val="ICFTabletext"/>
              <w:rPr>
                <w:color w:val="000000"/>
              </w:rPr>
            </w:pPr>
            <w:r w:rsidRPr="004C12C9">
              <w:t>Distillate Fuel Oil No. 4</w:t>
            </w:r>
          </w:p>
        </w:tc>
        <w:tc>
          <w:tcPr>
            <w:tcW w:w="2249" w:type="dxa"/>
            <w:shd w:val="clear" w:color="auto" w:fill="FFFFFF" w:themeFill="background1"/>
            <w:noWrap/>
            <w:vAlign w:val="bottom"/>
            <w:hideMark/>
          </w:tcPr>
          <w:p w14:paraId="40F88BD3" w14:textId="0FCC9612" w:rsidR="00BA4764" w:rsidRPr="004C12C9" w:rsidRDefault="00BA4764" w:rsidP="00B2094B">
            <w:pPr>
              <w:pStyle w:val="ICFTabletext"/>
              <w:jc w:val="center"/>
              <w:rPr>
                <w:color w:val="000000"/>
              </w:rPr>
            </w:pPr>
            <w:r w:rsidRPr="004C12C9">
              <w:rPr>
                <w:color w:val="000000"/>
              </w:rPr>
              <w:t>16.</w:t>
            </w:r>
            <w:r w:rsidR="00F10ADF" w:rsidRPr="004C12C9">
              <w:rPr>
                <w:color w:val="000000"/>
              </w:rPr>
              <w:t>11</w:t>
            </w:r>
          </w:p>
        </w:tc>
        <w:tc>
          <w:tcPr>
            <w:tcW w:w="2249" w:type="dxa"/>
            <w:shd w:val="clear" w:color="auto" w:fill="FFFFFF" w:themeFill="background1"/>
            <w:noWrap/>
            <w:vAlign w:val="bottom"/>
            <w:hideMark/>
          </w:tcPr>
          <w:p w14:paraId="1A18F9AB" w14:textId="77777777" w:rsidR="00BA4764" w:rsidRPr="004C12C9" w:rsidRDefault="00BA4764" w:rsidP="00B2094B">
            <w:pPr>
              <w:pStyle w:val="ICFTabletext"/>
              <w:jc w:val="center"/>
              <w:rPr>
                <w:color w:val="000000"/>
              </w:rPr>
            </w:pPr>
            <w:r w:rsidRPr="004C12C9">
              <w:rPr>
                <w:color w:val="000000"/>
              </w:rPr>
              <w:t>75.28</w:t>
            </w:r>
          </w:p>
        </w:tc>
        <w:tc>
          <w:tcPr>
            <w:tcW w:w="2249" w:type="dxa"/>
            <w:shd w:val="clear" w:color="auto" w:fill="FFFFFF" w:themeFill="background1"/>
            <w:noWrap/>
            <w:vAlign w:val="bottom"/>
            <w:hideMark/>
          </w:tcPr>
          <w:p w14:paraId="4B2ECAB2" w14:textId="4D9A8A0A" w:rsidR="00BA4764" w:rsidRPr="004C12C9" w:rsidRDefault="00BA4764" w:rsidP="00B2094B">
            <w:pPr>
              <w:pStyle w:val="ICFTabletext"/>
              <w:jc w:val="center"/>
              <w:rPr>
                <w:color w:val="000000"/>
              </w:rPr>
            </w:pPr>
            <w:r w:rsidRPr="004C12C9">
              <w:rPr>
                <w:color w:val="000000"/>
              </w:rPr>
              <w:t>91.</w:t>
            </w:r>
            <w:r w:rsidR="00F10ADF" w:rsidRPr="004C12C9">
              <w:rPr>
                <w:color w:val="000000"/>
              </w:rPr>
              <w:t>39</w:t>
            </w:r>
          </w:p>
        </w:tc>
      </w:tr>
      <w:tr w:rsidR="00BA4764" w:rsidRPr="004C12C9" w14:paraId="2022F384" w14:textId="77777777" w:rsidTr="00F10ADF">
        <w:trPr>
          <w:trHeight w:val="290"/>
        </w:trPr>
        <w:tc>
          <w:tcPr>
            <w:tcW w:w="3323" w:type="dxa"/>
            <w:shd w:val="clear" w:color="auto" w:fill="FFFFFF" w:themeFill="background1"/>
            <w:noWrap/>
            <w:vAlign w:val="center"/>
          </w:tcPr>
          <w:p w14:paraId="1E8396F2" w14:textId="77777777" w:rsidR="00BA4764" w:rsidRPr="004C12C9" w:rsidRDefault="00BA4764" w:rsidP="00E15FC5">
            <w:pPr>
              <w:pStyle w:val="ICFTabletext"/>
              <w:rPr>
                <w:color w:val="000000"/>
              </w:rPr>
            </w:pPr>
            <w:r w:rsidRPr="004C12C9">
              <w:t>Residual Fuel Oil No. 5</w:t>
            </w:r>
          </w:p>
        </w:tc>
        <w:tc>
          <w:tcPr>
            <w:tcW w:w="2249" w:type="dxa"/>
            <w:shd w:val="clear" w:color="auto" w:fill="FFFFFF" w:themeFill="background1"/>
            <w:noWrap/>
            <w:vAlign w:val="bottom"/>
          </w:tcPr>
          <w:p w14:paraId="39427444" w14:textId="0B08F68C" w:rsidR="00BA4764" w:rsidRPr="004C12C9" w:rsidRDefault="00BA4764" w:rsidP="00B2094B">
            <w:pPr>
              <w:pStyle w:val="ICFTabletext"/>
              <w:jc w:val="center"/>
              <w:rPr>
                <w:color w:val="000000"/>
              </w:rPr>
            </w:pPr>
            <w:r w:rsidRPr="004C12C9">
              <w:rPr>
                <w:color w:val="000000"/>
              </w:rPr>
              <w:t>12.</w:t>
            </w:r>
            <w:r w:rsidR="00F10ADF" w:rsidRPr="004C12C9">
              <w:rPr>
                <w:color w:val="000000"/>
              </w:rPr>
              <w:t>80</w:t>
            </w:r>
          </w:p>
        </w:tc>
        <w:tc>
          <w:tcPr>
            <w:tcW w:w="2249" w:type="dxa"/>
            <w:shd w:val="clear" w:color="auto" w:fill="FFFFFF" w:themeFill="background1"/>
            <w:noWrap/>
            <w:vAlign w:val="bottom"/>
          </w:tcPr>
          <w:p w14:paraId="457330F1" w14:textId="77777777" w:rsidR="00BA4764" w:rsidRPr="004C12C9" w:rsidRDefault="00BA4764" w:rsidP="00B2094B">
            <w:pPr>
              <w:pStyle w:val="ICFTabletext"/>
              <w:jc w:val="center"/>
              <w:rPr>
                <w:color w:val="000000"/>
              </w:rPr>
            </w:pPr>
            <w:r w:rsidRPr="004C12C9">
              <w:rPr>
                <w:color w:val="000000"/>
              </w:rPr>
              <w:t>73.17</w:t>
            </w:r>
          </w:p>
        </w:tc>
        <w:tc>
          <w:tcPr>
            <w:tcW w:w="2249" w:type="dxa"/>
            <w:shd w:val="clear" w:color="auto" w:fill="FFFFFF" w:themeFill="background1"/>
            <w:noWrap/>
            <w:vAlign w:val="bottom"/>
          </w:tcPr>
          <w:p w14:paraId="6F295807" w14:textId="4550A02C" w:rsidR="00BA4764" w:rsidRPr="004C12C9" w:rsidRDefault="00BA4764" w:rsidP="00B2094B">
            <w:pPr>
              <w:pStyle w:val="ICFTabletext"/>
              <w:jc w:val="center"/>
              <w:rPr>
                <w:color w:val="000000"/>
              </w:rPr>
            </w:pPr>
            <w:r w:rsidRPr="004C12C9">
              <w:rPr>
                <w:color w:val="000000"/>
              </w:rPr>
              <w:t>85.</w:t>
            </w:r>
            <w:r w:rsidR="00F10ADF" w:rsidRPr="004C12C9">
              <w:rPr>
                <w:color w:val="000000"/>
              </w:rPr>
              <w:t>97</w:t>
            </w:r>
          </w:p>
        </w:tc>
      </w:tr>
      <w:tr w:rsidR="00BA4764" w:rsidRPr="004C12C9" w14:paraId="08D658B8" w14:textId="77777777" w:rsidTr="00F10ADF">
        <w:trPr>
          <w:trHeight w:val="290"/>
        </w:trPr>
        <w:tc>
          <w:tcPr>
            <w:tcW w:w="3323" w:type="dxa"/>
            <w:shd w:val="clear" w:color="auto" w:fill="FFFFFF" w:themeFill="background1"/>
            <w:noWrap/>
            <w:vAlign w:val="center"/>
          </w:tcPr>
          <w:p w14:paraId="77E4C2E0" w14:textId="77777777" w:rsidR="00BA4764" w:rsidRPr="004C12C9" w:rsidRDefault="00BA4764" w:rsidP="00E15FC5">
            <w:pPr>
              <w:pStyle w:val="ICFTabletext"/>
              <w:rPr>
                <w:color w:val="000000"/>
              </w:rPr>
            </w:pPr>
            <w:r w:rsidRPr="004C12C9">
              <w:t>Residual Fuel Oil No. 6</w:t>
            </w:r>
          </w:p>
        </w:tc>
        <w:tc>
          <w:tcPr>
            <w:tcW w:w="2249" w:type="dxa"/>
            <w:shd w:val="clear" w:color="auto" w:fill="FFFFFF" w:themeFill="background1"/>
            <w:noWrap/>
            <w:vAlign w:val="bottom"/>
          </w:tcPr>
          <w:p w14:paraId="1E1506DC" w14:textId="29053F95" w:rsidR="00BA4764" w:rsidRPr="004C12C9" w:rsidRDefault="00BA4764" w:rsidP="00B2094B">
            <w:pPr>
              <w:pStyle w:val="ICFTabletext"/>
              <w:jc w:val="center"/>
              <w:rPr>
                <w:color w:val="000000"/>
              </w:rPr>
            </w:pPr>
            <w:r w:rsidRPr="004C12C9">
              <w:rPr>
                <w:color w:val="000000"/>
              </w:rPr>
              <w:t>12.</w:t>
            </w:r>
            <w:r w:rsidR="00F10ADF" w:rsidRPr="004C12C9">
              <w:rPr>
                <w:color w:val="000000"/>
              </w:rPr>
              <w:t>80</w:t>
            </w:r>
          </w:p>
        </w:tc>
        <w:tc>
          <w:tcPr>
            <w:tcW w:w="2249" w:type="dxa"/>
            <w:shd w:val="clear" w:color="auto" w:fill="FFFFFF" w:themeFill="background1"/>
            <w:noWrap/>
            <w:vAlign w:val="bottom"/>
          </w:tcPr>
          <w:p w14:paraId="27B4E696" w14:textId="77777777" w:rsidR="00BA4764" w:rsidRPr="004C12C9" w:rsidRDefault="00BA4764" w:rsidP="00B2094B">
            <w:pPr>
              <w:pStyle w:val="ICFTabletext"/>
              <w:jc w:val="center"/>
              <w:rPr>
                <w:color w:val="000000"/>
              </w:rPr>
            </w:pPr>
            <w:r w:rsidRPr="004C12C9">
              <w:rPr>
                <w:color w:val="000000"/>
              </w:rPr>
              <w:t>75.34</w:t>
            </w:r>
          </w:p>
        </w:tc>
        <w:tc>
          <w:tcPr>
            <w:tcW w:w="2249" w:type="dxa"/>
            <w:shd w:val="clear" w:color="auto" w:fill="FFFFFF" w:themeFill="background1"/>
            <w:noWrap/>
            <w:vAlign w:val="bottom"/>
          </w:tcPr>
          <w:p w14:paraId="61FED8F7" w14:textId="191D05D4" w:rsidR="00BA4764" w:rsidRPr="004C12C9" w:rsidRDefault="00BA4764" w:rsidP="00B2094B">
            <w:pPr>
              <w:pStyle w:val="ICFTabletext"/>
              <w:jc w:val="center"/>
              <w:rPr>
                <w:color w:val="000000"/>
              </w:rPr>
            </w:pPr>
            <w:r w:rsidRPr="004C12C9">
              <w:rPr>
                <w:color w:val="000000"/>
              </w:rPr>
              <w:t>88.</w:t>
            </w:r>
            <w:r w:rsidR="00F10ADF" w:rsidRPr="004C12C9">
              <w:rPr>
                <w:color w:val="000000"/>
              </w:rPr>
              <w:t>14</w:t>
            </w:r>
          </w:p>
        </w:tc>
      </w:tr>
      <w:tr w:rsidR="00BA4764" w:rsidRPr="004C12C9" w14:paraId="0EA35F3E" w14:textId="77777777" w:rsidTr="00F10ADF">
        <w:trPr>
          <w:trHeight w:val="290"/>
        </w:trPr>
        <w:tc>
          <w:tcPr>
            <w:tcW w:w="3323" w:type="dxa"/>
            <w:shd w:val="clear" w:color="auto" w:fill="FFFFFF" w:themeFill="background1"/>
            <w:noWrap/>
            <w:vAlign w:val="center"/>
          </w:tcPr>
          <w:p w14:paraId="22164E48" w14:textId="5543755F" w:rsidR="00BA4764" w:rsidRPr="004C12C9" w:rsidRDefault="00BA4764" w:rsidP="00E15FC5">
            <w:pPr>
              <w:pStyle w:val="ICFTabletext"/>
              <w:rPr>
                <w:color w:val="000000"/>
              </w:rPr>
            </w:pPr>
            <w:r w:rsidRPr="004C12C9">
              <w:t>Liqu</w:t>
            </w:r>
            <w:r w:rsidR="00AF2352" w:rsidRPr="004C12C9">
              <w:t>e</w:t>
            </w:r>
            <w:r w:rsidRPr="004C12C9">
              <w:t>fied Petroleum Gas (LPG)</w:t>
            </w:r>
          </w:p>
        </w:tc>
        <w:tc>
          <w:tcPr>
            <w:tcW w:w="2249" w:type="dxa"/>
            <w:shd w:val="clear" w:color="auto" w:fill="FFFFFF" w:themeFill="background1"/>
            <w:noWrap/>
            <w:vAlign w:val="bottom"/>
          </w:tcPr>
          <w:p w14:paraId="4CC5E5EA" w14:textId="75F29D06" w:rsidR="00BA4764" w:rsidRPr="004C12C9" w:rsidRDefault="00BA4764" w:rsidP="00B2094B">
            <w:pPr>
              <w:pStyle w:val="ICFTabletext"/>
              <w:jc w:val="center"/>
              <w:rPr>
                <w:color w:val="000000"/>
              </w:rPr>
            </w:pPr>
            <w:r w:rsidRPr="004C12C9">
              <w:rPr>
                <w:color w:val="000000"/>
              </w:rPr>
              <w:t>18.</w:t>
            </w:r>
            <w:r w:rsidR="00F10ADF" w:rsidRPr="004C12C9">
              <w:rPr>
                <w:color w:val="000000"/>
              </w:rPr>
              <w:t>76</w:t>
            </w:r>
          </w:p>
        </w:tc>
        <w:tc>
          <w:tcPr>
            <w:tcW w:w="2249" w:type="dxa"/>
            <w:shd w:val="clear" w:color="auto" w:fill="FFFFFF" w:themeFill="background1"/>
            <w:noWrap/>
            <w:vAlign w:val="bottom"/>
          </w:tcPr>
          <w:p w14:paraId="5F121FF7" w14:textId="77777777" w:rsidR="00BA4764" w:rsidRPr="004C12C9" w:rsidRDefault="00BA4764" w:rsidP="00B2094B">
            <w:pPr>
              <w:pStyle w:val="ICFTabletext"/>
              <w:jc w:val="center"/>
              <w:rPr>
                <w:color w:val="000000"/>
              </w:rPr>
            </w:pPr>
            <w:r w:rsidRPr="004C12C9">
              <w:rPr>
                <w:color w:val="000000"/>
              </w:rPr>
              <w:t>61.95</w:t>
            </w:r>
          </w:p>
        </w:tc>
        <w:tc>
          <w:tcPr>
            <w:tcW w:w="2249" w:type="dxa"/>
            <w:shd w:val="clear" w:color="auto" w:fill="FFFFFF" w:themeFill="background1"/>
            <w:noWrap/>
            <w:vAlign w:val="bottom"/>
          </w:tcPr>
          <w:p w14:paraId="55613E64" w14:textId="15863895" w:rsidR="00BA4764" w:rsidRPr="004C12C9" w:rsidRDefault="00BA4764" w:rsidP="00B2094B">
            <w:pPr>
              <w:pStyle w:val="ICFTabletext"/>
              <w:jc w:val="center"/>
              <w:rPr>
                <w:color w:val="000000"/>
              </w:rPr>
            </w:pPr>
            <w:r w:rsidRPr="004C12C9">
              <w:rPr>
                <w:color w:val="000000"/>
              </w:rPr>
              <w:t>80.</w:t>
            </w:r>
            <w:r w:rsidR="00F10ADF" w:rsidRPr="004C12C9">
              <w:rPr>
                <w:color w:val="000000"/>
              </w:rPr>
              <w:t>71</w:t>
            </w:r>
          </w:p>
        </w:tc>
      </w:tr>
      <w:tr w:rsidR="00BA4764" w:rsidRPr="004C12C9" w14:paraId="0AE293FB" w14:textId="77777777" w:rsidTr="00F10ADF">
        <w:trPr>
          <w:trHeight w:val="290"/>
        </w:trPr>
        <w:tc>
          <w:tcPr>
            <w:tcW w:w="3323" w:type="dxa"/>
            <w:shd w:val="clear" w:color="auto" w:fill="FFFFFF" w:themeFill="background1"/>
            <w:noWrap/>
            <w:vAlign w:val="center"/>
          </w:tcPr>
          <w:p w14:paraId="2C8989FE" w14:textId="77777777" w:rsidR="00BA4764" w:rsidRPr="004C12C9" w:rsidRDefault="00BA4764" w:rsidP="00E15FC5">
            <w:pPr>
              <w:pStyle w:val="ICFTabletext"/>
              <w:rPr>
                <w:color w:val="000000"/>
              </w:rPr>
            </w:pPr>
            <w:r w:rsidRPr="004C12C9">
              <w:t>Kerosene</w:t>
            </w:r>
          </w:p>
        </w:tc>
        <w:tc>
          <w:tcPr>
            <w:tcW w:w="2249" w:type="dxa"/>
            <w:shd w:val="clear" w:color="auto" w:fill="FFFFFF" w:themeFill="background1"/>
            <w:noWrap/>
            <w:vAlign w:val="bottom"/>
          </w:tcPr>
          <w:p w14:paraId="337F9F27" w14:textId="72257202" w:rsidR="00BA4764" w:rsidRPr="004C12C9" w:rsidRDefault="00BA4764" w:rsidP="00B2094B">
            <w:pPr>
              <w:pStyle w:val="ICFTabletext"/>
              <w:jc w:val="center"/>
              <w:rPr>
                <w:color w:val="000000"/>
              </w:rPr>
            </w:pPr>
            <w:r w:rsidRPr="004C12C9">
              <w:rPr>
                <w:color w:val="000000"/>
              </w:rPr>
              <w:t>16.</w:t>
            </w:r>
            <w:r w:rsidR="00F10ADF" w:rsidRPr="004C12C9">
              <w:rPr>
                <w:color w:val="000000"/>
              </w:rPr>
              <w:t>11</w:t>
            </w:r>
          </w:p>
        </w:tc>
        <w:tc>
          <w:tcPr>
            <w:tcW w:w="2249" w:type="dxa"/>
            <w:shd w:val="clear" w:color="auto" w:fill="FFFFFF" w:themeFill="background1"/>
            <w:noWrap/>
            <w:vAlign w:val="bottom"/>
          </w:tcPr>
          <w:p w14:paraId="420978C1" w14:textId="77777777" w:rsidR="00BA4764" w:rsidRPr="004C12C9" w:rsidRDefault="00BA4764" w:rsidP="00B2094B">
            <w:pPr>
              <w:pStyle w:val="ICFTabletext"/>
              <w:jc w:val="center"/>
              <w:rPr>
                <w:color w:val="000000"/>
              </w:rPr>
            </w:pPr>
            <w:r w:rsidRPr="004C12C9">
              <w:rPr>
                <w:color w:val="000000"/>
              </w:rPr>
              <w:t>75.44</w:t>
            </w:r>
          </w:p>
        </w:tc>
        <w:tc>
          <w:tcPr>
            <w:tcW w:w="2249" w:type="dxa"/>
            <w:shd w:val="clear" w:color="auto" w:fill="FFFFFF" w:themeFill="background1"/>
            <w:noWrap/>
            <w:vAlign w:val="bottom"/>
          </w:tcPr>
          <w:p w14:paraId="006A58F0" w14:textId="4416406F" w:rsidR="00BA4764" w:rsidRPr="004C12C9" w:rsidRDefault="00BA4764" w:rsidP="00B2094B">
            <w:pPr>
              <w:pStyle w:val="ICFTabletext"/>
              <w:jc w:val="center"/>
              <w:rPr>
                <w:color w:val="000000"/>
              </w:rPr>
            </w:pPr>
            <w:r w:rsidRPr="004C12C9">
              <w:rPr>
                <w:color w:val="000000"/>
              </w:rPr>
              <w:t>91.</w:t>
            </w:r>
            <w:r w:rsidR="00F10ADF" w:rsidRPr="004C12C9">
              <w:rPr>
                <w:color w:val="000000"/>
              </w:rPr>
              <w:t>55</w:t>
            </w:r>
          </w:p>
        </w:tc>
      </w:tr>
      <w:tr w:rsidR="00BA4764" w:rsidRPr="004C12C9" w14:paraId="6625B1C8" w14:textId="77777777" w:rsidTr="00F10ADF">
        <w:trPr>
          <w:trHeight w:val="290"/>
        </w:trPr>
        <w:tc>
          <w:tcPr>
            <w:tcW w:w="3323" w:type="dxa"/>
            <w:shd w:val="clear" w:color="auto" w:fill="FFFFFF" w:themeFill="background1"/>
            <w:noWrap/>
            <w:vAlign w:val="center"/>
          </w:tcPr>
          <w:p w14:paraId="3153BEC8" w14:textId="77777777" w:rsidR="00BA4764" w:rsidRPr="004C12C9" w:rsidRDefault="00BA4764" w:rsidP="00E15FC5">
            <w:pPr>
              <w:pStyle w:val="ICFTabletext"/>
              <w:rPr>
                <w:color w:val="000000"/>
              </w:rPr>
            </w:pPr>
            <w:r w:rsidRPr="004C12C9">
              <w:t>Kerosene Jet Fuel</w:t>
            </w:r>
          </w:p>
        </w:tc>
        <w:tc>
          <w:tcPr>
            <w:tcW w:w="2249" w:type="dxa"/>
            <w:shd w:val="clear" w:color="auto" w:fill="FFFFFF" w:themeFill="background1"/>
            <w:noWrap/>
            <w:vAlign w:val="bottom"/>
          </w:tcPr>
          <w:p w14:paraId="74CABF47" w14:textId="78AA0043" w:rsidR="00BA4764" w:rsidRPr="004C12C9" w:rsidRDefault="00BA4764" w:rsidP="00B2094B">
            <w:pPr>
              <w:pStyle w:val="ICFTabletext"/>
              <w:jc w:val="center"/>
              <w:rPr>
                <w:color w:val="000000"/>
              </w:rPr>
            </w:pPr>
            <w:r w:rsidRPr="004C12C9">
              <w:rPr>
                <w:color w:val="000000"/>
              </w:rPr>
              <w:t>11.</w:t>
            </w:r>
            <w:r w:rsidR="00F10ADF" w:rsidRPr="004C12C9">
              <w:rPr>
                <w:color w:val="000000"/>
              </w:rPr>
              <w:t>85</w:t>
            </w:r>
          </w:p>
        </w:tc>
        <w:tc>
          <w:tcPr>
            <w:tcW w:w="2249" w:type="dxa"/>
            <w:shd w:val="clear" w:color="auto" w:fill="FFFFFF" w:themeFill="background1"/>
            <w:noWrap/>
            <w:vAlign w:val="bottom"/>
          </w:tcPr>
          <w:p w14:paraId="21190D54" w14:textId="77777777" w:rsidR="00BA4764" w:rsidRPr="004C12C9" w:rsidRDefault="00BA4764" w:rsidP="00B2094B">
            <w:pPr>
              <w:pStyle w:val="ICFTabletext"/>
              <w:jc w:val="center"/>
              <w:rPr>
                <w:color w:val="000000"/>
              </w:rPr>
            </w:pPr>
            <w:r w:rsidRPr="004C12C9">
              <w:rPr>
                <w:color w:val="000000"/>
              </w:rPr>
              <w:t>72.46</w:t>
            </w:r>
          </w:p>
        </w:tc>
        <w:tc>
          <w:tcPr>
            <w:tcW w:w="2249" w:type="dxa"/>
            <w:shd w:val="clear" w:color="auto" w:fill="FFFFFF" w:themeFill="background1"/>
            <w:noWrap/>
            <w:vAlign w:val="bottom"/>
          </w:tcPr>
          <w:p w14:paraId="59211B6B" w14:textId="1A52829F" w:rsidR="00BA4764" w:rsidRPr="004C12C9" w:rsidRDefault="00BA4764" w:rsidP="00B2094B">
            <w:pPr>
              <w:pStyle w:val="ICFTabletext"/>
              <w:jc w:val="center"/>
              <w:rPr>
                <w:color w:val="000000"/>
              </w:rPr>
            </w:pPr>
            <w:r w:rsidRPr="004C12C9">
              <w:rPr>
                <w:color w:val="000000"/>
              </w:rPr>
              <w:t>84.</w:t>
            </w:r>
            <w:r w:rsidR="00F10ADF" w:rsidRPr="004C12C9">
              <w:rPr>
                <w:color w:val="000000"/>
              </w:rPr>
              <w:t>31</w:t>
            </w:r>
          </w:p>
        </w:tc>
      </w:tr>
    </w:tbl>
    <w:p w14:paraId="4F2244A9" w14:textId="14B85BAC" w:rsidR="00BA4764" w:rsidRPr="004C12C9" w:rsidRDefault="00BA4764" w:rsidP="00B2094B">
      <w:pPr>
        <w:pStyle w:val="TableFooter"/>
      </w:pPr>
      <w:r w:rsidRPr="004C12C9">
        <w:rPr>
          <w:color w:val="000000"/>
          <w:sz w:val="20"/>
          <w:szCs w:val="20"/>
          <w:vertAlign w:val="superscript"/>
        </w:rPr>
        <w:t>a</w:t>
      </w:r>
      <w:r w:rsidRPr="004C12C9">
        <w:t xml:space="preserve"> Reflects the upstream emissions factor for Conventional Diesel from GREET</w:t>
      </w:r>
      <w:r w:rsidR="00A4624A" w:rsidRPr="004C12C9">
        <w:t xml:space="preserve"> </w:t>
      </w:r>
      <w:r w:rsidRPr="004C12C9">
        <w:t>1 2024.</w:t>
      </w:r>
    </w:p>
    <w:p w14:paraId="70B0DCA9" w14:textId="6805DD66" w:rsidR="00BA4764" w:rsidRPr="004C12C9" w:rsidRDefault="00BA4764" w:rsidP="00B2094B">
      <w:pPr>
        <w:pStyle w:val="TableFooter"/>
      </w:pPr>
      <w:r w:rsidRPr="004C12C9">
        <w:t>* Values shown are based on AR</w:t>
      </w:r>
      <w:r w:rsidR="00F10ADF" w:rsidRPr="004C12C9">
        <w:t>5</w:t>
      </w:r>
      <w:r w:rsidRPr="004C12C9">
        <w:t xml:space="preserve"> global warming potentials.</w:t>
      </w:r>
    </w:p>
    <w:p w14:paraId="57FB75BA" w14:textId="41E52273" w:rsidR="00BA4764" w:rsidRPr="004C12C9" w:rsidRDefault="00BA4764" w:rsidP="00F227F0">
      <w:pPr>
        <w:pStyle w:val="Heading4"/>
      </w:pPr>
      <w:r w:rsidRPr="004C12C9">
        <w:t>Biofuels</w:t>
      </w:r>
    </w:p>
    <w:p w14:paraId="29BE41C2" w14:textId="7E107D62" w:rsidR="7DC71045" w:rsidRPr="004C12C9" w:rsidRDefault="00BA4764">
      <w:r w:rsidRPr="004C12C9">
        <w:t xml:space="preserve">Emissions from biofuel products include emissions tied to feedstock production, transportation, and the refining/processing of feedstocks into biofuels, along with emissions tied to the transportation, distribution, storage, and combustion of the finished biofuel products. Emissions are applicable to projects that expand the delivery capacity of biofuels (e.g., pipelines, processing plants, storage). </w:t>
      </w:r>
      <w:r w:rsidR="008115CA" w:rsidRPr="004C12C9">
        <w:t xml:space="preserve">The </w:t>
      </w:r>
      <w:r w:rsidR="007640AF" w:rsidRPr="004C12C9">
        <w:t xml:space="preserve">calculator </w:t>
      </w:r>
      <w:r w:rsidR="008115CA" w:rsidRPr="004C12C9">
        <w:t xml:space="preserve">quantifies emissions </w:t>
      </w:r>
      <w:r w:rsidR="008115CA" w:rsidRPr="004C12C9">
        <w:rPr>
          <w:rFonts w:eastAsia="MS PGothic"/>
        </w:rPr>
        <w:t xml:space="preserve">from </w:t>
      </w:r>
      <w:r w:rsidR="008115CA" w:rsidRPr="004C12C9">
        <w:t>biofuel products based on estimates of additional product throughput, the heat content of the biofuel product, and a fuel-specific emission factor, as shown in</w:t>
      </w:r>
      <w:r w:rsidR="00EE17B4">
        <w:t xml:space="preserve"> </w:t>
      </w:r>
      <w:r w:rsidR="00EE17B4">
        <w:fldChar w:fldCharType="begin"/>
      </w:r>
      <w:r w:rsidR="00EE17B4">
        <w:instrText xml:space="preserve"> REF _Ref195776271 \h </w:instrText>
      </w:r>
      <w:r w:rsidR="00EE17B4">
        <w:fldChar w:fldCharType="separate"/>
      </w:r>
      <w:r w:rsidR="00EE17B4" w:rsidRPr="004C12C9">
        <w:t xml:space="preserve">Equation </w:t>
      </w:r>
      <w:r w:rsidR="00EE17B4">
        <w:rPr>
          <w:noProof/>
        </w:rPr>
        <w:t>18</w:t>
      </w:r>
      <w:r w:rsidR="00EE17B4">
        <w:fldChar w:fldCharType="end"/>
      </w:r>
      <w:r w:rsidR="008115CA" w:rsidRPr="004C12C9">
        <w:t>.</w:t>
      </w:r>
    </w:p>
    <w:p w14:paraId="21884287" w14:textId="59A71D30" w:rsidR="000F56CE" w:rsidRPr="004C12C9" w:rsidRDefault="000F56CE" w:rsidP="000F56CE">
      <w:pPr>
        <w:pStyle w:val="Caption"/>
      </w:pPr>
      <w:bookmarkStart w:id="178" w:name="_Ref195776271"/>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18</w:t>
      </w:r>
      <w:r w:rsidR="00127094">
        <w:fldChar w:fldCharType="end"/>
      </w:r>
      <w:bookmarkEnd w:id="178"/>
      <w:r w:rsidRPr="004C12C9">
        <w:t>. GHG Emissions f</w:t>
      </w:r>
      <w:r w:rsidR="002C4DD0" w:rsidRPr="004C12C9">
        <w:t>rom</w:t>
      </w:r>
      <w:r w:rsidRPr="004C12C9">
        <w:t xml:space="preserve"> Biofuels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8270"/>
      </w:tblGrid>
      <w:tr w:rsidR="7DC71045" w:rsidRPr="004C12C9" w14:paraId="45F825C9" w14:textId="77777777" w:rsidTr="7DC71045">
        <w:trPr>
          <w:trHeight w:val="300"/>
        </w:trPr>
        <w:tc>
          <w:tcPr>
            <w:tcW w:w="10070" w:type="dxa"/>
            <w:gridSpan w:val="2"/>
            <w:shd w:val="clear" w:color="auto" w:fill="F2F2F2" w:themeFill="background1" w:themeFillShade="F2"/>
          </w:tcPr>
          <w:p w14:paraId="3DD16A86" w14:textId="7E1910E1" w:rsidR="00091F2B" w:rsidRPr="004C12C9" w:rsidRDefault="000002AA" w:rsidP="7DC71045">
            <w:pPr>
              <w:pStyle w:val="Equation"/>
              <w:rPr>
                <w:noProof w:val="0"/>
              </w:rPr>
            </w:pPr>
            <m:oMathPara>
              <m:oMath>
                <m:r>
                  <w:rPr>
                    <w:noProof w:val="0"/>
                  </w:rPr>
                  <m:t>annual GHG emissions=</m:t>
                </m:r>
                <m:d>
                  <m:dPr>
                    <m:ctrlPr>
                      <w:rPr>
                        <w:noProof w:val="0"/>
                      </w:rPr>
                    </m:ctrlPr>
                  </m:dPr>
                  <m:e>
                    <m:r>
                      <w:rPr>
                        <w:noProof w:val="0"/>
                      </w:rPr>
                      <m:t xml:space="preserve">throughput× </m:t>
                    </m:r>
                    <m:sSub>
                      <m:sSubPr>
                        <m:ctrlPr>
                          <w:rPr>
                            <w:noProof w:val="0"/>
                          </w:rPr>
                        </m:ctrlPr>
                      </m:sSubPr>
                      <m:e>
                        <m:r>
                          <w:rPr>
                            <w:noProof w:val="0"/>
                          </w:rPr>
                          <m:t>heat content</m:t>
                        </m:r>
                      </m:e>
                      <m:sub>
                        <m:r>
                          <w:rPr>
                            <w:noProof w:val="0"/>
                          </w:rPr>
                          <m:t>p</m:t>
                        </m:r>
                      </m:sub>
                    </m:sSub>
                    <m:r>
                      <w:rPr>
                        <w:noProof w:val="0"/>
                      </w:rPr>
                      <m:t>×</m:t>
                    </m:r>
                    <m:sSub>
                      <m:sSubPr>
                        <m:ctrlPr>
                          <w:rPr>
                            <w:noProof w:val="0"/>
                          </w:rPr>
                        </m:ctrlPr>
                      </m:sSubPr>
                      <m:e>
                        <m:r>
                          <w:rPr>
                            <w:noProof w:val="0"/>
                          </w:rPr>
                          <m:t>emission factor</m:t>
                        </m:r>
                      </m:e>
                      <m:sub>
                        <m:r>
                          <w:rPr>
                            <w:noProof w:val="0"/>
                          </w:rPr>
                          <m:t>p</m:t>
                        </m:r>
                      </m:sub>
                    </m:sSub>
                  </m:e>
                </m:d>
              </m:oMath>
            </m:oMathPara>
          </w:p>
          <w:p w14:paraId="11E3ADE9" w14:textId="77777777" w:rsidR="7DC71045" w:rsidRPr="004C12C9" w:rsidRDefault="7DC71045" w:rsidP="7DC71045">
            <w:pPr>
              <w:rPr>
                <w:i/>
                <w:iCs/>
              </w:rPr>
            </w:pPr>
            <w:r w:rsidRPr="004C12C9">
              <w:rPr>
                <w:i/>
                <w:iCs/>
                <w:sz w:val="20"/>
                <w:szCs w:val="20"/>
              </w:rPr>
              <w:t xml:space="preserve">where, </w:t>
            </w:r>
          </w:p>
        </w:tc>
      </w:tr>
      <w:tr w:rsidR="7DC71045" w:rsidRPr="004C12C9" w14:paraId="07FE661C" w14:textId="77777777" w:rsidTr="7DC71045">
        <w:trPr>
          <w:trHeight w:val="300"/>
        </w:trPr>
        <w:tc>
          <w:tcPr>
            <w:tcW w:w="1800" w:type="dxa"/>
            <w:shd w:val="clear" w:color="auto" w:fill="F2F2F2" w:themeFill="background1" w:themeFillShade="F2"/>
          </w:tcPr>
          <w:p w14:paraId="445720A4" w14:textId="7F7738FB" w:rsidR="7DC71045" w:rsidRPr="004C12C9" w:rsidRDefault="7DC71045" w:rsidP="7DC71045">
            <w:pPr>
              <w:pStyle w:val="Equation"/>
              <w:spacing w:before="0" w:after="0"/>
              <w:jc w:val="left"/>
              <w:rPr>
                <w:rFonts w:asciiTheme="minorHAnsi" w:eastAsia="Arial" w:hAnsiTheme="minorHAnsi" w:cstheme="minorBidi"/>
                <w:i w:val="0"/>
                <w:noProof w:val="0"/>
                <w:color w:val="auto"/>
                <w:sz w:val="20"/>
                <w:szCs w:val="20"/>
              </w:rPr>
            </w:pPr>
            <w:r w:rsidRPr="004C12C9">
              <w:rPr>
                <w:rFonts w:asciiTheme="minorHAnsi" w:eastAsia="Arial" w:hAnsiTheme="minorHAnsi" w:cstheme="minorBidi"/>
                <w:i w:val="0"/>
                <w:noProof w:val="0"/>
                <w:color w:val="auto"/>
                <w:sz w:val="20"/>
                <w:szCs w:val="20"/>
              </w:rPr>
              <w:t>throughput</w:t>
            </w:r>
          </w:p>
          <w:p w14:paraId="02B5B7F1" w14:textId="303BF7E0" w:rsidR="7DC71045" w:rsidRPr="004C12C9" w:rsidRDefault="7DC71045" w:rsidP="7DC71045">
            <w:pPr>
              <w:pStyle w:val="Equation"/>
              <w:spacing w:before="0" w:after="0"/>
              <w:jc w:val="left"/>
              <w:rPr>
                <w:rFonts w:asciiTheme="minorHAnsi" w:eastAsia="Arial" w:hAnsiTheme="minorHAnsi" w:cstheme="minorBidi"/>
                <w:i w:val="0"/>
                <w:noProof w:val="0"/>
                <w:sz w:val="20"/>
                <w:szCs w:val="20"/>
              </w:rPr>
            </w:pPr>
            <w:r w:rsidRPr="004C12C9">
              <w:rPr>
                <w:rFonts w:asciiTheme="minorHAnsi" w:eastAsia="Arial" w:hAnsiTheme="minorHAnsi" w:cstheme="minorBidi"/>
                <w:i w:val="0"/>
                <w:noProof w:val="0"/>
                <w:sz w:val="20"/>
                <w:szCs w:val="20"/>
              </w:rPr>
              <w:t>heat content</w:t>
            </w:r>
          </w:p>
          <w:p w14:paraId="1CE6B26E" w14:textId="01C994F1" w:rsidR="7DC71045" w:rsidRPr="004C12C9" w:rsidRDefault="7DC71045" w:rsidP="7DC71045">
            <w:pPr>
              <w:pStyle w:val="Equation"/>
              <w:spacing w:before="0" w:after="0"/>
              <w:jc w:val="left"/>
              <w:rPr>
                <w:rFonts w:asciiTheme="minorHAnsi" w:eastAsia="Arial" w:hAnsiTheme="minorHAnsi" w:cstheme="minorBidi"/>
                <w:noProof w:val="0"/>
                <w:sz w:val="20"/>
                <w:szCs w:val="20"/>
              </w:rPr>
            </w:pPr>
            <w:r w:rsidRPr="004C12C9">
              <w:rPr>
                <w:rFonts w:asciiTheme="minorHAnsi" w:eastAsia="Arial" w:hAnsiTheme="minorHAnsi" w:cstheme="minorBidi"/>
                <w:i w:val="0"/>
                <w:noProof w:val="0"/>
                <w:color w:val="auto"/>
                <w:sz w:val="20"/>
                <w:szCs w:val="20"/>
              </w:rPr>
              <w:t>E</w:t>
            </w:r>
            <w:r w:rsidR="007D1384" w:rsidRPr="004C12C9">
              <w:rPr>
                <w:rFonts w:asciiTheme="minorHAnsi" w:eastAsia="Arial" w:hAnsiTheme="minorHAnsi" w:cstheme="minorBidi"/>
                <w:i w:val="0"/>
                <w:noProof w:val="0"/>
                <w:color w:val="auto"/>
                <w:sz w:val="20"/>
                <w:szCs w:val="20"/>
              </w:rPr>
              <w:t>mission factor</w:t>
            </w:r>
          </w:p>
        </w:tc>
        <w:tc>
          <w:tcPr>
            <w:tcW w:w="8270" w:type="dxa"/>
            <w:shd w:val="clear" w:color="auto" w:fill="F2F2F2" w:themeFill="background1" w:themeFillShade="F2"/>
          </w:tcPr>
          <w:p w14:paraId="675C5677" w14:textId="12C8AD90" w:rsidR="7DC71045" w:rsidRPr="004C12C9" w:rsidRDefault="7DC71045" w:rsidP="7DC71045">
            <w:pPr>
              <w:pStyle w:val="Equation"/>
              <w:spacing w:before="0" w:after="0"/>
              <w:ind w:left="165" w:hanging="165"/>
              <w:jc w:val="left"/>
              <w:rPr>
                <w:rFonts w:asciiTheme="minorHAnsi" w:eastAsia="Arial" w:hAnsiTheme="minorHAnsi" w:cstheme="minorBidi"/>
                <w:i w:val="0"/>
                <w:noProof w:val="0"/>
                <w:sz w:val="20"/>
                <w:szCs w:val="20"/>
              </w:rPr>
            </w:pPr>
            <w:r w:rsidRPr="004C12C9">
              <w:rPr>
                <w:rFonts w:asciiTheme="minorHAnsi" w:eastAsia="Arial" w:hAnsiTheme="minorHAnsi" w:cstheme="minorBidi"/>
                <w:i w:val="0"/>
                <w:noProof w:val="0"/>
                <w:color w:val="auto"/>
                <w:sz w:val="20"/>
                <w:szCs w:val="20"/>
              </w:rPr>
              <w:t xml:space="preserve">= </w:t>
            </w:r>
            <w:r w:rsidRPr="004C12C9">
              <w:rPr>
                <w:rFonts w:asciiTheme="minorHAnsi" w:eastAsia="Arial" w:hAnsiTheme="minorHAnsi" w:cstheme="minorBidi"/>
                <w:i w:val="0"/>
                <w:noProof w:val="0"/>
                <w:sz w:val="20"/>
                <w:szCs w:val="20"/>
              </w:rPr>
              <w:t xml:space="preserve">Amount of additional </w:t>
            </w:r>
            <w:r w:rsidR="008D1ADC" w:rsidRPr="004C12C9">
              <w:rPr>
                <w:rFonts w:asciiTheme="minorHAnsi" w:eastAsia="Arial" w:hAnsiTheme="minorHAnsi" w:cstheme="minorBidi"/>
                <w:i w:val="0"/>
                <w:noProof w:val="0"/>
                <w:sz w:val="20"/>
                <w:szCs w:val="20"/>
              </w:rPr>
              <w:t>biofuel</w:t>
            </w:r>
            <w:r w:rsidRPr="004C12C9">
              <w:rPr>
                <w:rFonts w:asciiTheme="minorHAnsi" w:eastAsia="Arial" w:hAnsiTheme="minorHAnsi" w:cstheme="minorBidi"/>
                <w:i w:val="0"/>
                <w:noProof w:val="0"/>
                <w:sz w:val="20"/>
                <w:szCs w:val="20"/>
              </w:rPr>
              <w:t xml:space="preserve"> product (gallons/year</w:t>
            </w:r>
            <w:r w:rsidR="0E87F8F4" w:rsidRPr="004C12C9">
              <w:rPr>
                <w:rFonts w:asciiTheme="minorHAnsi" w:eastAsia="Arial" w:hAnsiTheme="minorHAnsi" w:cstheme="minorBidi"/>
                <w:i w:val="0"/>
                <w:noProof w:val="0"/>
                <w:sz w:val="20"/>
                <w:szCs w:val="20"/>
              </w:rPr>
              <w:t xml:space="preserve"> or cubic ft/year</w:t>
            </w:r>
            <w:r w:rsidRPr="004C12C9">
              <w:rPr>
                <w:rFonts w:asciiTheme="minorHAnsi" w:eastAsia="Arial" w:hAnsiTheme="minorHAnsi" w:cstheme="minorBidi"/>
                <w:i w:val="0"/>
                <w:noProof w:val="0"/>
                <w:sz w:val="20"/>
                <w:szCs w:val="20"/>
              </w:rPr>
              <w:t>)</w:t>
            </w:r>
          </w:p>
          <w:p w14:paraId="53E64CF3" w14:textId="209429C9" w:rsidR="7DC71045" w:rsidRPr="004C12C9" w:rsidRDefault="7DC71045" w:rsidP="7DC71045">
            <w:pPr>
              <w:pStyle w:val="Equation"/>
              <w:spacing w:before="0" w:after="0"/>
              <w:ind w:left="165" w:hanging="165"/>
              <w:jc w:val="left"/>
              <w:rPr>
                <w:rFonts w:asciiTheme="minorHAnsi" w:eastAsia="Arial" w:hAnsiTheme="minorHAnsi" w:cstheme="minorBidi"/>
                <w:i w:val="0"/>
                <w:noProof w:val="0"/>
                <w:sz w:val="20"/>
                <w:szCs w:val="20"/>
              </w:rPr>
            </w:pPr>
            <w:r w:rsidRPr="004C12C9">
              <w:rPr>
                <w:rFonts w:asciiTheme="minorHAnsi" w:eastAsia="Arial" w:hAnsiTheme="minorHAnsi" w:cstheme="minorBidi"/>
                <w:i w:val="0"/>
                <w:noProof w:val="0"/>
                <w:color w:val="auto"/>
                <w:sz w:val="20"/>
                <w:szCs w:val="20"/>
              </w:rPr>
              <w:t xml:space="preserve">= </w:t>
            </w:r>
            <w:r w:rsidRPr="004C12C9">
              <w:rPr>
                <w:rFonts w:asciiTheme="minorHAnsi" w:eastAsia="Arial" w:hAnsiTheme="minorHAnsi" w:cstheme="minorBidi"/>
                <w:i w:val="0"/>
                <w:noProof w:val="0"/>
                <w:sz w:val="20"/>
                <w:szCs w:val="20"/>
              </w:rPr>
              <w:t xml:space="preserve">Heat content conversion factor for </w:t>
            </w:r>
            <w:r w:rsidR="4CEBB935" w:rsidRPr="004C12C9">
              <w:rPr>
                <w:rFonts w:asciiTheme="minorHAnsi" w:eastAsia="Arial" w:hAnsiTheme="minorHAnsi" w:cstheme="minorBidi"/>
                <w:i w:val="0"/>
                <w:noProof w:val="0"/>
                <w:sz w:val="20"/>
                <w:szCs w:val="20"/>
              </w:rPr>
              <w:t>biofuel</w:t>
            </w:r>
            <w:r w:rsidRPr="004C12C9">
              <w:rPr>
                <w:rFonts w:asciiTheme="minorHAnsi" w:eastAsia="Arial" w:hAnsiTheme="minorHAnsi" w:cstheme="minorBidi"/>
                <w:i w:val="0"/>
                <w:noProof w:val="0"/>
                <w:sz w:val="20"/>
                <w:szCs w:val="20"/>
              </w:rPr>
              <w:t xml:space="preserve"> product (Btu/gallon</w:t>
            </w:r>
            <w:r w:rsidR="7653E1DD" w:rsidRPr="004C12C9">
              <w:rPr>
                <w:rFonts w:asciiTheme="minorHAnsi" w:eastAsia="Arial" w:hAnsiTheme="minorHAnsi" w:cstheme="minorBidi"/>
                <w:i w:val="0"/>
                <w:noProof w:val="0"/>
                <w:sz w:val="20"/>
                <w:szCs w:val="20"/>
              </w:rPr>
              <w:t xml:space="preserve"> or Btu/cubic ft</w:t>
            </w:r>
            <w:r w:rsidRPr="004C12C9">
              <w:rPr>
                <w:rFonts w:asciiTheme="minorHAnsi" w:eastAsia="Arial" w:hAnsiTheme="minorHAnsi" w:cstheme="minorBidi"/>
                <w:i w:val="0"/>
                <w:noProof w:val="0"/>
                <w:sz w:val="20"/>
                <w:szCs w:val="20"/>
              </w:rPr>
              <w:t>)</w:t>
            </w:r>
          </w:p>
          <w:p w14:paraId="3F393883" w14:textId="37954DA7" w:rsidR="7DC71045" w:rsidRPr="004C12C9" w:rsidRDefault="7DC71045" w:rsidP="7DC71045">
            <w:pPr>
              <w:pStyle w:val="Equation"/>
              <w:spacing w:before="0" w:after="0"/>
              <w:ind w:left="165" w:hanging="165"/>
              <w:jc w:val="left"/>
              <w:rPr>
                <w:rFonts w:asciiTheme="minorHAnsi" w:eastAsia="Arial" w:hAnsiTheme="minorHAnsi" w:cstheme="minorBidi"/>
                <w:i w:val="0"/>
                <w:noProof w:val="0"/>
                <w:color w:val="auto"/>
                <w:sz w:val="20"/>
                <w:szCs w:val="20"/>
              </w:rPr>
            </w:pPr>
            <w:r w:rsidRPr="004C12C9">
              <w:rPr>
                <w:rFonts w:asciiTheme="minorHAnsi" w:eastAsia="Arial" w:hAnsiTheme="minorHAnsi" w:cstheme="minorBidi"/>
                <w:i w:val="0"/>
                <w:noProof w:val="0"/>
                <w:color w:val="auto"/>
                <w:sz w:val="20"/>
                <w:szCs w:val="20"/>
              </w:rPr>
              <w:t xml:space="preserve">= </w:t>
            </w:r>
            <w:r w:rsidRPr="004C12C9">
              <w:rPr>
                <w:rFonts w:asciiTheme="minorHAnsi" w:eastAsia="Arial" w:hAnsiTheme="minorHAnsi" w:cstheme="minorBidi"/>
                <w:i w:val="0"/>
                <w:noProof w:val="0"/>
                <w:sz w:val="20"/>
                <w:szCs w:val="20"/>
              </w:rPr>
              <w:t xml:space="preserve">Life cycle </w:t>
            </w:r>
            <w:r w:rsidR="38EA002B" w:rsidRPr="004C12C9">
              <w:rPr>
                <w:rFonts w:asciiTheme="minorHAnsi" w:eastAsia="Arial" w:hAnsiTheme="minorHAnsi" w:cstheme="minorBidi"/>
                <w:i w:val="0"/>
                <w:noProof w:val="0"/>
                <w:sz w:val="20"/>
                <w:szCs w:val="20"/>
              </w:rPr>
              <w:t>biofuel product emissions from feedstock production through fuel combustion</w:t>
            </w:r>
            <w:r w:rsidRPr="004C12C9">
              <w:rPr>
                <w:rFonts w:asciiTheme="minorHAnsi" w:eastAsia="Arial" w:hAnsiTheme="minorHAnsi" w:cstheme="minorBidi"/>
                <w:i w:val="0"/>
                <w:noProof w:val="0"/>
                <w:sz w:val="20"/>
                <w:szCs w:val="20"/>
              </w:rPr>
              <w:t xml:space="preserve"> (kgCO</w:t>
            </w:r>
            <w:r w:rsidRPr="004C12C9">
              <w:rPr>
                <w:rFonts w:asciiTheme="minorHAnsi" w:eastAsia="Arial" w:hAnsiTheme="minorHAnsi" w:cstheme="minorBidi"/>
                <w:i w:val="0"/>
                <w:noProof w:val="0"/>
                <w:sz w:val="20"/>
                <w:szCs w:val="20"/>
                <w:vertAlign w:val="subscript"/>
              </w:rPr>
              <w:t>2</w:t>
            </w:r>
            <w:r w:rsidRPr="004C12C9">
              <w:rPr>
                <w:rFonts w:asciiTheme="minorHAnsi" w:eastAsia="Arial" w:hAnsiTheme="minorHAnsi" w:cstheme="minorBidi"/>
                <w:i w:val="0"/>
                <w:noProof w:val="0"/>
                <w:sz w:val="20"/>
                <w:szCs w:val="20"/>
              </w:rPr>
              <w:t>e/MMBtu)</w:t>
            </w:r>
          </w:p>
          <w:p w14:paraId="16C516EC" w14:textId="77777777" w:rsidR="7DC71045" w:rsidRPr="004C12C9" w:rsidRDefault="7DC71045" w:rsidP="7DC71045">
            <w:pPr>
              <w:pStyle w:val="Equation"/>
              <w:spacing w:before="0" w:after="0"/>
              <w:ind w:left="165" w:hanging="165"/>
              <w:jc w:val="left"/>
              <w:rPr>
                <w:rFonts w:asciiTheme="minorHAnsi" w:eastAsia="Arial" w:hAnsiTheme="minorHAnsi" w:cstheme="minorBidi"/>
                <w:i w:val="0"/>
                <w:noProof w:val="0"/>
                <w:color w:val="auto"/>
                <w:sz w:val="20"/>
                <w:szCs w:val="20"/>
              </w:rPr>
            </w:pPr>
          </w:p>
        </w:tc>
      </w:tr>
    </w:tbl>
    <w:p w14:paraId="5BBC50DE" w14:textId="77777777" w:rsidR="00BA4764" w:rsidRPr="004C12C9" w:rsidRDefault="00BA4764" w:rsidP="00F227F0">
      <w:pPr>
        <w:pStyle w:val="Heading5"/>
      </w:pPr>
      <w:r w:rsidRPr="004C12C9">
        <w:t>Biofuel Throughput and Heat Content</w:t>
      </w:r>
    </w:p>
    <w:p w14:paraId="62774138" w14:textId="1EA6BFCE" w:rsidR="00BA4764" w:rsidRPr="004C12C9" w:rsidRDefault="00BA4764" w:rsidP="00972CF9">
      <w:r w:rsidRPr="004C12C9">
        <w:t xml:space="preserve">The additional throughput of biofuels as a result of the proposed project will be provided by the user in gallons for liquid fuels and cubic feet for gaseous fuels. </w:t>
      </w:r>
      <w:r w:rsidRPr="004C12C9">
        <w:fldChar w:fldCharType="begin" w:fldLock="1"/>
      </w:r>
      <w:r w:rsidRPr="004C12C9">
        <w:instrText xml:space="preserve"> REF _Ref189044741 \h  \* MERGEFORMAT </w:instrText>
      </w:r>
      <w:r w:rsidRPr="004C12C9">
        <w:fldChar w:fldCharType="separate"/>
      </w:r>
      <w:r w:rsidR="00127094" w:rsidRPr="004C12C9">
        <w:t>Table 3</w:t>
      </w:r>
      <w:r w:rsidR="00127094" w:rsidRPr="004C12C9">
        <w:noBreakHyphen/>
        <w:t>15</w:t>
      </w:r>
      <w:r w:rsidRPr="004C12C9">
        <w:fldChar w:fldCharType="end"/>
      </w:r>
      <w:r w:rsidRPr="004C12C9">
        <w:t xml:space="preserve"> below lists the biofuels that </w:t>
      </w:r>
      <w:r w:rsidR="007D1384" w:rsidRPr="004C12C9">
        <w:t>are</w:t>
      </w:r>
      <w:r w:rsidRPr="004C12C9">
        <w:t xml:space="preserve"> included in the </w:t>
      </w:r>
      <w:r w:rsidR="007640AF" w:rsidRPr="004C12C9">
        <w:t xml:space="preserve">calculator </w:t>
      </w:r>
      <w:r w:rsidRPr="004C12C9">
        <w:t>and their assumed heat content from the EPA Emission Factors Hub.</w:t>
      </w:r>
      <w:r w:rsidR="007D1384" w:rsidRPr="004C12C9">
        <w:rPr>
          <w:rStyle w:val="FootnoteReference"/>
        </w:rPr>
        <w:footnoteReference w:id="98"/>
      </w:r>
    </w:p>
    <w:p w14:paraId="140DE2C1" w14:textId="361D9D05" w:rsidR="00BA4764" w:rsidRPr="004C12C9" w:rsidRDefault="00BA4764" w:rsidP="00972CF9">
      <w:pPr>
        <w:pStyle w:val="Caption"/>
      </w:pPr>
      <w:bookmarkStart w:id="179" w:name="_Ref18904474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15</w:t>
      </w:r>
      <w:r w:rsidR="00F72B41">
        <w:fldChar w:fldCharType="end"/>
      </w:r>
      <w:bookmarkEnd w:id="179"/>
      <w:r w:rsidRPr="004C12C9">
        <w:t>. Heat Content of Biofuel Products</w:t>
      </w:r>
    </w:p>
    <w:tbl>
      <w:tblPr>
        <w:tblW w:w="391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1"/>
        <w:gridCol w:w="2065"/>
        <w:gridCol w:w="2065"/>
      </w:tblGrid>
      <w:tr w:rsidR="00BA4764" w:rsidRPr="004C12C9" w14:paraId="15AEE115" w14:textId="77777777" w:rsidTr="00560C34">
        <w:trPr>
          <w:trHeight w:val="290"/>
        </w:trPr>
        <w:tc>
          <w:tcPr>
            <w:tcW w:w="3493" w:type="dxa"/>
            <w:shd w:val="clear" w:color="auto" w:fill="D9D9D9" w:themeFill="background1" w:themeFillShade="D9"/>
            <w:noWrap/>
            <w:vAlign w:val="center"/>
            <w:hideMark/>
          </w:tcPr>
          <w:p w14:paraId="73C0BEAE" w14:textId="77777777" w:rsidR="00BA4764" w:rsidRPr="004C12C9" w:rsidRDefault="00BA4764" w:rsidP="00560C34">
            <w:pPr>
              <w:pStyle w:val="ICFTableHeading"/>
            </w:pPr>
            <w:r w:rsidRPr="004C12C9">
              <w:t>Biofuel</w:t>
            </w:r>
          </w:p>
        </w:tc>
        <w:tc>
          <w:tcPr>
            <w:tcW w:w="1917" w:type="dxa"/>
            <w:shd w:val="clear" w:color="auto" w:fill="D9D9D9" w:themeFill="background1" w:themeFillShade="D9"/>
            <w:vAlign w:val="center"/>
            <w:hideMark/>
          </w:tcPr>
          <w:p w14:paraId="44601EBC" w14:textId="77777777" w:rsidR="00BA4764" w:rsidRPr="004C12C9" w:rsidRDefault="00BA4764" w:rsidP="00560C34">
            <w:pPr>
              <w:pStyle w:val="ICFTableHeading"/>
            </w:pPr>
            <w:r w:rsidRPr="004C12C9">
              <w:t xml:space="preserve">Heating Value </w:t>
            </w:r>
          </w:p>
        </w:tc>
        <w:tc>
          <w:tcPr>
            <w:tcW w:w="1917" w:type="dxa"/>
            <w:shd w:val="clear" w:color="auto" w:fill="D9D9D9" w:themeFill="background1" w:themeFillShade="D9"/>
          </w:tcPr>
          <w:p w14:paraId="3687E026" w14:textId="77777777" w:rsidR="00BA4764" w:rsidRPr="004C12C9" w:rsidRDefault="00BA4764" w:rsidP="00560C34">
            <w:pPr>
              <w:pStyle w:val="ICFTableHeading"/>
            </w:pPr>
            <w:r w:rsidRPr="004C12C9">
              <w:t>Units</w:t>
            </w:r>
          </w:p>
        </w:tc>
      </w:tr>
      <w:tr w:rsidR="00BA4764" w:rsidRPr="004C12C9" w14:paraId="4D7B7460" w14:textId="77777777" w:rsidTr="00560C34">
        <w:trPr>
          <w:trHeight w:val="290"/>
        </w:trPr>
        <w:tc>
          <w:tcPr>
            <w:tcW w:w="3493" w:type="dxa"/>
            <w:noWrap/>
            <w:vAlign w:val="center"/>
            <w:hideMark/>
          </w:tcPr>
          <w:p w14:paraId="70FD9CD8" w14:textId="77777777" w:rsidR="00BA4764" w:rsidRPr="004C12C9" w:rsidRDefault="00BA4764" w:rsidP="00560C34">
            <w:pPr>
              <w:pStyle w:val="ICFTabletext"/>
              <w:rPr>
                <w:color w:val="000000"/>
              </w:rPr>
            </w:pPr>
            <w:r w:rsidRPr="004C12C9">
              <w:t xml:space="preserve">Biodiesel 100 </w:t>
            </w:r>
          </w:p>
        </w:tc>
        <w:tc>
          <w:tcPr>
            <w:tcW w:w="1917" w:type="dxa"/>
            <w:noWrap/>
            <w:vAlign w:val="center"/>
            <w:hideMark/>
          </w:tcPr>
          <w:p w14:paraId="4C770FD7" w14:textId="77777777" w:rsidR="00BA4764" w:rsidRPr="004C12C9" w:rsidRDefault="00BA4764" w:rsidP="00560C34">
            <w:pPr>
              <w:pStyle w:val="ICFTabletext"/>
              <w:jc w:val="center"/>
              <w:rPr>
                <w:color w:val="000000"/>
              </w:rPr>
            </w:pPr>
            <w:r w:rsidRPr="004C12C9">
              <w:t>128,000</w:t>
            </w:r>
          </w:p>
        </w:tc>
        <w:tc>
          <w:tcPr>
            <w:tcW w:w="1917" w:type="dxa"/>
            <w:vAlign w:val="center"/>
          </w:tcPr>
          <w:p w14:paraId="0EA7913C" w14:textId="77777777" w:rsidR="00BA4764" w:rsidRPr="004C12C9" w:rsidRDefault="00BA4764" w:rsidP="00560C34">
            <w:pPr>
              <w:pStyle w:val="ICFTabletext"/>
            </w:pPr>
            <w:r w:rsidRPr="004C12C9">
              <w:t>Btu/gallon</w:t>
            </w:r>
          </w:p>
        </w:tc>
      </w:tr>
      <w:tr w:rsidR="00BA4764" w:rsidRPr="004C12C9" w14:paraId="24129DB4" w14:textId="77777777" w:rsidTr="00560C34">
        <w:trPr>
          <w:trHeight w:val="290"/>
        </w:trPr>
        <w:tc>
          <w:tcPr>
            <w:tcW w:w="3493" w:type="dxa"/>
            <w:noWrap/>
            <w:vAlign w:val="center"/>
          </w:tcPr>
          <w:p w14:paraId="142C6EF4" w14:textId="5914802B" w:rsidR="00BA4764" w:rsidRPr="004C12C9" w:rsidRDefault="00BA4764" w:rsidP="00560C34">
            <w:pPr>
              <w:pStyle w:val="ICFTabletext"/>
              <w:rPr>
                <w:color w:val="000000"/>
              </w:rPr>
            </w:pPr>
            <w:r w:rsidRPr="004C12C9">
              <w:t>Biodiesel 20</w:t>
            </w:r>
            <w:r w:rsidRPr="004C12C9">
              <w:rPr>
                <w:rFonts w:asciiTheme="majorHAnsi" w:hAnsiTheme="majorHAnsi"/>
                <w:color w:val="000000"/>
                <w:vertAlign w:val="superscript"/>
              </w:rPr>
              <w:t>a</w:t>
            </w:r>
          </w:p>
        </w:tc>
        <w:tc>
          <w:tcPr>
            <w:tcW w:w="1917" w:type="dxa"/>
            <w:noWrap/>
            <w:vAlign w:val="center"/>
          </w:tcPr>
          <w:p w14:paraId="07A94596" w14:textId="77777777" w:rsidR="00BA4764" w:rsidRPr="004C12C9" w:rsidRDefault="00BA4764" w:rsidP="00560C34">
            <w:pPr>
              <w:pStyle w:val="ICFTabletext"/>
              <w:jc w:val="center"/>
              <w:rPr>
                <w:color w:val="000000"/>
              </w:rPr>
            </w:pPr>
            <w:r w:rsidRPr="004C12C9">
              <w:t>128,000</w:t>
            </w:r>
          </w:p>
        </w:tc>
        <w:tc>
          <w:tcPr>
            <w:tcW w:w="1917" w:type="dxa"/>
            <w:vAlign w:val="center"/>
          </w:tcPr>
          <w:p w14:paraId="03DF2ECA" w14:textId="77777777" w:rsidR="00BA4764" w:rsidRPr="004C12C9" w:rsidRDefault="00BA4764" w:rsidP="00560C34">
            <w:pPr>
              <w:pStyle w:val="ICFTabletext"/>
            </w:pPr>
            <w:r w:rsidRPr="004C12C9">
              <w:t>Btu/gallon</w:t>
            </w:r>
          </w:p>
        </w:tc>
      </w:tr>
      <w:tr w:rsidR="00BA4764" w:rsidRPr="004C12C9" w14:paraId="138EECCF" w14:textId="77777777" w:rsidTr="00560C34">
        <w:trPr>
          <w:trHeight w:val="290"/>
        </w:trPr>
        <w:tc>
          <w:tcPr>
            <w:tcW w:w="3493" w:type="dxa"/>
            <w:noWrap/>
            <w:vAlign w:val="center"/>
          </w:tcPr>
          <w:p w14:paraId="7938BD35" w14:textId="0285C971" w:rsidR="00BA4764" w:rsidRPr="004C12C9" w:rsidRDefault="00BA4764" w:rsidP="00560C34">
            <w:pPr>
              <w:pStyle w:val="ICFTabletext"/>
              <w:rPr>
                <w:color w:val="000000"/>
              </w:rPr>
            </w:pPr>
            <w:r w:rsidRPr="004C12C9">
              <w:t>Renewable Diesel II</w:t>
            </w:r>
            <w:r w:rsidRPr="004C12C9">
              <w:rPr>
                <w:rFonts w:asciiTheme="majorHAnsi" w:hAnsiTheme="majorHAnsi"/>
                <w:color w:val="000000"/>
                <w:vertAlign w:val="superscript"/>
              </w:rPr>
              <w:t>b</w:t>
            </w:r>
          </w:p>
        </w:tc>
        <w:tc>
          <w:tcPr>
            <w:tcW w:w="1917" w:type="dxa"/>
            <w:noWrap/>
            <w:vAlign w:val="center"/>
          </w:tcPr>
          <w:p w14:paraId="10BF8AA6" w14:textId="77777777" w:rsidR="00BA4764" w:rsidRPr="004C12C9" w:rsidRDefault="00BA4764" w:rsidP="00560C34">
            <w:pPr>
              <w:pStyle w:val="ICFTabletext"/>
              <w:jc w:val="center"/>
              <w:rPr>
                <w:color w:val="000000"/>
              </w:rPr>
            </w:pPr>
            <w:r w:rsidRPr="004C12C9">
              <w:t>122,887</w:t>
            </w:r>
          </w:p>
        </w:tc>
        <w:tc>
          <w:tcPr>
            <w:tcW w:w="1917" w:type="dxa"/>
            <w:vAlign w:val="center"/>
          </w:tcPr>
          <w:p w14:paraId="1F36C777" w14:textId="77777777" w:rsidR="00BA4764" w:rsidRPr="004C12C9" w:rsidRDefault="00BA4764" w:rsidP="00560C34">
            <w:pPr>
              <w:pStyle w:val="ICFTabletext"/>
            </w:pPr>
            <w:r w:rsidRPr="004C12C9">
              <w:t>Btu/gallon</w:t>
            </w:r>
          </w:p>
        </w:tc>
      </w:tr>
      <w:tr w:rsidR="00BA4764" w:rsidRPr="004C12C9" w14:paraId="04B6CD29" w14:textId="77777777" w:rsidTr="00560C34">
        <w:trPr>
          <w:trHeight w:val="290"/>
        </w:trPr>
        <w:tc>
          <w:tcPr>
            <w:tcW w:w="3493" w:type="dxa"/>
            <w:noWrap/>
            <w:vAlign w:val="center"/>
          </w:tcPr>
          <w:p w14:paraId="6D1F8D19" w14:textId="77777777" w:rsidR="00BA4764" w:rsidRPr="004C12C9" w:rsidRDefault="00BA4764" w:rsidP="00560C34">
            <w:pPr>
              <w:pStyle w:val="ICFTabletext"/>
            </w:pPr>
            <w:r w:rsidRPr="004C12C9">
              <w:t>Renewable Natural Gas</w:t>
            </w:r>
          </w:p>
        </w:tc>
        <w:tc>
          <w:tcPr>
            <w:tcW w:w="1917" w:type="dxa"/>
            <w:noWrap/>
            <w:vAlign w:val="center"/>
          </w:tcPr>
          <w:p w14:paraId="6E74F85B" w14:textId="77777777" w:rsidR="00BA4764" w:rsidRPr="004C12C9" w:rsidRDefault="00BA4764" w:rsidP="00560C34">
            <w:pPr>
              <w:pStyle w:val="ICFTabletext"/>
              <w:jc w:val="center"/>
            </w:pPr>
            <w:r w:rsidRPr="004C12C9">
              <w:t>1,026</w:t>
            </w:r>
          </w:p>
        </w:tc>
        <w:tc>
          <w:tcPr>
            <w:tcW w:w="1917" w:type="dxa"/>
            <w:vAlign w:val="center"/>
          </w:tcPr>
          <w:p w14:paraId="1868BA11" w14:textId="77777777" w:rsidR="00BA4764" w:rsidRPr="004C12C9" w:rsidRDefault="00BA4764" w:rsidP="00560C34">
            <w:pPr>
              <w:pStyle w:val="ICFTabletext"/>
              <w:rPr>
                <w:color w:val="000000"/>
              </w:rPr>
            </w:pPr>
            <w:r w:rsidRPr="004C12C9">
              <w:t>Btu/cubic ft</w:t>
            </w:r>
          </w:p>
        </w:tc>
      </w:tr>
    </w:tbl>
    <w:p w14:paraId="73E94D19" w14:textId="77777777" w:rsidR="00BA4764" w:rsidRPr="004C12C9" w:rsidRDefault="00BA4764" w:rsidP="00560C34">
      <w:pPr>
        <w:pStyle w:val="TableFooter"/>
      </w:pPr>
      <w:r w:rsidRPr="004C12C9">
        <w:rPr>
          <w:color w:val="000000"/>
          <w:sz w:val="20"/>
          <w:szCs w:val="20"/>
          <w:vertAlign w:val="superscript"/>
        </w:rPr>
        <w:t>a</w:t>
      </w:r>
      <w:r w:rsidRPr="004C12C9">
        <w:t xml:space="preserve"> Not available from EPA Emission Factors Hub. Assumes the same heat content as BD100.</w:t>
      </w:r>
    </w:p>
    <w:p w14:paraId="583FA28E" w14:textId="77777777" w:rsidR="00BA4764" w:rsidRPr="004C12C9" w:rsidRDefault="00BA4764" w:rsidP="00560C34">
      <w:pPr>
        <w:pStyle w:val="TableFooter"/>
      </w:pPr>
      <w:r w:rsidRPr="004C12C9">
        <w:rPr>
          <w:color w:val="000000"/>
          <w:sz w:val="20"/>
          <w:szCs w:val="20"/>
          <w:vertAlign w:val="superscript"/>
        </w:rPr>
        <w:t>b</w:t>
      </w:r>
      <w:r w:rsidRPr="004C12C9">
        <w:t xml:space="preserve"> Not available from EPA Emission Factors Hub. Based on low heating value for Renewable Diesel II from GREET.</w:t>
      </w:r>
    </w:p>
    <w:p w14:paraId="1C4BFFC6" w14:textId="77777777" w:rsidR="00BA4764" w:rsidRPr="004C12C9" w:rsidRDefault="00BA4764" w:rsidP="00F227F0">
      <w:pPr>
        <w:pStyle w:val="Heading5"/>
      </w:pPr>
      <w:r w:rsidRPr="004C12C9">
        <w:t>Emission Factors</w:t>
      </w:r>
    </w:p>
    <w:p w14:paraId="2AA00EC5" w14:textId="0581BE81" w:rsidR="00BA4764" w:rsidRPr="004C12C9" w:rsidRDefault="00BA4764" w:rsidP="00972CF9">
      <w:r w:rsidRPr="004C12C9">
        <w:t>The emission factors for biofuels were derived based on data obtained from the EPA Emission Factors Hub</w:t>
      </w:r>
      <w:r w:rsidRPr="004C12C9">
        <w:rPr>
          <w:rStyle w:val="FootnoteReference"/>
        </w:rPr>
        <w:footnoteReference w:id="99"/>
      </w:r>
      <w:r w:rsidRPr="004C12C9">
        <w:t xml:space="preserve"> and GREET</w:t>
      </w:r>
      <w:r w:rsidR="00A4624A" w:rsidRPr="004C12C9">
        <w:t xml:space="preserve"> </w:t>
      </w:r>
      <w:r w:rsidRPr="004C12C9">
        <w:t>1 2024.</w:t>
      </w:r>
      <w:r w:rsidR="0005680B" w:rsidRPr="004C12C9">
        <w:rPr>
          <w:rStyle w:val="FootnoteReference"/>
        </w:rPr>
        <w:footnoteReference w:id="100"/>
      </w:r>
      <w:r w:rsidRPr="004C12C9">
        <w:t xml:space="preserve"> Emissions from combustion were obtained from EPA when available, and from GREET</w:t>
      </w:r>
      <w:r w:rsidR="00A4624A" w:rsidRPr="004C12C9">
        <w:t xml:space="preserve"> </w:t>
      </w:r>
      <w:r w:rsidRPr="004C12C9">
        <w:t>1 2024 for other biofuels. Upstream emissions from biofuel feedstock production through distribution of the biofuel to the end user were derived from GREET</w:t>
      </w:r>
      <w:r w:rsidR="00A4624A" w:rsidRPr="004C12C9">
        <w:t xml:space="preserve"> </w:t>
      </w:r>
      <w:r w:rsidRPr="004C12C9">
        <w:t>1 2024. The emission factors for each biofuel</w:t>
      </w:r>
      <w:r w:rsidR="004C036A" w:rsidRPr="004C12C9">
        <w:t>,</w:t>
      </w:r>
      <w:r w:rsidRPr="004C12C9">
        <w:t xml:space="preserve"> broken out by lifecycle stage</w:t>
      </w:r>
      <w:r w:rsidR="004C036A" w:rsidRPr="004C12C9">
        <w:t>,</w:t>
      </w:r>
      <w:r w:rsidRPr="004C12C9">
        <w:t xml:space="preserve"> are summarized in </w:t>
      </w:r>
      <w:r w:rsidRPr="004C12C9">
        <w:fldChar w:fldCharType="begin" w:fldLock="1"/>
      </w:r>
      <w:r w:rsidRPr="004C12C9">
        <w:instrText xml:space="preserve"> REF _Ref189043938 \h  \* MERGEFORMAT </w:instrText>
      </w:r>
      <w:r w:rsidRPr="004C12C9">
        <w:fldChar w:fldCharType="separate"/>
      </w:r>
      <w:r w:rsidR="00127094" w:rsidRPr="004C12C9">
        <w:t>Table 3</w:t>
      </w:r>
      <w:r w:rsidR="00127094" w:rsidRPr="004C12C9">
        <w:noBreakHyphen/>
        <w:t>16</w:t>
      </w:r>
      <w:r w:rsidRPr="004C12C9">
        <w:fldChar w:fldCharType="end"/>
      </w:r>
      <w:r w:rsidRPr="004C12C9">
        <w:t>.</w:t>
      </w:r>
    </w:p>
    <w:p w14:paraId="59636C1D" w14:textId="303AA102" w:rsidR="00BA4764" w:rsidRPr="004C12C9" w:rsidRDefault="00BA4764" w:rsidP="00972CF9">
      <w:pPr>
        <w:pStyle w:val="Caption"/>
      </w:pPr>
      <w:bookmarkStart w:id="180" w:name="_Ref189043938"/>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16</w:t>
      </w:r>
      <w:r w:rsidR="00F72B41">
        <w:fldChar w:fldCharType="end"/>
      </w:r>
      <w:bookmarkEnd w:id="180"/>
      <w:r w:rsidRPr="004C12C9">
        <w:t>. Biofuel Emission Factors</w:t>
      </w:r>
    </w:p>
    <w:tbl>
      <w:tblPr>
        <w:tblW w:w="496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53"/>
        <w:gridCol w:w="2115"/>
        <w:gridCol w:w="2117"/>
        <w:gridCol w:w="2117"/>
      </w:tblGrid>
      <w:tr w:rsidR="00BA4764" w:rsidRPr="004C12C9" w14:paraId="5498ED7D" w14:textId="77777777" w:rsidTr="001C7280">
        <w:trPr>
          <w:trHeight w:val="290"/>
        </w:trPr>
        <w:tc>
          <w:tcPr>
            <w:tcW w:w="3653" w:type="dxa"/>
            <w:vMerge w:val="restart"/>
            <w:shd w:val="clear" w:color="auto" w:fill="D9D9D9" w:themeFill="background1" w:themeFillShade="D9"/>
            <w:noWrap/>
            <w:vAlign w:val="center"/>
            <w:hideMark/>
          </w:tcPr>
          <w:p w14:paraId="5637787D" w14:textId="77777777" w:rsidR="00BA4764" w:rsidRPr="004C12C9" w:rsidRDefault="00BA4764" w:rsidP="004133A0">
            <w:pPr>
              <w:pStyle w:val="ICFTableHeading"/>
              <w:keepNext/>
            </w:pPr>
            <w:r w:rsidRPr="004C12C9">
              <w:t>Fuel Type</w:t>
            </w:r>
          </w:p>
        </w:tc>
        <w:tc>
          <w:tcPr>
            <w:tcW w:w="6349" w:type="dxa"/>
            <w:gridSpan w:val="3"/>
            <w:shd w:val="clear" w:color="auto" w:fill="D9D9D9" w:themeFill="background1" w:themeFillShade="D9"/>
            <w:noWrap/>
            <w:vAlign w:val="center"/>
            <w:hideMark/>
          </w:tcPr>
          <w:p w14:paraId="29163917" w14:textId="6114FD26" w:rsidR="00BA4764" w:rsidRPr="004C12C9" w:rsidRDefault="00BA4764" w:rsidP="004133A0">
            <w:pPr>
              <w:pStyle w:val="ICFTableHeading"/>
              <w:keepNext/>
            </w:pPr>
            <w:r w:rsidRPr="004C12C9">
              <w:t>Emission Factor (kgCO</w:t>
            </w:r>
            <w:r w:rsidRPr="004C12C9">
              <w:rPr>
                <w:vertAlign w:val="subscript"/>
              </w:rPr>
              <w:t>2</w:t>
            </w:r>
            <w:r w:rsidRPr="004C12C9">
              <w:t>e/MMBtu)</w:t>
            </w:r>
            <w:r w:rsidR="002B5E47" w:rsidRPr="004C12C9">
              <w:rPr>
                <w:vertAlign w:val="superscript"/>
              </w:rPr>
              <w:t>a</w:t>
            </w:r>
          </w:p>
        </w:tc>
      </w:tr>
      <w:tr w:rsidR="00BA4764" w:rsidRPr="004C12C9" w14:paraId="2CD00BE7" w14:textId="77777777" w:rsidTr="005C5142">
        <w:trPr>
          <w:trHeight w:val="70"/>
        </w:trPr>
        <w:tc>
          <w:tcPr>
            <w:tcW w:w="3653" w:type="dxa"/>
            <w:vMerge/>
            <w:vAlign w:val="center"/>
            <w:hideMark/>
          </w:tcPr>
          <w:p w14:paraId="09DBAEDA" w14:textId="77777777" w:rsidR="00BA4764" w:rsidRPr="004C12C9" w:rsidRDefault="00BA4764" w:rsidP="004133A0">
            <w:pPr>
              <w:pStyle w:val="ICFTableHeading"/>
              <w:keepNext/>
            </w:pPr>
          </w:p>
        </w:tc>
        <w:tc>
          <w:tcPr>
            <w:tcW w:w="2115" w:type="dxa"/>
            <w:shd w:val="clear" w:color="auto" w:fill="D9D9D9" w:themeFill="background1" w:themeFillShade="D9"/>
            <w:noWrap/>
            <w:vAlign w:val="center"/>
            <w:hideMark/>
          </w:tcPr>
          <w:p w14:paraId="4BCF9DE3" w14:textId="77777777" w:rsidR="00BA4764" w:rsidRPr="004C12C9" w:rsidRDefault="00BA4764" w:rsidP="004133A0">
            <w:pPr>
              <w:pStyle w:val="ICFTableHeading"/>
              <w:keepNext/>
            </w:pPr>
            <w:r w:rsidRPr="004C12C9">
              <w:t>Upstream</w:t>
            </w:r>
          </w:p>
        </w:tc>
        <w:tc>
          <w:tcPr>
            <w:tcW w:w="2117" w:type="dxa"/>
            <w:shd w:val="clear" w:color="auto" w:fill="D9D9D9" w:themeFill="background1" w:themeFillShade="D9"/>
            <w:noWrap/>
            <w:vAlign w:val="center"/>
            <w:hideMark/>
          </w:tcPr>
          <w:p w14:paraId="76E8EC3F" w14:textId="2913A584" w:rsidR="00BA4764" w:rsidRPr="004C12C9" w:rsidRDefault="00BA4764" w:rsidP="004133A0">
            <w:pPr>
              <w:pStyle w:val="ICFTableHeading"/>
              <w:keepNext/>
            </w:pPr>
            <w:r w:rsidRPr="004C12C9">
              <w:t>Combustion</w:t>
            </w:r>
            <w:r w:rsidRPr="004C12C9">
              <w:rPr>
                <w:vertAlign w:val="superscript"/>
              </w:rPr>
              <w:t xml:space="preserve"> </w:t>
            </w:r>
            <w:r w:rsidR="008B0F69" w:rsidRPr="004C12C9">
              <w:rPr>
                <w:vertAlign w:val="superscript"/>
              </w:rPr>
              <w:t>b</w:t>
            </w:r>
            <w:r w:rsidRPr="004C12C9">
              <w:t xml:space="preserve"> </w:t>
            </w:r>
          </w:p>
        </w:tc>
        <w:tc>
          <w:tcPr>
            <w:tcW w:w="2117" w:type="dxa"/>
            <w:shd w:val="clear" w:color="auto" w:fill="D9D9D9" w:themeFill="background1" w:themeFillShade="D9"/>
            <w:noWrap/>
            <w:vAlign w:val="center"/>
            <w:hideMark/>
          </w:tcPr>
          <w:p w14:paraId="60BC2478" w14:textId="77777777" w:rsidR="00BA4764" w:rsidRPr="004C12C9" w:rsidRDefault="00BA4764" w:rsidP="004133A0">
            <w:pPr>
              <w:pStyle w:val="ICFTableHeading"/>
              <w:keepNext/>
            </w:pPr>
            <w:r w:rsidRPr="004C12C9">
              <w:t>Total</w:t>
            </w:r>
          </w:p>
        </w:tc>
      </w:tr>
      <w:tr w:rsidR="00BA4764" w:rsidRPr="004C12C9" w14:paraId="7976CDBA" w14:textId="77777777" w:rsidTr="001C7280">
        <w:trPr>
          <w:trHeight w:val="290"/>
        </w:trPr>
        <w:tc>
          <w:tcPr>
            <w:tcW w:w="3653" w:type="dxa"/>
            <w:shd w:val="clear" w:color="auto" w:fill="FFFFFF" w:themeFill="background1"/>
            <w:noWrap/>
            <w:vAlign w:val="center"/>
            <w:hideMark/>
          </w:tcPr>
          <w:p w14:paraId="44655D82" w14:textId="77777777" w:rsidR="00BA4764" w:rsidRPr="004C12C9" w:rsidRDefault="00BA4764" w:rsidP="00560C34">
            <w:pPr>
              <w:pStyle w:val="ICFTabletext"/>
              <w:rPr>
                <w:color w:val="000000"/>
              </w:rPr>
            </w:pPr>
            <w:r w:rsidRPr="004C12C9">
              <w:t xml:space="preserve">Biodiesel 100 </w:t>
            </w:r>
          </w:p>
        </w:tc>
        <w:tc>
          <w:tcPr>
            <w:tcW w:w="2115" w:type="dxa"/>
            <w:shd w:val="clear" w:color="auto" w:fill="FFFFFF" w:themeFill="background1"/>
            <w:noWrap/>
            <w:vAlign w:val="bottom"/>
            <w:hideMark/>
          </w:tcPr>
          <w:p w14:paraId="7FC10DBA" w14:textId="2264ADC3" w:rsidR="00BA4764" w:rsidRPr="004C12C9" w:rsidRDefault="001C7280" w:rsidP="00560C34">
            <w:pPr>
              <w:pStyle w:val="ICFTabletext"/>
              <w:jc w:val="center"/>
            </w:pPr>
            <w:r w:rsidRPr="004C12C9">
              <w:t>26.87</w:t>
            </w:r>
            <w:r w:rsidR="73ABF135" w:rsidRPr="004C12C9">
              <w:rPr>
                <w:sz w:val="20"/>
                <w:vertAlign w:val="superscript"/>
              </w:rPr>
              <w:t>c</w:t>
            </w:r>
          </w:p>
        </w:tc>
        <w:tc>
          <w:tcPr>
            <w:tcW w:w="2117" w:type="dxa"/>
            <w:shd w:val="clear" w:color="auto" w:fill="FFFFFF" w:themeFill="background1"/>
            <w:noWrap/>
            <w:vAlign w:val="bottom"/>
            <w:hideMark/>
          </w:tcPr>
          <w:p w14:paraId="2C38A00B" w14:textId="77777777" w:rsidR="00BA4764" w:rsidRPr="004C12C9" w:rsidRDefault="00BA4764" w:rsidP="00560C34">
            <w:pPr>
              <w:pStyle w:val="ICFTabletext"/>
              <w:jc w:val="center"/>
            </w:pPr>
            <w:r w:rsidRPr="004C12C9">
              <w:t>0.06</w:t>
            </w:r>
          </w:p>
        </w:tc>
        <w:tc>
          <w:tcPr>
            <w:tcW w:w="2117" w:type="dxa"/>
            <w:shd w:val="clear" w:color="auto" w:fill="FFFFFF" w:themeFill="background1"/>
            <w:noWrap/>
            <w:vAlign w:val="bottom"/>
            <w:hideMark/>
          </w:tcPr>
          <w:p w14:paraId="1360890F" w14:textId="5081FEA9" w:rsidR="00BA4764" w:rsidRPr="004C12C9" w:rsidRDefault="001C7280" w:rsidP="00560C34">
            <w:pPr>
              <w:pStyle w:val="ICFTabletext"/>
              <w:jc w:val="center"/>
            </w:pPr>
            <w:r w:rsidRPr="004C12C9">
              <w:t>26.93</w:t>
            </w:r>
          </w:p>
        </w:tc>
      </w:tr>
      <w:tr w:rsidR="00BA4764" w:rsidRPr="004C12C9" w14:paraId="7EF6A563" w14:textId="77777777" w:rsidTr="001C7280">
        <w:trPr>
          <w:trHeight w:val="290"/>
        </w:trPr>
        <w:tc>
          <w:tcPr>
            <w:tcW w:w="3653" w:type="dxa"/>
            <w:shd w:val="clear" w:color="auto" w:fill="FFFFFF" w:themeFill="background1"/>
            <w:noWrap/>
            <w:vAlign w:val="center"/>
            <w:hideMark/>
          </w:tcPr>
          <w:p w14:paraId="5DBF4B22" w14:textId="77777777" w:rsidR="00BA4764" w:rsidRPr="004C12C9" w:rsidRDefault="00BA4764" w:rsidP="00560C34">
            <w:pPr>
              <w:pStyle w:val="ICFTabletext"/>
              <w:rPr>
                <w:color w:val="000000"/>
              </w:rPr>
            </w:pPr>
            <w:r w:rsidRPr="004C12C9">
              <w:t xml:space="preserve">Biodiesel 20 </w:t>
            </w:r>
          </w:p>
        </w:tc>
        <w:tc>
          <w:tcPr>
            <w:tcW w:w="2115" w:type="dxa"/>
            <w:shd w:val="clear" w:color="auto" w:fill="FFFFFF" w:themeFill="background1"/>
            <w:noWrap/>
            <w:vAlign w:val="bottom"/>
            <w:hideMark/>
          </w:tcPr>
          <w:p w14:paraId="0EB24D38" w14:textId="0B6AC791" w:rsidR="00BA4764" w:rsidRPr="004C12C9" w:rsidRDefault="00BA4764" w:rsidP="00560C34">
            <w:pPr>
              <w:pStyle w:val="ICFTabletext"/>
              <w:jc w:val="center"/>
            </w:pPr>
            <w:r w:rsidRPr="004C12C9">
              <w:t>17.</w:t>
            </w:r>
            <w:r w:rsidR="001C7280" w:rsidRPr="004C12C9">
              <w:t>81</w:t>
            </w:r>
            <w:r w:rsidR="67850B69" w:rsidRPr="004C12C9">
              <w:rPr>
                <w:sz w:val="20"/>
                <w:vertAlign w:val="superscript"/>
              </w:rPr>
              <w:t>c</w:t>
            </w:r>
          </w:p>
        </w:tc>
        <w:tc>
          <w:tcPr>
            <w:tcW w:w="2117" w:type="dxa"/>
            <w:shd w:val="clear" w:color="auto" w:fill="FFFFFF" w:themeFill="background1"/>
            <w:noWrap/>
            <w:vAlign w:val="bottom"/>
            <w:hideMark/>
          </w:tcPr>
          <w:p w14:paraId="6949061A" w14:textId="4502EE72" w:rsidR="00BA4764" w:rsidRPr="004C12C9" w:rsidRDefault="00BA4764" w:rsidP="00560C34">
            <w:pPr>
              <w:pStyle w:val="ICFTabletext"/>
              <w:jc w:val="center"/>
            </w:pPr>
            <w:r w:rsidRPr="004C12C9">
              <w:t>65.</w:t>
            </w:r>
            <w:r w:rsidR="001C7280" w:rsidRPr="004C12C9">
              <w:t>52</w:t>
            </w:r>
          </w:p>
        </w:tc>
        <w:tc>
          <w:tcPr>
            <w:tcW w:w="2117" w:type="dxa"/>
            <w:shd w:val="clear" w:color="auto" w:fill="FFFFFF" w:themeFill="background1"/>
            <w:noWrap/>
            <w:vAlign w:val="bottom"/>
            <w:hideMark/>
          </w:tcPr>
          <w:p w14:paraId="317C0C75" w14:textId="5114648D" w:rsidR="00BA4764" w:rsidRPr="004C12C9" w:rsidRDefault="00BA4764" w:rsidP="00560C34">
            <w:pPr>
              <w:pStyle w:val="ICFTabletext"/>
              <w:jc w:val="center"/>
            </w:pPr>
            <w:r w:rsidRPr="004C12C9">
              <w:t>83.</w:t>
            </w:r>
            <w:r w:rsidR="001C7280" w:rsidRPr="004C12C9">
              <w:t>33</w:t>
            </w:r>
          </w:p>
        </w:tc>
      </w:tr>
      <w:tr w:rsidR="00BA4764" w:rsidRPr="004C12C9" w14:paraId="29AA14D5" w14:textId="77777777" w:rsidTr="001C7280">
        <w:trPr>
          <w:trHeight w:val="290"/>
        </w:trPr>
        <w:tc>
          <w:tcPr>
            <w:tcW w:w="3653" w:type="dxa"/>
            <w:shd w:val="clear" w:color="auto" w:fill="FFFFFF" w:themeFill="background1"/>
            <w:noWrap/>
            <w:vAlign w:val="center"/>
            <w:hideMark/>
          </w:tcPr>
          <w:p w14:paraId="5733D2B4" w14:textId="77777777" w:rsidR="00BA4764" w:rsidRPr="004C12C9" w:rsidRDefault="00BA4764" w:rsidP="00560C34">
            <w:pPr>
              <w:pStyle w:val="ICFTabletext"/>
              <w:rPr>
                <w:color w:val="000000"/>
              </w:rPr>
            </w:pPr>
            <w:r w:rsidRPr="004C12C9">
              <w:t xml:space="preserve">Renewable Diesel II </w:t>
            </w:r>
          </w:p>
        </w:tc>
        <w:tc>
          <w:tcPr>
            <w:tcW w:w="2115" w:type="dxa"/>
            <w:shd w:val="clear" w:color="auto" w:fill="FFFFFF" w:themeFill="background1"/>
            <w:noWrap/>
            <w:vAlign w:val="bottom"/>
            <w:hideMark/>
          </w:tcPr>
          <w:p w14:paraId="7A273A73" w14:textId="1A76C238" w:rsidR="00BA4764" w:rsidRPr="004C12C9" w:rsidRDefault="00BA4764" w:rsidP="00560C34">
            <w:pPr>
              <w:pStyle w:val="ICFTabletext"/>
              <w:jc w:val="center"/>
            </w:pPr>
            <w:r w:rsidRPr="004C12C9">
              <w:t>37.</w:t>
            </w:r>
            <w:r w:rsidR="001C7280" w:rsidRPr="004C12C9">
              <w:t>38</w:t>
            </w:r>
            <w:r w:rsidR="1DE0923E" w:rsidRPr="004C12C9">
              <w:rPr>
                <w:sz w:val="20"/>
                <w:vertAlign w:val="superscript"/>
              </w:rPr>
              <w:t>c</w:t>
            </w:r>
          </w:p>
        </w:tc>
        <w:tc>
          <w:tcPr>
            <w:tcW w:w="2117" w:type="dxa"/>
            <w:shd w:val="clear" w:color="auto" w:fill="FFFFFF" w:themeFill="background1"/>
            <w:noWrap/>
            <w:vAlign w:val="bottom"/>
            <w:hideMark/>
          </w:tcPr>
          <w:p w14:paraId="4DFA3FAB" w14:textId="026ECE46" w:rsidR="00BA4764" w:rsidRPr="004C12C9" w:rsidRDefault="00BA4764" w:rsidP="00560C34">
            <w:pPr>
              <w:pStyle w:val="ICFTabletext"/>
              <w:jc w:val="center"/>
            </w:pPr>
            <w:r w:rsidRPr="004C12C9">
              <w:t>0.</w:t>
            </w:r>
            <w:r w:rsidR="001C7280" w:rsidRPr="004C12C9">
              <w:t>50</w:t>
            </w:r>
          </w:p>
        </w:tc>
        <w:tc>
          <w:tcPr>
            <w:tcW w:w="2117" w:type="dxa"/>
            <w:shd w:val="clear" w:color="auto" w:fill="FFFFFF" w:themeFill="background1"/>
            <w:noWrap/>
            <w:vAlign w:val="bottom"/>
            <w:hideMark/>
          </w:tcPr>
          <w:p w14:paraId="1469608F" w14:textId="4A5C4047" w:rsidR="00BA4764" w:rsidRPr="004C12C9" w:rsidRDefault="001C7280" w:rsidP="00560C34">
            <w:pPr>
              <w:pStyle w:val="ICFTabletext"/>
              <w:jc w:val="center"/>
            </w:pPr>
            <w:r w:rsidRPr="004C12C9">
              <w:t>37.87</w:t>
            </w:r>
          </w:p>
        </w:tc>
      </w:tr>
      <w:tr w:rsidR="00BA4764" w:rsidRPr="004C12C9" w14:paraId="2D5703AF" w14:textId="77777777" w:rsidTr="001C7280">
        <w:trPr>
          <w:trHeight w:val="290"/>
        </w:trPr>
        <w:tc>
          <w:tcPr>
            <w:tcW w:w="3653" w:type="dxa"/>
            <w:shd w:val="clear" w:color="auto" w:fill="FFFFFF" w:themeFill="background1"/>
            <w:noWrap/>
            <w:vAlign w:val="center"/>
            <w:hideMark/>
          </w:tcPr>
          <w:p w14:paraId="7CEE02C5" w14:textId="77777777" w:rsidR="00BA4764" w:rsidRPr="004C12C9" w:rsidRDefault="00BA4764" w:rsidP="00560C34">
            <w:pPr>
              <w:pStyle w:val="ICFTabletext"/>
              <w:rPr>
                <w:color w:val="000000"/>
              </w:rPr>
            </w:pPr>
            <w:r w:rsidRPr="004C12C9">
              <w:t>Renewable Natural Gas</w:t>
            </w:r>
          </w:p>
        </w:tc>
        <w:tc>
          <w:tcPr>
            <w:tcW w:w="2115" w:type="dxa"/>
            <w:shd w:val="clear" w:color="auto" w:fill="FFFFFF" w:themeFill="background1"/>
            <w:noWrap/>
            <w:vAlign w:val="center"/>
            <w:hideMark/>
          </w:tcPr>
          <w:p w14:paraId="51ED4623" w14:textId="5BB1CEAC" w:rsidR="00BA4764" w:rsidRPr="004C12C9" w:rsidRDefault="00BA4764" w:rsidP="00560C34">
            <w:pPr>
              <w:pStyle w:val="ICFTabletext"/>
              <w:jc w:val="center"/>
            </w:pPr>
            <w:r w:rsidRPr="004C12C9">
              <w:t>1</w:t>
            </w:r>
            <w:r w:rsidR="00CE1B7A" w:rsidRPr="004C12C9">
              <w:t>8.</w:t>
            </w:r>
            <w:r w:rsidR="00697A7E" w:rsidRPr="004C12C9">
              <w:t>50</w:t>
            </w:r>
            <w:r w:rsidR="008B0F69" w:rsidRPr="004C12C9">
              <w:rPr>
                <w:vertAlign w:val="superscript"/>
              </w:rPr>
              <w:t>d</w:t>
            </w:r>
          </w:p>
        </w:tc>
        <w:tc>
          <w:tcPr>
            <w:tcW w:w="2117" w:type="dxa"/>
            <w:shd w:val="clear" w:color="auto" w:fill="FFFFFF" w:themeFill="background1"/>
            <w:noWrap/>
            <w:vAlign w:val="center"/>
            <w:hideMark/>
          </w:tcPr>
          <w:p w14:paraId="16A88F40" w14:textId="77777777" w:rsidR="00BA4764" w:rsidRPr="004C12C9" w:rsidRDefault="00BA4764" w:rsidP="00560C34">
            <w:pPr>
              <w:pStyle w:val="ICFTabletext"/>
              <w:jc w:val="center"/>
            </w:pPr>
            <w:r w:rsidRPr="004C12C9">
              <w:t>0.05</w:t>
            </w:r>
          </w:p>
        </w:tc>
        <w:tc>
          <w:tcPr>
            <w:tcW w:w="2117" w:type="dxa"/>
            <w:shd w:val="clear" w:color="auto" w:fill="FFFFFF" w:themeFill="background1"/>
            <w:noWrap/>
            <w:vAlign w:val="center"/>
            <w:hideMark/>
          </w:tcPr>
          <w:p w14:paraId="5B8C3841" w14:textId="102CCFEA" w:rsidR="00BA4764" w:rsidRPr="004C12C9" w:rsidRDefault="00BA4764" w:rsidP="00560C34">
            <w:pPr>
              <w:pStyle w:val="ICFTabletext"/>
              <w:jc w:val="center"/>
            </w:pPr>
            <w:r w:rsidRPr="004C12C9">
              <w:t>1</w:t>
            </w:r>
            <w:r w:rsidR="00697A7E" w:rsidRPr="004C12C9">
              <w:t>8.56</w:t>
            </w:r>
          </w:p>
        </w:tc>
      </w:tr>
    </w:tbl>
    <w:p w14:paraId="26001B38" w14:textId="5D7615D5" w:rsidR="002B5E47" w:rsidRPr="004C12C9" w:rsidRDefault="002B5E47" w:rsidP="00560C34">
      <w:pPr>
        <w:pStyle w:val="TableFooter"/>
      </w:pPr>
      <w:r w:rsidRPr="004C12C9">
        <w:rPr>
          <w:vertAlign w:val="superscript"/>
        </w:rPr>
        <w:t>a</w:t>
      </w:r>
      <w:r w:rsidRPr="004C12C9">
        <w:t xml:space="preserve"> Values shown are based on AR5 global warming potentials.</w:t>
      </w:r>
    </w:p>
    <w:p w14:paraId="7E3523E4" w14:textId="0C4D8CAF" w:rsidR="00BA4764" w:rsidRPr="004C12C9" w:rsidRDefault="002B5E47" w:rsidP="00560C34">
      <w:pPr>
        <w:pStyle w:val="TableFooter"/>
      </w:pPr>
      <w:r w:rsidRPr="004C12C9">
        <w:rPr>
          <w:sz w:val="20"/>
          <w:szCs w:val="20"/>
          <w:vertAlign w:val="superscript"/>
        </w:rPr>
        <w:t>b</w:t>
      </w:r>
      <w:r w:rsidR="00BA4764" w:rsidRPr="004C12C9">
        <w:t xml:space="preserve"> Excludes CO</w:t>
      </w:r>
      <w:r w:rsidR="00BA4764" w:rsidRPr="004C12C9">
        <w:rPr>
          <w:vertAlign w:val="subscript"/>
        </w:rPr>
        <w:t>2</w:t>
      </w:r>
      <w:r w:rsidR="00BA4764" w:rsidRPr="004C12C9">
        <w:t xml:space="preserve"> emissions, which are considered biogenic.</w:t>
      </w:r>
    </w:p>
    <w:p w14:paraId="57AEE16E" w14:textId="3B231F5C" w:rsidR="00BA4764" w:rsidRPr="004C12C9" w:rsidRDefault="002B5E47" w:rsidP="00560C34">
      <w:pPr>
        <w:pStyle w:val="TableFooter"/>
      </w:pPr>
      <w:r w:rsidRPr="004C12C9">
        <w:rPr>
          <w:sz w:val="20"/>
          <w:szCs w:val="20"/>
          <w:vertAlign w:val="superscript"/>
        </w:rPr>
        <w:t>c</w:t>
      </w:r>
      <w:r w:rsidR="00BA4764" w:rsidRPr="004C12C9">
        <w:rPr>
          <w:sz w:val="20"/>
          <w:szCs w:val="20"/>
          <w:vertAlign w:val="superscript"/>
        </w:rPr>
        <w:t xml:space="preserve"> </w:t>
      </w:r>
      <w:r w:rsidR="00BA4764" w:rsidRPr="004C12C9">
        <w:t>Obtained from GREET</w:t>
      </w:r>
      <w:r w:rsidR="00A4624A" w:rsidRPr="004C12C9">
        <w:t xml:space="preserve"> </w:t>
      </w:r>
      <w:r w:rsidR="00BA4764" w:rsidRPr="004C12C9">
        <w:t>1 2024. Assumes soybean oil base.</w:t>
      </w:r>
    </w:p>
    <w:p w14:paraId="6B0B1FAF" w14:textId="1608FBC6" w:rsidR="00BA4764" w:rsidRPr="004C12C9" w:rsidRDefault="002B5E47" w:rsidP="00560C34">
      <w:pPr>
        <w:pStyle w:val="TableFooter"/>
      </w:pPr>
      <w:r w:rsidRPr="004C12C9">
        <w:rPr>
          <w:sz w:val="20"/>
          <w:szCs w:val="20"/>
          <w:vertAlign w:val="superscript"/>
        </w:rPr>
        <w:t xml:space="preserve">d </w:t>
      </w:r>
      <w:r w:rsidR="00BA4764" w:rsidRPr="004C12C9">
        <w:t>Based on the emissions factor for landfill gas to natural gas.</w:t>
      </w:r>
    </w:p>
    <w:p w14:paraId="5C50D702" w14:textId="515CD8E4" w:rsidR="00560C34" w:rsidRPr="004C12C9" w:rsidRDefault="00560C34" w:rsidP="00257E65">
      <w:pPr>
        <w:pStyle w:val="Heading4"/>
      </w:pPr>
      <w:r w:rsidRPr="004C12C9">
        <w:t>Limitations</w:t>
      </w:r>
    </w:p>
    <w:p w14:paraId="173842B8" w14:textId="0E35698B" w:rsidR="00560C34" w:rsidRPr="004C12C9" w:rsidRDefault="6052DA4E" w:rsidP="00136B7C">
      <w:r w:rsidRPr="004C12C9">
        <w:t xml:space="preserve">Key limitations of the methodology used to quantify emissions from </w:t>
      </w:r>
      <w:r w:rsidR="00B52EA0" w:rsidRPr="004C12C9">
        <w:t>natural gas and oil products</w:t>
      </w:r>
      <w:r w:rsidRPr="004C12C9">
        <w:t xml:space="preserve"> include:</w:t>
      </w:r>
    </w:p>
    <w:p w14:paraId="23BF2768" w14:textId="20D2355B" w:rsidR="00136B7C" w:rsidRPr="004C12C9" w:rsidRDefault="00136B7C" w:rsidP="003B5F7F">
      <w:pPr>
        <w:pStyle w:val="ListParagraph"/>
        <w:numPr>
          <w:ilvl w:val="0"/>
          <w:numId w:val="43"/>
        </w:numPr>
        <w:rPr>
          <w:lang w:bidi="ar-SA"/>
        </w:rPr>
      </w:pPr>
      <w:r w:rsidRPr="004C12C9">
        <w:rPr>
          <w:lang w:bidi="ar-SA"/>
        </w:rPr>
        <w:t xml:space="preserve">The pathways and associated emission intensities of </w:t>
      </w:r>
      <w:r w:rsidR="00C6471D" w:rsidRPr="004C12C9">
        <w:rPr>
          <w:lang w:bidi="ar-SA"/>
        </w:rPr>
        <w:t>oil</w:t>
      </w:r>
      <w:r w:rsidRPr="004C12C9">
        <w:rPr>
          <w:lang w:bidi="ar-SA"/>
        </w:rPr>
        <w:t xml:space="preserve">-based products are often specific to site characteristics and operational practices. However, the </w:t>
      </w:r>
      <w:r w:rsidR="007640AF" w:rsidRPr="004C12C9">
        <w:t xml:space="preserve">calculator </w:t>
      </w:r>
      <w:r w:rsidRPr="004C12C9">
        <w:rPr>
          <w:lang w:bidi="ar-SA"/>
        </w:rPr>
        <w:t>relies on national</w:t>
      </w:r>
      <w:r w:rsidR="001B6D27" w:rsidRPr="004C12C9">
        <w:rPr>
          <w:lang w:bidi="ar-SA"/>
        </w:rPr>
        <w:t>/regional</w:t>
      </w:r>
      <w:r w:rsidRPr="004C12C9">
        <w:rPr>
          <w:lang w:bidi="ar-SA"/>
        </w:rPr>
        <w:t xml:space="preserve"> average values, which may embed assumptions that </w:t>
      </w:r>
      <w:r w:rsidR="00777C2F" w:rsidRPr="004C12C9">
        <w:rPr>
          <w:lang w:bidi="ar-SA"/>
        </w:rPr>
        <w:t>do</w:t>
      </w:r>
      <w:r w:rsidRPr="004C12C9">
        <w:rPr>
          <w:lang w:bidi="ar-SA"/>
        </w:rPr>
        <w:t xml:space="preserve"> not </w:t>
      </w:r>
      <w:r w:rsidR="00777C2F" w:rsidRPr="004C12C9">
        <w:rPr>
          <w:lang w:bidi="ar-SA"/>
        </w:rPr>
        <w:t>reflect</w:t>
      </w:r>
      <w:r w:rsidRPr="004C12C9">
        <w:rPr>
          <w:lang w:bidi="ar-SA"/>
        </w:rPr>
        <w:t xml:space="preserve"> specific project context. Furthermore, users have limited ability to modify these embedded assumptions within the </w:t>
      </w:r>
      <w:r w:rsidR="007640AF" w:rsidRPr="004C12C9">
        <w:t>calculator</w:t>
      </w:r>
      <w:r w:rsidRPr="004C12C9">
        <w:rPr>
          <w:lang w:bidi="ar-SA"/>
        </w:rPr>
        <w:t>.</w:t>
      </w:r>
    </w:p>
    <w:p w14:paraId="5710EBA9" w14:textId="303E1666" w:rsidR="00560C34" w:rsidRPr="004C12C9" w:rsidRDefault="00136B7C" w:rsidP="003B5F7F">
      <w:pPr>
        <w:pStyle w:val="ListParagraph"/>
        <w:numPr>
          <w:ilvl w:val="0"/>
          <w:numId w:val="43"/>
        </w:numPr>
        <w:rPr>
          <w:lang w:bidi="ar-SA"/>
        </w:rPr>
      </w:pPr>
      <w:r w:rsidRPr="004C12C9">
        <w:rPr>
          <w:lang w:bidi="ar-SA"/>
        </w:rPr>
        <w:t>In some cases, the GREET1 2024 model does not offer the same level of fuel disaggregation as EPA</w:t>
      </w:r>
      <w:r w:rsidR="00535224" w:rsidRPr="004C12C9">
        <w:rPr>
          <w:lang w:bidi="ar-SA"/>
        </w:rPr>
        <w:t>’s</w:t>
      </w:r>
      <w:r w:rsidRPr="004C12C9">
        <w:rPr>
          <w:lang w:bidi="ar-SA"/>
        </w:rPr>
        <w:t xml:space="preserve"> </w:t>
      </w:r>
      <w:r w:rsidR="00333870" w:rsidRPr="004C12C9">
        <w:rPr>
          <w:lang w:bidi="ar-SA"/>
        </w:rPr>
        <w:t xml:space="preserve">GHG </w:t>
      </w:r>
      <w:r w:rsidRPr="004C12C9">
        <w:rPr>
          <w:lang w:bidi="ar-SA"/>
        </w:rPr>
        <w:t xml:space="preserve">Emission Factor Hub. To enable life cycle emissions factor development for all fuel types, assumptions were made to align the data between sources based on fuel characteristics and best-fit methodologies. Additionally, combustion </w:t>
      </w:r>
      <w:r w:rsidR="00535224" w:rsidRPr="004C12C9">
        <w:rPr>
          <w:lang w:bidi="ar-SA"/>
        </w:rPr>
        <w:t>emission factors</w:t>
      </w:r>
      <w:r w:rsidRPr="004C12C9">
        <w:rPr>
          <w:lang w:bidi="ar-SA"/>
        </w:rPr>
        <w:t xml:space="preserve"> derived from EPA</w:t>
      </w:r>
      <w:r w:rsidR="00535224" w:rsidRPr="004C12C9">
        <w:rPr>
          <w:lang w:bidi="ar-SA"/>
        </w:rPr>
        <w:t>’s</w:t>
      </w:r>
      <w:r w:rsidRPr="004C12C9">
        <w:rPr>
          <w:lang w:bidi="ar-SA"/>
        </w:rPr>
        <w:t xml:space="preserve"> </w:t>
      </w:r>
      <w:r w:rsidR="00333870" w:rsidRPr="004C12C9">
        <w:rPr>
          <w:lang w:bidi="ar-SA"/>
        </w:rPr>
        <w:t xml:space="preserve">GHG </w:t>
      </w:r>
      <w:r w:rsidRPr="004C12C9">
        <w:rPr>
          <w:lang w:bidi="ar-SA"/>
        </w:rPr>
        <w:t xml:space="preserve">Emission Factor Hub are not technology-specific, </w:t>
      </w:r>
      <w:r w:rsidR="00140A82" w:rsidRPr="004C12C9">
        <w:rPr>
          <w:lang w:bidi="ar-SA"/>
        </w:rPr>
        <w:t>and therefore</w:t>
      </w:r>
      <w:r w:rsidRPr="004C12C9">
        <w:rPr>
          <w:lang w:bidi="ar-SA"/>
        </w:rPr>
        <w:t xml:space="preserve"> may not accurately capture the characteristics of particular equipment or vehicle types. These tradeoffs were made to balance the need for detailed fuel differentiation with a streamlined and usable quantification framework.</w:t>
      </w:r>
    </w:p>
    <w:p w14:paraId="5D239D5E" w14:textId="69CCBEF6" w:rsidR="00BC0630" w:rsidRPr="004C12C9" w:rsidRDefault="00FC5F6E" w:rsidP="00F25C37">
      <w:pPr>
        <w:pStyle w:val="Heading3"/>
      </w:pPr>
      <w:bookmarkStart w:id="181" w:name="_Toc219887776"/>
      <w:r w:rsidRPr="004C12C9">
        <w:t>Industrial Process</w:t>
      </w:r>
      <w:r w:rsidR="003A2CBD" w:rsidRPr="004C12C9">
        <w:t>es</w:t>
      </w:r>
      <w:bookmarkEnd w:id="181"/>
      <w:r w:rsidRPr="004C12C9">
        <w:tab/>
      </w:r>
    </w:p>
    <w:p w14:paraId="094820EB" w14:textId="289821AB" w:rsidR="00D57335" w:rsidRPr="004C12C9" w:rsidRDefault="009F56BA" w:rsidP="00972CF9">
      <w:r w:rsidRPr="004C12C9">
        <w:t xml:space="preserve">Emissions result from industrial processes that occur during project operation. This source accounts for emissions associated with the extraction of raw materials, their transportation to the industrial site, and the </w:t>
      </w:r>
      <w:r w:rsidRPr="004C12C9" w:rsidDel="00D31B0A">
        <w:t xml:space="preserve">manufacturing </w:t>
      </w:r>
      <w:r w:rsidRPr="004C12C9">
        <w:t xml:space="preserve">process (including process emissions) of industrial products. </w:t>
      </w:r>
      <w:r w:rsidR="006029D2" w:rsidRPr="004C12C9">
        <w:t xml:space="preserve">The </w:t>
      </w:r>
      <w:r w:rsidR="007640AF" w:rsidRPr="004C12C9">
        <w:t xml:space="preserve">calculator </w:t>
      </w:r>
      <w:r w:rsidR="006029D2" w:rsidRPr="004C12C9">
        <w:t xml:space="preserve">quantifies these emissions based on estimates of </w:t>
      </w:r>
      <w:r w:rsidR="00B8535A" w:rsidRPr="004C12C9">
        <w:t>annual</w:t>
      </w:r>
      <w:r w:rsidR="006029D2" w:rsidRPr="004C12C9">
        <w:t xml:space="preserve"> </w:t>
      </w:r>
      <w:r w:rsidR="00F21CE3" w:rsidRPr="004C12C9">
        <w:t>product output</w:t>
      </w:r>
      <w:r w:rsidR="006029D2" w:rsidRPr="004C12C9">
        <w:t xml:space="preserve"> and </w:t>
      </w:r>
      <w:r w:rsidR="000E7FEA" w:rsidRPr="004C12C9">
        <w:t xml:space="preserve">product-specific </w:t>
      </w:r>
      <w:r w:rsidR="006029D2" w:rsidRPr="004C12C9">
        <w:t>emission factors, as shown in</w:t>
      </w:r>
      <w:r w:rsidR="00EE17B4">
        <w:t xml:space="preserve"> </w:t>
      </w:r>
      <w:r w:rsidR="00EE17B4">
        <w:fldChar w:fldCharType="begin"/>
      </w:r>
      <w:r w:rsidR="00EE17B4">
        <w:instrText xml:space="preserve"> REF _Ref195780111 \h </w:instrText>
      </w:r>
      <w:r w:rsidR="00EE17B4">
        <w:fldChar w:fldCharType="separate"/>
      </w:r>
      <w:r w:rsidR="00EE17B4" w:rsidRPr="004C12C9">
        <w:t xml:space="preserve">Equation </w:t>
      </w:r>
      <w:r w:rsidR="00EE17B4">
        <w:rPr>
          <w:noProof/>
        </w:rPr>
        <w:t>19</w:t>
      </w:r>
      <w:r w:rsidR="00EE17B4">
        <w:fldChar w:fldCharType="end"/>
      </w:r>
      <w:r w:rsidR="006029D2" w:rsidRPr="004C12C9">
        <w:t>.</w:t>
      </w:r>
    </w:p>
    <w:p w14:paraId="12355863" w14:textId="6F50674C" w:rsidR="009F56BA" w:rsidRPr="004C12C9" w:rsidRDefault="005810C6" w:rsidP="00A8314A">
      <w:pPr>
        <w:pStyle w:val="Caption"/>
        <w:rPr>
          <w:rFonts w:eastAsia="Arial"/>
        </w:rPr>
      </w:pPr>
      <w:bookmarkStart w:id="182" w:name="_Ref195780111"/>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19</w:t>
      </w:r>
      <w:r w:rsidR="00127094">
        <w:fldChar w:fldCharType="end"/>
      </w:r>
      <w:bookmarkEnd w:id="182"/>
      <w:r w:rsidRPr="004C12C9">
        <w:t>.</w:t>
      </w:r>
      <w:r w:rsidR="009F56BA" w:rsidRPr="004C12C9">
        <w:t xml:space="preserve"> </w:t>
      </w:r>
      <w:r w:rsidR="008342F7" w:rsidRPr="004C12C9">
        <w:t xml:space="preserve">Annual GHG </w:t>
      </w:r>
      <w:r w:rsidR="009F56BA" w:rsidRPr="004C12C9">
        <w:t xml:space="preserve">Emissions from </w:t>
      </w:r>
      <w:r w:rsidR="008342F7" w:rsidRPr="004C12C9">
        <w:t>I</w:t>
      </w:r>
      <w:r w:rsidR="009F56BA" w:rsidRPr="004C12C9">
        <w:t xml:space="preserve">ndustrial </w:t>
      </w:r>
      <w:r w:rsidR="008342F7" w:rsidRPr="004C12C9">
        <w:t>P</w:t>
      </w:r>
      <w:r w:rsidR="009F56BA" w:rsidRPr="004C12C9">
        <w:t>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90"/>
        <w:gridCol w:w="8190"/>
      </w:tblGrid>
      <w:tr w:rsidR="002925C3" w:rsidRPr="004C12C9" w14:paraId="4BA6DB1A" w14:textId="77777777" w:rsidTr="00881317">
        <w:tc>
          <w:tcPr>
            <w:tcW w:w="10080" w:type="dxa"/>
            <w:gridSpan w:val="2"/>
            <w:shd w:val="clear" w:color="auto" w:fill="F2F2F2" w:themeFill="background1" w:themeFillShade="F2"/>
          </w:tcPr>
          <w:p w14:paraId="5C04AD34" w14:textId="16306459" w:rsidR="002925C3" w:rsidRPr="004C12C9" w:rsidRDefault="000002AA" w:rsidP="00A8314A">
            <w:pPr>
              <w:pStyle w:val="Equation"/>
              <w:keepNext/>
              <w:rPr>
                <w:noProof w:val="0"/>
              </w:rPr>
            </w:pPr>
            <m:oMathPara>
              <m:oMath>
                <m:r>
                  <w:rPr>
                    <w:noProof w:val="0"/>
                  </w:rPr>
                  <m:t xml:space="preserve">annual GHG emissions= </m:t>
                </m:r>
                <m:nary>
                  <m:naryPr>
                    <m:chr m:val="∑"/>
                    <m:limLoc m:val="undOvr"/>
                    <m:subHide m:val="1"/>
                    <m:supHide m:val="1"/>
                    <m:ctrlPr>
                      <w:rPr>
                        <w:noProof w:val="0"/>
                      </w:rPr>
                    </m:ctrlPr>
                  </m:naryPr>
                  <m:sub/>
                  <m:sup/>
                  <m:e>
                    <m:sSub>
                      <m:sSubPr>
                        <m:ctrlPr>
                          <w:rPr>
                            <w:noProof w:val="0"/>
                          </w:rPr>
                        </m:ctrlPr>
                      </m:sSubPr>
                      <m:e>
                        <m:r>
                          <w:rPr>
                            <w:noProof w:val="0"/>
                          </w:rPr>
                          <m:t>quantity</m:t>
                        </m:r>
                      </m:e>
                      <m:sub>
                        <m:r>
                          <w:rPr>
                            <w:noProof w:val="0"/>
                          </w:rPr>
                          <m:t>p</m:t>
                        </m:r>
                      </m:sub>
                    </m:sSub>
                    <m:r>
                      <w:rPr>
                        <w:noProof w:val="0"/>
                      </w:rPr>
                      <m:t>×</m:t>
                    </m:r>
                    <m:sSub>
                      <m:sSubPr>
                        <m:ctrlPr>
                          <w:rPr>
                            <w:noProof w:val="0"/>
                          </w:rPr>
                        </m:ctrlPr>
                      </m:sSubPr>
                      <m:e>
                        <m:r>
                          <w:rPr>
                            <w:noProof w:val="0"/>
                          </w:rPr>
                          <m:t>emission factor</m:t>
                        </m:r>
                      </m:e>
                      <m:sub>
                        <m:r>
                          <w:rPr>
                            <w:noProof w:val="0"/>
                          </w:rPr>
                          <m:t>p</m:t>
                        </m:r>
                      </m:sub>
                    </m:sSub>
                  </m:e>
                </m:nary>
              </m:oMath>
            </m:oMathPara>
          </w:p>
          <w:p w14:paraId="3A759376" w14:textId="77777777" w:rsidR="002925C3" w:rsidRPr="004C12C9" w:rsidRDefault="002925C3" w:rsidP="00A8314A">
            <w:pPr>
              <w:keepNext/>
              <w:rPr>
                <w:i/>
                <w:iCs/>
              </w:rPr>
            </w:pPr>
            <w:r w:rsidRPr="004C12C9">
              <w:rPr>
                <w:i/>
                <w:iCs/>
                <w:sz w:val="20"/>
                <w:szCs w:val="20"/>
              </w:rPr>
              <w:t xml:space="preserve">where, </w:t>
            </w:r>
          </w:p>
        </w:tc>
      </w:tr>
      <w:tr w:rsidR="002925C3" w:rsidRPr="004C12C9" w14:paraId="716A62DA" w14:textId="77777777" w:rsidTr="00881317">
        <w:tc>
          <w:tcPr>
            <w:tcW w:w="1890" w:type="dxa"/>
            <w:shd w:val="clear" w:color="auto" w:fill="F2F2F2" w:themeFill="background1" w:themeFillShade="F2"/>
          </w:tcPr>
          <w:p w14:paraId="6646A30D" w14:textId="5986673F" w:rsidR="002925C3" w:rsidRPr="004C12C9" w:rsidRDefault="00ED3F20" w:rsidP="00A8314A">
            <w:pPr>
              <w:pStyle w:val="Equation"/>
              <w:keepNext/>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Q</w:t>
            </w:r>
            <w:r w:rsidR="002925C3" w:rsidRPr="004C12C9">
              <w:rPr>
                <w:rFonts w:ascii="Calibri" w:eastAsia="Arial" w:hAnsi="Calibri"/>
                <w:i w:val="0"/>
                <w:noProof w:val="0"/>
                <w:color w:val="auto"/>
                <w:sz w:val="20"/>
                <w:szCs w:val="20"/>
              </w:rPr>
              <w:t>uantity</w:t>
            </w:r>
          </w:p>
          <w:p w14:paraId="3EEA2A60" w14:textId="333B90C9" w:rsidR="002925C3" w:rsidRPr="004C12C9" w:rsidRDefault="002925C3" w:rsidP="00A8314A">
            <w:pPr>
              <w:pStyle w:val="Equation"/>
              <w:keepNext/>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Emissions factor</w:t>
            </w:r>
          </w:p>
        </w:tc>
        <w:tc>
          <w:tcPr>
            <w:tcW w:w="8190" w:type="dxa"/>
            <w:shd w:val="clear" w:color="auto" w:fill="F2F2F2" w:themeFill="background1" w:themeFillShade="F2"/>
          </w:tcPr>
          <w:p w14:paraId="386879FF" w14:textId="374D0EB4" w:rsidR="002925C3" w:rsidRPr="004C12C9" w:rsidRDefault="002925C3" w:rsidP="00A8314A">
            <w:pPr>
              <w:pStyle w:val="Equation"/>
              <w:keepNext/>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 xml:space="preserve">= Amount </w:t>
            </w:r>
            <w:r w:rsidR="00ED3F20" w:rsidRPr="004C12C9">
              <w:rPr>
                <w:rFonts w:ascii="Calibri" w:eastAsia="Arial" w:hAnsi="Calibri"/>
                <w:i w:val="0"/>
                <w:noProof w:val="0"/>
                <w:color w:val="auto"/>
                <w:sz w:val="20"/>
                <w:szCs w:val="20"/>
              </w:rPr>
              <w:t>of product, p, produced annually (tons/year)</w:t>
            </w:r>
          </w:p>
          <w:p w14:paraId="72EA3BE0" w14:textId="77777777" w:rsidR="002925C3" w:rsidRPr="004C12C9" w:rsidRDefault="002925C3" w:rsidP="00A8314A">
            <w:pPr>
              <w:pStyle w:val="Equation"/>
              <w:keepNext/>
              <w:spacing w:before="0" w:after="0"/>
              <w:ind w:left="165" w:hanging="165"/>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 xml:space="preserve">= </w:t>
            </w:r>
            <w:r w:rsidR="005C7BD0" w:rsidRPr="004C12C9">
              <w:rPr>
                <w:rFonts w:ascii="Calibri" w:eastAsia="Arial" w:hAnsi="Calibri"/>
                <w:i w:val="0"/>
                <w:noProof w:val="0"/>
                <w:color w:val="auto"/>
                <w:sz w:val="20"/>
                <w:szCs w:val="20"/>
              </w:rPr>
              <w:t>GHG emissions per unit of product, p (kgCO</w:t>
            </w:r>
            <w:r w:rsidR="005C7BD0" w:rsidRPr="004C12C9">
              <w:rPr>
                <w:rFonts w:ascii="Calibri" w:eastAsia="Arial" w:hAnsi="Calibri"/>
                <w:i w:val="0"/>
                <w:noProof w:val="0"/>
                <w:color w:val="auto"/>
                <w:sz w:val="20"/>
                <w:szCs w:val="20"/>
                <w:vertAlign w:val="subscript"/>
              </w:rPr>
              <w:t>2</w:t>
            </w:r>
            <w:r w:rsidR="005C7BD0" w:rsidRPr="004C12C9">
              <w:rPr>
                <w:rFonts w:ascii="Calibri" w:eastAsia="Arial" w:hAnsi="Calibri"/>
                <w:i w:val="0"/>
                <w:noProof w:val="0"/>
                <w:color w:val="auto"/>
                <w:sz w:val="20"/>
                <w:szCs w:val="20"/>
              </w:rPr>
              <w:t>e/ton)</w:t>
            </w:r>
          </w:p>
          <w:p w14:paraId="4843F066" w14:textId="54AC6FE0" w:rsidR="00A8314A" w:rsidRPr="004C12C9" w:rsidRDefault="00A8314A" w:rsidP="00A8314A">
            <w:pPr>
              <w:pStyle w:val="Equation"/>
              <w:keepNext/>
              <w:spacing w:before="0" w:after="0"/>
              <w:ind w:left="165" w:hanging="165"/>
              <w:jc w:val="left"/>
              <w:rPr>
                <w:rFonts w:ascii="Calibri" w:eastAsia="Arial" w:hAnsi="Calibri"/>
                <w:i w:val="0"/>
                <w:noProof w:val="0"/>
                <w:color w:val="auto"/>
                <w:sz w:val="20"/>
                <w:szCs w:val="20"/>
              </w:rPr>
            </w:pPr>
          </w:p>
        </w:tc>
      </w:tr>
    </w:tbl>
    <w:p w14:paraId="3519CD9E" w14:textId="1433CF94" w:rsidR="009F56BA" w:rsidRPr="004C12C9" w:rsidRDefault="009F56BA" w:rsidP="00E31E37">
      <w:pPr>
        <w:pStyle w:val="Heading4"/>
      </w:pPr>
      <w:r w:rsidRPr="004C12C9">
        <w:t>Quantity of Product</w:t>
      </w:r>
    </w:p>
    <w:p w14:paraId="39F1E99C" w14:textId="2A62B003" w:rsidR="009F56BA" w:rsidRPr="004C12C9" w:rsidRDefault="009D19BF" w:rsidP="00972CF9">
      <w:r w:rsidRPr="004C12C9">
        <w:t>Users are required to provide t</w:t>
      </w:r>
      <w:r w:rsidR="009F56BA" w:rsidRPr="004C12C9">
        <w:t>he quantity of product produced annually (in short tons) by industrial process. The types of industrial outputs for which users may provide data include the following:</w:t>
      </w:r>
      <w:r w:rsidR="009F56BA" w:rsidRPr="004C12C9">
        <w:rPr>
          <w:rStyle w:val="FootnoteReference"/>
        </w:rPr>
        <w:footnoteReference w:id="101"/>
      </w:r>
    </w:p>
    <w:p w14:paraId="109BDCE4" w14:textId="22AF25A0"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Cement</w:t>
      </w:r>
    </w:p>
    <w:p w14:paraId="4675DACA" w14:textId="34434231"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Lime</w:t>
      </w:r>
    </w:p>
    <w:p w14:paraId="3257478F" w14:textId="134F2E31"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Limestone</w:t>
      </w:r>
    </w:p>
    <w:p w14:paraId="5960FA10" w14:textId="5FABBFDA"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Magnesium</w:t>
      </w:r>
    </w:p>
    <w:p w14:paraId="78660BBB" w14:textId="4B2CB053"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 xml:space="preserve">Iron </w:t>
      </w:r>
      <w:r w:rsidR="00A04AFA" w:rsidRPr="004C12C9">
        <w:rPr>
          <w:rFonts w:eastAsiaTheme="minorEastAsia"/>
          <w:lang w:eastAsia="ja-JP"/>
        </w:rPr>
        <w:t>and</w:t>
      </w:r>
      <w:r w:rsidRPr="004C12C9">
        <w:rPr>
          <w:rFonts w:eastAsiaTheme="minorEastAsia"/>
          <w:lang w:eastAsia="ja-JP"/>
        </w:rPr>
        <w:t xml:space="preserve"> steel</w:t>
      </w:r>
    </w:p>
    <w:p w14:paraId="7DDCEF8E" w14:textId="5AEBF4EC"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Ammonia</w:t>
      </w:r>
    </w:p>
    <w:p w14:paraId="1FDF06B6" w14:textId="291FDCB3"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Aluminum</w:t>
      </w:r>
    </w:p>
    <w:p w14:paraId="4A112BCA" w14:textId="46628622" w:rsidR="009F56BA" w:rsidRPr="004C12C9" w:rsidRDefault="009F56BA" w:rsidP="003B5F7F">
      <w:pPr>
        <w:pStyle w:val="ListParagraph"/>
        <w:numPr>
          <w:ilvl w:val="0"/>
          <w:numId w:val="26"/>
        </w:numPr>
        <w:rPr>
          <w:rFonts w:eastAsiaTheme="minorEastAsia"/>
          <w:lang w:eastAsia="ja-JP"/>
        </w:rPr>
      </w:pPr>
      <w:r w:rsidRPr="004C12C9">
        <w:rPr>
          <w:rFonts w:eastAsiaTheme="minorEastAsia"/>
          <w:lang w:eastAsia="ja-JP"/>
        </w:rPr>
        <w:t>Nitric acid</w:t>
      </w:r>
    </w:p>
    <w:p w14:paraId="49570518" w14:textId="77777777" w:rsidR="009F56BA" w:rsidRPr="004C12C9" w:rsidRDefault="009F56BA" w:rsidP="00E31E37">
      <w:pPr>
        <w:pStyle w:val="Heading4"/>
      </w:pPr>
      <w:r w:rsidRPr="004C12C9">
        <w:t>Emission Factors</w:t>
      </w:r>
    </w:p>
    <w:p w14:paraId="2A6B4CED" w14:textId="072A5643" w:rsidR="009F56BA" w:rsidRPr="004C12C9" w:rsidRDefault="00466BEA" w:rsidP="00972CF9">
      <w:r w:rsidRPr="004C12C9">
        <w:t xml:space="preserve">Default emission factors are available in the </w:t>
      </w:r>
      <w:r w:rsidR="007640AF" w:rsidRPr="004C12C9">
        <w:t>calculator</w:t>
      </w:r>
      <w:r w:rsidRPr="004C12C9">
        <w:t>. Users may apply the default values, or they may enter</w:t>
      </w:r>
      <w:r w:rsidR="00343913" w:rsidRPr="004C12C9">
        <w:t xml:space="preserve"> their own value</w:t>
      </w:r>
      <w:r w:rsidR="009B0FC8" w:rsidRPr="004C12C9">
        <w:t>.</w:t>
      </w:r>
      <w:r w:rsidRPr="004C12C9">
        <w:t xml:space="preserve"> </w:t>
      </w:r>
      <w:r w:rsidR="009B0FC8" w:rsidRPr="004C12C9">
        <w:t>Default</w:t>
      </w:r>
      <w:r w:rsidR="009F56BA" w:rsidRPr="004C12C9">
        <w:t xml:space="preserve"> emission factors for each industrial process were compiled from GREET</w:t>
      </w:r>
      <w:r w:rsidR="00CE3F0B" w:rsidRPr="004C12C9">
        <w:t xml:space="preserve"> </w:t>
      </w:r>
      <w:r w:rsidR="009F56BA" w:rsidRPr="004C12C9">
        <w:t>1 2024</w:t>
      </w:r>
      <w:r w:rsidR="009B0FC8" w:rsidRPr="004C12C9">
        <w:t>,</w:t>
      </w:r>
      <w:r w:rsidR="009F56BA" w:rsidRPr="004C12C9">
        <w:rPr>
          <w:rStyle w:val="FootnoteReference"/>
        </w:rPr>
        <w:footnoteReference w:id="102"/>
      </w:r>
      <w:r w:rsidR="009F56BA" w:rsidRPr="004C12C9">
        <w:t xml:space="preserve"> </w:t>
      </w:r>
      <w:r w:rsidR="0788E7FB" w:rsidRPr="004C12C9">
        <w:t xml:space="preserve">GREET </w:t>
      </w:r>
      <w:r w:rsidR="009F56BA" w:rsidRPr="004C12C9">
        <w:t>2 2024</w:t>
      </w:r>
      <w:r w:rsidR="0788E7FB" w:rsidRPr="004C12C9">
        <w:t>,</w:t>
      </w:r>
      <w:r w:rsidRPr="004C12C9">
        <w:rPr>
          <w:rStyle w:val="FootnoteReference"/>
        </w:rPr>
        <w:footnoteReference w:id="103"/>
      </w:r>
      <w:r w:rsidR="0788E7FB" w:rsidRPr="004C12C9">
        <w:t xml:space="preserve"> </w:t>
      </w:r>
      <w:r w:rsidR="009B0FC8" w:rsidRPr="004C12C9">
        <w:t>the</w:t>
      </w:r>
      <w:r w:rsidR="009F56BA" w:rsidRPr="004C12C9">
        <w:t xml:space="preserve"> Aluminum Association</w:t>
      </w:r>
      <w:r w:rsidR="009B0FC8" w:rsidRPr="004C12C9">
        <w:t>,</w:t>
      </w:r>
      <w:r w:rsidR="009F56BA" w:rsidRPr="004C12C9">
        <w:rPr>
          <w:rStyle w:val="FootnoteReference"/>
        </w:rPr>
        <w:footnoteReference w:id="104"/>
      </w:r>
      <w:r w:rsidR="009F56BA" w:rsidRPr="004C12C9">
        <w:t xml:space="preserve"> </w:t>
      </w:r>
      <w:r w:rsidR="009B0FC8" w:rsidRPr="004C12C9">
        <w:t>and</w:t>
      </w:r>
      <w:r w:rsidR="009F56BA" w:rsidRPr="004C12C9">
        <w:t xml:space="preserve"> EC3.</w:t>
      </w:r>
      <w:r w:rsidR="009F56BA" w:rsidRPr="004C12C9">
        <w:rPr>
          <w:rStyle w:val="FootnoteReference"/>
        </w:rPr>
        <w:footnoteReference w:id="105"/>
      </w:r>
      <w:r w:rsidR="009F56BA" w:rsidRPr="004C12C9">
        <w:t xml:space="preserve"> </w:t>
      </w:r>
      <w:r w:rsidR="00395329" w:rsidRPr="004C12C9">
        <w:rPr>
          <w:color w:val="000000" w:themeColor="text2"/>
        </w:rPr>
        <w:fldChar w:fldCharType="begin" w:fldLock="1"/>
      </w:r>
      <w:r w:rsidR="00395329" w:rsidRPr="004C12C9">
        <w:instrText xml:space="preserve"> REF _Ref195640882 \h </w:instrText>
      </w:r>
      <w:r w:rsidR="00395329" w:rsidRPr="004C12C9">
        <w:rPr>
          <w:color w:val="000000" w:themeColor="text2"/>
        </w:rPr>
      </w:r>
      <w:r w:rsidR="00395329" w:rsidRPr="004C12C9">
        <w:rPr>
          <w:color w:val="000000" w:themeColor="text2"/>
        </w:rPr>
        <w:fldChar w:fldCharType="separate"/>
      </w:r>
      <w:r w:rsidR="00127094" w:rsidRPr="004C12C9">
        <w:t>Table 3</w:t>
      </w:r>
      <w:r w:rsidR="00127094" w:rsidRPr="004C12C9">
        <w:noBreakHyphen/>
        <w:t>17</w:t>
      </w:r>
      <w:r w:rsidR="00395329" w:rsidRPr="004C12C9">
        <w:rPr>
          <w:color w:val="000000" w:themeColor="text2"/>
        </w:rPr>
        <w:fldChar w:fldCharType="end"/>
      </w:r>
      <w:r w:rsidR="009F56BA" w:rsidRPr="004C12C9">
        <w:rPr>
          <w:color w:val="000000" w:themeColor="text2"/>
        </w:rPr>
        <w:t xml:space="preserve"> </w:t>
      </w:r>
      <w:r w:rsidR="009F56BA" w:rsidRPr="004C12C9">
        <w:t>summarizes emission factors by industrial process.</w:t>
      </w:r>
      <w:r w:rsidR="009F56BA" w:rsidRPr="004C12C9">
        <w:rPr>
          <w:rStyle w:val="FootnoteReference"/>
        </w:rPr>
        <w:footnoteReference w:id="106"/>
      </w:r>
      <w:r w:rsidR="009F56BA" w:rsidRPr="004C12C9">
        <w:t xml:space="preserve"> Additional detail on the activities accounted for in the</w:t>
      </w:r>
      <w:r w:rsidR="009F56BA" w:rsidRPr="004C12C9" w:rsidDel="0023751B">
        <w:t xml:space="preserve"> </w:t>
      </w:r>
      <w:r w:rsidR="009F56BA" w:rsidRPr="004C12C9">
        <w:t xml:space="preserve">emission factors are summarized in </w:t>
      </w:r>
      <w:r w:rsidR="009F56BA" w:rsidRPr="004C12C9">
        <w:fldChar w:fldCharType="begin" w:fldLock="1"/>
      </w:r>
      <w:r w:rsidR="009F56BA" w:rsidRPr="004C12C9">
        <w:instrText xml:space="preserve"> REF _Ref191294081 \h  \* MERGEFORMAT </w:instrText>
      </w:r>
      <w:r w:rsidR="009F56BA" w:rsidRPr="004C12C9">
        <w:fldChar w:fldCharType="separate"/>
      </w:r>
      <w:r w:rsidR="00127094" w:rsidRPr="004C12C9">
        <w:t>Table 3</w:t>
      </w:r>
      <w:r w:rsidR="00127094" w:rsidRPr="004C12C9">
        <w:noBreakHyphen/>
        <w:t>18</w:t>
      </w:r>
      <w:r w:rsidR="009F56BA" w:rsidRPr="004C12C9">
        <w:fldChar w:fldCharType="end"/>
      </w:r>
      <w:r w:rsidR="009F56BA" w:rsidRPr="004C12C9">
        <w:t>.</w:t>
      </w:r>
    </w:p>
    <w:p w14:paraId="7172E674" w14:textId="69CEF882" w:rsidR="009F56BA" w:rsidRPr="004C12C9" w:rsidRDefault="009F56BA" w:rsidP="00972CF9">
      <w:pPr>
        <w:pStyle w:val="Caption"/>
      </w:pPr>
      <w:bookmarkStart w:id="183" w:name="_Ref195640882"/>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17</w:t>
      </w:r>
      <w:r w:rsidR="00F72B41">
        <w:fldChar w:fldCharType="end"/>
      </w:r>
      <w:bookmarkEnd w:id="183"/>
      <w:r w:rsidRPr="004C12C9">
        <w:t xml:space="preserve">. </w:t>
      </w:r>
      <w:r w:rsidR="008D7B13" w:rsidRPr="004C12C9">
        <w:t>Industrial Process</w:t>
      </w:r>
      <w:r w:rsidRPr="004C12C9">
        <w:t xml:space="preserve"> Emission Factors</w:t>
      </w:r>
    </w:p>
    <w:tbl>
      <w:tblPr>
        <w:tblW w:w="10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15"/>
        <w:gridCol w:w="2700"/>
        <w:gridCol w:w="3150"/>
      </w:tblGrid>
      <w:tr w:rsidR="009F56BA" w:rsidRPr="004C12C9" w14:paraId="58F403A0" w14:textId="77777777" w:rsidTr="00F95DF4">
        <w:trPr>
          <w:trHeight w:val="300"/>
          <w:tblHeader/>
        </w:trPr>
        <w:tc>
          <w:tcPr>
            <w:tcW w:w="4315" w:type="dxa"/>
            <w:shd w:val="clear" w:color="auto" w:fill="D9D9D9" w:themeFill="background1" w:themeFillShade="D9"/>
            <w:noWrap/>
            <w:vAlign w:val="center"/>
            <w:hideMark/>
          </w:tcPr>
          <w:p w14:paraId="5FFFDF7C" w14:textId="77777777" w:rsidR="009F56BA" w:rsidRPr="004C12C9" w:rsidRDefault="009F56BA" w:rsidP="00A82F92">
            <w:pPr>
              <w:pStyle w:val="ICFTableHeading"/>
            </w:pPr>
            <w:r w:rsidRPr="004C12C9">
              <w:t>Industrial Process</w:t>
            </w:r>
          </w:p>
        </w:tc>
        <w:tc>
          <w:tcPr>
            <w:tcW w:w="2700" w:type="dxa"/>
            <w:shd w:val="clear" w:color="auto" w:fill="D9D9D9" w:themeFill="background1" w:themeFillShade="D9"/>
            <w:vAlign w:val="center"/>
          </w:tcPr>
          <w:p w14:paraId="762D6EE3" w14:textId="4DDDCDB1" w:rsidR="009F56BA" w:rsidRPr="004C12C9" w:rsidRDefault="009F56BA" w:rsidP="00A82F92">
            <w:pPr>
              <w:pStyle w:val="ICFTableHeading"/>
            </w:pPr>
            <w:r w:rsidRPr="004C12C9">
              <w:t>kgCO</w:t>
            </w:r>
            <w:r w:rsidRPr="004C12C9">
              <w:rPr>
                <w:vertAlign w:val="subscript"/>
              </w:rPr>
              <w:t>2</w:t>
            </w:r>
            <w:r w:rsidRPr="004C12C9">
              <w:t>e/ton</w:t>
            </w:r>
            <w:r w:rsidR="006D3E74" w:rsidRPr="004C12C9">
              <w:rPr>
                <w:vertAlign w:val="superscript"/>
              </w:rPr>
              <w:t>a</w:t>
            </w:r>
          </w:p>
        </w:tc>
        <w:tc>
          <w:tcPr>
            <w:tcW w:w="3150" w:type="dxa"/>
            <w:shd w:val="clear" w:color="auto" w:fill="D9D9D9" w:themeFill="background1" w:themeFillShade="D9"/>
            <w:vAlign w:val="center"/>
          </w:tcPr>
          <w:p w14:paraId="4803E84F" w14:textId="77777777" w:rsidR="009F56BA" w:rsidRPr="004C12C9" w:rsidRDefault="009F56BA" w:rsidP="00A82F92">
            <w:pPr>
              <w:pStyle w:val="ICFTableHeading"/>
              <w:rPr>
                <w:color w:val="FFFFFF"/>
              </w:rPr>
            </w:pPr>
            <w:r w:rsidRPr="004C12C9">
              <w:t>Source</w:t>
            </w:r>
          </w:p>
        </w:tc>
      </w:tr>
      <w:tr w:rsidR="009F56BA" w:rsidRPr="004C12C9" w14:paraId="03BE3FFA" w14:textId="77777777" w:rsidTr="00EA7CCE">
        <w:trPr>
          <w:trHeight w:val="300"/>
        </w:trPr>
        <w:tc>
          <w:tcPr>
            <w:tcW w:w="4315" w:type="dxa"/>
            <w:noWrap/>
            <w:vAlign w:val="center"/>
            <w:hideMark/>
          </w:tcPr>
          <w:p w14:paraId="243C04AB" w14:textId="77777777" w:rsidR="009F56BA" w:rsidRPr="004C12C9" w:rsidRDefault="009F56BA" w:rsidP="00A82F92">
            <w:pPr>
              <w:pStyle w:val="ICFTabletext"/>
              <w:rPr>
                <w:color w:val="000000"/>
              </w:rPr>
            </w:pPr>
            <w:r w:rsidRPr="004C12C9">
              <w:t>Cement production</w:t>
            </w:r>
          </w:p>
        </w:tc>
        <w:tc>
          <w:tcPr>
            <w:tcW w:w="2700" w:type="dxa"/>
            <w:vAlign w:val="center"/>
          </w:tcPr>
          <w:p w14:paraId="2D8BCB0C" w14:textId="473DF451" w:rsidR="009F56BA" w:rsidRPr="004C12C9" w:rsidRDefault="007D07D3" w:rsidP="007845E7">
            <w:pPr>
              <w:pStyle w:val="ICFTabletext"/>
              <w:jc w:val="center"/>
              <w:rPr>
                <w:color w:val="000000"/>
              </w:rPr>
            </w:pPr>
            <w:r w:rsidRPr="004C12C9">
              <w:t>863.12</w:t>
            </w:r>
          </w:p>
        </w:tc>
        <w:tc>
          <w:tcPr>
            <w:tcW w:w="3150" w:type="dxa"/>
            <w:vAlign w:val="center"/>
          </w:tcPr>
          <w:p w14:paraId="66F9444E" w14:textId="2809540B" w:rsidR="009F56BA" w:rsidRPr="004C12C9" w:rsidRDefault="009F56BA" w:rsidP="00A82F92">
            <w:pPr>
              <w:pStyle w:val="ICFTabletext"/>
              <w:rPr>
                <w:color w:val="000000"/>
              </w:rPr>
            </w:pPr>
            <w:r w:rsidRPr="004C12C9">
              <w:t>GREET</w:t>
            </w:r>
            <w:r w:rsidR="0D26D3B4" w:rsidRPr="004C12C9">
              <w:t xml:space="preserve"> </w:t>
            </w:r>
            <w:r w:rsidRPr="004C12C9">
              <w:t>2, 2024</w:t>
            </w:r>
          </w:p>
        </w:tc>
      </w:tr>
      <w:tr w:rsidR="009F56BA" w:rsidRPr="004C12C9" w14:paraId="6CDD5D4A" w14:textId="77777777" w:rsidTr="00EA7CCE">
        <w:trPr>
          <w:trHeight w:val="300"/>
        </w:trPr>
        <w:tc>
          <w:tcPr>
            <w:tcW w:w="4315" w:type="dxa"/>
            <w:noWrap/>
            <w:vAlign w:val="center"/>
          </w:tcPr>
          <w:p w14:paraId="34A912EB" w14:textId="77777777" w:rsidR="009F56BA" w:rsidRPr="004C12C9" w:rsidRDefault="009F56BA" w:rsidP="00A82F92">
            <w:pPr>
              <w:pStyle w:val="ICFTabletext"/>
              <w:rPr>
                <w:rFonts w:ascii="Aptos" w:hAnsi="Aptos"/>
                <w:color w:val="000000"/>
              </w:rPr>
            </w:pPr>
            <w:r w:rsidRPr="004C12C9">
              <w:t>Lime manufacture</w:t>
            </w:r>
          </w:p>
        </w:tc>
        <w:tc>
          <w:tcPr>
            <w:tcW w:w="2700" w:type="dxa"/>
            <w:vAlign w:val="center"/>
          </w:tcPr>
          <w:p w14:paraId="55478495" w14:textId="5F599834" w:rsidR="009F56BA" w:rsidRPr="004C12C9" w:rsidRDefault="009F56BA" w:rsidP="007845E7">
            <w:pPr>
              <w:pStyle w:val="ICFTabletext"/>
              <w:jc w:val="center"/>
              <w:rPr>
                <w:rFonts w:ascii="Aptos" w:hAnsi="Aptos"/>
                <w:color w:val="000000"/>
              </w:rPr>
            </w:pPr>
            <w:r w:rsidRPr="004C12C9">
              <w:t>1,162.</w:t>
            </w:r>
            <w:r w:rsidR="007D07D3" w:rsidRPr="004C12C9">
              <w:t>63</w:t>
            </w:r>
          </w:p>
        </w:tc>
        <w:tc>
          <w:tcPr>
            <w:tcW w:w="3150" w:type="dxa"/>
            <w:vAlign w:val="center"/>
          </w:tcPr>
          <w:p w14:paraId="33B61F59" w14:textId="531C2EDE" w:rsidR="009F56BA" w:rsidRPr="004C12C9" w:rsidRDefault="009F56BA" w:rsidP="00A82F92">
            <w:pPr>
              <w:pStyle w:val="ICFTabletext"/>
              <w:rPr>
                <w:rFonts w:ascii="Aptos" w:hAnsi="Aptos"/>
                <w:color w:val="000000"/>
              </w:rPr>
            </w:pPr>
            <w:r w:rsidRPr="004C12C9">
              <w:t>GREET</w:t>
            </w:r>
            <w:r w:rsidR="2E00AC71" w:rsidRPr="004C12C9">
              <w:t xml:space="preserve"> </w:t>
            </w:r>
            <w:r w:rsidRPr="004C12C9">
              <w:t xml:space="preserve">1, 2024 </w:t>
            </w:r>
          </w:p>
        </w:tc>
      </w:tr>
      <w:tr w:rsidR="009F56BA" w:rsidRPr="004C12C9" w14:paraId="030D4CA9" w14:textId="77777777" w:rsidTr="00EA7CCE">
        <w:trPr>
          <w:trHeight w:val="300"/>
        </w:trPr>
        <w:tc>
          <w:tcPr>
            <w:tcW w:w="4315" w:type="dxa"/>
            <w:noWrap/>
            <w:vAlign w:val="center"/>
          </w:tcPr>
          <w:p w14:paraId="0350D66C" w14:textId="77777777" w:rsidR="009F56BA" w:rsidRPr="004C12C9" w:rsidRDefault="009F56BA" w:rsidP="00A82F92">
            <w:pPr>
              <w:pStyle w:val="ICFTabletext"/>
              <w:rPr>
                <w:rFonts w:ascii="Aptos" w:hAnsi="Aptos"/>
                <w:color w:val="000000"/>
              </w:rPr>
            </w:pPr>
            <w:r w:rsidRPr="004C12C9">
              <w:t>Limestone</w:t>
            </w:r>
          </w:p>
        </w:tc>
        <w:tc>
          <w:tcPr>
            <w:tcW w:w="2700" w:type="dxa"/>
            <w:vAlign w:val="center"/>
          </w:tcPr>
          <w:p w14:paraId="4F3EAE7F" w14:textId="70175AFF" w:rsidR="009F56BA" w:rsidRPr="004C12C9" w:rsidRDefault="009F56BA" w:rsidP="007845E7">
            <w:pPr>
              <w:pStyle w:val="ICFTabletext"/>
              <w:jc w:val="center"/>
              <w:rPr>
                <w:rFonts w:ascii="Aptos" w:hAnsi="Aptos"/>
                <w:color w:val="000000"/>
              </w:rPr>
            </w:pPr>
            <w:r w:rsidRPr="004C12C9">
              <w:t>8.</w:t>
            </w:r>
            <w:r w:rsidR="007D07D3" w:rsidRPr="004C12C9">
              <w:t>59</w:t>
            </w:r>
          </w:p>
        </w:tc>
        <w:tc>
          <w:tcPr>
            <w:tcW w:w="3150" w:type="dxa"/>
            <w:vAlign w:val="center"/>
          </w:tcPr>
          <w:p w14:paraId="32B91FFF" w14:textId="19D61607" w:rsidR="009F56BA" w:rsidRPr="004C12C9" w:rsidRDefault="009F56BA" w:rsidP="00A82F92">
            <w:pPr>
              <w:pStyle w:val="ICFTabletext"/>
              <w:rPr>
                <w:rFonts w:ascii="Aptos" w:hAnsi="Aptos"/>
                <w:color w:val="000000"/>
              </w:rPr>
            </w:pPr>
            <w:r w:rsidRPr="004C12C9">
              <w:t>GREET</w:t>
            </w:r>
            <w:r w:rsidR="2E00AC71" w:rsidRPr="004C12C9">
              <w:t xml:space="preserve"> </w:t>
            </w:r>
            <w:r w:rsidRPr="004C12C9">
              <w:t xml:space="preserve">1, 2024 </w:t>
            </w:r>
          </w:p>
        </w:tc>
      </w:tr>
      <w:tr w:rsidR="009F56BA" w:rsidRPr="004C12C9" w14:paraId="3F517505" w14:textId="77777777" w:rsidTr="00EA7CCE">
        <w:trPr>
          <w:trHeight w:val="300"/>
        </w:trPr>
        <w:tc>
          <w:tcPr>
            <w:tcW w:w="4315" w:type="dxa"/>
            <w:noWrap/>
            <w:vAlign w:val="center"/>
          </w:tcPr>
          <w:p w14:paraId="3042ACC3" w14:textId="77777777" w:rsidR="009F56BA" w:rsidRPr="004C12C9" w:rsidRDefault="009F56BA" w:rsidP="00A82F92">
            <w:pPr>
              <w:pStyle w:val="ICFTabletext"/>
              <w:rPr>
                <w:rFonts w:ascii="Aptos" w:hAnsi="Aptos"/>
                <w:color w:val="000000"/>
              </w:rPr>
            </w:pPr>
            <w:r w:rsidRPr="004C12C9">
              <w:t>Magnesium production and processing</w:t>
            </w:r>
          </w:p>
        </w:tc>
        <w:tc>
          <w:tcPr>
            <w:tcW w:w="2700" w:type="dxa"/>
            <w:vAlign w:val="center"/>
          </w:tcPr>
          <w:p w14:paraId="08EA859E" w14:textId="784F02FE" w:rsidR="009F56BA" w:rsidRPr="004C12C9" w:rsidRDefault="007D07D3" w:rsidP="007845E7">
            <w:pPr>
              <w:pStyle w:val="ICFTabletext"/>
              <w:jc w:val="center"/>
              <w:rPr>
                <w:rFonts w:ascii="Aptos" w:hAnsi="Aptos"/>
                <w:color w:val="000000"/>
              </w:rPr>
            </w:pPr>
            <w:r w:rsidRPr="004C12C9">
              <w:t>16,178.31</w:t>
            </w:r>
          </w:p>
        </w:tc>
        <w:tc>
          <w:tcPr>
            <w:tcW w:w="3150" w:type="dxa"/>
            <w:vAlign w:val="center"/>
          </w:tcPr>
          <w:p w14:paraId="2814C189" w14:textId="6C7A8135" w:rsidR="009F56BA" w:rsidRPr="004C12C9" w:rsidRDefault="009F56BA" w:rsidP="00A82F92">
            <w:pPr>
              <w:pStyle w:val="ICFTabletext"/>
              <w:rPr>
                <w:rFonts w:ascii="Aptos" w:hAnsi="Aptos"/>
                <w:color w:val="000000"/>
              </w:rPr>
            </w:pPr>
            <w:r w:rsidRPr="004C12C9">
              <w:t>GREET</w:t>
            </w:r>
            <w:r w:rsidR="51730506" w:rsidRPr="004C12C9">
              <w:t xml:space="preserve"> </w:t>
            </w:r>
            <w:r w:rsidRPr="004C12C9">
              <w:t xml:space="preserve">2, 2024 </w:t>
            </w:r>
          </w:p>
        </w:tc>
      </w:tr>
      <w:tr w:rsidR="009F56BA" w:rsidRPr="004C12C9" w14:paraId="0CE1C0D4" w14:textId="77777777" w:rsidTr="00EA7CCE">
        <w:trPr>
          <w:trHeight w:val="300"/>
        </w:trPr>
        <w:tc>
          <w:tcPr>
            <w:tcW w:w="4315" w:type="dxa"/>
            <w:noWrap/>
            <w:vAlign w:val="center"/>
          </w:tcPr>
          <w:p w14:paraId="330308E6" w14:textId="20D273A5" w:rsidR="009F56BA" w:rsidRPr="004C12C9" w:rsidRDefault="009F56BA" w:rsidP="00A82F92">
            <w:pPr>
              <w:pStyle w:val="ICFTabletext"/>
              <w:rPr>
                <w:rFonts w:ascii="Aptos" w:hAnsi="Aptos"/>
                <w:color w:val="000000"/>
              </w:rPr>
            </w:pPr>
            <w:r w:rsidRPr="004C12C9">
              <w:t>Iron &amp; steel production</w:t>
            </w:r>
            <w:r w:rsidR="006D3E74" w:rsidRPr="004C12C9">
              <w:rPr>
                <w:vertAlign w:val="superscript"/>
              </w:rPr>
              <w:t>b</w:t>
            </w:r>
          </w:p>
        </w:tc>
        <w:tc>
          <w:tcPr>
            <w:tcW w:w="2700" w:type="dxa"/>
            <w:vAlign w:val="center"/>
          </w:tcPr>
          <w:p w14:paraId="16792F5B" w14:textId="4D11BD7A" w:rsidR="009F56BA" w:rsidRPr="004C12C9" w:rsidRDefault="009F56BA" w:rsidP="007845E7">
            <w:pPr>
              <w:pStyle w:val="ICFTabletext"/>
              <w:jc w:val="center"/>
              <w:rPr>
                <w:rFonts w:ascii="Aptos" w:hAnsi="Aptos"/>
                <w:color w:val="000000"/>
              </w:rPr>
            </w:pPr>
            <w:r w:rsidRPr="004C12C9">
              <w:t>1,326.</w:t>
            </w:r>
            <w:r w:rsidR="007D07D3" w:rsidRPr="004C12C9">
              <w:t>60</w:t>
            </w:r>
          </w:p>
        </w:tc>
        <w:tc>
          <w:tcPr>
            <w:tcW w:w="3150" w:type="dxa"/>
            <w:vAlign w:val="center"/>
          </w:tcPr>
          <w:p w14:paraId="421A7AB1" w14:textId="5046ACCC" w:rsidR="009F56BA" w:rsidRPr="004C12C9" w:rsidRDefault="009F56BA" w:rsidP="00A82F92">
            <w:pPr>
              <w:pStyle w:val="ICFTabletext"/>
              <w:rPr>
                <w:rFonts w:ascii="Aptos" w:hAnsi="Aptos"/>
                <w:color w:val="000000"/>
              </w:rPr>
            </w:pPr>
            <w:r w:rsidRPr="004C12C9">
              <w:t>GREET</w:t>
            </w:r>
            <w:r w:rsidR="17E1EA7A" w:rsidRPr="004C12C9">
              <w:t xml:space="preserve"> </w:t>
            </w:r>
            <w:r w:rsidRPr="004C12C9">
              <w:t>1, 2024; EC3</w:t>
            </w:r>
          </w:p>
        </w:tc>
      </w:tr>
      <w:tr w:rsidR="009F56BA" w:rsidRPr="004C12C9" w14:paraId="3CE81E6A" w14:textId="77777777" w:rsidTr="00EA7CCE">
        <w:trPr>
          <w:trHeight w:val="300"/>
        </w:trPr>
        <w:tc>
          <w:tcPr>
            <w:tcW w:w="4315" w:type="dxa"/>
            <w:noWrap/>
            <w:vAlign w:val="center"/>
          </w:tcPr>
          <w:p w14:paraId="4BAF4767" w14:textId="77777777" w:rsidR="009F56BA" w:rsidRPr="004C12C9" w:rsidRDefault="009F56BA" w:rsidP="00A82F92">
            <w:pPr>
              <w:pStyle w:val="ICFTabletext"/>
              <w:rPr>
                <w:rFonts w:ascii="Aptos" w:hAnsi="Aptos"/>
                <w:color w:val="000000"/>
              </w:rPr>
            </w:pPr>
            <w:r w:rsidRPr="004C12C9">
              <w:t>Ammonia production &amp; urea consumption</w:t>
            </w:r>
          </w:p>
        </w:tc>
        <w:tc>
          <w:tcPr>
            <w:tcW w:w="2700" w:type="dxa"/>
            <w:vAlign w:val="center"/>
          </w:tcPr>
          <w:p w14:paraId="1E5311B6" w14:textId="3606B17C" w:rsidR="009F56BA" w:rsidRPr="004C12C9" w:rsidRDefault="0034717E" w:rsidP="007845E7">
            <w:pPr>
              <w:pStyle w:val="ICFTabletext"/>
              <w:jc w:val="center"/>
              <w:rPr>
                <w:rFonts w:ascii="Aptos" w:hAnsi="Aptos"/>
                <w:color w:val="000000"/>
              </w:rPr>
            </w:pPr>
            <w:r w:rsidRPr="004C12C9">
              <w:t>937.36</w:t>
            </w:r>
          </w:p>
        </w:tc>
        <w:tc>
          <w:tcPr>
            <w:tcW w:w="3150" w:type="dxa"/>
            <w:vAlign w:val="center"/>
          </w:tcPr>
          <w:p w14:paraId="73DB3E0B" w14:textId="169B038A" w:rsidR="009F56BA" w:rsidRPr="004C12C9" w:rsidRDefault="009F56BA" w:rsidP="00A82F92">
            <w:pPr>
              <w:pStyle w:val="ICFTabletext"/>
              <w:rPr>
                <w:rFonts w:ascii="Aptos" w:hAnsi="Aptos"/>
                <w:color w:val="000000"/>
              </w:rPr>
            </w:pPr>
            <w:r w:rsidRPr="004C12C9">
              <w:t>GREET</w:t>
            </w:r>
            <w:r w:rsidR="77C0C644" w:rsidRPr="004C12C9">
              <w:t xml:space="preserve"> </w:t>
            </w:r>
            <w:r w:rsidRPr="004C12C9">
              <w:t xml:space="preserve">1, 2024 </w:t>
            </w:r>
          </w:p>
        </w:tc>
      </w:tr>
      <w:tr w:rsidR="009F56BA" w:rsidRPr="004C12C9" w14:paraId="6B3A6DA4" w14:textId="77777777" w:rsidTr="00EA7CCE">
        <w:trPr>
          <w:trHeight w:val="300"/>
        </w:trPr>
        <w:tc>
          <w:tcPr>
            <w:tcW w:w="4315" w:type="dxa"/>
            <w:noWrap/>
            <w:vAlign w:val="center"/>
          </w:tcPr>
          <w:p w14:paraId="2FE38A12" w14:textId="44A2722C" w:rsidR="009F56BA" w:rsidRPr="004C12C9" w:rsidRDefault="009F56BA" w:rsidP="00A82F92">
            <w:pPr>
              <w:pStyle w:val="ICFTabletext"/>
              <w:rPr>
                <w:rFonts w:ascii="Aptos" w:hAnsi="Aptos"/>
                <w:color w:val="000000"/>
              </w:rPr>
            </w:pPr>
            <w:r w:rsidRPr="004C12C9">
              <w:t>Aluminum production</w:t>
            </w:r>
            <w:r w:rsidR="006D3E74" w:rsidRPr="004C12C9">
              <w:rPr>
                <w:vertAlign w:val="superscript"/>
              </w:rPr>
              <w:t>b</w:t>
            </w:r>
          </w:p>
        </w:tc>
        <w:tc>
          <w:tcPr>
            <w:tcW w:w="2700" w:type="dxa"/>
            <w:vAlign w:val="center"/>
          </w:tcPr>
          <w:p w14:paraId="4734ABE8" w14:textId="0AF5A3FA" w:rsidR="009F56BA" w:rsidRPr="004C12C9" w:rsidRDefault="009F56BA" w:rsidP="007845E7">
            <w:pPr>
              <w:pStyle w:val="ICFTabletext"/>
              <w:jc w:val="center"/>
              <w:rPr>
                <w:rFonts w:ascii="Aptos" w:hAnsi="Aptos"/>
                <w:color w:val="000000"/>
              </w:rPr>
            </w:pPr>
            <w:r w:rsidRPr="004C12C9">
              <w:t>9,332.</w:t>
            </w:r>
            <w:r w:rsidR="0034717E" w:rsidRPr="004C12C9">
              <w:t>16</w:t>
            </w:r>
          </w:p>
        </w:tc>
        <w:tc>
          <w:tcPr>
            <w:tcW w:w="3150" w:type="dxa"/>
            <w:vAlign w:val="center"/>
          </w:tcPr>
          <w:p w14:paraId="4AB3B52D" w14:textId="5AC90665" w:rsidR="009F56BA" w:rsidRPr="004C12C9" w:rsidRDefault="009F56BA" w:rsidP="00A82F92">
            <w:pPr>
              <w:pStyle w:val="ICFTabletext"/>
              <w:rPr>
                <w:rFonts w:ascii="Aptos" w:hAnsi="Aptos"/>
                <w:color w:val="000000"/>
              </w:rPr>
            </w:pPr>
            <w:r w:rsidRPr="004C12C9">
              <w:t xml:space="preserve">Aluminum Association </w:t>
            </w:r>
          </w:p>
        </w:tc>
      </w:tr>
      <w:tr w:rsidR="009F56BA" w:rsidRPr="004C12C9" w14:paraId="62A58483" w14:textId="77777777" w:rsidTr="00EA7CCE">
        <w:trPr>
          <w:trHeight w:val="300"/>
        </w:trPr>
        <w:tc>
          <w:tcPr>
            <w:tcW w:w="4315" w:type="dxa"/>
            <w:noWrap/>
            <w:vAlign w:val="center"/>
          </w:tcPr>
          <w:p w14:paraId="3B8D14CE" w14:textId="77777777" w:rsidR="009F56BA" w:rsidRPr="004C12C9" w:rsidRDefault="009F56BA" w:rsidP="00A82F92">
            <w:pPr>
              <w:pStyle w:val="ICFTabletext"/>
              <w:rPr>
                <w:rFonts w:ascii="Aptos" w:hAnsi="Aptos"/>
                <w:color w:val="000000"/>
              </w:rPr>
            </w:pPr>
            <w:r w:rsidRPr="004C12C9">
              <w:t>Nitric acid production</w:t>
            </w:r>
          </w:p>
        </w:tc>
        <w:tc>
          <w:tcPr>
            <w:tcW w:w="2700" w:type="dxa"/>
            <w:vAlign w:val="center"/>
          </w:tcPr>
          <w:p w14:paraId="2E63EFCA" w14:textId="7FE110DB" w:rsidR="009F56BA" w:rsidRPr="004C12C9" w:rsidRDefault="0034717E" w:rsidP="007845E7">
            <w:pPr>
              <w:pStyle w:val="ICFTabletext"/>
              <w:jc w:val="center"/>
              <w:rPr>
                <w:rFonts w:ascii="Aptos" w:hAnsi="Aptos"/>
                <w:color w:val="000000"/>
              </w:rPr>
            </w:pPr>
            <w:r w:rsidRPr="004C12C9">
              <w:t>1,804.37</w:t>
            </w:r>
          </w:p>
        </w:tc>
        <w:tc>
          <w:tcPr>
            <w:tcW w:w="3150" w:type="dxa"/>
            <w:vAlign w:val="center"/>
          </w:tcPr>
          <w:p w14:paraId="4AF2E0C3" w14:textId="19D7DE68" w:rsidR="009F56BA" w:rsidRPr="004C12C9" w:rsidRDefault="009F56BA" w:rsidP="00A82F92">
            <w:pPr>
              <w:pStyle w:val="ICFTabletext"/>
              <w:rPr>
                <w:rFonts w:ascii="Aptos" w:hAnsi="Aptos"/>
                <w:color w:val="000000"/>
              </w:rPr>
            </w:pPr>
            <w:r w:rsidRPr="004C12C9">
              <w:t>GREET</w:t>
            </w:r>
            <w:r w:rsidR="100766F6" w:rsidRPr="004C12C9">
              <w:t xml:space="preserve"> </w:t>
            </w:r>
            <w:r w:rsidRPr="004C12C9">
              <w:t xml:space="preserve">1, 2024 </w:t>
            </w:r>
          </w:p>
        </w:tc>
      </w:tr>
    </w:tbl>
    <w:p w14:paraId="02D9701B" w14:textId="16F91084" w:rsidR="009F56BA" w:rsidRPr="004C12C9" w:rsidRDefault="006D3E74" w:rsidP="00665681">
      <w:pPr>
        <w:pStyle w:val="TableFooter"/>
        <w:rPr>
          <w:sz w:val="20"/>
          <w:szCs w:val="20"/>
        </w:rPr>
      </w:pPr>
      <w:r w:rsidRPr="004C12C9">
        <w:rPr>
          <w:vertAlign w:val="superscript"/>
        </w:rPr>
        <w:t>a</w:t>
      </w:r>
      <w:r w:rsidR="009F56BA" w:rsidRPr="004C12C9">
        <w:t xml:space="preserve"> Values shown are based on AR</w:t>
      </w:r>
      <w:r w:rsidR="00776517" w:rsidRPr="004C12C9">
        <w:t>5</w:t>
      </w:r>
      <w:r w:rsidR="009F56BA" w:rsidRPr="004C12C9">
        <w:t xml:space="preserve"> global warming potentials.</w:t>
      </w:r>
    </w:p>
    <w:p w14:paraId="6AAE7F77" w14:textId="06FBD907" w:rsidR="009F56BA" w:rsidRPr="004C12C9" w:rsidRDefault="006D3E74" w:rsidP="00665681">
      <w:pPr>
        <w:pStyle w:val="TableFooter"/>
      </w:pPr>
      <w:r w:rsidRPr="004C12C9">
        <w:rPr>
          <w:vertAlign w:val="superscript"/>
        </w:rPr>
        <w:t xml:space="preserve">b </w:t>
      </w:r>
      <w:r w:rsidR="009F56BA" w:rsidRPr="004C12C9">
        <w:t>Emission factor is only available in CO</w:t>
      </w:r>
      <w:r w:rsidR="009F56BA" w:rsidRPr="004C12C9">
        <w:rPr>
          <w:vertAlign w:val="subscript"/>
        </w:rPr>
        <w:t>2</w:t>
      </w:r>
      <w:r w:rsidR="009F56BA" w:rsidRPr="004C12C9">
        <w:t xml:space="preserve">e; AR5 </w:t>
      </w:r>
      <w:r w:rsidR="00EA7CCE" w:rsidRPr="004C12C9">
        <w:t>global warming potentials</w:t>
      </w:r>
      <w:r w:rsidR="009F56BA" w:rsidRPr="004C12C9">
        <w:t xml:space="preserve"> were used by the Aluminum Association</w:t>
      </w:r>
      <w:r w:rsidR="00EA7CCE" w:rsidRPr="004C12C9">
        <w:t>. Global warming potentials</w:t>
      </w:r>
      <w:r w:rsidR="009F56BA" w:rsidRPr="004C12C9">
        <w:t xml:space="preserve"> from EC3 vary across EPDs</w:t>
      </w:r>
      <w:r w:rsidR="009F56BA" w:rsidRPr="004C12C9" w:rsidDel="00A63192">
        <w:t>.</w:t>
      </w:r>
    </w:p>
    <w:p w14:paraId="60D34193" w14:textId="67803B0A" w:rsidR="009F56BA" w:rsidRPr="004C12C9" w:rsidRDefault="009F56BA" w:rsidP="00972CF9">
      <w:pPr>
        <w:pStyle w:val="Caption"/>
      </w:pPr>
      <w:bookmarkStart w:id="184" w:name="_Ref19129408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18</w:t>
      </w:r>
      <w:r w:rsidR="00F72B41">
        <w:fldChar w:fldCharType="end"/>
      </w:r>
      <w:bookmarkEnd w:id="184"/>
      <w:r w:rsidRPr="004C12C9">
        <w:t>: Emission Sources Selected and Lifecycle Stages Quantified</w:t>
      </w:r>
    </w:p>
    <w:tbl>
      <w:tblPr>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2880"/>
        <w:gridCol w:w="5220"/>
      </w:tblGrid>
      <w:tr w:rsidR="009F56BA" w:rsidRPr="004C12C9" w14:paraId="1A989E05" w14:textId="77777777" w:rsidTr="00641494">
        <w:trPr>
          <w:cantSplit/>
          <w:trHeight w:val="287"/>
          <w:tblHeader/>
        </w:trPr>
        <w:tc>
          <w:tcPr>
            <w:tcW w:w="1975" w:type="dxa"/>
            <w:shd w:val="clear" w:color="auto" w:fill="D9D9D9" w:themeFill="background1" w:themeFillShade="D9"/>
            <w:noWrap/>
            <w:vAlign w:val="center"/>
            <w:hideMark/>
          </w:tcPr>
          <w:p w14:paraId="2387941F" w14:textId="77777777" w:rsidR="009F56BA" w:rsidRPr="004C12C9" w:rsidRDefault="009F56BA" w:rsidP="00971051">
            <w:pPr>
              <w:pStyle w:val="ICFTableHeading"/>
            </w:pPr>
            <w:r w:rsidRPr="004C12C9">
              <w:t>Product</w:t>
            </w:r>
          </w:p>
        </w:tc>
        <w:tc>
          <w:tcPr>
            <w:tcW w:w="2880" w:type="dxa"/>
            <w:shd w:val="clear" w:color="auto" w:fill="D9D9D9" w:themeFill="background1" w:themeFillShade="D9"/>
            <w:vAlign w:val="center"/>
          </w:tcPr>
          <w:p w14:paraId="234A3C6F" w14:textId="19CFDB77" w:rsidR="009F56BA" w:rsidRPr="004C12C9" w:rsidRDefault="009F56BA" w:rsidP="00971051">
            <w:pPr>
              <w:pStyle w:val="ICFTableHeading"/>
            </w:pPr>
            <w:r w:rsidRPr="004C12C9" w:rsidDel="00275ABB">
              <w:t>Product</w:t>
            </w:r>
            <w:r w:rsidRPr="004C12C9">
              <w:t xml:space="preserve"> Description</w:t>
            </w:r>
            <w:r w:rsidR="00D73B7B" w:rsidRPr="004C12C9">
              <w:rPr>
                <w:vertAlign w:val="superscript"/>
              </w:rPr>
              <w:t>a</w:t>
            </w:r>
          </w:p>
        </w:tc>
        <w:tc>
          <w:tcPr>
            <w:tcW w:w="5220" w:type="dxa"/>
            <w:shd w:val="clear" w:color="auto" w:fill="D9D9D9" w:themeFill="background1" w:themeFillShade="D9"/>
            <w:vAlign w:val="center"/>
            <w:hideMark/>
          </w:tcPr>
          <w:p w14:paraId="71FD39A0" w14:textId="77777777" w:rsidR="009F56BA" w:rsidRPr="004C12C9" w:rsidRDefault="009F56BA" w:rsidP="00971051">
            <w:pPr>
              <w:pStyle w:val="ICFTableHeading"/>
            </w:pPr>
            <w:r w:rsidRPr="004C12C9">
              <w:t>Emissions Quantified</w:t>
            </w:r>
          </w:p>
        </w:tc>
      </w:tr>
      <w:tr w:rsidR="009F56BA" w:rsidRPr="004C12C9" w14:paraId="1059F9B8" w14:textId="77777777" w:rsidTr="00641494">
        <w:trPr>
          <w:cantSplit/>
          <w:trHeight w:val="300"/>
        </w:trPr>
        <w:tc>
          <w:tcPr>
            <w:tcW w:w="1975" w:type="dxa"/>
            <w:noWrap/>
            <w:vAlign w:val="center"/>
            <w:hideMark/>
          </w:tcPr>
          <w:p w14:paraId="6BF2F90F" w14:textId="77777777" w:rsidR="009F56BA" w:rsidRPr="004C12C9" w:rsidRDefault="009F56BA" w:rsidP="00971051">
            <w:pPr>
              <w:pStyle w:val="ICFTabletext"/>
            </w:pPr>
            <w:r w:rsidRPr="004C12C9">
              <w:t>Cement production</w:t>
            </w:r>
          </w:p>
        </w:tc>
        <w:tc>
          <w:tcPr>
            <w:tcW w:w="2880" w:type="dxa"/>
            <w:vAlign w:val="center"/>
          </w:tcPr>
          <w:p w14:paraId="6349AD15" w14:textId="77777777" w:rsidR="009F56BA" w:rsidRPr="004C12C9" w:rsidRDefault="009F56BA" w:rsidP="00971051">
            <w:pPr>
              <w:pStyle w:val="ICFTabletext"/>
            </w:pPr>
            <w:r w:rsidRPr="004C12C9">
              <w:t xml:space="preserve">Cement Product: Combined Emissions </w:t>
            </w:r>
          </w:p>
        </w:tc>
        <w:tc>
          <w:tcPr>
            <w:tcW w:w="5220" w:type="dxa"/>
            <w:noWrap/>
            <w:vAlign w:val="center"/>
            <w:hideMark/>
          </w:tcPr>
          <w:p w14:paraId="1C81E98E" w14:textId="77777777" w:rsidR="009F56BA" w:rsidRPr="004C12C9" w:rsidRDefault="009F56BA" w:rsidP="003B5F7F">
            <w:pPr>
              <w:pStyle w:val="ICFTabletext"/>
              <w:numPr>
                <w:ilvl w:val="0"/>
                <w:numId w:val="27"/>
              </w:numPr>
              <w:spacing w:before="20" w:after="20"/>
              <w:ind w:left="346" w:hanging="274"/>
            </w:pPr>
            <w:r w:rsidRPr="004C12C9">
              <w:t>Cement energy use</w:t>
            </w:r>
          </w:p>
          <w:p w14:paraId="3EE9A7C8" w14:textId="77777777" w:rsidR="009F56BA" w:rsidRPr="004C12C9" w:rsidRDefault="009F56BA" w:rsidP="003B5F7F">
            <w:pPr>
              <w:pStyle w:val="ICFTabletext"/>
              <w:numPr>
                <w:ilvl w:val="0"/>
                <w:numId w:val="27"/>
              </w:numPr>
              <w:spacing w:before="20" w:after="20"/>
              <w:ind w:left="346" w:hanging="274"/>
            </w:pPr>
            <w:r w:rsidRPr="004C12C9">
              <w:t>Facility emissions based on federal datasets</w:t>
            </w:r>
          </w:p>
          <w:p w14:paraId="24D66A2A" w14:textId="77777777" w:rsidR="009F56BA" w:rsidRPr="004C12C9" w:rsidRDefault="009F56BA" w:rsidP="003B5F7F">
            <w:pPr>
              <w:pStyle w:val="ICFTabletext"/>
              <w:numPr>
                <w:ilvl w:val="0"/>
                <w:numId w:val="27"/>
              </w:numPr>
              <w:spacing w:before="20" w:after="20"/>
              <w:ind w:left="346" w:hanging="274"/>
            </w:pPr>
            <w:r w:rsidRPr="004C12C9">
              <w:t>Avoided landfill gas emissions</w:t>
            </w:r>
          </w:p>
          <w:p w14:paraId="50B3A42D" w14:textId="77777777" w:rsidR="009F56BA" w:rsidRPr="004C12C9" w:rsidRDefault="009F56BA" w:rsidP="003B5F7F">
            <w:pPr>
              <w:pStyle w:val="ICFTabletext"/>
              <w:numPr>
                <w:ilvl w:val="0"/>
                <w:numId w:val="27"/>
              </w:numPr>
              <w:spacing w:before="20" w:after="20"/>
              <w:ind w:left="346" w:hanging="274"/>
            </w:pPr>
            <w:r w:rsidRPr="004C12C9">
              <w:t>On-site mobile fuel use</w:t>
            </w:r>
          </w:p>
          <w:p w14:paraId="16AE20CD" w14:textId="77777777" w:rsidR="009F56BA" w:rsidRPr="004C12C9" w:rsidRDefault="009F56BA" w:rsidP="003B5F7F">
            <w:pPr>
              <w:pStyle w:val="ICFTabletext"/>
              <w:numPr>
                <w:ilvl w:val="0"/>
                <w:numId w:val="27"/>
              </w:numPr>
              <w:spacing w:before="20" w:after="20"/>
              <w:ind w:left="346" w:hanging="274"/>
            </w:pPr>
            <w:r w:rsidRPr="004C12C9">
              <w:t>Transportation</w:t>
            </w:r>
          </w:p>
          <w:p w14:paraId="312D12C5" w14:textId="77777777" w:rsidR="009F56BA" w:rsidRPr="004C12C9" w:rsidRDefault="009F56BA" w:rsidP="003B5F7F">
            <w:pPr>
              <w:pStyle w:val="ICFTabletext"/>
              <w:numPr>
                <w:ilvl w:val="0"/>
                <w:numId w:val="27"/>
              </w:numPr>
              <w:spacing w:before="20" w:after="20"/>
              <w:ind w:left="346" w:hanging="274"/>
            </w:pPr>
            <w:r w:rsidRPr="004C12C9">
              <w:t>Gypsum and clay quarrying (based on national average material shares in cement)</w:t>
            </w:r>
          </w:p>
          <w:p w14:paraId="2935CF2F" w14:textId="77777777" w:rsidR="009F56BA" w:rsidRPr="004C12C9" w:rsidRDefault="009F56BA" w:rsidP="003B5F7F">
            <w:pPr>
              <w:pStyle w:val="ICFTabletext"/>
              <w:numPr>
                <w:ilvl w:val="0"/>
                <w:numId w:val="27"/>
              </w:numPr>
              <w:spacing w:before="20" w:after="20"/>
              <w:ind w:left="346" w:hanging="274"/>
            </w:pPr>
            <w:r w:rsidRPr="004C12C9">
              <w:t>Energy use</w:t>
            </w:r>
          </w:p>
        </w:tc>
      </w:tr>
      <w:tr w:rsidR="009F56BA" w:rsidRPr="004C12C9" w14:paraId="5C64A8D8" w14:textId="77777777" w:rsidTr="00641494">
        <w:trPr>
          <w:cantSplit/>
          <w:trHeight w:val="300"/>
        </w:trPr>
        <w:tc>
          <w:tcPr>
            <w:tcW w:w="1975" w:type="dxa"/>
            <w:noWrap/>
            <w:vAlign w:val="center"/>
            <w:hideMark/>
          </w:tcPr>
          <w:p w14:paraId="66CDD1CC" w14:textId="77777777" w:rsidR="009F56BA" w:rsidRPr="004C12C9" w:rsidRDefault="009F56BA" w:rsidP="00971051">
            <w:pPr>
              <w:pStyle w:val="ICFTabletext"/>
            </w:pPr>
            <w:r w:rsidRPr="004C12C9">
              <w:t>Lime manufacture</w:t>
            </w:r>
          </w:p>
        </w:tc>
        <w:tc>
          <w:tcPr>
            <w:tcW w:w="2880" w:type="dxa"/>
            <w:vAlign w:val="center"/>
          </w:tcPr>
          <w:p w14:paraId="00F663AB" w14:textId="77777777" w:rsidR="009F56BA" w:rsidRPr="004C12C9" w:rsidRDefault="009F56BA" w:rsidP="00971051">
            <w:pPr>
              <w:pStyle w:val="ICFTabletext"/>
            </w:pPr>
            <w:r w:rsidRPr="004C12C9">
              <w:t xml:space="preserve">Lime </w:t>
            </w:r>
          </w:p>
        </w:tc>
        <w:tc>
          <w:tcPr>
            <w:tcW w:w="5220" w:type="dxa"/>
            <w:noWrap/>
            <w:vAlign w:val="center"/>
            <w:hideMark/>
          </w:tcPr>
          <w:p w14:paraId="075A4176" w14:textId="77777777" w:rsidR="009F56BA" w:rsidRPr="004C12C9" w:rsidRDefault="009F56BA" w:rsidP="003B5F7F">
            <w:pPr>
              <w:pStyle w:val="ICFTabletext"/>
              <w:numPr>
                <w:ilvl w:val="0"/>
                <w:numId w:val="27"/>
              </w:numPr>
              <w:spacing w:before="20" w:after="20"/>
              <w:ind w:left="346" w:hanging="274"/>
            </w:pPr>
            <w:r w:rsidRPr="004C12C9">
              <w:t>Lime: production, process emissions, transportation</w:t>
            </w:r>
          </w:p>
          <w:p w14:paraId="2C8DF109" w14:textId="77777777" w:rsidR="009F56BA" w:rsidRPr="004C12C9" w:rsidRDefault="009F56BA" w:rsidP="003B5F7F">
            <w:pPr>
              <w:pStyle w:val="ICFTabletext"/>
              <w:numPr>
                <w:ilvl w:val="0"/>
                <w:numId w:val="27"/>
              </w:numPr>
              <w:spacing w:before="20" w:after="20"/>
              <w:ind w:left="346" w:hanging="274"/>
            </w:pPr>
            <w:r w:rsidRPr="004C12C9">
              <w:t>Limestone: mining, process emissions</w:t>
            </w:r>
          </w:p>
        </w:tc>
      </w:tr>
      <w:tr w:rsidR="009F56BA" w:rsidRPr="004C12C9" w14:paraId="60510F56" w14:textId="77777777" w:rsidTr="00641494">
        <w:trPr>
          <w:cantSplit/>
          <w:trHeight w:val="300"/>
        </w:trPr>
        <w:tc>
          <w:tcPr>
            <w:tcW w:w="1975" w:type="dxa"/>
            <w:noWrap/>
            <w:vAlign w:val="center"/>
            <w:hideMark/>
          </w:tcPr>
          <w:p w14:paraId="1CAE3C00" w14:textId="77777777" w:rsidR="009F56BA" w:rsidRPr="004C12C9" w:rsidRDefault="009F56BA" w:rsidP="00971051">
            <w:pPr>
              <w:pStyle w:val="ICFTabletext"/>
            </w:pPr>
            <w:r w:rsidRPr="004C12C9">
              <w:t>Limestone</w:t>
            </w:r>
          </w:p>
        </w:tc>
        <w:tc>
          <w:tcPr>
            <w:tcW w:w="2880" w:type="dxa"/>
            <w:vAlign w:val="center"/>
          </w:tcPr>
          <w:p w14:paraId="63409FC5" w14:textId="77777777" w:rsidR="009F56BA" w:rsidRPr="004C12C9" w:rsidRDefault="009F56BA" w:rsidP="00971051">
            <w:pPr>
              <w:pStyle w:val="ICFTabletext"/>
            </w:pPr>
            <w:r w:rsidRPr="004C12C9">
              <w:t>Limestone (CaCO</w:t>
            </w:r>
            <w:r w:rsidRPr="004C12C9">
              <w:rPr>
                <w:vertAlign w:val="subscript"/>
              </w:rPr>
              <w:t>3</w:t>
            </w:r>
            <w:r w:rsidRPr="004C12C9">
              <w:t>), Emissions of Material Inputs for Plastics Pathways</w:t>
            </w:r>
          </w:p>
        </w:tc>
        <w:tc>
          <w:tcPr>
            <w:tcW w:w="5220" w:type="dxa"/>
            <w:noWrap/>
            <w:vAlign w:val="center"/>
            <w:hideMark/>
          </w:tcPr>
          <w:p w14:paraId="413E2541" w14:textId="77777777" w:rsidR="009F56BA" w:rsidRPr="004C12C9" w:rsidRDefault="009F56BA" w:rsidP="003B5F7F">
            <w:pPr>
              <w:pStyle w:val="ICFTabletext"/>
              <w:numPr>
                <w:ilvl w:val="0"/>
                <w:numId w:val="27"/>
              </w:numPr>
              <w:spacing w:before="20" w:after="20"/>
              <w:ind w:left="346" w:hanging="274"/>
            </w:pPr>
            <w:r w:rsidRPr="004C12C9">
              <w:t>Mining</w:t>
            </w:r>
          </w:p>
          <w:p w14:paraId="0827FC8B" w14:textId="77777777" w:rsidR="009F56BA" w:rsidRPr="004C12C9" w:rsidRDefault="009F56BA" w:rsidP="003B5F7F">
            <w:pPr>
              <w:pStyle w:val="ICFTabletext"/>
              <w:numPr>
                <w:ilvl w:val="0"/>
                <w:numId w:val="27"/>
              </w:numPr>
              <w:spacing w:before="20" w:after="20"/>
              <w:ind w:left="346" w:hanging="274"/>
            </w:pPr>
            <w:r w:rsidRPr="004C12C9">
              <w:t>Process emissions</w:t>
            </w:r>
          </w:p>
          <w:p w14:paraId="01101061" w14:textId="77777777" w:rsidR="009F56BA" w:rsidRPr="004C12C9" w:rsidRDefault="009F56BA" w:rsidP="003B5F7F">
            <w:pPr>
              <w:pStyle w:val="ICFTabletext"/>
              <w:numPr>
                <w:ilvl w:val="0"/>
                <w:numId w:val="27"/>
              </w:numPr>
              <w:spacing w:before="20" w:after="20"/>
              <w:ind w:left="346" w:hanging="274"/>
            </w:pPr>
            <w:r w:rsidRPr="004C12C9">
              <w:t>Transportation as fertilizer</w:t>
            </w:r>
          </w:p>
        </w:tc>
      </w:tr>
      <w:tr w:rsidR="009F56BA" w:rsidRPr="004C12C9" w14:paraId="5C776E12" w14:textId="77777777" w:rsidTr="00641494">
        <w:trPr>
          <w:cantSplit/>
          <w:trHeight w:val="300"/>
        </w:trPr>
        <w:tc>
          <w:tcPr>
            <w:tcW w:w="1975" w:type="dxa"/>
            <w:noWrap/>
            <w:vAlign w:val="center"/>
            <w:hideMark/>
          </w:tcPr>
          <w:p w14:paraId="20C635A1" w14:textId="77777777" w:rsidR="009F56BA" w:rsidRPr="004C12C9" w:rsidRDefault="009F56BA" w:rsidP="00971051">
            <w:pPr>
              <w:pStyle w:val="ICFTabletext"/>
            </w:pPr>
            <w:r w:rsidRPr="004C12C9">
              <w:t>Magnesium production and processing</w:t>
            </w:r>
          </w:p>
        </w:tc>
        <w:tc>
          <w:tcPr>
            <w:tcW w:w="2880" w:type="dxa"/>
            <w:vAlign w:val="center"/>
          </w:tcPr>
          <w:p w14:paraId="6F042931" w14:textId="77777777" w:rsidR="009F56BA" w:rsidRPr="004C12C9" w:rsidRDefault="009F56BA" w:rsidP="00971051">
            <w:pPr>
              <w:pStyle w:val="ICFTabletext"/>
            </w:pPr>
            <w:r w:rsidRPr="004C12C9">
              <w:t>Virgin Magnesium</w:t>
            </w:r>
          </w:p>
        </w:tc>
        <w:tc>
          <w:tcPr>
            <w:tcW w:w="5220" w:type="dxa"/>
            <w:noWrap/>
            <w:vAlign w:val="center"/>
            <w:hideMark/>
          </w:tcPr>
          <w:p w14:paraId="0DAD367D" w14:textId="77777777" w:rsidR="009F56BA" w:rsidRPr="004C12C9" w:rsidRDefault="009F56BA" w:rsidP="003B5F7F">
            <w:pPr>
              <w:pStyle w:val="ICFTabletext"/>
              <w:numPr>
                <w:ilvl w:val="0"/>
                <w:numId w:val="27"/>
              </w:numPr>
              <w:spacing w:before="20" w:after="20"/>
              <w:ind w:left="346" w:hanging="274"/>
            </w:pPr>
            <w:r w:rsidRPr="004C12C9">
              <w:t>Ore mining</w:t>
            </w:r>
          </w:p>
          <w:p w14:paraId="49100C49" w14:textId="77777777" w:rsidR="009F56BA" w:rsidRPr="004C12C9" w:rsidRDefault="009F56BA" w:rsidP="003B5F7F">
            <w:pPr>
              <w:pStyle w:val="ICFTabletext"/>
              <w:numPr>
                <w:ilvl w:val="0"/>
                <w:numId w:val="27"/>
              </w:numPr>
              <w:spacing w:before="20" w:after="20"/>
              <w:ind w:left="346" w:hanging="274"/>
            </w:pPr>
            <w:r w:rsidRPr="004C12C9">
              <w:t>Electrolytic production</w:t>
            </w:r>
          </w:p>
          <w:p w14:paraId="07B4332D" w14:textId="77777777" w:rsidR="009F56BA" w:rsidRPr="004C12C9" w:rsidRDefault="009F56BA" w:rsidP="003B5F7F">
            <w:pPr>
              <w:pStyle w:val="ICFTabletext"/>
              <w:numPr>
                <w:ilvl w:val="0"/>
                <w:numId w:val="27"/>
              </w:numPr>
              <w:spacing w:before="20" w:after="20"/>
              <w:ind w:left="346" w:hanging="274"/>
            </w:pPr>
            <w:r w:rsidRPr="004C12C9">
              <w:t>Thermal production</w:t>
            </w:r>
          </w:p>
          <w:p w14:paraId="271BF2FB" w14:textId="6BFB553E" w:rsidR="009F56BA" w:rsidRPr="004C12C9" w:rsidRDefault="009F56BA" w:rsidP="003B5F7F">
            <w:pPr>
              <w:pStyle w:val="ICFTabletext"/>
              <w:numPr>
                <w:ilvl w:val="0"/>
                <w:numId w:val="27"/>
              </w:numPr>
              <w:spacing w:before="20" w:after="20"/>
              <w:ind w:left="346" w:hanging="274"/>
            </w:pPr>
            <w:r w:rsidRPr="004C12C9">
              <w:t>Casting</w:t>
            </w:r>
          </w:p>
          <w:p w14:paraId="76455269" w14:textId="77777777" w:rsidR="009F56BA" w:rsidRPr="004C12C9" w:rsidRDefault="009F56BA" w:rsidP="003B5F7F">
            <w:pPr>
              <w:pStyle w:val="ICFTabletext"/>
              <w:numPr>
                <w:ilvl w:val="0"/>
                <w:numId w:val="27"/>
              </w:numPr>
              <w:spacing w:before="20" w:after="20"/>
              <w:ind w:left="346" w:hanging="274"/>
            </w:pPr>
            <w:r w:rsidRPr="004C12C9">
              <w:t>Molding</w:t>
            </w:r>
          </w:p>
        </w:tc>
      </w:tr>
      <w:tr w:rsidR="009F56BA" w:rsidRPr="004C12C9" w14:paraId="11A02835" w14:textId="77777777" w:rsidTr="00641494">
        <w:trPr>
          <w:cantSplit/>
          <w:trHeight w:val="300"/>
        </w:trPr>
        <w:tc>
          <w:tcPr>
            <w:tcW w:w="1975" w:type="dxa"/>
            <w:noWrap/>
            <w:vAlign w:val="center"/>
            <w:hideMark/>
          </w:tcPr>
          <w:p w14:paraId="6CC67FFA" w14:textId="77777777" w:rsidR="009F56BA" w:rsidRPr="004C12C9" w:rsidRDefault="009F56BA" w:rsidP="00971051">
            <w:pPr>
              <w:pStyle w:val="ICFTabletext"/>
            </w:pPr>
            <w:r w:rsidRPr="004C12C9">
              <w:t>Iron &amp; steel production</w:t>
            </w:r>
          </w:p>
        </w:tc>
        <w:tc>
          <w:tcPr>
            <w:tcW w:w="2880" w:type="dxa"/>
            <w:vAlign w:val="center"/>
          </w:tcPr>
          <w:p w14:paraId="1628990D" w14:textId="662A4AA4" w:rsidR="009F56BA" w:rsidRPr="004C12C9" w:rsidRDefault="009F56BA" w:rsidP="00971051">
            <w:pPr>
              <w:pStyle w:val="ICFTabletext"/>
            </w:pPr>
            <w:r w:rsidRPr="004C12C9">
              <w:t>Average of Cast and Forged Iron Production and Steel Production products</w:t>
            </w:r>
            <w:r w:rsidR="00D73B7B" w:rsidRPr="004C12C9">
              <w:rPr>
                <w:vertAlign w:val="superscript"/>
              </w:rPr>
              <w:t>b</w:t>
            </w:r>
          </w:p>
        </w:tc>
        <w:tc>
          <w:tcPr>
            <w:tcW w:w="5220" w:type="dxa"/>
            <w:noWrap/>
            <w:vAlign w:val="center"/>
            <w:hideMark/>
          </w:tcPr>
          <w:p w14:paraId="2E844BAF" w14:textId="77777777" w:rsidR="009F56BA" w:rsidRPr="004C12C9" w:rsidRDefault="009F56BA" w:rsidP="003B5F7F">
            <w:pPr>
              <w:pStyle w:val="ICFTabletext"/>
              <w:numPr>
                <w:ilvl w:val="0"/>
                <w:numId w:val="27"/>
              </w:numPr>
              <w:spacing w:before="20" w:after="20"/>
              <w:ind w:left="346" w:hanging="274"/>
            </w:pPr>
            <w:r w:rsidRPr="004C12C9">
              <w:t xml:space="preserve">Energy use and emissions for </w:t>
            </w:r>
            <w:r w:rsidRPr="004C12C9" w:rsidDel="007D798A">
              <w:t>material</w:t>
            </w:r>
          </w:p>
          <w:p w14:paraId="245848C0" w14:textId="77777777" w:rsidR="009F56BA" w:rsidRPr="004C12C9" w:rsidRDefault="009F56BA" w:rsidP="003B5F7F">
            <w:pPr>
              <w:pStyle w:val="ICFTabletext"/>
              <w:numPr>
                <w:ilvl w:val="0"/>
                <w:numId w:val="27"/>
              </w:numPr>
              <w:spacing w:before="20" w:after="20"/>
              <w:ind w:left="346" w:hanging="274"/>
            </w:pPr>
            <w:r w:rsidRPr="004C12C9">
              <w:t>Iron: recycling, casting, forging, and machining</w:t>
            </w:r>
          </w:p>
          <w:p w14:paraId="69EBAEDC" w14:textId="77777777" w:rsidR="009F56BA" w:rsidRPr="004C12C9" w:rsidRDefault="009F56BA" w:rsidP="003B5F7F">
            <w:pPr>
              <w:pStyle w:val="ICFTabletext"/>
              <w:numPr>
                <w:ilvl w:val="0"/>
                <w:numId w:val="27"/>
              </w:numPr>
              <w:spacing w:before="20" w:after="20"/>
              <w:ind w:left="346" w:hanging="274"/>
            </w:pPr>
            <w:r w:rsidRPr="004C12C9">
              <w:t xml:space="preserve">Steel: electric arc furnace, rod and bar mill, and machining emissions </w:t>
            </w:r>
          </w:p>
        </w:tc>
      </w:tr>
      <w:tr w:rsidR="009F56BA" w:rsidRPr="004C12C9" w14:paraId="3DF34D69" w14:textId="77777777" w:rsidTr="00641494">
        <w:trPr>
          <w:cantSplit/>
          <w:trHeight w:val="300"/>
        </w:trPr>
        <w:tc>
          <w:tcPr>
            <w:tcW w:w="1975" w:type="dxa"/>
            <w:noWrap/>
            <w:vAlign w:val="center"/>
            <w:hideMark/>
          </w:tcPr>
          <w:p w14:paraId="48333D83" w14:textId="77777777" w:rsidR="009F56BA" w:rsidRPr="004C12C9" w:rsidRDefault="009F56BA" w:rsidP="00971051">
            <w:pPr>
              <w:pStyle w:val="ICFTabletext"/>
            </w:pPr>
            <w:r w:rsidRPr="004C12C9">
              <w:lastRenderedPageBreak/>
              <w:t>Ammonia production &amp; urea consumption</w:t>
            </w:r>
          </w:p>
        </w:tc>
        <w:tc>
          <w:tcPr>
            <w:tcW w:w="2880" w:type="dxa"/>
            <w:vAlign w:val="center"/>
          </w:tcPr>
          <w:p w14:paraId="70CBB6A2" w14:textId="77777777" w:rsidR="009F56BA" w:rsidRPr="004C12C9" w:rsidRDefault="009F56BA" w:rsidP="00971051">
            <w:pPr>
              <w:pStyle w:val="ICFTabletext"/>
            </w:pPr>
            <w:r w:rsidRPr="004C12C9">
              <w:t>Urea</w:t>
            </w:r>
          </w:p>
        </w:tc>
        <w:tc>
          <w:tcPr>
            <w:tcW w:w="5220" w:type="dxa"/>
            <w:noWrap/>
            <w:vAlign w:val="center"/>
            <w:hideMark/>
          </w:tcPr>
          <w:p w14:paraId="522A6235" w14:textId="77777777" w:rsidR="009F56BA" w:rsidRPr="004C12C9" w:rsidRDefault="009F56BA" w:rsidP="003B5F7F">
            <w:pPr>
              <w:pStyle w:val="ICFTabletext"/>
              <w:numPr>
                <w:ilvl w:val="0"/>
                <w:numId w:val="27"/>
              </w:numPr>
              <w:spacing w:before="20" w:after="20"/>
              <w:ind w:left="346" w:hanging="274"/>
            </w:pPr>
            <w:r w:rsidRPr="004C12C9">
              <w:t>Ammonia production</w:t>
            </w:r>
          </w:p>
          <w:p w14:paraId="7370A70E" w14:textId="77777777" w:rsidR="009F56BA" w:rsidRPr="004C12C9" w:rsidRDefault="009F56BA" w:rsidP="003B5F7F">
            <w:pPr>
              <w:pStyle w:val="ICFTabletext"/>
              <w:numPr>
                <w:ilvl w:val="0"/>
                <w:numId w:val="27"/>
              </w:numPr>
              <w:spacing w:before="20" w:after="20"/>
              <w:ind w:left="346" w:hanging="274"/>
            </w:pPr>
            <w:r w:rsidRPr="004C12C9">
              <w:t>Urea production</w:t>
            </w:r>
          </w:p>
          <w:p w14:paraId="78B18438" w14:textId="77777777" w:rsidR="009F56BA" w:rsidRPr="004C12C9" w:rsidRDefault="009F56BA" w:rsidP="003B5F7F">
            <w:pPr>
              <w:pStyle w:val="ICFTabletext"/>
              <w:numPr>
                <w:ilvl w:val="0"/>
                <w:numId w:val="27"/>
              </w:numPr>
              <w:spacing w:before="20" w:after="20"/>
              <w:ind w:left="346" w:hanging="274"/>
            </w:pPr>
            <w:r w:rsidRPr="004C12C9">
              <w:t>Process emissions</w:t>
            </w:r>
            <w:r w:rsidR="00426002" w:rsidRPr="004C12C9">
              <w:t xml:space="preserve"> </w:t>
            </w:r>
            <w:r w:rsidR="009F624A" w:rsidRPr="004C12C9">
              <w:t>(</w:t>
            </w:r>
            <w:r w:rsidR="00426002" w:rsidRPr="004C12C9">
              <w:t>urea</w:t>
            </w:r>
            <w:r w:rsidR="009F624A" w:rsidRPr="004C12C9">
              <w:t xml:space="preserve"> and ammonia</w:t>
            </w:r>
            <w:r w:rsidR="00426002" w:rsidRPr="004C12C9">
              <w:t>)</w:t>
            </w:r>
          </w:p>
          <w:p w14:paraId="15CB93D7" w14:textId="02022309" w:rsidR="009F56BA" w:rsidRPr="004C12C9" w:rsidRDefault="009F624A" w:rsidP="003B5F7F">
            <w:pPr>
              <w:pStyle w:val="ICFTabletext"/>
              <w:numPr>
                <w:ilvl w:val="0"/>
                <w:numId w:val="27"/>
              </w:numPr>
              <w:spacing w:before="20" w:after="20"/>
              <w:ind w:left="346" w:hanging="274"/>
            </w:pPr>
            <w:r w:rsidRPr="004C12C9">
              <w:t>Transportation (urea and ammonia, as fertilizer products)</w:t>
            </w:r>
          </w:p>
        </w:tc>
      </w:tr>
      <w:tr w:rsidR="009F56BA" w:rsidRPr="004C12C9" w14:paraId="65FAA0F4" w14:textId="77777777" w:rsidTr="00641494">
        <w:trPr>
          <w:cantSplit/>
          <w:trHeight w:val="300"/>
        </w:trPr>
        <w:tc>
          <w:tcPr>
            <w:tcW w:w="1975" w:type="dxa"/>
            <w:noWrap/>
            <w:vAlign w:val="center"/>
            <w:hideMark/>
          </w:tcPr>
          <w:p w14:paraId="39ED98BA" w14:textId="77777777" w:rsidR="009F56BA" w:rsidRPr="004C12C9" w:rsidRDefault="009F56BA" w:rsidP="00971051">
            <w:pPr>
              <w:pStyle w:val="ICFTabletext"/>
            </w:pPr>
            <w:r w:rsidRPr="004C12C9">
              <w:t>Aluminum production</w:t>
            </w:r>
          </w:p>
        </w:tc>
        <w:tc>
          <w:tcPr>
            <w:tcW w:w="2880" w:type="dxa"/>
            <w:vAlign w:val="center"/>
          </w:tcPr>
          <w:p w14:paraId="6B08DA67" w14:textId="77777777" w:rsidR="009F56BA" w:rsidRPr="004C12C9" w:rsidRDefault="009F56BA" w:rsidP="00971051">
            <w:pPr>
              <w:pStyle w:val="ICFTabletext"/>
            </w:pPr>
            <w:r w:rsidRPr="004C12C9">
              <w:t>NA Domestic Production of Primary Aluminum (Aluminum Ingot)</w:t>
            </w:r>
          </w:p>
        </w:tc>
        <w:tc>
          <w:tcPr>
            <w:tcW w:w="5220" w:type="dxa"/>
            <w:noWrap/>
            <w:vAlign w:val="center"/>
            <w:hideMark/>
          </w:tcPr>
          <w:p w14:paraId="4DAFA285" w14:textId="77777777" w:rsidR="009F56BA" w:rsidRPr="004C12C9" w:rsidRDefault="009F56BA" w:rsidP="003B5F7F">
            <w:pPr>
              <w:pStyle w:val="ICFTabletext"/>
              <w:numPr>
                <w:ilvl w:val="0"/>
                <w:numId w:val="27"/>
              </w:numPr>
              <w:spacing w:before="20" w:after="20"/>
              <w:ind w:left="346" w:hanging="274"/>
              <w:rPr>
                <w:rFonts w:ascii="Aptos" w:hAnsi="Aptos"/>
                <w:color w:val="000000"/>
              </w:rPr>
            </w:pPr>
            <w:r w:rsidRPr="004C12C9">
              <w:t>Primary Aluminum Production from Virgin Ore to Aluminum Ingot</w:t>
            </w:r>
          </w:p>
        </w:tc>
      </w:tr>
      <w:tr w:rsidR="009F56BA" w:rsidRPr="004C12C9" w14:paraId="328C3B8D" w14:textId="77777777" w:rsidTr="00641494">
        <w:trPr>
          <w:cantSplit/>
          <w:trHeight w:val="300"/>
        </w:trPr>
        <w:tc>
          <w:tcPr>
            <w:tcW w:w="1975" w:type="dxa"/>
            <w:noWrap/>
            <w:vAlign w:val="center"/>
            <w:hideMark/>
          </w:tcPr>
          <w:p w14:paraId="5AFDAC45" w14:textId="77777777" w:rsidR="009F56BA" w:rsidRPr="004C12C9" w:rsidRDefault="009F56BA" w:rsidP="00971051">
            <w:pPr>
              <w:pStyle w:val="ICFTabletext"/>
            </w:pPr>
            <w:r w:rsidRPr="004C12C9">
              <w:t>Nitric acid production</w:t>
            </w:r>
          </w:p>
        </w:tc>
        <w:tc>
          <w:tcPr>
            <w:tcW w:w="2880" w:type="dxa"/>
            <w:vAlign w:val="center"/>
          </w:tcPr>
          <w:p w14:paraId="50C6C807" w14:textId="77777777" w:rsidR="009F56BA" w:rsidRPr="004C12C9" w:rsidRDefault="009F56BA" w:rsidP="00971051">
            <w:pPr>
              <w:pStyle w:val="ICFTabletext"/>
            </w:pPr>
            <w:r w:rsidRPr="004C12C9">
              <w:t>Nitric Acid</w:t>
            </w:r>
          </w:p>
        </w:tc>
        <w:tc>
          <w:tcPr>
            <w:tcW w:w="5220" w:type="dxa"/>
            <w:noWrap/>
            <w:vAlign w:val="center"/>
            <w:hideMark/>
          </w:tcPr>
          <w:p w14:paraId="74F4A322" w14:textId="77777777" w:rsidR="009F56BA" w:rsidRPr="004C12C9" w:rsidRDefault="009F56BA" w:rsidP="003B5F7F">
            <w:pPr>
              <w:pStyle w:val="ICFTabletext"/>
              <w:numPr>
                <w:ilvl w:val="0"/>
                <w:numId w:val="27"/>
              </w:numPr>
              <w:spacing w:before="20" w:after="20"/>
              <w:ind w:left="346" w:hanging="274"/>
            </w:pPr>
            <w:r w:rsidRPr="004C12C9">
              <w:t>Nitric acid production</w:t>
            </w:r>
          </w:p>
          <w:p w14:paraId="68235373" w14:textId="77777777" w:rsidR="009F56BA" w:rsidRPr="004C12C9" w:rsidRDefault="009F56BA" w:rsidP="003B5F7F">
            <w:pPr>
              <w:pStyle w:val="ICFTabletext"/>
              <w:numPr>
                <w:ilvl w:val="0"/>
                <w:numId w:val="27"/>
              </w:numPr>
              <w:spacing w:before="20" w:after="20"/>
              <w:ind w:left="346" w:hanging="274"/>
            </w:pPr>
            <w:r w:rsidRPr="004C12C9">
              <w:t>Process emissions</w:t>
            </w:r>
          </w:p>
          <w:p w14:paraId="2E45459C" w14:textId="77777777" w:rsidR="009F56BA" w:rsidRPr="004C12C9" w:rsidRDefault="009F56BA" w:rsidP="003B5F7F">
            <w:pPr>
              <w:pStyle w:val="ICFTabletext"/>
              <w:numPr>
                <w:ilvl w:val="0"/>
                <w:numId w:val="27"/>
              </w:numPr>
              <w:spacing w:before="20" w:after="20"/>
              <w:ind w:left="346" w:hanging="274"/>
            </w:pPr>
            <w:r w:rsidRPr="004C12C9">
              <w:t>Transportation</w:t>
            </w:r>
          </w:p>
        </w:tc>
      </w:tr>
    </w:tbl>
    <w:p w14:paraId="48D56DCF" w14:textId="482E0317" w:rsidR="009F56BA" w:rsidRPr="004C12C9" w:rsidRDefault="00D73B7B" w:rsidP="00363C4F">
      <w:pPr>
        <w:pStyle w:val="TableFooter"/>
      </w:pPr>
      <w:bookmarkStart w:id="185" w:name="_Hlk193897196"/>
      <w:r w:rsidRPr="004C12C9">
        <w:rPr>
          <w:vertAlign w:val="superscript"/>
        </w:rPr>
        <w:t>a</w:t>
      </w:r>
      <w:r w:rsidRPr="004C12C9">
        <w:t xml:space="preserve"> </w:t>
      </w:r>
      <w:r w:rsidR="009F56BA" w:rsidRPr="004C12C9">
        <w:t>Products are quantified for U</w:t>
      </w:r>
      <w:r w:rsidR="00A707C1" w:rsidRPr="004C12C9">
        <w:t>.S.</w:t>
      </w:r>
      <w:r w:rsidR="009F56BA" w:rsidRPr="004C12C9">
        <w:t xml:space="preserve"> National Average unless otherwise specified.</w:t>
      </w:r>
    </w:p>
    <w:bookmarkEnd w:id="185"/>
    <w:p w14:paraId="51D348B8" w14:textId="0FE0A3C3" w:rsidR="00B41F60" w:rsidRPr="004C12C9" w:rsidRDefault="00D73B7B" w:rsidP="00363C4F">
      <w:pPr>
        <w:pStyle w:val="TableFooter"/>
      </w:pPr>
      <w:r w:rsidRPr="004C12C9">
        <w:rPr>
          <w:vertAlign w:val="superscript"/>
        </w:rPr>
        <w:t>b</w:t>
      </w:r>
      <w:r w:rsidR="00BB68C6" w:rsidRPr="004C12C9">
        <w:t xml:space="preserve"> </w:t>
      </w:r>
      <w:r w:rsidR="009F56BA" w:rsidRPr="004C12C9">
        <w:t>Multiple products were available, so four emission factors were averaged to calculate a U</w:t>
      </w:r>
      <w:r w:rsidR="00BB68C6" w:rsidRPr="004C12C9">
        <w:t>.</w:t>
      </w:r>
      <w:r w:rsidR="009F56BA" w:rsidRPr="004C12C9">
        <w:t>S</w:t>
      </w:r>
      <w:r w:rsidR="00BB68C6" w:rsidRPr="004C12C9">
        <w:t>.</w:t>
      </w:r>
      <w:r w:rsidR="009F56BA" w:rsidRPr="004C12C9">
        <w:t xml:space="preserve"> </w:t>
      </w:r>
      <w:r w:rsidR="00BB68C6" w:rsidRPr="004C12C9">
        <w:t>a</w:t>
      </w:r>
      <w:r w:rsidR="009F56BA" w:rsidRPr="004C12C9">
        <w:t>verage emission factor for</w:t>
      </w:r>
      <w:r w:rsidR="00027B94" w:rsidRPr="004C12C9">
        <w:t xml:space="preserve"> the iron </w:t>
      </w:r>
      <w:r w:rsidR="00BB68C6" w:rsidRPr="004C12C9">
        <w:t>and</w:t>
      </w:r>
      <w:r w:rsidR="00027B94" w:rsidRPr="004C12C9">
        <w:t xml:space="preserve"> steel industry together.</w:t>
      </w:r>
      <w:r w:rsidR="00FC5F6E" w:rsidRPr="004C12C9">
        <w:tab/>
      </w:r>
    </w:p>
    <w:p w14:paraId="712C1E31" w14:textId="77777777" w:rsidR="00222D01" w:rsidRPr="004C12C9" w:rsidRDefault="00B41F60" w:rsidP="00E31E37">
      <w:pPr>
        <w:pStyle w:val="Heading4"/>
      </w:pPr>
      <w:r w:rsidRPr="004C12C9">
        <w:t>Limitations</w:t>
      </w:r>
    </w:p>
    <w:p w14:paraId="523B990C" w14:textId="2D3A2A90" w:rsidR="00A222B3" w:rsidRPr="004C12C9" w:rsidRDefault="00A222B3" w:rsidP="00A222B3">
      <w:r w:rsidRPr="004C12C9">
        <w:t>Key limitations of the methodology used to quantify emissions from industrial processes include:</w:t>
      </w:r>
    </w:p>
    <w:p w14:paraId="7EC251B7" w14:textId="1BED3BE4" w:rsidR="00CF2748" w:rsidRPr="004C12C9" w:rsidRDefault="002F5D2A" w:rsidP="003B5F7F">
      <w:pPr>
        <w:pStyle w:val="ListParagraph"/>
        <w:numPr>
          <w:ilvl w:val="0"/>
          <w:numId w:val="31"/>
        </w:numPr>
      </w:pPr>
      <w:r w:rsidRPr="004C12C9">
        <w:t>The d</w:t>
      </w:r>
      <w:r w:rsidR="000F39B2" w:rsidRPr="004C12C9">
        <w:t>efault e</w:t>
      </w:r>
      <w:r w:rsidR="00A21FAB" w:rsidRPr="004C12C9">
        <w:t xml:space="preserve">mission factors </w:t>
      </w:r>
      <w:r w:rsidRPr="004C12C9">
        <w:t>we</w:t>
      </w:r>
      <w:r w:rsidR="00A21FAB" w:rsidRPr="004C12C9">
        <w:t>re estimate</w:t>
      </w:r>
      <w:r w:rsidR="00821EC9" w:rsidRPr="004C12C9">
        <w:t>d</w:t>
      </w:r>
      <w:r w:rsidR="00A21FAB" w:rsidRPr="004C12C9">
        <w:t xml:space="preserve"> </w:t>
      </w:r>
      <w:r w:rsidR="00357D7E" w:rsidRPr="004C12C9">
        <w:t>based on</w:t>
      </w:r>
      <w:r w:rsidR="00623AD8" w:rsidRPr="004C12C9">
        <w:t xml:space="preserve"> a representative industrial process</w:t>
      </w:r>
      <w:r w:rsidR="00A21FAB" w:rsidRPr="004C12C9">
        <w:t xml:space="preserve"> for the eight industrial process</w:t>
      </w:r>
      <w:r w:rsidR="006C6895" w:rsidRPr="004C12C9">
        <w:t>es</w:t>
      </w:r>
      <w:r w:rsidR="00623AD8" w:rsidRPr="004C12C9">
        <w:t xml:space="preserve"> </w:t>
      </w:r>
      <w:r w:rsidR="00A21FAB" w:rsidRPr="004C12C9">
        <w:t xml:space="preserve">included </w:t>
      </w:r>
      <w:r w:rsidR="00A222B3" w:rsidRPr="004C12C9">
        <w:t>in</w:t>
      </w:r>
      <w:r w:rsidR="00A21FAB" w:rsidRPr="004C12C9">
        <w:t xml:space="preserve"> the </w:t>
      </w:r>
      <w:r w:rsidR="007640AF" w:rsidRPr="004C12C9">
        <w:t>calculator</w:t>
      </w:r>
      <w:r w:rsidR="00A21FAB" w:rsidRPr="004C12C9">
        <w:t xml:space="preserve">. </w:t>
      </w:r>
      <w:r w:rsidR="00CF2748" w:rsidRPr="004C12C9">
        <w:t>Due to variation</w:t>
      </w:r>
      <w:r w:rsidR="002A069F" w:rsidRPr="004C12C9">
        <w:t xml:space="preserve"> across</w:t>
      </w:r>
      <w:r w:rsidR="00CF2748" w:rsidRPr="004C12C9">
        <w:t xml:space="preserve"> </w:t>
      </w:r>
      <w:r w:rsidR="007F1034" w:rsidRPr="004C12C9">
        <w:t xml:space="preserve">industries, users are encouraged to tailor the emission factor based on the </w:t>
      </w:r>
      <w:r w:rsidR="00AA2C18" w:rsidRPr="004C12C9">
        <w:t>proposed project</w:t>
      </w:r>
      <w:r w:rsidR="002D1FAE" w:rsidRPr="004C12C9">
        <w:t>.</w:t>
      </w:r>
    </w:p>
    <w:p w14:paraId="7689A9E9" w14:textId="771F6B32" w:rsidR="00F857DC" w:rsidRPr="004C12C9" w:rsidRDefault="006109E1" w:rsidP="003B5F7F">
      <w:pPr>
        <w:pStyle w:val="ListParagraph"/>
        <w:numPr>
          <w:ilvl w:val="0"/>
          <w:numId w:val="31"/>
        </w:numPr>
      </w:pPr>
      <w:r w:rsidRPr="004C12C9">
        <w:t>The default</w:t>
      </w:r>
      <w:r w:rsidR="00471F26" w:rsidRPr="004C12C9">
        <w:t xml:space="preserve"> e</w:t>
      </w:r>
      <w:r w:rsidR="00C87CD2" w:rsidRPr="004C12C9">
        <w:t xml:space="preserve">mission factors </w:t>
      </w:r>
      <w:r w:rsidR="002A069F" w:rsidRPr="004C12C9">
        <w:t>consider</w:t>
      </w:r>
      <w:r w:rsidR="00471F26" w:rsidRPr="004C12C9">
        <w:t xml:space="preserve"> </w:t>
      </w:r>
      <w:r w:rsidR="00381A37" w:rsidRPr="004C12C9">
        <w:t xml:space="preserve">the lifecycle impact </w:t>
      </w:r>
      <w:r w:rsidR="00DF6FC1" w:rsidRPr="004C12C9">
        <w:t>of</w:t>
      </w:r>
      <w:r w:rsidR="0081258F" w:rsidRPr="004C12C9">
        <w:t xml:space="preserve"> </w:t>
      </w:r>
      <w:r w:rsidR="00D26E63" w:rsidRPr="004C12C9">
        <w:t>the activity</w:t>
      </w:r>
      <w:r w:rsidR="00E650C5" w:rsidRPr="004C12C9">
        <w:t xml:space="preserve">. </w:t>
      </w:r>
      <w:r w:rsidR="00690AA1" w:rsidRPr="004C12C9">
        <w:t xml:space="preserve">Users should review </w:t>
      </w:r>
      <w:r w:rsidR="00784F3B" w:rsidRPr="004C12C9">
        <w:t>what is included in the</w:t>
      </w:r>
      <w:r w:rsidR="008E2076" w:rsidRPr="004C12C9">
        <w:t xml:space="preserve"> default</w:t>
      </w:r>
      <w:r w:rsidR="00784F3B" w:rsidRPr="004C12C9">
        <w:t xml:space="preserve"> emission factors </w:t>
      </w:r>
      <w:r w:rsidR="00387A9E" w:rsidRPr="004C12C9">
        <w:t xml:space="preserve">(see </w:t>
      </w:r>
      <w:r w:rsidR="00387A9E" w:rsidRPr="004C12C9">
        <w:fldChar w:fldCharType="begin" w:fldLock="1"/>
      </w:r>
      <w:r w:rsidR="00387A9E" w:rsidRPr="004C12C9">
        <w:instrText xml:space="preserve"> REF _Ref191294081 \h </w:instrText>
      </w:r>
      <w:r w:rsidR="00387A9E" w:rsidRPr="004C12C9">
        <w:fldChar w:fldCharType="separate"/>
      </w:r>
      <w:r w:rsidR="00387A9E" w:rsidRPr="004C12C9">
        <w:t>Table 3</w:t>
      </w:r>
      <w:r w:rsidR="00387A9E" w:rsidRPr="004C12C9">
        <w:noBreakHyphen/>
        <w:t>18</w:t>
      </w:r>
      <w:r w:rsidR="00387A9E" w:rsidRPr="004C12C9">
        <w:fldChar w:fldCharType="end"/>
      </w:r>
      <w:r w:rsidR="00387A9E" w:rsidRPr="004C12C9">
        <w:t xml:space="preserve">) </w:t>
      </w:r>
      <w:r w:rsidR="00784F3B" w:rsidRPr="004C12C9">
        <w:t xml:space="preserve">to ensure they do not </w:t>
      </w:r>
      <w:r w:rsidR="000E0749" w:rsidRPr="004C12C9">
        <w:t>double-count</w:t>
      </w:r>
      <w:r w:rsidR="00784F3B" w:rsidRPr="004C12C9">
        <w:t xml:space="preserve"> emissions</w:t>
      </w:r>
      <w:r w:rsidR="000E0749" w:rsidRPr="004C12C9">
        <w:t xml:space="preserve"> quantified by </w:t>
      </w:r>
      <w:r w:rsidR="00562629" w:rsidRPr="004C12C9">
        <w:t>other emission sources in</w:t>
      </w:r>
      <w:r w:rsidR="008E2076" w:rsidRPr="004C12C9">
        <w:t xml:space="preserve"> </w:t>
      </w:r>
      <w:r w:rsidR="000E0749" w:rsidRPr="004C12C9">
        <w:t xml:space="preserve">the </w:t>
      </w:r>
      <w:r w:rsidR="007640AF" w:rsidRPr="004C12C9">
        <w:t xml:space="preserve">calculator </w:t>
      </w:r>
      <w:r w:rsidR="000E0749" w:rsidRPr="004C12C9">
        <w:t>(e.g.,</w:t>
      </w:r>
      <w:r w:rsidR="00B24DFF" w:rsidRPr="004C12C9">
        <w:t xml:space="preserve"> building energy</w:t>
      </w:r>
      <w:r w:rsidR="000E0749" w:rsidRPr="004C12C9">
        <w:t xml:space="preserve"> consumption)</w:t>
      </w:r>
      <w:r w:rsidR="00B24DFF" w:rsidRPr="004C12C9">
        <w:t>.</w:t>
      </w:r>
    </w:p>
    <w:p w14:paraId="6C393C85" w14:textId="0B606769" w:rsidR="00F21B52" w:rsidRPr="004C12C9" w:rsidRDefault="00F857DC" w:rsidP="003B5F7F">
      <w:pPr>
        <w:pStyle w:val="ListParagraph"/>
        <w:numPr>
          <w:ilvl w:val="0"/>
          <w:numId w:val="31"/>
        </w:numPr>
      </w:pPr>
      <w:r w:rsidRPr="004C12C9">
        <w:t>A</w:t>
      </w:r>
      <w:r w:rsidR="00F21B52" w:rsidRPr="004C12C9">
        <w:t xml:space="preserve">dditional industrial processes may be relevant that </w:t>
      </w:r>
      <w:r w:rsidRPr="004C12C9">
        <w:t>are</w:t>
      </w:r>
      <w:r w:rsidR="00F21B52" w:rsidRPr="004C12C9">
        <w:t xml:space="preserve"> not </w:t>
      </w:r>
      <w:r w:rsidRPr="004C12C9">
        <w:t xml:space="preserve">currently </w:t>
      </w:r>
      <w:r w:rsidR="00F21B52" w:rsidRPr="004C12C9">
        <w:t xml:space="preserve">included in the </w:t>
      </w:r>
      <w:r w:rsidR="007640AF" w:rsidRPr="004C12C9">
        <w:t>calculator</w:t>
      </w:r>
      <w:r w:rsidRPr="004C12C9">
        <w:t>.</w:t>
      </w:r>
      <w:r w:rsidR="00D565A2" w:rsidRPr="004C12C9">
        <w:t xml:space="preserve"> These include </w:t>
      </w:r>
      <w:r w:rsidR="000660B0" w:rsidRPr="004C12C9">
        <w:t>soda ash manufacture and consumption and semiconductor manufacture.</w:t>
      </w:r>
      <w:r w:rsidR="00D11A77" w:rsidRPr="004C12C9">
        <w:t xml:space="preserve"> Further research is needed to develop default emission factors for these additional industrial processes.</w:t>
      </w:r>
    </w:p>
    <w:p w14:paraId="4875F5D2" w14:textId="4F935D11" w:rsidR="00992AB9" w:rsidRPr="004C12C9" w:rsidRDefault="00FC5F6E" w:rsidP="00F25C37">
      <w:pPr>
        <w:pStyle w:val="Heading3"/>
      </w:pPr>
      <w:bookmarkStart w:id="186" w:name="_Toc219887777"/>
      <w:r w:rsidRPr="004C12C9">
        <w:t>HFC Leakage</w:t>
      </w:r>
      <w:bookmarkEnd w:id="186"/>
    </w:p>
    <w:p w14:paraId="2BAAA1EC" w14:textId="60F8310B" w:rsidR="00873970" w:rsidRPr="004C12C9" w:rsidRDefault="00873970" w:rsidP="00972CF9">
      <w:r w:rsidRPr="004C12C9">
        <w:t xml:space="preserve">Emissions result from the leakage of hydrofluorocarbons (HFCs) that are used in air conditioning </w:t>
      </w:r>
      <w:r w:rsidR="00637ADD" w:rsidRPr="004C12C9">
        <w:t xml:space="preserve">(A/C) </w:t>
      </w:r>
      <w:r w:rsidRPr="004C12C9">
        <w:t xml:space="preserve">and refrigeration equipment. Leakage occurs from this equipment during installation, operation (including servicing), and disposal. </w:t>
      </w:r>
      <w:r w:rsidR="00476CF4" w:rsidRPr="004C12C9">
        <w:t xml:space="preserve">The </w:t>
      </w:r>
      <w:r w:rsidR="007640AF" w:rsidRPr="004C12C9">
        <w:t xml:space="preserve">calculator </w:t>
      </w:r>
      <w:r w:rsidR="00476CF4" w:rsidRPr="004C12C9">
        <w:t>quantifies emissions</w:t>
      </w:r>
      <w:r w:rsidRPr="004C12C9">
        <w:rPr>
          <w:rFonts w:eastAsia="MS PGothic"/>
        </w:rPr>
        <w:t xml:space="preserve"> from HFC leakage </w:t>
      </w:r>
      <w:r w:rsidR="00476CF4" w:rsidRPr="004C12C9">
        <w:t xml:space="preserve">based on the </w:t>
      </w:r>
      <w:r w:rsidR="00F33153" w:rsidRPr="004C12C9">
        <w:t>assumed type of equipment</w:t>
      </w:r>
      <w:r w:rsidR="00D568F1" w:rsidRPr="004C12C9">
        <w:t xml:space="preserve"> </w:t>
      </w:r>
      <w:r w:rsidR="00B6343A" w:rsidRPr="004C12C9">
        <w:t xml:space="preserve">and refrigerant </w:t>
      </w:r>
      <w:r w:rsidR="00065E1A" w:rsidRPr="004C12C9">
        <w:t>installed</w:t>
      </w:r>
      <w:r w:rsidR="00B6343A" w:rsidRPr="004C12C9">
        <w:t xml:space="preserve">, the </w:t>
      </w:r>
      <w:r w:rsidR="00966295" w:rsidRPr="004C12C9">
        <w:t>estimated charge size</w:t>
      </w:r>
      <w:r w:rsidR="00476CF4" w:rsidRPr="004C12C9">
        <w:t xml:space="preserve"> of </w:t>
      </w:r>
      <w:r w:rsidR="00966295" w:rsidRPr="004C12C9">
        <w:t>equipme</w:t>
      </w:r>
      <w:r w:rsidR="00DB17A7" w:rsidRPr="004C12C9">
        <w:t>nt</w:t>
      </w:r>
      <w:r w:rsidR="00B6343A" w:rsidRPr="004C12C9">
        <w:t>,</w:t>
      </w:r>
      <w:r w:rsidR="000E4057" w:rsidRPr="004C12C9">
        <w:t xml:space="preserve"> and</w:t>
      </w:r>
      <w:r w:rsidR="00DB17A7" w:rsidRPr="004C12C9">
        <w:t xml:space="preserve"> </w:t>
      </w:r>
      <w:r w:rsidR="00B6343A" w:rsidRPr="004C12C9">
        <w:t xml:space="preserve">the </w:t>
      </w:r>
      <w:r w:rsidR="00DB17A7" w:rsidRPr="004C12C9">
        <w:t>annual leak rate</w:t>
      </w:r>
      <w:r w:rsidR="00B6343A" w:rsidRPr="004C12C9">
        <w:t xml:space="preserve"> of equipment</w:t>
      </w:r>
      <w:r w:rsidR="00476CF4" w:rsidRPr="004C12C9">
        <w:t>, as shown in</w:t>
      </w:r>
      <w:r w:rsidR="00EE17B4">
        <w:t xml:space="preserve"> </w:t>
      </w:r>
      <w:r w:rsidR="00EE17B4">
        <w:fldChar w:fldCharType="begin"/>
      </w:r>
      <w:r w:rsidR="00EE17B4">
        <w:instrText xml:space="preserve"> REF _Ref195526289 \h </w:instrText>
      </w:r>
      <w:r w:rsidR="00EE17B4">
        <w:fldChar w:fldCharType="separate"/>
      </w:r>
      <w:r w:rsidR="00EE17B4" w:rsidRPr="004C12C9">
        <w:t xml:space="preserve">Equation </w:t>
      </w:r>
      <w:r w:rsidR="00EE17B4">
        <w:rPr>
          <w:noProof/>
        </w:rPr>
        <w:t>20</w:t>
      </w:r>
      <w:r w:rsidR="00EE17B4">
        <w:fldChar w:fldCharType="end"/>
      </w:r>
      <w:r w:rsidR="00D35F5C" w:rsidRPr="004C12C9">
        <w:t xml:space="preserve">, </w:t>
      </w:r>
      <w:r w:rsidR="00EE17B4">
        <w:fldChar w:fldCharType="begin"/>
      </w:r>
      <w:r w:rsidR="00EE17B4">
        <w:instrText xml:space="preserve"> REF _Ref195526292 \h </w:instrText>
      </w:r>
      <w:r w:rsidR="00EE17B4">
        <w:fldChar w:fldCharType="separate"/>
      </w:r>
      <w:r w:rsidR="00EE17B4" w:rsidRPr="004C12C9">
        <w:t xml:space="preserve">Equation </w:t>
      </w:r>
      <w:r w:rsidR="00EE17B4">
        <w:rPr>
          <w:noProof/>
        </w:rPr>
        <w:t>21</w:t>
      </w:r>
      <w:r w:rsidR="00EE17B4">
        <w:fldChar w:fldCharType="end"/>
      </w:r>
      <w:r w:rsidR="00D35F5C" w:rsidRPr="004C12C9">
        <w:t>, and</w:t>
      </w:r>
      <w:r w:rsidR="00EE17B4">
        <w:t xml:space="preserve"> </w:t>
      </w:r>
      <w:r w:rsidR="00EE17B4">
        <w:fldChar w:fldCharType="begin"/>
      </w:r>
      <w:r w:rsidR="00EE17B4">
        <w:instrText xml:space="preserve"> REF _Ref195526297 \h </w:instrText>
      </w:r>
      <w:r w:rsidR="00EE17B4">
        <w:fldChar w:fldCharType="separate"/>
      </w:r>
      <w:r w:rsidR="00EE17B4" w:rsidRPr="004C12C9">
        <w:t xml:space="preserve">Equation </w:t>
      </w:r>
      <w:r w:rsidR="00EE17B4">
        <w:rPr>
          <w:noProof/>
        </w:rPr>
        <w:t>22</w:t>
      </w:r>
      <w:r w:rsidR="00EE17B4">
        <w:fldChar w:fldCharType="end"/>
      </w:r>
      <w:r w:rsidR="00D35F5C" w:rsidRPr="004C12C9">
        <w:t>.</w:t>
      </w:r>
    </w:p>
    <w:p w14:paraId="0CD71CC4" w14:textId="2C7E5B73" w:rsidR="00C36CC6" w:rsidRPr="004C12C9" w:rsidRDefault="00C36CC6" w:rsidP="006C3284">
      <w:pPr>
        <w:pStyle w:val="Caption"/>
      </w:pPr>
      <w:bookmarkStart w:id="187" w:name="_Ref195526289"/>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20</w:t>
      </w:r>
      <w:r w:rsidR="00127094">
        <w:fldChar w:fldCharType="end"/>
      </w:r>
      <w:bookmarkEnd w:id="187"/>
      <w:r w:rsidRPr="004C12C9">
        <w:t xml:space="preserve">. </w:t>
      </w:r>
      <w:r w:rsidR="00D35F5C" w:rsidRPr="004C12C9">
        <w:t>Refrigerant Charge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C36CC6" w:rsidRPr="004C12C9" w14:paraId="7C28101F" w14:textId="77777777">
        <w:tc>
          <w:tcPr>
            <w:tcW w:w="10070" w:type="dxa"/>
            <w:gridSpan w:val="2"/>
            <w:shd w:val="clear" w:color="auto" w:fill="F2F2F2" w:themeFill="background1" w:themeFillShade="F2"/>
          </w:tcPr>
          <w:p w14:paraId="031C5C0C" w14:textId="52F0E149" w:rsidR="00C36CC6" w:rsidRPr="004C12C9" w:rsidRDefault="00000000" w:rsidP="006C3284">
            <w:pPr>
              <w:pStyle w:val="Equation"/>
              <w:keepNext/>
              <w:rPr>
                <w:rFonts w:asciiTheme="minorHAnsi" w:hAnsiTheme="minorHAnsi"/>
                <w:noProof w:val="0"/>
                <w:lang w:bidi="ar-SA"/>
              </w:rPr>
            </w:pPr>
            <m:oMathPara>
              <m:oMath>
                <m:sSub>
                  <m:sSubPr>
                    <m:ctrlPr>
                      <w:rPr>
                        <w:noProof w:val="0"/>
                      </w:rPr>
                    </m:ctrlPr>
                  </m:sSubPr>
                  <m:e>
                    <m:r>
                      <w:rPr>
                        <w:noProof w:val="0"/>
                      </w:rPr>
                      <m:t>charge</m:t>
                    </m:r>
                  </m:e>
                  <m:sub>
                    <m:r>
                      <w:rPr>
                        <w:noProof w:val="0"/>
                      </w:rPr>
                      <m:t xml:space="preserve">r,e </m:t>
                    </m:r>
                  </m:sub>
                </m:sSub>
                <m:r>
                  <w:rPr>
                    <w:noProof w:val="0"/>
                  </w:rPr>
                  <m:t>=</m:t>
                </m:r>
                <m:d>
                  <m:dPr>
                    <m:ctrlPr>
                      <w:rPr>
                        <w:noProof w:val="0"/>
                        <w:lang w:bidi="ar-SA"/>
                      </w:rPr>
                    </m:ctrlPr>
                  </m:dPr>
                  <m:e>
                    <m:sSub>
                      <m:sSubPr>
                        <m:ctrlPr>
                          <w:rPr>
                            <w:noProof w:val="0"/>
                            <w:lang w:bidi="ar-SA"/>
                          </w:rPr>
                        </m:ctrlPr>
                      </m:sSubPr>
                      <m:e>
                        <m:r>
                          <w:rPr>
                            <w:noProof w:val="0"/>
                            <w:lang w:bidi="ar-SA"/>
                          </w:rPr>
                          <m:t>area</m:t>
                        </m:r>
                      </m:e>
                      <m:sub>
                        <m:r>
                          <w:rPr>
                            <w:noProof w:val="0"/>
                            <w:lang w:bidi="ar-SA"/>
                          </w:rPr>
                          <m:t>t</m:t>
                        </m:r>
                      </m:sub>
                    </m:sSub>
                    <m:r>
                      <w:rPr>
                        <w:noProof w:val="0"/>
                      </w:rPr>
                      <m:t xml:space="preserve">* </m:t>
                    </m:r>
                    <m:sSub>
                      <m:sSubPr>
                        <m:ctrlPr>
                          <w:rPr>
                            <w:noProof w:val="0"/>
                            <w:lang w:bidi="ar-SA"/>
                          </w:rPr>
                        </m:ctrlPr>
                      </m:sSubPr>
                      <m:e>
                        <m:r>
                          <w:rPr>
                            <w:noProof w:val="0"/>
                            <w:lang w:bidi="ar-SA"/>
                          </w:rPr>
                          <m:t>area utilized</m:t>
                        </m:r>
                      </m:e>
                      <m:sub>
                        <m:r>
                          <w:rPr>
                            <w:noProof w:val="0"/>
                            <w:lang w:bidi="ar-SA"/>
                          </w:rPr>
                          <m:t>t</m:t>
                        </m:r>
                      </m:sub>
                    </m:sSub>
                  </m:e>
                </m:d>
                <m:r>
                  <w:rPr>
                    <w:noProof w:val="0"/>
                    <w:lang w:bidi="ar-SA"/>
                  </w:rPr>
                  <m:t>×</m:t>
                </m:r>
                <m:sSub>
                  <m:sSubPr>
                    <m:ctrlPr>
                      <w:rPr>
                        <w:noProof w:val="0"/>
                        <w:lang w:bidi="ar-SA"/>
                      </w:rPr>
                    </m:ctrlPr>
                  </m:sSubPr>
                  <m:e>
                    <m:r>
                      <w:rPr>
                        <w:noProof w:val="0"/>
                        <w:lang w:bidi="ar-SA"/>
                      </w:rPr>
                      <m:t>capacity</m:t>
                    </m:r>
                  </m:e>
                  <m:sub>
                    <m:r>
                      <w:rPr>
                        <w:noProof w:val="0"/>
                        <w:lang w:bidi="ar-SA"/>
                      </w:rPr>
                      <m:t>r, e</m:t>
                    </m:r>
                  </m:sub>
                </m:sSub>
              </m:oMath>
            </m:oMathPara>
          </w:p>
          <w:p w14:paraId="23AB42A2" w14:textId="77777777" w:rsidR="00C36CC6" w:rsidRPr="004C12C9" w:rsidRDefault="00C36CC6" w:rsidP="006C3284">
            <w:pPr>
              <w:keepNext/>
              <w:rPr>
                <w:i/>
                <w:iCs/>
              </w:rPr>
            </w:pPr>
            <w:r w:rsidRPr="004C12C9">
              <w:rPr>
                <w:i/>
                <w:iCs/>
                <w:sz w:val="20"/>
                <w:szCs w:val="20"/>
              </w:rPr>
              <w:t xml:space="preserve">where, </w:t>
            </w:r>
          </w:p>
        </w:tc>
      </w:tr>
      <w:tr w:rsidR="00C36CC6" w:rsidRPr="004C12C9" w14:paraId="7A5E1D42" w14:textId="77777777">
        <w:tc>
          <w:tcPr>
            <w:tcW w:w="1980" w:type="dxa"/>
            <w:shd w:val="clear" w:color="auto" w:fill="F2F2F2" w:themeFill="background1" w:themeFillShade="F2"/>
          </w:tcPr>
          <w:p w14:paraId="3E82E85F" w14:textId="49C165D3" w:rsidR="00C36CC6" w:rsidRPr="004C12C9" w:rsidRDefault="00C36CC6" w:rsidP="006C3284">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Area</w:t>
            </w:r>
          </w:p>
          <w:p w14:paraId="13C30267" w14:textId="3B3FF339" w:rsidR="00E050CB" w:rsidRPr="004C12C9" w:rsidRDefault="00C36CC6" w:rsidP="006C3284">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Area utilized</w:t>
            </w:r>
          </w:p>
          <w:p w14:paraId="27FF7C36" w14:textId="31B54FCC" w:rsidR="00C36CC6" w:rsidRPr="004C12C9" w:rsidRDefault="00C36CC6" w:rsidP="006C3284">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Capacity</w:t>
            </w:r>
          </w:p>
        </w:tc>
        <w:tc>
          <w:tcPr>
            <w:tcW w:w="8090" w:type="dxa"/>
            <w:shd w:val="clear" w:color="auto" w:fill="F2F2F2" w:themeFill="background1" w:themeFillShade="F2"/>
          </w:tcPr>
          <w:p w14:paraId="0F4CDC57" w14:textId="610C1E99" w:rsidR="00C36CC6" w:rsidRPr="004C12C9" w:rsidRDefault="00C36CC6" w:rsidP="006C3284">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Area by building type, t (square feet)</w:t>
            </w:r>
          </w:p>
          <w:p w14:paraId="12ADBC57" w14:textId="23A24FA1" w:rsidR="00C36CC6" w:rsidRPr="004C12C9" w:rsidRDefault="00C36CC6" w:rsidP="006C3284">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Percent of area by building type, t, that is actively utilized (%)</w:t>
            </w:r>
          </w:p>
          <w:p w14:paraId="31146778" w14:textId="204E65B7" w:rsidR="00C36CC6" w:rsidRPr="004C12C9" w:rsidRDefault="00C36CC6" w:rsidP="006C3284">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Refrigerant capacity per square foot by equipment type, e, and refrigerant type, r (kg HFC/square foot)</w:t>
            </w:r>
          </w:p>
          <w:p w14:paraId="2E1F1B11" w14:textId="77777777" w:rsidR="00C36CC6" w:rsidRPr="004C12C9" w:rsidRDefault="00C36CC6" w:rsidP="006C3284">
            <w:pPr>
              <w:pStyle w:val="Equation"/>
              <w:keepNext/>
              <w:spacing w:before="0" w:after="0"/>
              <w:jc w:val="left"/>
              <w:rPr>
                <w:rFonts w:ascii="Calibri" w:eastAsia="Arial" w:hAnsi="Calibri"/>
                <w:bCs w:val="0"/>
                <w:i w:val="0"/>
                <w:noProof w:val="0"/>
                <w:color w:val="auto"/>
                <w:sz w:val="20"/>
                <w:szCs w:val="20"/>
              </w:rPr>
            </w:pPr>
          </w:p>
        </w:tc>
      </w:tr>
    </w:tbl>
    <w:p w14:paraId="7A853940" w14:textId="06870633" w:rsidR="00910653" w:rsidRPr="004C12C9" w:rsidRDefault="00910653" w:rsidP="00910653">
      <w:pPr>
        <w:pStyle w:val="Caption"/>
      </w:pPr>
      <w:bookmarkStart w:id="188" w:name="_Ref195526292"/>
      <w:r w:rsidRPr="004C12C9">
        <w:t xml:space="preserve">Equation </w:t>
      </w:r>
      <w:r w:rsidR="00127094">
        <w:fldChar w:fldCharType="begin"/>
      </w:r>
      <w:r w:rsidR="00127094">
        <w:instrText xml:space="preserve"> SEQ Equation \* ARABIC </w:instrText>
      </w:r>
      <w:r w:rsidR="00127094">
        <w:fldChar w:fldCharType="separate"/>
      </w:r>
      <w:r w:rsidR="00C47624">
        <w:rPr>
          <w:noProof/>
        </w:rPr>
        <w:t>21</w:t>
      </w:r>
      <w:r w:rsidR="00127094">
        <w:fldChar w:fldCharType="end"/>
      </w:r>
      <w:bookmarkEnd w:id="188"/>
      <w:r w:rsidRPr="004C12C9">
        <w:t>.</w:t>
      </w:r>
      <w:r w:rsidR="00D35F5C" w:rsidRPr="004C12C9">
        <w:t xml:space="preserve"> Annual HFC Leak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910653" w:rsidRPr="004C12C9" w14:paraId="139474E4" w14:textId="77777777">
        <w:tc>
          <w:tcPr>
            <w:tcW w:w="10070" w:type="dxa"/>
            <w:gridSpan w:val="2"/>
            <w:shd w:val="clear" w:color="auto" w:fill="F2F2F2" w:themeFill="background1" w:themeFillShade="F2"/>
          </w:tcPr>
          <w:p w14:paraId="31C8D956" w14:textId="77777777" w:rsidR="00910653" w:rsidRPr="004C12C9" w:rsidRDefault="00000000" w:rsidP="00910653">
            <w:pPr>
              <w:pStyle w:val="Equation"/>
              <w:rPr>
                <w:rFonts w:asciiTheme="minorHAnsi" w:hAnsiTheme="minorHAnsi"/>
                <w:noProof w:val="0"/>
                <w:lang w:bidi="ar-SA"/>
              </w:rPr>
            </w:pPr>
            <m:oMathPara>
              <m:oMath>
                <m:sSub>
                  <m:sSubPr>
                    <m:ctrlPr>
                      <w:rPr>
                        <w:noProof w:val="0"/>
                      </w:rPr>
                    </m:ctrlPr>
                  </m:sSubPr>
                  <m:e>
                    <m:r>
                      <w:rPr>
                        <w:noProof w:val="0"/>
                      </w:rPr>
                      <m:t>annual leak rate</m:t>
                    </m:r>
                  </m:e>
                  <m:sub>
                    <m:r>
                      <w:rPr>
                        <w:noProof w:val="0"/>
                      </w:rPr>
                      <m:t>e</m:t>
                    </m:r>
                  </m:sub>
                </m:sSub>
                <m:r>
                  <w:rPr>
                    <w:noProof w:val="0"/>
                  </w:rPr>
                  <m:t xml:space="preserve">= </m:t>
                </m:r>
                <m:f>
                  <m:fPr>
                    <m:ctrlPr>
                      <w:rPr>
                        <w:noProof w:val="0"/>
                      </w:rPr>
                    </m:ctrlPr>
                  </m:fPr>
                  <m:num>
                    <m:sSub>
                      <m:sSubPr>
                        <m:ctrlPr>
                          <w:rPr>
                            <w:noProof w:val="0"/>
                          </w:rPr>
                        </m:ctrlPr>
                      </m:sSubPr>
                      <m:e>
                        <m:r>
                          <w:rPr>
                            <w:noProof w:val="0"/>
                          </w:rPr>
                          <m:t>installation</m:t>
                        </m:r>
                      </m:e>
                      <m:sub>
                        <m:r>
                          <w:rPr>
                            <w:noProof w:val="0"/>
                          </w:rPr>
                          <m:t>e</m:t>
                        </m:r>
                      </m:sub>
                    </m:sSub>
                  </m:num>
                  <m:den>
                    <m:sSub>
                      <m:sSubPr>
                        <m:ctrlPr>
                          <w:rPr>
                            <w:noProof w:val="0"/>
                          </w:rPr>
                        </m:ctrlPr>
                      </m:sSubPr>
                      <m:e>
                        <m:r>
                          <w:rPr>
                            <w:noProof w:val="0"/>
                          </w:rPr>
                          <m:t>lifetime</m:t>
                        </m:r>
                      </m:e>
                      <m:sub>
                        <m:r>
                          <w:rPr>
                            <w:noProof w:val="0"/>
                          </w:rPr>
                          <m:t>e</m:t>
                        </m:r>
                      </m:sub>
                    </m:sSub>
                  </m:den>
                </m:f>
                <m:r>
                  <w:rPr>
                    <w:noProof w:val="0"/>
                  </w:rPr>
                  <m:t>+</m:t>
                </m:r>
                <m:sSub>
                  <m:sSubPr>
                    <m:ctrlPr>
                      <w:rPr>
                        <w:noProof w:val="0"/>
                      </w:rPr>
                    </m:ctrlPr>
                  </m:sSubPr>
                  <m:e>
                    <m:r>
                      <w:rPr>
                        <w:noProof w:val="0"/>
                      </w:rPr>
                      <m:t>operating</m:t>
                    </m:r>
                  </m:e>
                  <m:sub>
                    <m:r>
                      <w:rPr>
                        <w:noProof w:val="0"/>
                      </w:rPr>
                      <m:t>e</m:t>
                    </m:r>
                  </m:sub>
                </m:sSub>
                <m:r>
                  <w:rPr>
                    <w:noProof w:val="0"/>
                  </w:rPr>
                  <m:t>+</m:t>
                </m:r>
                <m:d>
                  <m:dPr>
                    <m:ctrlPr>
                      <w:rPr>
                        <w:noProof w:val="0"/>
                      </w:rPr>
                    </m:ctrlPr>
                  </m:dPr>
                  <m:e>
                    <m:sSub>
                      <m:sSubPr>
                        <m:ctrlPr>
                          <w:rPr>
                            <w:noProof w:val="0"/>
                          </w:rPr>
                        </m:ctrlPr>
                      </m:sSubPr>
                      <m:e>
                        <m:r>
                          <w:rPr>
                            <w:noProof w:val="0"/>
                          </w:rPr>
                          <m:t>remaining</m:t>
                        </m:r>
                      </m:e>
                      <m:sub>
                        <m:r>
                          <w:rPr>
                            <w:noProof w:val="0"/>
                          </w:rPr>
                          <m:t>e</m:t>
                        </m:r>
                      </m:sub>
                    </m:sSub>
                    <m:r>
                      <w:rPr>
                        <w:noProof w:val="0"/>
                      </w:rPr>
                      <m:t>×</m:t>
                    </m:r>
                    <m:f>
                      <m:fPr>
                        <m:ctrlPr>
                          <w:rPr>
                            <w:noProof w:val="0"/>
                          </w:rPr>
                        </m:ctrlPr>
                      </m:fPr>
                      <m:num>
                        <m:d>
                          <m:dPr>
                            <m:ctrlPr>
                              <w:rPr>
                                <w:noProof w:val="0"/>
                              </w:rPr>
                            </m:ctrlPr>
                          </m:dPr>
                          <m:e>
                            <m:r>
                              <w:rPr>
                                <w:noProof w:val="0"/>
                              </w:rPr>
                              <m:t>1-</m:t>
                            </m:r>
                            <m:sSub>
                              <m:sSubPr>
                                <m:ctrlPr>
                                  <w:rPr>
                                    <w:noProof w:val="0"/>
                                  </w:rPr>
                                </m:ctrlPr>
                              </m:sSubPr>
                              <m:e>
                                <m:r>
                                  <w:rPr>
                                    <w:noProof w:val="0"/>
                                  </w:rPr>
                                  <m:t>recovery</m:t>
                                </m:r>
                              </m:e>
                              <m:sub>
                                <m:r>
                                  <w:rPr>
                                    <w:noProof w:val="0"/>
                                  </w:rPr>
                                  <m:t>e</m:t>
                                </m:r>
                              </m:sub>
                            </m:sSub>
                          </m:e>
                        </m:d>
                      </m:num>
                      <m:den>
                        <m:sSub>
                          <m:sSubPr>
                            <m:ctrlPr>
                              <w:rPr>
                                <w:noProof w:val="0"/>
                              </w:rPr>
                            </m:ctrlPr>
                          </m:sSubPr>
                          <m:e>
                            <m:r>
                              <w:rPr>
                                <w:noProof w:val="0"/>
                              </w:rPr>
                              <m:t>lifetime</m:t>
                            </m:r>
                          </m:e>
                          <m:sub>
                            <m:r>
                              <w:rPr>
                                <w:noProof w:val="0"/>
                              </w:rPr>
                              <m:t>e</m:t>
                            </m:r>
                          </m:sub>
                        </m:sSub>
                      </m:den>
                    </m:f>
                  </m:e>
                </m:d>
              </m:oMath>
            </m:oMathPara>
          </w:p>
          <w:p w14:paraId="628B42F4" w14:textId="77777777" w:rsidR="00910653" w:rsidRPr="004C12C9" w:rsidRDefault="00910653">
            <w:pPr>
              <w:rPr>
                <w:i/>
                <w:iCs/>
              </w:rPr>
            </w:pPr>
            <w:r w:rsidRPr="004C12C9">
              <w:rPr>
                <w:i/>
                <w:iCs/>
                <w:sz w:val="20"/>
                <w:szCs w:val="20"/>
              </w:rPr>
              <w:t xml:space="preserve">where, </w:t>
            </w:r>
          </w:p>
        </w:tc>
      </w:tr>
      <w:tr w:rsidR="00910653" w:rsidRPr="004C12C9" w14:paraId="25050ABF" w14:textId="77777777">
        <w:tc>
          <w:tcPr>
            <w:tcW w:w="1980" w:type="dxa"/>
            <w:shd w:val="clear" w:color="auto" w:fill="F2F2F2" w:themeFill="background1" w:themeFillShade="F2"/>
          </w:tcPr>
          <w:p w14:paraId="41551809" w14:textId="410D2C16"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Installation</w:t>
            </w:r>
          </w:p>
          <w:p w14:paraId="7887D680" w14:textId="0F8711A0"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Lifetime</w:t>
            </w:r>
          </w:p>
          <w:p w14:paraId="608458BD" w14:textId="77777777"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Operating</w:t>
            </w:r>
          </w:p>
          <w:p w14:paraId="20F0E079" w14:textId="77777777"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Remaining</w:t>
            </w:r>
          </w:p>
          <w:p w14:paraId="0E3CE669" w14:textId="4DC00935"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Recovery</w:t>
            </w:r>
          </w:p>
        </w:tc>
        <w:tc>
          <w:tcPr>
            <w:tcW w:w="8090" w:type="dxa"/>
            <w:shd w:val="clear" w:color="auto" w:fill="F2F2F2" w:themeFill="background1" w:themeFillShade="F2"/>
          </w:tcPr>
          <w:p w14:paraId="51601200" w14:textId="5A45A3C3"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Installation emission rate by equipment type, e (% of capacity)</w:t>
            </w:r>
          </w:p>
          <w:p w14:paraId="6D9F6B41" w14:textId="2E448CC4" w:rsidR="00910653" w:rsidRPr="004C12C9" w:rsidRDefault="00910653">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Refrigerant lifetime by equipment type, e (years)</w:t>
            </w:r>
          </w:p>
          <w:p w14:paraId="17E293FA" w14:textId="62EA4559" w:rsidR="00910653" w:rsidRPr="004C12C9" w:rsidRDefault="00910653">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Operating emission factor by equipment type, e (% of capacity/year)</w:t>
            </w:r>
          </w:p>
          <w:p w14:paraId="4432758D" w14:textId="77777777" w:rsidR="00910653" w:rsidRPr="004C12C9" w:rsidRDefault="0091065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Refrigerant remaining at disposal by equi</w:t>
            </w:r>
            <w:r w:rsidR="00D35F5C" w:rsidRPr="004C12C9">
              <w:rPr>
                <w:rFonts w:ascii="Calibri" w:eastAsia="Arial" w:hAnsi="Calibri"/>
                <w:bCs w:val="0"/>
                <w:i w:val="0"/>
                <w:noProof w:val="0"/>
                <w:color w:val="auto"/>
                <w:sz w:val="20"/>
                <w:szCs w:val="20"/>
              </w:rPr>
              <w:t>pment type, e (% of capacity)</w:t>
            </w:r>
          </w:p>
          <w:p w14:paraId="56F98BBF" w14:textId="77777777" w:rsidR="00D35F5C" w:rsidRPr="004C12C9" w:rsidRDefault="00D35F5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Recovery efficiency by equipment type, e (% of remaining)</w:t>
            </w:r>
          </w:p>
          <w:p w14:paraId="6A539EEE" w14:textId="53FC382A" w:rsidR="00D35F5C" w:rsidRPr="004C12C9" w:rsidRDefault="00D35F5C">
            <w:pPr>
              <w:pStyle w:val="Equation"/>
              <w:spacing w:before="0" w:after="0"/>
              <w:jc w:val="left"/>
              <w:rPr>
                <w:rFonts w:ascii="Calibri" w:eastAsia="Arial" w:hAnsi="Calibri"/>
                <w:bCs w:val="0"/>
                <w:i w:val="0"/>
                <w:noProof w:val="0"/>
                <w:color w:val="auto"/>
                <w:sz w:val="20"/>
                <w:szCs w:val="20"/>
              </w:rPr>
            </w:pPr>
          </w:p>
        </w:tc>
      </w:tr>
    </w:tbl>
    <w:p w14:paraId="0C52BF3F" w14:textId="05058795" w:rsidR="00873970" w:rsidRPr="004C12C9" w:rsidRDefault="00D35F5C" w:rsidP="00D35F5C">
      <w:pPr>
        <w:pStyle w:val="Caption"/>
        <w:rPr>
          <w:rFonts w:eastAsia="Arial"/>
        </w:rPr>
      </w:pPr>
      <w:bookmarkStart w:id="189" w:name="_Ref195526297"/>
      <w:r w:rsidRPr="004C12C9">
        <w:t xml:space="preserve">Equation </w:t>
      </w:r>
      <w:r w:rsidR="00127094">
        <w:fldChar w:fldCharType="begin"/>
      </w:r>
      <w:r w:rsidR="00127094">
        <w:instrText xml:space="preserve"> SEQ Equation \* ARABIC </w:instrText>
      </w:r>
      <w:r w:rsidR="00127094">
        <w:fldChar w:fldCharType="separate"/>
      </w:r>
      <w:r w:rsidR="00C47624">
        <w:rPr>
          <w:noProof/>
        </w:rPr>
        <w:t>22</w:t>
      </w:r>
      <w:r w:rsidR="00127094">
        <w:fldChar w:fldCharType="end"/>
      </w:r>
      <w:bookmarkEnd w:id="189"/>
      <w:r w:rsidRPr="004C12C9">
        <w:t>. GHG Emissions from HFCs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D35F5C" w:rsidRPr="004C12C9" w14:paraId="5E462305" w14:textId="77777777">
        <w:tc>
          <w:tcPr>
            <w:tcW w:w="10070" w:type="dxa"/>
            <w:gridSpan w:val="2"/>
            <w:shd w:val="clear" w:color="auto" w:fill="F2F2F2" w:themeFill="background1" w:themeFillShade="F2"/>
          </w:tcPr>
          <w:p w14:paraId="528CE24B" w14:textId="77777777" w:rsidR="00D35F5C" w:rsidRPr="004C12C9" w:rsidRDefault="00007397" w:rsidP="00D35F5C">
            <w:pPr>
              <w:pStyle w:val="Equation"/>
              <w:rPr>
                <w:rFonts w:asciiTheme="minorHAnsi" w:hAnsiTheme="minorHAnsi"/>
                <w:noProof w:val="0"/>
                <w:lang w:bidi="ar-SA"/>
              </w:rPr>
            </w:pPr>
            <m:oMathPara>
              <m:oMath>
                <m:r>
                  <w:rPr>
                    <w:noProof w:val="0"/>
                  </w:rPr>
                  <m:t>annual GHG emissions=</m:t>
                </m:r>
                <m:nary>
                  <m:naryPr>
                    <m:chr m:val="∑"/>
                    <m:limLoc m:val="undOvr"/>
                    <m:subHide m:val="1"/>
                    <m:supHide m:val="1"/>
                    <m:ctrlPr>
                      <w:rPr>
                        <w:noProof w:val="0"/>
                      </w:rPr>
                    </m:ctrlPr>
                  </m:naryPr>
                  <m:sub/>
                  <m:sup/>
                  <m:e>
                    <m:sSub>
                      <m:sSubPr>
                        <m:ctrlPr>
                          <w:rPr>
                            <w:noProof w:val="0"/>
                          </w:rPr>
                        </m:ctrlPr>
                      </m:sSubPr>
                      <m:e>
                        <m:r>
                          <w:rPr>
                            <w:noProof w:val="0"/>
                          </w:rPr>
                          <m:t>charge</m:t>
                        </m:r>
                      </m:e>
                      <m:sub>
                        <m:r>
                          <w:rPr>
                            <w:noProof w:val="0"/>
                          </w:rPr>
                          <m:t>r,e</m:t>
                        </m:r>
                      </m:sub>
                    </m:sSub>
                    <m:r>
                      <w:rPr>
                        <w:noProof w:val="0"/>
                      </w:rPr>
                      <m:t xml:space="preserve"> </m:t>
                    </m:r>
                    <m:r>
                      <w:rPr>
                        <w:noProof w:val="0"/>
                        <w:color w:val="auto"/>
                        <w:lang w:bidi="ar-SA"/>
                      </w:rPr>
                      <m:t>×</m:t>
                    </m:r>
                    <m:sSub>
                      <m:sSubPr>
                        <m:ctrlPr>
                          <w:rPr>
                            <w:noProof w:val="0"/>
                            <w:color w:val="auto"/>
                            <w:lang w:bidi="ar-SA"/>
                          </w:rPr>
                        </m:ctrlPr>
                      </m:sSubPr>
                      <m:e>
                        <m:r>
                          <w:rPr>
                            <w:noProof w:val="0"/>
                            <w:color w:val="auto"/>
                            <w:lang w:bidi="ar-SA"/>
                          </w:rPr>
                          <m:t>annual leak rate</m:t>
                        </m:r>
                      </m:e>
                      <m:sub>
                        <m:r>
                          <w:rPr>
                            <w:noProof w:val="0"/>
                            <w:color w:val="auto"/>
                            <w:lang w:bidi="ar-SA"/>
                          </w:rPr>
                          <m:t>e</m:t>
                        </m:r>
                      </m:sub>
                    </m:sSub>
                    <m:r>
                      <w:rPr>
                        <w:noProof w:val="0"/>
                        <w:color w:val="auto"/>
                        <w:lang w:bidi="ar-SA"/>
                      </w:rPr>
                      <m:t xml:space="preserve"> ×</m:t>
                    </m:r>
                    <m:sSub>
                      <m:sSubPr>
                        <m:ctrlPr>
                          <w:rPr>
                            <w:noProof w:val="0"/>
                            <w:color w:val="auto"/>
                            <w:lang w:bidi="ar-SA"/>
                          </w:rPr>
                        </m:ctrlPr>
                      </m:sSubPr>
                      <m:e>
                        <m:r>
                          <w:rPr>
                            <w:noProof w:val="0"/>
                            <w:color w:val="auto"/>
                            <w:lang w:bidi="ar-SA"/>
                          </w:rPr>
                          <m:t>GWP</m:t>
                        </m:r>
                      </m:e>
                      <m:sub>
                        <m:r>
                          <w:rPr>
                            <w:noProof w:val="0"/>
                            <w:color w:val="auto"/>
                            <w:lang w:bidi="ar-SA"/>
                          </w:rPr>
                          <m:t>r</m:t>
                        </m:r>
                      </m:sub>
                    </m:sSub>
                  </m:e>
                </m:nary>
              </m:oMath>
            </m:oMathPara>
          </w:p>
          <w:p w14:paraId="608B6247" w14:textId="77777777" w:rsidR="00D35F5C" w:rsidRPr="004C12C9" w:rsidRDefault="00D35F5C">
            <w:pPr>
              <w:rPr>
                <w:i/>
                <w:iCs/>
              </w:rPr>
            </w:pPr>
            <w:r w:rsidRPr="004C12C9">
              <w:rPr>
                <w:i/>
                <w:iCs/>
                <w:sz w:val="20"/>
                <w:szCs w:val="20"/>
              </w:rPr>
              <w:t xml:space="preserve">where, </w:t>
            </w:r>
          </w:p>
        </w:tc>
      </w:tr>
      <w:tr w:rsidR="00D35F5C" w:rsidRPr="004C12C9" w14:paraId="0B2A2C4C" w14:textId="77777777">
        <w:tc>
          <w:tcPr>
            <w:tcW w:w="1980" w:type="dxa"/>
            <w:shd w:val="clear" w:color="auto" w:fill="F2F2F2" w:themeFill="background1" w:themeFillShade="F2"/>
          </w:tcPr>
          <w:p w14:paraId="43BA5FDE" w14:textId="69EC0606" w:rsidR="00D35F5C" w:rsidRPr="004C12C9" w:rsidRDefault="00D35F5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Charge</w:t>
            </w:r>
          </w:p>
          <w:p w14:paraId="5FFC9473" w14:textId="62D3570F" w:rsidR="00D35F5C" w:rsidRPr="004C12C9" w:rsidRDefault="00D35F5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Leak rate</w:t>
            </w:r>
          </w:p>
          <w:p w14:paraId="4C6E87D6" w14:textId="23D738D8" w:rsidR="00D35F5C" w:rsidRPr="004C12C9" w:rsidRDefault="00D35F5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p>
        </w:tc>
        <w:tc>
          <w:tcPr>
            <w:tcW w:w="8090" w:type="dxa"/>
            <w:shd w:val="clear" w:color="auto" w:fill="F2F2F2" w:themeFill="background1" w:themeFillShade="F2"/>
          </w:tcPr>
          <w:p w14:paraId="475DEE6A" w14:textId="58061C7D" w:rsidR="00D35F5C" w:rsidRPr="004C12C9" w:rsidRDefault="00D35F5C">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Total refrigerant charge by equipment type, e, and refrigerant type, r (kg HFC)</w:t>
            </w:r>
          </w:p>
          <w:p w14:paraId="799031E5" w14:textId="0DA269E9" w:rsidR="00D35F5C" w:rsidRPr="004C12C9" w:rsidRDefault="00D35F5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HFC leak rate by equipment type, e (%)</w:t>
            </w:r>
          </w:p>
          <w:p w14:paraId="2BD712C8" w14:textId="7FED2BFD" w:rsidR="00D35F5C" w:rsidRPr="004C12C9" w:rsidRDefault="00D35F5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Global warming potential</w:t>
            </w:r>
            <w:r w:rsidR="00A707C1" w:rsidRPr="004C12C9">
              <w:rPr>
                <w:rFonts w:ascii="Calibri" w:eastAsia="Arial" w:hAnsi="Calibri"/>
                <w:bCs w:val="0"/>
                <w:i w:val="0"/>
                <w:noProof w:val="0"/>
                <w:color w:val="auto"/>
                <w:sz w:val="20"/>
                <w:szCs w:val="20"/>
              </w:rPr>
              <w:t xml:space="preserve"> (GWP)</w:t>
            </w:r>
            <w:r w:rsidRPr="004C12C9">
              <w:rPr>
                <w:rFonts w:ascii="Calibri" w:eastAsia="Arial" w:hAnsi="Calibri"/>
                <w:bCs w:val="0"/>
                <w:i w:val="0"/>
                <w:noProof w:val="0"/>
                <w:color w:val="auto"/>
                <w:sz w:val="20"/>
                <w:szCs w:val="20"/>
              </w:rPr>
              <w:t xml:space="preserve"> by refrigerant type, r</w:t>
            </w:r>
          </w:p>
          <w:p w14:paraId="74E4DE1E" w14:textId="079C59D6" w:rsidR="00D35F5C" w:rsidRPr="004C12C9" w:rsidRDefault="00D35F5C">
            <w:pPr>
              <w:pStyle w:val="Equation"/>
              <w:spacing w:before="0" w:after="0"/>
              <w:jc w:val="left"/>
              <w:rPr>
                <w:rFonts w:ascii="Calibri" w:eastAsia="Arial" w:hAnsi="Calibri"/>
                <w:bCs w:val="0"/>
                <w:i w:val="0"/>
                <w:noProof w:val="0"/>
                <w:color w:val="auto"/>
                <w:sz w:val="20"/>
                <w:szCs w:val="20"/>
              </w:rPr>
            </w:pPr>
          </w:p>
        </w:tc>
      </w:tr>
    </w:tbl>
    <w:p w14:paraId="66A748E8" w14:textId="77777777" w:rsidR="00873970" w:rsidRPr="004C12C9" w:rsidRDefault="00873970" w:rsidP="00E31E37">
      <w:pPr>
        <w:pStyle w:val="Heading4"/>
      </w:pPr>
      <w:r w:rsidRPr="004C12C9">
        <w:t>Building Area</w:t>
      </w:r>
    </w:p>
    <w:p w14:paraId="1CADFE9D" w14:textId="1FE4DFE0" w:rsidR="004F34A0" w:rsidRPr="004C12C9" w:rsidRDefault="001E00BA" w:rsidP="00972CF9">
      <w:r w:rsidRPr="004C12C9">
        <w:t>Users are required to provide t</w:t>
      </w:r>
      <w:r w:rsidR="004F34A0" w:rsidRPr="004C12C9">
        <w:t xml:space="preserve">he total building area and the portion of the building area that is actively utilized. The area that is actively utilized is any area in the building that contains refrigeration and </w:t>
      </w:r>
      <w:r w:rsidR="00741EC2" w:rsidRPr="004C12C9">
        <w:t>A/C</w:t>
      </w:r>
      <w:r w:rsidR="004F34A0" w:rsidRPr="004C12C9">
        <w:t xml:space="preserve"> equipment (for example, this would exclude a warehouse that is not air conditioned). As a default, the </w:t>
      </w:r>
      <w:r w:rsidR="007640AF" w:rsidRPr="004C12C9">
        <w:t xml:space="preserve">calculator </w:t>
      </w:r>
      <w:r w:rsidR="004F34A0" w:rsidRPr="004C12C9">
        <w:t>assume</w:t>
      </w:r>
      <w:r w:rsidR="007723CF" w:rsidRPr="004C12C9">
        <w:t>s</w:t>
      </w:r>
      <w:r w:rsidR="004F34A0" w:rsidRPr="004C12C9">
        <w:t xml:space="preserve"> 100 percent of building area is utilized. The types of buildings for which users may provide data include the following:</w:t>
      </w:r>
    </w:p>
    <w:p w14:paraId="5A0D9D5B" w14:textId="77777777" w:rsidR="004F34A0" w:rsidRPr="004C12C9" w:rsidRDefault="004F34A0" w:rsidP="003B5F7F">
      <w:pPr>
        <w:pStyle w:val="ListParagraph"/>
        <w:numPr>
          <w:ilvl w:val="0"/>
          <w:numId w:val="5"/>
        </w:numPr>
      </w:pPr>
      <w:r w:rsidRPr="004C12C9">
        <w:t>Commercial</w:t>
      </w:r>
    </w:p>
    <w:p w14:paraId="575AA178" w14:textId="77777777" w:rsidR="004F34A0" w:rsidRPr="004C12C9" w:rsidRDefault="004F34A0" w:rsidP="003B5F7F">
      <w:pPr>
        <w:pStyle w:val="ListParagraph"/>
        <w:numPr>
          <w:ilvl w:val="0"/>
          <w:numId w:val="5"/>
        </w:numPr>
      </w:pPr>
      <w:r w:rsidRPr="004C12C9">
        <w:t>Institutional</w:t>
      </w:r>
    </w:p>
    <w:p w14:paraId="4AF16AA2" w14:textId="77777777" w:rsidR="004F34A0" w:rsidRPr="004C12C9" w:rsidRDefault="004F34A0" w:rsidP="003B5F7F">
      <w:pPr>
        <w:pStyle w:val="ListParagraph"/>
        <w:numPr>
          <w:ilvl w:val="0"/>
          <w:numId w:val="5"/>
        </w:numPr>
      </w:pPr>
      <w:r w:rsidRPr="004C12C9">
        <w:t>Residential</w:t>
      </w:r>
    </w:p>
    <w:p w14:paraId="2A94B43A" w14:textId="77777777" w:rsidR="004F34A0" w:rsidRPr="004C12C9" w:rsidRDefault="004F34A0" w:rsidP="003B5F7F">
      <w:pPr>
        <w:pStyle w:val="ListParagraph"/>
        <w:numPr>
          <w:ilvl w:val="0"/>
          <w:numId w:val="5"/>
        </w:numPr>
      </w:pPr>
      <w:r w:rsidRPr="004C12C9">
        <w:t>Industrial</w:t>
      </w:r>
    </w:p>
    <w:p w14:paraId="18E5E99B" w14:textId="77777777" w:rsidR="004F34A0" w:rsidRPr="004C12C9" w:rsidRDefault="004F34A0" w:rsidP="00E31E37">
      <w:pPr>
        <w:pStyle w:val="Heading4"/>
      </w:pPr>
      <w:r w:rsidRPr="004C12C9">
        <w:lastRenderedPageBreak/>
        <w:t>Equipment and Refrigerant Types</w:t>
      </w:r>
    </w:p>
    <w:p w14:paraId="0300F7FD" w14:textId="40414A29" w:rsidR="007D3356" w:rsidRPr="004C12C9" w:rsidRDefault="007D3356" w:rsidP="00972CF9">
      <w:r w:rsidRPr="004C12C9">
        <w:t>Assumptions regarding the type of equipment found in each building type are based on EPA’s HFC Accounting Tool.</w:t>
      </w:r>
      <w:r w:rsidRPr="004C12C9">
        <w:rPr>
          <w:rStyle w:val="FootnoteReference"/>
          <w:rFonts w:asciiTheme="minorHAnsi" w:hAnsiTheme="minorHAnsi"/>
        </w:rPr>
        <w:footnoteReference w:id="107"/>
      </w:r>
      <w:r w:rsidRPr="004C12C9">
        <w:t xml:space="preserve"> </w:t>
      </w:r>
      <w:r w:rsidR="00F655C9" w:rsidRPr="004C12C9">
        <w:fldChar w:fldCharType="begin" w:fldLock="1"/>
      </w:r>
      <w:r w:rsidR="00F655C9" w:rsidRPr="004C12C9">
        <w:instrText xml:space="preserve"> REF _Ref195528560 \h </w:instrText>
      </w:r>
      <w:r w:rsidR="00F655C9" w:rsidRPr="004C12C9">
        <w:fldChar w:fldCharType="separate"/>
      </w:r>
      <w:r w:rsidR="00127094" w:rsidRPr="004C12C9">
        <w:t>Table 3</w:t>
      </w:r>
      <w:r w:rsidR="00127094" w:rsidRPr="004C12C9">
        <w:noBreakHyphen/>
        <w:t>19</w:t>
      </w:r>
      <w:r w:rsidR="00F655C9" w:rsidRPr="004C12C9">
        <w:fldChar w:fldCharType="end"/>
      </w:r>
      <w:r w:rsidRPr="004C12C9">
        <w:t xml:space="preserve"> summarizes which building types from EPA’s HFC Accounting Tool are used as a proxy for each </w:t>
      </w:r>
      <w:r w:rsidR="00F655C9" w:rsidRPr="004C12C9">
        <w:t xml:space="preserve">of the </w:t>
      </w:r>
      <w:r w:rsidRPr="004C12C9">
        <w:t>building type</w:t>
      </w:r>
      <w:r w:rsidR="00F655C9" w:rsidRPr="004C12C9">
        <w:t xml:space="preserve">s in the </w:t>
      </w:r>
      <w:r w:rsidR="007640AF" w:rsidRPr="004C12C9">
        <w:t xml:space="preserve">calculator </w:t>
      </w:r>
      <w:r w:rsidRPr="004C12C9">
        <w:t>and the equipment types each building are assumed to contain.</w:t>
      </w:r>
      <w:r w:rsidR="001755F5">
        <w:t xml:space="preserve"> </w:t>
      </w:r>
      <w:r w:rsidR="005759B8">
        <w:t xml:space="preserve">Equipment types that are prohibited from using </w:t>
      </w:r>
      <w:r w:rsidR="004D5083">
        <w:t>HFCs</w:t>
      </w:r>
      <w:r w:rsidR="00EA1AAA">
        <w:t xml:space="preserve"> </w:t>
      </w:r>
      <w:r w:rsidR="004D5083">
        <w:t xml:space="preserve">under </w:t>
      </w:r>
      <w:r w:rsidR="002604FB">
        <w:t>EPA regulations in accordance with the</w:t>
      </w:r>
      <w:r w:rsidR="000758BE" w:rsidRPr="000758BE">
        <w:t xml:space="preserve"> American Innovation and Manufacturing (AIM) </w:t>
      </w:r>
      <w:r w:rsidR="002604FB">
        <w:t xml:space="preserve">Act were excluded from the calculator. </w:t>
      </w:r>
      <w:r w:rsidR="00986D21">
        <w:t>A d</w:t>
      </w:r>
      <w:r w:rsidR="002A7D24">
        <w:t xml:space="preserve">efault refrigerant type </w:t>
      </w:r>
      <w:r w:rsidR="00F1465B">
        <w:t>for each equipment type is available in the calculator</w:t>
      </w:r>
      <w:r w:rsidR="00935C7C">
        <w:t xml:space="preserve"> (see </w:t>
      </w:r>
      <w:r w:rsidR="00935C7C" w:rsidRPr="004C12C9">
        <w:fldChar w:fldCharType="begin" w:fldLock="1"/>
      </w:r>
      <w:r w:rsidR="00935C7C" w:rsidRPr="004C12C9">
        <w:instrText xml:space="preserve"> REF _Ref195528560 \h </w:instrText>
      </w:r>
      <w:r w:rsidR="00935C7C" w:rsidRPr="004C12C9">
        <w:fldChar w:fldCharType="separate"/>
      </w:r>
      <w:r w:rsidR="00935C7C" w:rsidRPr="004C12C9">
        <w:t>Table 3</w:t>
      </w:r>
      <w:r w:rsidR="00935C7C" w:rsidRPr="004C12C9">
        <w:noBreakHyphen/>
        <w:t>19</w:t>
      </w:r>
      <w:r w:rsidR="00935C7C" w:rsidRPr="004C12C9">
        <w:fldChar w:fldCharType="end"/>
      </w:r>
      <w:r w:rsidR="00935C7C">
        <w:t>)</w:t>
      </w:r>
      <w:r w:rsidR="00F1465B">
        <w:t>.</w:t>
      </w:r>
      <w:r w:rsidR="003E67F6">
        <w:rPr>
          <w:rStyle w:val="FootnoteReference"/>
        </w:rPr>
        <w:footnoteReference w:id="108"/>
      </w:r>
      <w:r w:rsidR="002A7D24">
        <w:t xml:space="preserve"> </w:t>
      </w:r>
      <w:r w:rsidR="001755F5">
        <w:t xml:space="preserve">Users may also select </w:t>
      </w:r>
      <w:r w:rsidR="00D51DF2">
        <w:t>the</w:t>
      </w:r>
      <w:r w:rsidR="001755F5">
        <w:t xml:space="preserve"> refrigerant type </w:t>
      </w:r>
      <w:r w:rsidR="00D51DF2">
        <w:t>used in th</w:t>
      </w:r>
      <w:r w:rsidR="00935C7C">
        <w:t>e applicable equipment</w:t>
      </w:r>
      <w:r w:rsidR="001755F5">
        <w:t>.</w:t>
      </w:r>
    </w:p>
    <w:p w14:paraId="57365623" w14:textId="53BAD65F" w:rsidR="007D3356" w:rsidRPr="004C12C9" w:rsidRDefault="007D3356" w:rsidP="00972CF9">
      <w:pPr>
        <w:pStyle w:val="Caption"/>
      </w:pPr>
      <w:bookmarkStart w:id="190" w:name="_Ref189046984"/>
      <w:bookmarkStart w:id="191" w:name="_Ref195528560"/>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19</w:t>
      </w:r>
      <w:r w:rsidR="00F72B41">
        <w:fldChar w:fldCharType="end"/>
      </w:r>
      <w:bookmarkEnd w:id="190"/>
      <w:bookmarkEnd w:id="191"/>
      <w:r w:rsidRPr="004C12C9">
        <w:t>. Building Type Matching</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45"/>
        <w:gridCol w:w="2070"/>
        <w:gridCol w:w="4860"/>
        <w:gridCol w:w="1795"/>
      </w:tblGrid>
      <w:tr w:rsidR="00E32B70" w:rsidRPr="004C12C9" w14:paraId="59C5E27F" w14:textId="4D9341D6" w:rsidTr="00691958">
        <w:trPr>
          <w:trHeight w:val="367"/>
        </w:trPr>
        <w:tc>
          <w:tcPr>
            <w:tcW w:w="1345" w:type="dxa"/>
            <w:shd w:val="clear" w:color="auto" w:fill="D9D9D9" w:themeFill="background1" w:themeFillShade="D9"/>
            <w:noWrap/>
            <w:vAlign w:val="center"/>
            <w:hideMark/>
          </w:tcPr>
          <w:p w14:paraId="0F234DC7" w14:textId="190C4D85" w:rsidR="00B667DB" w:rsidRPr="004C12C9" w:rsidRDefault="00B667DB">
            <w:pPr>
              <w:pStyle w:val="ICFTableHeading"/>
              <w:rPr>
                <w:lang w:bidi="ar-SA"/>
              </w:rPr>
            </w:pPr>
            <w:r w:rsidRPr="004C12C9">
              <w:rPr>
                <w:lang w:bidi="ar-SA"/>
              </w:rPr>
              <w:t>Building Type</w:t>
            </w:r>
          </w:p>
        </w:tc>
        <w:tc>
          <w:tcPr>
            <w:tcW w:w="2070" w:type="dxa"/>
            <w:shd w:val="clear" w:color="auto" w:fill="D9D9D9" w:themeFill="background1" w:themeFillShade="D9"/>
            <w:vAlign w:val="center"/>
            <w:hideMark/>
          </w:tcPr>
          <w:p w14:paraId="586B77F3" w14:textId="19E7F4A4" w:rsidR="00B667DB" w:rsidRPr="004C12C9" w:rsidRDefault="00B667DB">
            <w:pPr>
              <w:pStyle w:val="ICFTableHeading"/>
              <w:rPr>
                <w:lang w:bidi="ar-SA"/>
              </w:rPr>
            </w:pPr>
            <w:r w:rsidRPr="004C12C9">
              <w:rPr>
                <w:lang w:bidi="ar-SA"/>
              </w:rPr>
              <w:t>EPA Building Type</w:t>
            </w:r>
          </w:p>
        </w:tc>
        <w:tc>
          <w:tcPr>
            <w:tcW w:w="4860" w:type="dxa"/>
            <w:shd w:val="clear" w:color="auto" w:fill="D9D9D9" w:themeFill="background1" w:themeFillShade="D9"/>
            <w:vAlign w:val="center"/>
          </w:tcPr>
          <w:p w14:paraId="2DE58902" w14:textId="22C97EAD" w:rsidR="00B667DB" w:rsidRPr="004C12C9" w:rsidRDefault="00B667DB">
            <w:pPr>
              <w:pStyle w:val="ICFTableHeading"/>
              <w:rPr>
                <w:lang w:bidi="ar-SA"/>
              </w:rPr>
            </w:pPr>
            <w:r w:rsidRPr="004C12C9">
              <w:rPr>
                <w:lang w:bidi="ar-SA"/>
              </w:rPr>
              <w:t>Equipment Type</w:t>
            </w:r>
          </w:p>
        </w:tc>
        <w:tc>
          <w:tcPr>
            <w:tcW w:w="1795" w:type="dxa"/>
            <w:shd w:val="clear" w:color="auto" w:fill="D9D9D9" w:themeFill="background1" w:themeFillShade="D9"/>
          </w:tcPr>
          <w:p w14:paraId="2551812A" w14:textId="500106C8" w:rsidR="00B667DB" w:rsidRPr="004C12C9" w:rsidRDefault="00746BD4" w:rsidP="00FE0112">
            <w:pPr>
              <w:pStyle w:val="ICFTableHeading"/>
              <w:tabs>
                <w:tab w:val="left" w:pos="183"/>
              </w:tabs>
              <w:rPr>
                <w:lang w:bidi="ar-SA"/>
              </w:rPr>
            </w:pPr>
            <w:r>
              <w:rPr>
                <w:lang w:bidi="ar-SA"/>
              </w:rPr>
              <w:t xml:space="preserve">Default </w:t>
            </w:r>
            <w:r w:rsidR="00B667DB" w:rsidRPr="004C12C9">
              <w:rPr>
                <w:lang w:bidi="ar-SA"/>
              </w:rPr>
              <w:t>Refrigerant Type</w:t>
            </w:r>
          </w:p>
        </w:tc>
      </w:tr>
      <w:tr w:rsidR="00277C22" w:rsidRPr="004C12C9" w14:paraId="52C6A514" w14:textId="3682CD85" w:rsidTr="00691958">
        <w:trPr>
          <w:trHeight w:val="20"/>
        </w:trPr>
        <w:tc>
          <w:tcPr>
            <w:tcW w:w="1345" w:type="dxa"/>
            <w:noWrap/>
            <w:vAlign w:val="center"/>
          </w:tcPr>
          <w:p w14:paraId="07CDE691" w14:textId="6C8AE6EA" w:rsidR="00277C22" w:rsidRPr="004C12C9" w:rsidRDefault="00DA6BFD">
            <w:pPr>
              <w:pStyle w:val="ICFTabletext"/>
              <w:rPr>
                <w:lang w:bidi="ar-SA"/>
              </w:rPr>
            </w:pPr>
            <w:r>
              <w:rPr>
                <w:lang w:bidi="ar-SA"/>
              </w:rPr>
              <w:t>Residential</w:t>
            </w:r>
          </w:p>
        </w:tc>
        <w:tc>
          <w:tcPr>
            <w:tcW w:w="2070" w:type="dxa"/>
            <w:vAlign w:val="center"/>
          </w:tcPr>
          <w:p w14:paraId="011306B8" w14:textId="510DF0AD" w:rsidR="00277C22" w:rsidRPr="004C12C9" w:rsidRDefault="00DA6BFD" w:rsidP="00C4728E">
            <w:pPr>
              <w:pStyle w:val="ICFTabletext"/>
              <w:rPr>
                <w:lang w:bidi="ar-SA"/>
              </w:rPr>
            </w:pPr>
            <w:r>
              <w:rPr>
                <w:lang w:bidi="ar-SA"/>
              </w:rPr>
              <w:t>Family Housing</w:t>
            </w:r>
          </w:p>
        </w:tc>
        <w:tc>
          <w:tcPr>
            <w:tcW w:w="4860" w:type="dxa"/>
          </w:tcPr>
          <w:p w14:paraId="51F5839B" w14:textId="6754A21D" w:rsidR="00277C22" w:rsidRPr="004C12C9" w:rsidRDefault="00277C22" w:rsidP="00C4728E">
            <w:pPr>
              <w:pStyle w:val="ICFTabletext"/>
              <w:rPr>
                <w:lang w:bidi="ar-SA"/>
              </w:rPr>
            </w:pPr>
            <w:r w:rsidRPr="004C12C9">
              <w:rPr>
                <w:lang w:bidi="ar-SA"/>
              </w:rPr>
              <w:t>Room A/C or Other residential A/C and heat pumps</w:t>
            </w:r>
          </w:p>
        </w:tc>
        <w:tc>
          <w:tcPr>
            <w:tcW w:w="1795" w:type="dxa"/>
            <w:vAlign w:val="center"/>
          </w:tcPr>
          <w:p w14:paraId="53133B63" w14:textId="5E6B8C27" w:rsidR="00277C22" w:rsidRPr="004C12C9" w:rsidRDefault="00F778CE" w:rsidP="00DE5EE9">
            <w:pPr>
              <w:pStyle w:val="ICFTabletext"/>
              <w:jc w:val="center"/>
              <w:rPr>
                <w:lang w:bidi="ar-SA"/>
              </w:rPr>
            </w:pPr>
            <w:r w:rsidRPr="00F778CE">
              <w:rPr>
                <w:lang w:bidi="ar-SA"/>
              </w:rPr>
              <w:t>R-454B</w:t>
            </w:r>
          </w:p>
        </w:tc>
      </w:tr>
      <w:tr w:rsidR="00DC0497" w:rsidRPr="004C12C9" w14:paraId="08E508C3" w14:textId="5724A858" w:rsidTr="00691958">
        <w:trPr>
          <w:trHeight w:val="20"/>
        </w:trPr>
        <w:tc>
          <w:tcPr>
            <w:tcW w:w="1345" w:type="dxa"/>
            <w:vMerge w:val="restart"/>
            <w:noWrap/>
            <w:vAlign w:val="center"/>
          </w:tcPr>
          <w:p w14:paraId="612084AE" w14:textId="6CFD7BE0" w:rsidR="00DC0497" w:rsidRPr="004C12C9" w:rsidRDefault="00DC0497" w:rsidP="00DC0497">
            <w:pPr>
              <w:pStyle w:val="ICFTabletext"/>
              <w:rPr>
                <w:lang w:bidi="ar-SA"/>
              </w:rPr>
            </w:pPr>
            <w:r w:rsidRPr="004C12C9">
              <w:rPr>
                <w:lang w:bidi="ar-SA"/>
              </w:rPr>
              <w:t>Institutional</w:t>
            </w:r>
          </w:p>
        </w:tc>
        <w:tc>
          <w:tcPr>
            <w:tcW w:w="2070" w:type="dxa"/>
            <w:vMerge w:val="restart"/>
            <w:vAlign w:val="center"/>
          </w:tcPr>
          <w:p w14:paraId="378EEADE" w14:textId="53862B12" w:rsidR="00DC0497" w:rsidRPr="004C12C9" w:rsidRDefault="00DC0497" w:rsidP="00DC0497">
            <w:pPr>
              <w:pStyle w:val="ICFTabletext"/>
              <w:rPr>
                <w:lang w:bidi="ar-SA"/>
              </w:rPr>
            </w:pPr>
            <w:r w:rsidRPr="004C12C9">
              <w:rPr>
                <w:lang w:bidi="ar-SA"/>
              </w:rPr>
              <w:t>School</w:t>
            </w:r>
          </w:p>
        </w:tc>
        <w:tc>
          <w:tcPr>
            <w:tcW w:w="4860" w:type="dxa"/>
          </w:tcPr>
          <w:p w14:paraId="00D51075" w14:textId="49B9316B" w:rsidR="00DC0497" w:rsidRPr="004C12C9" w:rsidRDefault="00DC0497" w:rsidP="00DC0497">
            <w:pPr>
              <w:pStyle w:val="ICFTabletext"/>
              <w:rPr>
                <w:lang w:bidi="ar-SA"/>
              </w:rPr>
            </w:pPr>
            <w:r w:rsidRPr="004C12C9">
              <w:rPr>
                <w:lang w:bidi="ar-SA"/>
              </w:rPr>
              <w:t>Walk-in refrigerators and freezers</w:t>
            </w:r>
          </w:p>
        </w:tc>
        <w:tc>
          <w:tcPr>
            <w:tcW w:w="1795" w:type="dxa"/>
            <w:vAlign w:val="center"/>
          </w:tcPr>
          <w:p w14:paraId="345B2F68" w14:textId="7A91E954" w:rsidR="00DC0497" w:rsidRPr="004C12C9" w:rsidRDefault="00DC0497" w:rsidP="00DC0497">
            <w:pPr>
              <w:pStyle w:val="ICFTabletext"/>
              <w:jc w:val="center"/>
              <w:rPr>
                <w:lang w:bidi="ar-SA"/>
              </w:rPr>
            </w:pPr>
            <w:r w:rsidRPr="004C12C9">
              <w:rPr>
                <w:lang w:bidi="ar-SA"/>
              </w:rPr>
              <w:t>R-404a</w:t>
            </w:r>
          </w:p>
        </w:tc>
      </w:tr>
      <w:tr w:rsidR="00DC0497" w:rsidRPr="004C12C9" w14:paraId="1237F509" w14:textId="7A3B0CBC" w:rsidTr="00691958">
        <w:trPr>
          <w:trHeight w:val="20"/>
        </w:trPr>
        <w:tc>
          <w:tcPr>
            <w:tcW w:w="1345" w:type="dxa"/>
            <w:vMerge/>
            <w:noWrap/>
            <w:vAlign w:val="center"/>
          </w:tcPr>
          <w:p w14:paraId="558DD36B" w14:textId="39EE9C05" w:rsidR="00DC0497" w:rsidRPr="004C12C9" w:rsidRDefault="00DC0497" w:rsidP="00DC0497">
            <w:pPr>
              <w:pStyle w:val="ICFTabletext"/>
              <w:rPr>
                <w:lang w:bidi="ar-SA"/>
              </w:rPr>
            </w:pPr>
          </w:p>
        </w:tc>
        <w:tc>
          <w:tcPr>
            <w:tcW w:w="2070" w:type="dxa"/>
            <w:vMerge/>
            <w:vAlign w:val="center"/>
          </w:tcPr>
          <w:p w14:paraId="3CF48627" w14:textId="49F0BC9F" w:rsidR="00DC0497" w:rsidRPr="004C12C9" w:rsidRDefault="00DC0497" w:rsidP="00DC0497">
            <w:pPr>
              <w:pStyle w:val="ICFTabletext"/>
              <w:rPr>
                <w:lang w:bidi="ar-SA"/>
              </w:rPr>
            </w:pPr>
          </w:p>
        </w:tc>
        <w:tc>
          <w:tcPr>
            <w:tcW w:w="4860" w:type="dxa"/>
          </w:tcPr>
          <w:p w14:paraId="0BCB52E6" w14:textId="60A9B661" w:rsidR="00DC0497" w:rsidRPr="004C12C9" w:rsidRDefault="00DC0497" w:rsidP="00DC0497">
            <w:pPr>
              <w:pStyle w:val="ICFTabletext"/>
              <w:rPr>
                <w:lang w:bidi="ar-SA"/>
              </w:rPr>
            </w:pPr>
            <w:r w:rsidRPr="004C12C9">
              <w:rPr>
                <w:lang w:bidi="ar-SA"/>
              </w:rPr>
              <w:t>Other commercial A/C and heat pumps</w:t>
            </w:r>
          </w:p>
        </w:tc>
        <w:tc>
          <w:tcPr>
            <w:tcW w:w="1795" w:type="dxa"/>
            <w:vAlign w:val="center"/>
          </w:tcPr>
          <w:p w14:paraId="46647072" w14:textId="0A62BA22" w:rsidR="00DC0497" w:rsidRPr="004C12C9" w:rsidRDefault="00DC0497" w:rsidP="00DC0497">
            <w:pPr>
              <w:pStyle w:val="ICFTabletext"/>
              <w:jc w:val="center"/>
              <w:rPr>
                <w:lang w:bidi="ar-SA"/>
              </w:rPr>
            </w:pPr>
            <w:r w:rsidRPr="00354307">
              <w:rPr>
                <w:lang w:bidi="ar-SA"/>
              </w:rPr>
              <w:t>R-454B</w:t>
            </w:r>
          </w:p>
        </w:tc>
      </w:tr>
      <w:tr w:rsidR="00DC0497" w:rsidRPr="004C12C9" w14:paraId="41C29E75" w14:textId="3DD08BE6" w:rsidTr="00691958">
        <w:trPr>
          <w:trHeight w:val="20"/>
        </w:trPr>
        <w:tc>
          <w:tcPr>
            <w:tcW w:w="1345" w:type="dxa"/>
            <w:noWrap/>
            <w:vAlign w:val="center"/>
          </w:tcPr>
          <w:p w14:paraId="668BAD69" w14:textId="761FD7C0" w:rsidR="00DC0497" w:rsidRPr="004C12C9" w:rsidRDefault="00DC0497" w:rsidP="00DC0497">
            <w:pPr>
              <w:pStyle w:val="ICFTabletext"/>
              <w:rPr>
                <w:lang w:bidi="ar-SA"/>
              </w:rPr>
            </w:pPr>
            <w:r w:rsidRPr="004C12C9">
              <w:rPr>
                <w:lang w:bidi="ar-SA"/>
              </w:rPr>
              <w:t>Commercial</w:t>
            </w:r>
          </w:p>
        </w:tc>
        <w:tc>
          <w:tcPr>
            <w:tcW w:w="2070" w:type="dxa"/>
            <w:vAlign w:val="center"/>
          </w:tcPr>
          <w:p w14:paraId="17887608" w14:textId="3EA4D663" w:rsidR="00DC0497" w:rsidRPr="004C12C9" w:rsidRDefault="00DC0497" w:rsidP="00DC0497">
            <w:pPr>
              <w:pStyle w:val="ICFTabletext"/>
              <w:rPr>
                <w:lang w:bidi="ar-SA"/>
              </w:rPr>
            </w:pPr>
            <w:r w:rsidRPr="004C12C9">
              <w:rPr>
                <w:lang w:bidi="ar-SA"/>
              </w:rPr>
              <w:t>Office</w:t>
            </w:r>
          </w:p>
        </w:tc>
        <w:tc>
          <w:tcPr>
            <w:tcW w:w="4860" w:type="dxa"/>
          </w:tcPr>
          <w:p w14:paraId="6924BF0F" w14:textId="3911B309" w:rsidR="00DC0497" w:rsidRPr="004C12C9" w:rsidRDefault="00DC0497" w:rsidP="00DC0497">
            <w:pPr>
              <w:pStyle w:val="ICFTabletext"/>
              <w:rPr>
                <w:lang w:bidi="ar-SA"/>
              </w:rPr>
            </w:pPr>
            <w:r w:rsidRPr="004C12C9">
              <w:rPr>
                <w:lang w:bidi="ar-SA"/>
              </w:rPr>
              <w:t>Other commercial A/C and heat pumps</w:t>
            </w:r>
          </w:p>
        </w:tc>
        <w:tc>
          <w:tcPr>
            <w:tcW w:w="1795" w:type="dxa"/>
            <w:vAlign w:val="center"/>
          </w:tcPr>
          <w:p w14:paraId="0493D1AC" w14:textId="3B37C65B" w:rsidR="00DC0497" w:rsidRPr="004C12C9" w:rsidRDefault="00DC0497" w:rsidP="00DC0497">
            <w:pPr>
              <w:pStyle w:val="ICFTabletext"/>
              <w:jc w:val="center"/>
              <w:rPr>
                <w:lang w:bidi="ar-SA"/>
              </w:rPr>
            </w:pPr>
            <w:r w:rsidRPr="00EA7712">
              <w:rPr>
                <w:lang w:bidi="ar-SA"/>
              </w:rPr>
              <w:t>R-454B</w:t>
            </w:r>
          </w:p>
        </w:tc>
      </w:tr>
      <w:tr w:rsidR="00E32B70" w:rsidRPr="004C12C9" w14:paraId="2B72BEF8" w14:textId="77777777" w:rsidTr="00E32B70">
        <w:trPr>
          <w:trHeight w:val="20"/>
        </w:trPr>
        <w:tc>
          <w:tcPr>
            <w:tcW w:w="1345" w:type="dxa"/>
            <w:noWrap/>
            <w:vAlign w:val="center"/>
          </w:tcPr>
          <w:p w14:paraId="1DDCA38E" w14:textId="4ED38143" w:rsidR="00DC0497" w:rsidRPr="004C12C9" w:rsidRDefault="00DC0497" w:rsidP="00DC0497">
            <w:pPr>
              <w:pStyle w:val="ICFTabletext"/>
              <w:rPr>
                <w:lang w:bidi="ar-SA"/>
              </w:rPr>
            </w:pPr>
            <w:r w:rsidRPr="004C12C9">
              <w:rPr>
                <w:lang w:bidi="ar-SA"/>
              </w:rPr>
              <w:t>Industrial</w:t>
            </w:r>
          </w:p>
        </w:tc>
        <w:tc>
          <w:tcPr>
            <w:tcW w:w="2070" w:type="dxa"/>
            <w:vAlign w:val="center"/>
          </w:tcPr>
          <w:p w14:paraId="347B2F71" w14:textId="22D90E08" w:rsidR="00DC0497" w:rsidRPr="004C12C9" w:rsidRDefault="00DC0497" w:rsidP="00DC0497">
            <w:pPr>
              <w:pStyle w:val="ICFTabletext"/>
              <w:rPr>
                <w:lang w:bidi="ar-SA"/>
              </w:rPr>
            </w:pPr>
            <w:r w:rsidRPr="004C12C9">
              <w:rPr>
                <w:lang w:bidi="ar-SA"/>
              </w:rPr>
              <w:t>Warehouse, Service &amp; Industrial</w:t>
            </w:r>
          </w:p>
        </w:tc>
        <w:tc>
          <w:tcPr>
            <w:tcW w:w="4860" w:type="dxa"/>
            <w:vAlign w:val="center"/>
          </w:tcPr>
          <w:p w14:paraId="74D7C602" w14:textId="0AD79A30" w:rsidR="00DC0497" w:rsidRPr="004C12C9" w:rsidRDefault="00DC0497" w:rsidP="00E32B70">
            <w:pPr>
              <w:pStyle w:val="ICFTabletext"/>
              <w:rPr>
                <w:lang w:bidi="ar-SA"/>
              </w:rPr>
            </w:pPr>
            <w:r w:rsidRPr="004C12C9">
              <w:rPr>
                <w:lang w:bidi="ar-SA"/>
              </w:rPr>
              <w:t>Other commercial A/C and heat pumps</w:t>
            </w:r>
          </w:p>
        </w:tc>
        <w:tc>
          <w:tcPr>
            <w:tcW w:w="1795" w:type="dxa"/>
            <w:vAlign w:val="center"/>
          </w:tcPr>
          <w:p w14:paraId="14D43144" w14:textId="65C15A56" w:rsidR="00DC0497" w:rsidRPr="004C12C9" w:rsidRDefault="00DC0497" w:rsidP="00DC0497">
            <w:pPr>
              <w:pStyle w:val="ICFTabletext"/>
              <w:jc w:val="center"/>
              <w:rPr>
                <w:lang w:bidi="ar-SA"/>
              </w:rPr>
            </w:pPr>
            <w:r w:rsidRPr="00EA7712">
              <w:rPr>
                <w:lang w:bidi="ar-SA"/>
              </w:rPr>
              <w:t>R-454B</w:t>
            </w:r>
          </w:p>
        </w:tc>
      </w:tr>
    </w:tbl>
    <w:p w14:paraId="71C989E1" w14:textId="45B387CF" w:rsidR="007D3356" w:rsidRPr="004C12C9" w:rsidRDefault="007D3356" w:rsidP="00DE5EE9">
      <w:pPr>
        <w:pStyle w:val="TableFooter"/>
      </w:pPr>
      <w:r w:rsidRPr="004C12C9">
        <w:t>Note: The composition of R-404a is 44% HFC-125, 4% HFC-134a, and 52% HFC-143a.</w:t>
      </w:r>
      <w:r w:rsidR="005B0558">
        <w:t xml:space="preserve"> The composition of R-454B </w:t>
      </w:r>
      <w:r w:rsidR="00D7085B">
        <w:t>is 68.9% HFC-32 and 31.1% HFO-1234yf</w:t>
      </w:r>
      <w:r w:rsidR="000E0C95">
        <w:t>.</w:t>
      </w:r>
    </w:p>
    <w:p w14:paraId="02622C0D" w14:textId="22622E80" w:rsidR="007D3356" w:rsidRPr="004C12C9" w:rsidRDefault="007D3356" w:rsidP="00E31E37">
      <w:pPr>
        <w:pStyle w:val="Heading4"/>
      </w:pPr>
      <w:r w:rsidRPr="004C12C9">
        <w:t>Refrigerant Capacity</w:t>
      </w:r>
    </w:p>
    <w:p w14:paraId="1DC252F6" w14:textId="5E531E5F" w:rsidR="009E4577" w:rsidRPr="004C12C9" w:rsidRDefault="009E4577" w:rsidP="00972CF9">
      <w:r w:rsidRPr="004C12C9">
        <w:t xml:space="preserve">The refrigerant capacity for each equipment type in kilograms per thousand square feet </w:t>
      </w:r>
      <w:r w:rsidR="00FF7608" w:rsidRPr="004C12C9">
        <w:t>is</w:t>
      </w:r>
      <w:r w:rsidRPr="004C12C9">
        <w:t xml:space="preserve"> calculated using data obtained from Appendix C of EPA’s HFC Accounting Tool Supporting Documentation, as summarized by building type in </w:t>
      </w:r>
      <w:r w:rsidR="001930C2" w:rsidRPr="004C12C9">
        <w:fldChar w:fldCharType="begin" w:fldLock="1"/>
      </w:r>
      <w:r w:rsidR="001930C2" w:rsidRPr="004C12C9">
        <w:instrText xml:space="preserve"> REF _Ref195529514 \h </w:instrText>
      </w:r>
      <w:r w:rsidR="001930C2" w:rsidRPr="004C12C9">
        <w:fldChar w:fldCharType="separate"/>
      </w:r>
      <w:r w:rsidR="00127094" w:rsidRPr="004C12C9">
        <w:t>Table 3</w:t>
      </w:r>
      <w:r w:rsidR="00127094" w:rsidRPr="004C12C9">
        <w:noBreakHyphen/>
        <w:t>20</w:t>
      </w:r>
      <w:r w:rsidR="001930C2" w:rsidRPr="004C12C9">
        <w:fldChar w:fldCharType="end"/>
      </w:r>
      <w:r w:rsidRPr="004C12C9">
        <w:t xml:space="preserve">. The capacity per square foot </w:t>
      </w:r>
      <w:r w:rsidR="00E51BF0" w:rsidRPr="004C12C9">
        <w:t>is</w:t>
      </w:r>
      <w:r w:rsidRPr="004C12C9">
        <w:t xml:space="preserve"> provided in kilogram</w:t>
      </w:r>
      <w:r w:rsidR="00813A13" w:rsidRPr="004C12C9">
        <w:t>s/</w:t>
      </w:r>
      <w:r w:rsidRPr="004C12C9">
        <w:t xml:space="preserve">square foot for some equipment types. For equipment types where the capacity was not provided, the capacity </w:t>
      </w:r>
      <w:r w:rsidR="00E51BF0" w:rsidRPr="004C12C9">
        <w:t>is</w:t>
      </w:r>
      <w:r w:rsidRPr="004C12C9">
        <w:t xml:space="preserve"> calculated by multiplying the units per thousand square feet by the refrigerant charge size per unit.</w:t>
      </w:r>
    </w:p>
    <w:p w14:paraId="42F577B1" w14:textId="6F1BDF17" w:rsidR="009E4577" w:rsidRPr="004C12C9" w:rsidRDefault="009E4577" w:rsidP="00972CF9">
      <w:pPr>
        <w:pStyle w:val="Caption"/>
      </w:pPr>
      <w:bookmarkStart w:id="192" w:name="_Ref189055595"/>
      <w:bookmarkStart w:id="193" w:name="_Ref195529514"/>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20</w:t>
      </w:r>
      <w:r w:rsidR="00F72B41">
        <w:fldChar w:fldCharType="end"/>
      </w:r>
      <w:bookmarkEnd w:id="192"/>
      <w:bookmarkEnd w:id="193"/>
      <w:r w:rsidRPr="004C12C9">
        <w:t>. Refrigerant Capacity by Building and Equipment Type</w:t>
      </w:r>
    </w:p>
    <w:tbl>
      <w:tblPr>
        <w:tblW w:w="496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52"/>
        <w:gridCol w:w="3078"/>
        <w:gridCol w:w="1386"/>
        <w:gridCol w:w="1322"/>
        <w:gridCol w:w="1386"/>
        <w:gridCol w:w="1384"/>
      </w:tblGrid>
      <w:tr w:rsidR="008C7E05" w:rsidRPr="004C12C9" w14:paraId="7E162C64" w14:textId="186ED3FC" w:rsidTr="00726C18">
        <w:trPr>
          <w:trHeight w:val="367"/>
          <w:tblHeader/>
        </w:trPr>
        <w:tc>
          <w:tcPr>
            <w:tcW w:w="672" w:type="pct"/>
            <w:shd w:val="clear" w:color="auto" w:fill="D9D9D9" w:themeFill="background1" w:themeFillShade="D9"/>
            <w:noWrap/>
            <w:vAlign w:val="center"/>
            <w:hideMark/>
          </w:tcPr>
          <w:p w14:paraId="4E6E30FC" w14:textId="77777777" w:rsidR="008C7E05" w:rsidRPr="004C12C9" w:rsidRDefault="008C7E05" w:rsidP="00850F7A">
            <w:pPr>
              <w:pStyle w:val="ICFTableHeading"/>
              <w:keepNext/>
              <w:rPr>
                <w:lang w:bidi="ar-SA"/>
              </w:rPr>
            </w:pPr>
            <w:r w:rsidRPr="004C12C9">
              <w:rPr>
                <w:lang w:bidi="ar-SA"/>
              </w:rPr>
              <w:t>Building Type</w:t>
            </w:r>
          </w:p>
        </w:tc>
        <w:tc>
          <w:tcPr>
            <w:tcW w:w="1549" w:type="pct"/>
            <w:shd w:val="clear" w:color="auto" w:fill="D9D9D9" w:themeFill="background1" w:themeFillShade="D9"/>
            <w:vAlign w:val="center"/>
          </w:tcPr>
          <w:p w14:paraId="3D30A71A" w14:textId="77777777" w:rsidR="008C7E05" w:rsidRPr="004C12C9" w:rsidRDefault="008C7E05" w:rsidP="00850F7A">
            <w:pPr>
              <w:pStyle w:val="ICFTableHeading"/>
              <w:keepNext/>
              <w:rPr>
                <w:lang w:bidi="ar-SA"/>
              </w:rPr>
            </w:pPr>
            <w:r w:rsidRPr="004C12C9">
              <w:rPr>
                <w:lang w:bidi="ar-SA"/>
              </w:rPr>
              <w:t>Equipment Type</w:t>
            </w:r>
          </w:p>
        </w:tc>
        <w:tc>
          <w:tcPr>
            <w:tcW w:w="703" w:type="pct"/>
            <w:shd w:val="clear" w:color="auto" w:fill="D9D9D9" w:themeFill="background1" w:themeFillShade="D9"/>
            <w:vAlign w:val="center"/>
          </w:tcPr>
          <w:p w14:paraId="0E877813" w14:textId="44937067" w:rsidR="008C7E05" w:rsidRPr="004C12C9" w:rsidRDefault="008C7E05" w:rsidP="00850F7A">
            <w:pPr>
              <w:pStyle w:val="ICFTableHeading"/>
              <w:keepNext/>
              <w:tabs>
                <w:tab w:val="left" w:pos="183"/>
              </w:tabs>
              <w:rPr>
                <w:lang w:bidi="ar-SA"/>
              </w:rPr>
            </w:pPr>
            <w:r w:rsidRPr="004C12C9">
              <w:rPr>
                <w:lang w:bidi="ar-SA"/>
              </w:rPr>
              <w:t>Refrigerant Charge Size per Unit (kg)</w:t>
            </w:r>
          </w:p>
        </w:tc>
        <w:tc>
          <w:tcPr>
            <w:tcW w:w="671" w:type="pct"/>
            <w:shd w:val="clear" w:color="auto" w:fill="D9D9D9" w:themeFill="background1" w:themeFillShade="D9"/>
            <w:vAlign w:val="center"/>
          </w:tcPr>
          <w:p w14:paraId="48FD6BBF" w14:textId="538F9D8D" w:rsidR="008C7E05" w:rsidRPr="004C12C9" w:rsidRDefault="008C7E05" w:rsidP="00850F7A">
            <w:pPr>
              <w:pStyle w:val="ICFTableHeading"/>
              <w:keepNext/>
              <w:tabs>
                <w:tab w:val="left" w:pos="183"/>
              </w:tabs>
              <w:rPr>
                <w:lang w:bidi="ar-SA"/>
              </w:rPr>
            </w:pPr>
            <w:r w:rsidRPr="004C12C9">
              <w:rPr>
                <w:lang w:bidi="ar-SA"/>
              </w:rPr>
              <w:t>Units per 1</w:t>
            </w:r>
            <w:r w:rsidR="000C25A2" w:rsidRPr="004C12C9">
              <w:rPr>
                <w:lang w:bidi="ar-SA"/>
              </w:rPr>
              <w:t>,</w:t>
            </w:r>
            <w:r w:rsidRPr="004C12C9">
              <w:rPr>
                <w:lang w:bidi="ar-SA"/>
              </w:rPr>
              <w:t>000 Square Feet</w:t>
            </w:r>
          </w:p>
        </w:tc>
        <w:tc>
          <w:tcPr>
            <w:tcW w:w="703" w:type="pct"/>
            <w:shd w:val="clear" w:color="auto" w:fill="D9D9D9" w:themeFill="background1" w:themeFillShade="D9"/>
            <w:vAlign w:val="center"/>
          </w:tcPr>
          <w:p w14:paraId="18A093E0" w14:textId="75695346" w:rsidR="008C7E05" w:rsidRPr="004C12C9" w:rsidRDefault="008C7E05" w:rsidP="00850F7A">
            <w:pPr>
              <w:pStyle w:val="ICFTableHeading"/>
              <w:keepNext/>
              <w:tabs>
                <w:tab w:val="left" w:pos="183"/>
              </w:tabs>
              <w:rPr>
                <w:lang w:bidi="ar-SA"/>
              </w:rPr>
            </w:pPr>
            <w:r w:rsidRPr="004C12C9">
              <w:rPr>
                <w:lang w:bidi="ar-SA"/>
              </w:rPr>
              <w:t>Refrigerant Capacity (kg/</w:t>
            </w:r>
            <w:r w:rsidR="000C25A2" w:rsidRPr="004C12C9">
              <w:rPr>
                <w:lang w:bidi="ar-SA"/>
              </w:rPr>
              <w:t xml:space="preserve">sq </w:t>
            </w:r>
            <w:r w:rsidRPr="004C12C9">
              <w:rPr>
                <w:lang w:bidi="ar-SA"/>
              </w:rPr>
              <w:t>ft)</w:t>
            </w:r>
          </w:p>
        </w:tc>
        <w:tc>
          <w:tcPr>
            <w:tcW w:w="702" w:type="pct"/>
            <w:shd w:val="clear" w:color="auto" w:fill="D9D9D9" w:themeFill="background1" w:themeFillShade="D9"/>
            <w:vAlign w:val="center"/>
          </w:tcPr>
          <w:p w14:paraId="6EC72045" w14:textId="64ACADC5" w:rsidR="008C7E05" w:rsidRPr="004C12C9" w:rsidRDefault="008C7E05" w:rsidP="00850F7A">
            <w:pPr>
              <w:pStyle w:val="ICFTableHeading"/>
              <w:keepNext/>
              <w:tabs>
                <w:tab w:val="left" w:pos="183"/>
              </w:tabs>
              <w:rPr>
                <w:lang w:bidi="ar-SA"/>
              </w:rPr>
            </w:pPr>
            <w:r w:rsidRPr="004C12C9">
              <w:rPr>
                <w:lang w:bidi="ar-SA"/>
              </w:rPr>
              <w:t>Refrigerant Capacity (kg/1</w:t>
            </w:r>
            <w:r w:rsidR="000C25A2" w:rsidRPr="004C12C9">
              <w:rPr>
                <w:lang w:bidi="ar-SA"/>
              </w:rPr>
              <w:t>,</w:t>
            </w:r>
            <w:r w:rsidRPr="004C12C9">
              <w:rPr>
                <w:lang w:bidi="ar-SA"/>
              </w:rPr>
              <w:t>000 sq ft)</w:t>
            </w:r>
          </w:p>
        </w:tc>
      </w:tr>
      <w:tr w:rsidR="008C7E05" w:rsidRPr="004C12C9" w14:paraId="1835AE0B" w14:textId="15A62B7C" w:rsidTr="00726C18">
        <w:trPr>
          <w:trHeight w:val="20"/>
        </w:trPr>
        <w:tc>
          <w:tcPr>
            <w:tcW w:w="672" w:type="pct"/>
            <w:noWrap/>
            <w:vAlign w:val="center"/>
          </w:tcPr>
          <w:p w14:paraId="243DA49D" w14:textId="31D401F8" w:rsidR="008C7E05" w:rsidRPr="004C12C9" w:rsidRDefault="0042613A">
            <w:pPr>
              <w:pStyle w:val="ICFTabletext"/>
              <w:rPr>
                <w:lang w:bidi="ar-SA"/>
              </w:rPr>
            </w:pPr>
            <w:r w:rsidRPr="004C12C9">
              <w:rPr>
                <w:lang w:bidi="ar-SA"/>
              </w:rPr>
              <w:t>Residential</w:t>
            </w:r>
          </w:p>
        </w:tc>
        <w:tc>
          <w:tcPr>
            <w:tcW w:w="1549" w:type="pct"/>
          </w:tcPr>
          <w:p w14:paraId="2D226973" w14:textId="3A476ECA" w:rsidR="008C7E05" w:rsidRPr="004C12C9" w:rsidRDefault="008C7E05">
            <w:pPr>
              <w:pStyle w:val="ICFTabletext"/>
              <w:rPr>
                <w:lang w:bidi="ar-SA"/>
              </w:rPr>
            </w:pPr>
            <w:r w:rsidRPr="004C12C9">
              <w:rPr>
                <w:lang w:bidi="ar-SA"/>
              </w:rPr>
              <w:t xml:space="preserve">Average </w:t>
            </w:r>
            <w:r w:rsidR="000C25A2" w:rsidRPr="004C12C9">
              <w:rPr>
                <w:lang w:bidi="ar-SA"/>
              </w:rPr>
              <w:t>r</w:t>
            </w:r>
            <w:r w:rsidR="00C7325C" w:rsidRPr="004C12C9">
              <w:rPr>
                <w:lang w:bidi="ar-SA"/>
              </w:rPr>
              <w:t>oom</w:t>
            </w:r>
            <w:r w:rsidRPr="004C12C9">
              <w:rPr>
                <w:lang w:bidi="ar-SA"/>
              </w:rPr>
              <w:t xml:space="preserve"> A/C &amp; </w:t>
            </w:r>
            <w:r w:rsidR="000C25A2" w:rsidRPr="004C12C9">
              <w:rPr>
                <w:lang w:bidi="ar-SA"/>
              </w:rPr>
              <w:t>o</w:t>
            </w:r>
            <w:r w:rsidR="00C7325C" w:rsidRPr="004C12C9">
              <w:rPr>
                <w:lang w:bidi="ar-SA"/>
              </w:rPr>
              <w:t>ther</w:t>
            </w:r>
            <w:r w:rsidRPr="004C12C9">
              <w:rPr>
                <w:lang w:bidi="ar-SA"/>
              </w:rPr>
              <w:t xml:space="preserve"> residential A/C and heat pumps</w:t>
            </w:r>
          </w:p>
        </w:tc>
        <w:tc>
          <w:tcPr>
            <w:tcW w:w="703" w:type="pct"/>
            <w:vAlign w:val="center"/>
          </w:tcPr>
          <w:p w14:paraId="1C3429D6" w14:textId="0BBF7E13" w:rsidR="008C7E05" w:rsidRPr="004C12C9" w:rsidRDefault="00C7325C" w:rsidP="00F24306">
            <w:pPr>
              <w:pStyle w:val="ICFTabletext"/>
              <w:jc w:val="center"/>
              <w:rPr>
                <w:lang w:bidi="ar-SA"/>
              </w:rPr>
            </w:pPr>
            <w:r w:rsidRPr="004C12C9">
              <w:t>2.75</w:t>
            </w:r>
          </w:p>
        </w:tc>
        <w:tc>
          <w:tcPr>
            <w:tcW w:w="671" w:type="pct"/>
            <w:vAlign w:val="center"/>
          </w:tcPr>
          <w:p w14:paraId="534DDBDA" w14:textId="4C5462F0" w:rsidR="008C7E05" w:rsidRPr="004C12C9" w:rsidRDefault="00C7325C" w:rsidP="00F24306">
            <w:pPr>
              <w:pStyle w:val="ICFTabletext"/>
              <w:jc w:val="center"/>
              <w:rPr>
                <w:lang w:bidi="ar-SA"/>
              </w:rPr>
            </w:pPr>
            <w:r w:rsidRPr="004C12C9">
              <w:t>NA</w:t>
            </w:r>
          </w:p>
        </w:tc>
        <w:tc>
          <w:tcPr>
            <w:tcW w:w="703" w:type="pct"/>
            <w:vAlign w:val="center"/>
          </w:tcPr>
          <w:p w14:paraId="4FB9FBE1" w14:textId="5C646854" w:rsidR="008C7E05" w:rsidRPr="004C12C9" w:rsidRDefault="00C7325C" w:rsidP="00F24306">
            <w:pPr>
              <w:pStyle w:val="ICFTabletext"/>
              <w:jc w:val="center"/>
              <w:rPr>
                <w:lang w:bidi="ar-SA"/>
              </w:rPr>
            </w:pPr>
            <w:r w:rsidRPr="004C12C9">
              <w:t>0.00225</w:t>
            </w:r>
          </w:p>
        </w:tc>
        <w:tc>
          <w:tcPr>
            <w:tcW w:w="702" w:type="pct"/>
            <w:shd w:val="clear" w:color="auto" w:fill="FFFFFF" w:themeFill="background1"/>
            <w:vAlign w:val="center"/>
          </w:tcPr>
          <w:p w14:paraId="22DEF456" w14:textId="20443D0B" w:rsidR="008C7E05" w:rsidRPr="004C12C9" w:rsidRDefault="00C7325C" w:rsidP="00F24306">
            <w:pPr>
              <w:pStyle w:val="ICFTabletext"/>
              <w:jc w:val="center"/>
              <w:rPr>
                <w:lang w:bidi="ar-SA"/>
              </w:rPr>
            </w:pPr>
            <w:r w:rsidRPr="004C12C9">
              <w:t>2.25</w:t>
            </w:r>
            <w:r w:rsidR="00197103" w:rsidRPr="004C12C9">
              <w:t>00</w:t>
            </w:r>
          </w:p>
        </w:tc>
      </w:tr>
      <w:tr w:rsidR="0042613A" w:rsidRPr="004C12C9" w14:paraId="2A57B65C" w14:textId="38B3BAE7" w:rsidTr="00726C18">
        <w:trPr>
          <w:trHeight w:val="20"/>
        </w:trPr>
        <w:tc>
          <w:tcPr>
            <w:tcW w:w="672" w:type="pct"/>
            <w:vMerge w:val="restart"/>
            <w:noWrap/>
            <w:vAlign w:val="center"/>
          </w:tcPr>
          <w:p w14:paraId="37986FAB" w14:textId="1ADE40BC" w:rsidR="0042613A" w:rsidRPr="004C12C9" w:rsidRDefault="0042613A">
            <w:pPr>
              <w:pStyle w:val="ICFTabletext"/>
              <w:rPr>
                <w:lang w:bidi="ar-SA"/>
              </w:rPr>
            </w:pPr>
            <w:r w:rsidRPr="004C12C9">
              <w:rPr>
                <w:lang w:bidi="ar-SA"/>
              </w:rPr>
              <w:t>Institutional</w:t>
            </w:r>
          </w:p>
        </w:tc>
        <w:tc>
          <w:tcPr>
            <w:tcW w:w="1549" w:type="pct"/>
          </w:tcPr>
          <w:p w14:paraId="2DAA4339" w14:textId="39027304" w:rsidR="0042613A" w:rsidRPr="004C12C9" w:rsidRDefault="0042613A">
            <w:pPr>
              <w:pStyle w:val="ICFTabletext"/>
              <w:rPr>
                <w:lang w:bidi="ar-SA"/>
              </w:rPr>
            </w:pPr>
            <w:r w:rsidRPr="004C12C9">
              <w:rPr>
                <w:lang w:bidi="ar-SA"/>
              </w:rPr>
              <w:t>Walk-in refrigerators and freezers</w:t>
            </w:r>
          </w:p>
        </w:tc>
        <w:tc>
          <w:tcPr>
            <w:tcW w:w="703" w:type="pct"/>
            <w:vAlign w:val="center"/>
          </w:tcPr>
          <w:p w14:paraId="77E1BE8A" w14:textId="597719ED" w:rsidR="0042613A" w:rsidRPr="004C12C9" w:rsidRDefault="0042613A" w:rsidP="00F24306">
            <w:pPr>
              <w:pStyle w:val="ICFTabletext"/>
              <w:jc w:val="center"/>
              <w:rPr>
                <w:lang w:bidi="ar-SA"/>
              </w:rPr>
            </w:pPr>
            <w:r w:rsidRPr="004C12C9">
              <w:t>10.00</w:t>
            </w:r>
          </w:p>
        </w:tc>
        <w:tc>
          <w:tcPr>
            <w:tcW w:w="671" w:type="pct"/>
            <w:vAlign w:val="center"/>
          </w:tcPr>
          <w:p w14:paraId="778DE2D1" w14:textId="7F7FCCD2" w:rsidR="0042613A" w:rsidRPr="004C12C9" w:rsidRDefault="0042613A" w:rsidP="00F24306">
            <w:pPr>
              <w:pStyle w:val="ICFTabletext"/>
              <w:jc w:val="center"/>
              <w:rPr>
                <w:lang w:bidi="ar-SA"/>
              </w:rPr>
            </w:pPr>
            <w:r w:rsidRPr="004C12C9">
              <w:t>0.040</w:t>
            </w:r>
          </w:p>
        </w:tc>
        <w:tc>
          <w:tcPr>
            <w:tcW w:w="703" w:type="pct"/>
            <w:vAlign w:val="center"/>
          </w:tcPr>
          <w:p w14:paraId="5E26F00C" w14:textId="64E18AF9" w:rsidR="0042613A" w:rsidRPr="004C12C9" w:rsidRDefault="0042613A" w:rsidP="00F24306">
            <w:pPr>
              <w:pStyle w:val="ICFTabletext"/>
              <w:jc w:val="center"/>
              <w:rPr>
                <w:lang w:bidi="ar-SA"/>
              </w:rPr>
            </w:pPr>
            <w:r w:rsidRPr="004C12C9">
              <w:t>NA</w:t>
            </w:r>
          </w:p>
        </w:tc>
        <w:tc>
          <w:tcPr>
            <w:tcW w:w="702" w:type="pct"/>
            <w:shd w:val="clear" w:color="auto" w:fill="FFFFFF" w:themeFill="background1"/>
            <w:vAlign w:val="center"/>
          </w:tcPr>
          <w:p w14:paraId="6215F992" w14:textId="4AF44472" w:rsidR="0042613A" w:rsidRPr="004C12C9" w:rsidRDefault="0042613A" w:rsidP="00F24306">
            <w:pPr>
              <w:pStyle w:val="ICFTabletext"/>
              <w:jc w:val="center"/>
              <w:rPr>
                <w:lang w:bidi="ar-SA"/>
              </w:rPr>
            </w:pPr>
            <w:r w:rsidRPr="004C12C9">
              <w:t>0.4000</w:t>
            </w:r>
          </w:p>
        </w:tc>
      </w:tr>
      <w:tr w:rsidR="0042613A" w:rsidRPr="004C12C9" w14:paraId="32719CF4" w14:textId="77777777" w:rsidTr="00726C18">
        <w:trPr>
          <w:trHeight w:val="20"/>
        </w:trPr>
        <w:tc>
          <w:tcPr>
            <w:tcW w:w="672" w:type="pct"/>
            <w:vMerge/>
            <w:noWrap/>
            <w:vAlign w:val="center"/>
          </w:tcPr>
          <w:p w14:paraId="0445F7D7" w14:textId="77777777" w:rsidR="0042613A" w:rsidRPr="004C12C9" w:rsidRDefault="0042613A">
            <w:pPr>
              <w:pStyle w:val="ICFTabletext"/>
              <w:rPr>
                <w:lang w:bidi="ar-SA"/>
              </w:rPr>
            </w:pPr>
          </w:p>
        </w:tc>
        <w:tc>
          <w:tcPr>
            <w:tcW w:w="1549" w:type="pct"/>
          </w:tcPr>
          <w:p w14:paraId="0B41A4C9" w14:textId="08132DCE" w:rsidR="0042613A" w:rsidRPr="004C12C9" w:rsidRDefault="0042613A">
            <w:pPr>
              <w:pStyle w:val="ICFTabletext"/>
              <w:rPr>
                <w:lang w:bidi="ar-SA"/>
              </w:rPr>
            </w:pPr>
            <w:r>
              <w:rPr>
                <w:lang w:bidi="ar-SA"/>
              </w:rPr>
              <w:t>Other commercial A/C and heat pumps</w:t>
            </w:r>
          </w:p>
        </w:tc>
        <w:tc>
          <w:tcPr>
            <w:tcW w:w="703" w:type="pct"/>
            <w:vAlign w:val="center"/>
          </w:tcPr>
          <w:p w14:paraId="705B76E7" w14:textId="4D6DADB7" w:rsidR="0042613A" w:rsidRPr="004C12C9" w:rsidRDefault="0042613A" w:rsidP="00F24306">
            <w:pPr>
              <w:pStyle w:val="ICFTabletext"/>
              <w:jc w:val="center"/>
            </w:pPr>
            <w:r>
              <w:t>13.00</w:t>
            </w:r>
          </w:p>
        </w:tc>
        <w:tc>
          <w:tcPr>
            <w:tcW w:w="671" w:type="pct"/>
            <w:vAlign w:val="center"/>
          </w:tcPr>
          <w:p w14:paraId="7FED6B7C" w14:textId="14984109" w:rsidR="0042613A" w:rsidRPr="004C12C9" w:rsidRDefault="0042613A" w:rsidP="00F24306">
            <w:pPr>
              <w:pStyle w:val="ICFTabletext"/>
              <w:jc w:val="center"/>
            </w:pPr>
            <w:r>
              <w:t>NA</w:t>
            </w:r>
          </w:p>
        </w:tc>
        <w:tc>
          <w:tcPr>
            <w:tcW w:w="703" w:type="pct"/>
            <w:vAlign w:val="center"/>
          </w:tcPr>
          <w:p w14:paraId="52415FB8" w14:textId="6B05344C" w:rsidR="0042613A" w:rsidRPr="004C12C9" w:rsidRDefault="0042613A" w:rsidP="00F24306">
            <w:pPr>
              <w:pStyle w:val="ICFTabletext"/>
              <w:jc w:val="center"/>
            </w:pPr>
            <w:r>
              <w:t>0.00180</w:t>
            </w:r>
          </w:p>
        </w:tc>
        <w:tc>
          <w:tcPr>
            <w:tcW w:w="702" w:type="pct"/>
            <w:shd w:val="clear" w:color="auto" w:fill="FFFFFF" w:themeFill="background1"/>
            <w:vAlign w:val="center"/>
          </w:tcPr>
          <w:p w14:paraId="3101F06F" w14:textId="4643E4E8" w:rsidR="0042613A" w:rsidRPr="004C12C9" w:rsidRDefault="0042613A" w:rsidP="00F24306">
            <w:pPr>
              <w:pStyle w:val="ICFTabletext"/>
              <w:jc w:val="center"/>
            </w:pPr>
            <w:r>
              <w:t>1.8000</w:t>
            </w:r>
          </w:p>
        </w:tc>
      </w:tr>
      <w:tr w:rsidR="008C7E05" w:rsidRPr="004C12C9" w14:paraId="3936C8CC" w14:textId="28C8F5D6" w:rsidTr="00726C18">
        <w:trPr>
          <w:trHeight w:val="20"/>
        </w:trPr>
        <w:tc>
          <w:tcPr>
            <w:tcW w:w="672" w:type="pct"/>
            <w:noWrap/>
            <w:vAlign w:val="center"/>
          </w:tcPr>
          <w:p w14:paraId="7461386A" w14:textId="13CE5914" w:rsidR="008C7E05" w:rsidRPr="004C12C9" w:rsidRDefault="0042613A">
            <w:pPr>
              <w:pStyle w:val="ICFTabletext"/>
              <w:rPr>
                <w:lang w:bidi="ar-SA"/>
              </w:rPr>
            </w:pPr>
            <w:r w:rsidRPr="004C12C9">
              <w:rPr>
                <w:lang w:bidi="ar-SA"/>
              </w:rPr>
              <w:t>Commercial</w:t>
            </w:r>
          </w:p>
        </w:tc>
        <w:tc>
          <w:tcPr>
            <w:tcW w:w="1549" w:type="pct"/>
          </w:tcPr>
          <w:p w14:paraId="2BDC7581" w14:textId="0C81FCDA" w:rsidR="008C7E05" w:rsidRPr="004C12C9" w:rsidRDefault="008C7E05">
            <w:pPr>
              <w:pStyle w:val="ICFTabletext"/>
              <w:rPr>
                <w:lang w:bidi="ar-SA"/>
              </w:rPr>
            </w:pPr>
            <w:r w:rsidRPr="004C12C9">
              <w:rPr>
                <w:lang w:bidi="ar-SA"/>
              </w:rPr>
              <w:t>Other commercial A/C and heat pumps</w:t>
            </w:r>
          </w:p>
        </w:tc>
        <w:tc>
          <w:tcPr>
            <w:tcW w:w="703" w:type="pct"/>
            <w:vAlign w:val="center"/>
          </w:tcPr>
          <w:p w14:paraId="4394A97C" w14:textId="4B1486F0" w:rsidR="008C7E05" w:rsidRPr="004C12C9" w:rsidRDefault="00C7325C" w:rsidP="00F24306">
            <w:pPr>
              <w:pStyle w:val="ICFTabletext"/>
              <w:jc w:val="center"/>
              <w:rPr>
                <w:lang w:bidi="ar-SA"/>
              </w:rPr>
            </w:pPr>
            <w:r w:rsidRPr="004C12C9">
              <w:t>13</w:t>
            </w:r>
            <w:r w:rsidR="007E6A95" w:rsidRPr="004C12C9">
              <w:t>.00</w:t>
            </w:r>
          </w:p>
        </w:tc>
        <w:tc>
          <w:tcPr>
            <w:tcW w:w="671" w:type="pct"/>
            <w:vAlign w:val="center"/>
          </w:tcPr>
          <w:p w14:paraId="7B0ADB15" w14:textId="6D7D74A8" w:rsidR="008C7E05" w:rsidRPr="004C12C9" w:rsidRDefault="00C7325C" w:rsidP="00F24306">
            <w:pPr>
              <w:pStyle w:val="ICFTabletext"/>
              <w:jc w:val="center"/>
              <w:rPr>
                <w:lang w:bidi="ar-SA"/>
              </w:rPr>
            </w:pPr>
            <w:r w:rsidRPr="004C12C9">
              <w:t>NA</w:t>
            </w:r>
          </w:p>
        </w:tc>
        <w:tc>
          <w:tcPr>
            <w:tcW w:w="703" w:type="pct"/>
            <w:vAlign w:val="center"/>
          </w:tcPr>
          <w:p w14:paraId="1D978D4F" w14:textId="7163B6AC" w:rsidR="008C7E05" w:rsidRPr="004C12C9" w:rsidRDefault="00C7325C" w:rsidP="00F24306">
            <w:pPr>
              <w:pStyle w:val="ICFTabletext"/>
              <w:jc w:val="center"/>
              <w:rPr>
                <w:lang w:bidi="ar-SA"/>
              </w:rPr>
            </w:pPr>
            <w:r w:rsidRPr="004C12C9">
              <w:t>0.0018</w:t>
            </w:r>
            <w:r w:rsidR="00443E5B" w:rsidRPr="004C12C9">
              <w:t>0</w:t>
            </w:r>
          </w:p>
        </w:tc>
        <w:tc>
          <w:tcPr>
            <w:tcW w:w="702" w:type="pct"/>
            <w:shd w:val="clear" w:color="auto" w:fill="FFFFFF" w:themeFill="background1"/>
            <w:vAlign w:val="center"/>
          </w:tcPr>
          <w:p w14:paraId="408BD042" w14:textId="54846E3B" w:rsidR="008C7E05" w:rsidRPr="004C12C9" w:rsidRDefault="00C7325C" w:rsidP="00F24306">
            <w:pPr>
              <w:pStyle w:val="ICFTabletext"/>
              <w:jc w:val="center"/>
              <w:rPr>
                <w:lang w:bidi="ar-SA"/>
              </w:rPr>
            </w:pPr>
            <w:r w:rsidRPr="004C12C9">
              <w:t>1.8</w:t>
            </w:r>
            <w:r w:rsidR="001414C5" w:rsidRPr="004C12C9">
              <w:t>0</w:t>
            </w:r>
            <w:r w:rsidR="00197103" w:rsidRPr="004C12C9">
              <w:t>00</w:t>
            </w:r>
          </w:p>
        </w:tc>
      </w:tr>
      <w:tr w:rsidR="008C7E05" w:rsidRPr="004C12C9" w14:paraId="64E42F81" w14:textId="05DDD5DE" w:rsidTr="00726C18">
        <w:trPr>
          <w:trHeight w:val="20"/>
        </w:trPr>
        <w:tc>
          <w:tcPr>
            <w:tcW w:w="672" w:type="pct"/>
            <w:noWrap/>
            <w:vAlign w:val="center"/>
          </w:tcPr>
          <w:p w14:paraId="05C21048" w14:textId="77777777" w:rsidR="008C7E05" w:rsidRPr="004C12C9" w:rsidRDefault="008C7E05">
            <w:pPr>
              <w:pStyle w:val="ICFTabletext"/>
              <w:rPr>
                <w:lang w:bidi="ar-SA"/>
              </w:rPr>
            </w:pPr>
            <w:r w:rsidRPr="004C12C9">
              <w:rPr>
                <w:lang w:bidi="ar-SA"/>
              </w:rPr>
              <w:t>Industrial</w:t>
            </w:r>
          </w:p>
        </w:tc>
        <w:tc>
          <w:tcPr>
            <w:tcW w:w="1549" w:type="pct"/>
          </w:tcPr>
          <w:p w14:paraId="29C35907" w14:textId="71CDF5E8" w:rsidR="008C7E05" w:rsidRPr="004C12C9" w:rsidRDefault="008C7E05">
            <w:pPr>
              <w:pStyle w:val="ICFTabletext"/>
              <w:rPr>
                <w:lang w:bidi="ar-SA"/>
              </w:rPr>
            </w:pPr>
            <w:r w:rsidRPr="004C12C9">
              <w:rPr>
                <w:lang w:bidi="ar-SA"/>
              </w:rPr>
              <w:t>Other commercial A/C and heat pumps</w:t>
            </w:r>
          </w:p>
        </w:tc>
        <w:tc>
          <w:tcPr>
            <w:tcW w:w="703" w:type="pct"/>
            <w:vAlign w:val="center"/>
          </w:tcPr>
          <w:p w14:paraId="463B1D69" w14:textId="2E1204E3" w:rsidR="008C7E05" w:rsidRPr="004C12C9" w:rsidRDefault="00C7325C" w:rsidP="00F24306">
            <w:pPr>
              <w:pStyle w:val="ICFTabletext"/>
              <w:jc w:val="center"/>
              <w:rPr>
                <w:lang w:bidi="ar-SA"/>
              </w:rPr>
            </w:pPr>
            <w:r w:rsidRPr="004C12C9">
              <w:t>13.00</w:t>
            </w:r>
          </w:p>
        </w:tc>
        <w:tc>
          <w:tcPr>
            <w:tcW w:w="671" w:type="pct"/>
            <w:vAlign w:val="center"/>
          </w:tcPr>
          <w:p w14:paraId="66A7144B" w14:textId="04523A41" w:rsidR="008C7E05" w:rsidRPr="004C12C9" w:rsidRDefault="00C7325C" w:rsidP="00F24306">
            <w:pPr>
              <w:pStyle w:val="ICFTabletext"/>
              <w:jc w:val="center"/>
              <w:rPr>
                <w:lang w:bidi="ar-SA"/>
              </w:rPr>
            </w:pPr>
            <w:r w:rsidRPr="004C12C9">
              <w:t>NA</w:t>
            </w:r>
          </w:p>
        </w:tc>
        <w:tc>
          <w:tcPr>
            <w:tcW w:w="703" w:type="pct"/>
            <w:vAlign w:val="center"/>
          </w:tcPr>
          <w:p w14:paraId="35F1A9DC" w14:textId="58C3FA3C" w:rsidR="008C7E05" w:rsidRPr="004C12C9" w:rsidRDefault="00C7325C" w:rsidP="00F24306">
            <w:pPr>
              <w:pStyle w:val="ICFTabletext"/>
              <w:jc w:val="center"/>
              <w:rPr>
                <w:lang w:bidi="ar-SA"/>
              </w:rPr>
            </w:pPr>
            <w:r w:rsidRPr="004C12C9">
              <w:t>0.0003</w:t>
            </w:r>
            <w:r w:rsidR="00443E5B" w:rsidRPr="004C12C9">
              <w:t>0</w:t>
            </w:r>
          </w:p>
        </w:tc>
        <w:tc>
          <w:tcPr>
            <w:tcW w:w="702" w:type="pct"/>
            <w:shd w:val="clear" w:color="auto" w:fill="FFFFFF" w:themeFill="background1"/>
            <w:vAlign w:val="center"/>
          </w:tcPr>
          <w:p w14:paraId="2A6265DD" w14:textId="5D7A7995" w:rsidR="008C7E05" w:rsidRPr="004C12C9" w:rsidRDefault="00C7325C" w:rsidP="00F24306">
            <w:pPr>
              <w:pStyle w:val="ICFTabletext"/>
              <w:jc w:val="center"/>
              <w:rPr>
                <w:lang w:bidi="ar-SA"/>
              </w:rPr>
            </w:pPr>
            <w:r w:rsidRPr="004C12C9">
              <w:t>0.3</w:t>
            </w:r>
            <w:r w:rsidR="001414C5" w:rsidRPr="004C12C9">
              <w:t>0</w:t>
            </w:r>
            <w:r w:rsidR="00197103" w:rsidRPr="004C12C9">
              <w:t>00</w:t>
            </w:r>
          </w:p>
        </w:tc>
      </w:tr>
    </w:tbl>
    <w:p w14:paraId="38D30F32" w14:textId="77777777" w:rsidR="009E4577" w:rsidRPr="004C12C9" w:rsidRDefault="009E4577" w:rsidP="00E31E37">
      <w:pPr>
        <w:pStyle w:val="Heading4"/>
      </w:pPr>
      <w:r w:rsidRPr="004C12C9">
        <w:t>Leak Rate</w:t>
      </w:r>
    </w:p>
    <w:p w14:paraId="6ABD6300" w14:textId="1D96C02D" w:rsidR="00A91ED8" w:rsidRPr="004C12C9" w:rsidRDefault="00A91ED8" w:rsidP="00972CF9">
      <w:r w:rsidRPr="004C12C9">
        <w:t xml:space="preserve">The annualized leak rate by equipment type </w:t>
      </w:r>
      <w:r w:rsidR="008D26CA" w:rsidRPr="004C12C9">
        <w:t>is</w:t>
      </w:r>
      <w:r w:rsidRPr="004C12C9">
        <w:t xml:space="preserve"> calculated based on assumptions regarding the installation emissions rate, the operating emissions rate, the percent of refrigerant remaining at disposal, the recovery efficiency, and the equipment lifetime, as obtained from Table 3-3 and Table 3-6 in EPA’s HFC Accounting Tool Supporting Documentation, and shown in </w:t>
      </w:r>
      <w:r w:rsidRPr="004C12C9">
        <w:fldChar w:fldCharType="begin" w:fldLock="1"/>
      </w:r>
      <w:r w:rsidRPr="004C12C9">
        <w:instrText xml:space="preserve"> REF _Ref189061615 \h </w:instrText>
      </w:r>
      <w:r w:rsidRPr="004C12C9">
        <w:fldChar w:fldCharType="separate"/>
      </w:r>
      <w:r w:rsidR="00127094" w:rsidRPr="004C12C9">
        <w:t>Table 3</w:t>
      </w:r>
      <w:r w:rsidR="00127094" w:rsidRPr="004C12C9">
        <w:noBreakHyphen/>
        <w:t>21</w:t>
      </w:r>
      <w:r w:rsidRPr="004C12C9">
        <w:fldChar w:fldCharType="end"/>
      </w:r>
      <w:r w:rsidRPr="004C12C9">
        <w:t>.</w:t>
      </w:r>
      <w:r w:rsidRPr="004C12C9">
        <w:rPr>
          <w:rStyle w:val="FootnoteReference"/>
          <w:rFonts w:asciiTheme="minorHAnsi" w:hAnsiTheme="minorHAnsi"/>
        </w:rPr>
        <w:footnoteReference w:id="109"/>
      </w:r>
    </w:p>
    <w:p w14:paraId="7E8BE60A" w14:textId="2D51ECDD" w:rsidR="00A91ED8" w:rsidRPr="004C12C9" w:rsidRDefault="00A91ED8" w:rsidP="00972CF9">
      <w:pPr>
        <w:pStyle w:val="Caption"/>
      </w:pPr>
      <w:bookmarkStart w:id="194" w:name="_Ref189061615"/>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21</w:t>
      </w:r>
      <w:r w:rsidR="00F72B41">
        <w:fldChar w:fldCharType="end"/>
      </w:r>
      <w:bookmarkEnd w:id="194"/>
      <w:r w:rsidRPr="004C12C9">
        <w:t>. Leak Rate by Equipment Type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6"/>
        <w:gridCol w:w="1303"/>
        <w:gridCol w:w="1317"/>
        <w:gridCol w:w="1305"/>
        <w:gridCol w:w="1305"/>
        <w:gridCol w:w="1305"/>
        <w:gridCol w:w="1299"/>
      </w:tblGrid>
      <w:tr w:rsidR="004C267F" w:rsidRPr="004C12C9" w14:paraId="09B44C95" w14:textId="77777777" w:rsidTr="00726C18">
        <w:trPr>
          <w:trHeight w:val="367"/>
          <w:tblHeader/>
        </w:trPr>
        <w:tc>
          <w:tcPr>
            <w:tcW w:w="1110" w:type="pct"/>
            <w:shd w:val="clear" w:color="auto" w:fill="D9D9D9" w:themeFill="background1" w:themeFillShade="D9"/>
            <w:vAlign w:val="center"/>
          </w:tcPr>
          <w:p w14:paraId="5805152D" w14:textId="77777777" w:rsidR="00A91ED8" w:rsidRPr="004C12C9" w:rsidRDefault="00A91ED8" w:rsidP="0067098D">
            <w:pPr>
              <w:pStyle w:val="ICFTableHeading"/>
            </w:pPr>
            <w:r w:rsidRPr="004C12C9">
              <w:t>Equipment Type</w:t>
            </w:r>
          </w:p>
        </w:tc>
        <w:tc>
          <w:tcPr>
            <w:tcW w:w="647" w:type="pct"/>
            <w:shd w:val="clear" w:color="auto" w:fill="D9D9D9" w:themeFill="background1" w:themeFillShade="D9"/>
            <w:vAlign w:val="center"/>
          </w:tcPr>
          <w:p w14:paraId="560A4FD0" w14:textId="77777777" w:rsidR="00A91ED8" w:rsidRPr="004C12C9" w:rsidRDefault="00A91ED8" w:rsidP="0067098D">
            <w:pPr>
              <w:pStyle w:val="ICFTableHeading"/>
              <w:tabs>
                <w:tab w:val="left" w:pos="183"/>
              </w:tabs>
            </w:pPr>
            <w:r w:rsidRPr="004C12C9">
              <w:t>Installation Emissions Rate (% of capacity)</w:t>
            </w:r>
          </w:p>
        </w:tc>
        <w:tc>
          <w:tcPr>
            <w:tcW w:w="654" w:type="pct"/>
            <w:shd w:val="clear" w:color="auto" w:fill="D9D9D9" w:themeFill="background1" w:themeFillShade="D9"/>
            <w:vAlign w:val="center"/>
          </w:tcPr>
          <w:p w14:paraId="64A4D10D" w14:textId="77777777" w:rsidR="00A91ED8" w:rsidRPr="004C12C9" w:rsidRDefault="00A91ED8" w:rsidP="0067098D">
            <w:pPr>
              <w:pStyle w:val="ICFTableHeading"/>
              <w:tabs>
                <w:tab w:val="left" w:pos="183"/>
              </w:tabs>
            </w:pPr>
            <w:r w:rsidRPr="004C12C9">
              <w:t>Operating Emission Factor (% of capacity/yr)</w:t>
            </w:r>
          </w:p>
        </w:tc>
        <w:tc>
          <w:tcPr>
            <w:tcW w:w="648" w:type="pct"/>
            <w:shd w:val="clear" w:color="auto" w:fill="D9D9D9" w:themeFill="background1" w:themeFillShade="D9"/>
            <w:vAlign w:val="center"/>
          </w:tcPr>
          <w:p w14:paraId="21F4CE8B" w14:textId="77777777" w:rsidR="00A91ED8" w:rsidRPr="004C12C9" w:rsidRDefault="00A91ED8" w:rsidP="0067098D">
            <w:pPr>
              <w:pStyle w:val="ICFTableHeading"/>
              <w:tabs>
                <w:tab w:val="left" w:pos="183"/>
              </w:tabs>
            </w:pPr>
            <w:r w:rsidRPr="004C12C9">
              <w:t>Refrigerant Remaining at Disposal (% of capacity)</w:t>
            </w:r>
          </w:p>
        </w:tc>
        <w:tc>
          <w:tcPr>
            <w:tcW w:w="648" w:type="pct"/>
            <w:shd w:val="clear" w:color="auto" w:fill="D9D9D9" w:themeFill="background1" w:themeFillShade="D9"/>
            <w:vAlign w:val="center"/>
          </w:tcPr>
          <w:p w14:paraId="47A476C6" w14:textId="77777777" w:rsidR="00A91ED8" w:rsidRPr="004C12C9" w:rsidRDefault="00A91ED8" w:rsidP="0067098D">
            <w:pPr>
              <w:pStyle w:val="ICFTableHeading"/>
              <w:tabs>
                <w:tab w:val="left" w:pos="183"/>
              </w:tabs>
            </w:pPr>
            <w:r w:rsidRPr="004C12C9">
              <w:t>Recovery Efficiency (% of remaining)</w:t>
            </w:r>
          </w:p>
        </w:tc>
        <w:tc>
          <w:tcPr>
            <w:tcW w:w="648" w:type="pct"/>
            <w:shd w:val="clear" w:color="auto" w:fill="D9D9D9" w:themeFill="background1" w:themeFillShade="D9"/>
            <w:vAlign w:val="center"/>
          </w:tcPr>
          <w:p w14:paraId="0B6D6053" w14:textId="12E23E17" w:rsidR="00A91ED8" w:rsidRPr="004C12C9" w:rsidRDefault="00A91ED8" w:rsidP="0067098D">
            <w:pPr>
              <w:pStyle w:val="ICFTableHeading"/>
              <w:tabs>
                <w:tab w:val="left" w:pos="183"/>
              </w:tabs>
            </w:pPr>
            <w:r w:rsidRPr="004C12C9">
              <w:t>Equipment Lifetime</w:t>
            </w:r>
            <w:r w:rsidR="00276639" w:rsidRPr="004C12C9">
              <w:t xml:space="preserve"> (years)</w:t>
            </w:r>
          </w:p>
        </w:tc>
        <w:tc>
          <w:tcPr>
            <w:tcW w:w="645" w:type="pct"/>
            <w:shd w:val="clear" w:color="auto" w:fill="D9D9D9" w:themeFill="background1" w:themeFillShade="D9"/>
            <w:vAlign w:val="center"/>
          </w:tcPr>
          <w:p w14:paraId="7E15142F" w14:textId="4E1F26B5" w:rsidR="00A91ED8" w:rsidRPr="004C12C9" w:rsidRDefault="00A91ED8" w:rsidP="0067098D">
            <w:pPr>
              <w:pStyle w:val="ICFTableHeading"/>
              <w:tabs>
                <w:tab w:val="left" w:pos="183"/>
              </w:tabs>
            </w:pPr>
            <w:r w:rsidRPr="004C12C9">
              <w:t xml:space="preserve">Annualized </w:t>
            </w:r>
            <w:r w:rsidR="00104272" w:rsidRPr="004C12C9">
              <w:t>L</w:t>
            </w:r>
            <w:r w:rsidRPr="004C12C9">
              <w:t xml:space="preserve">eak </w:t>
            </w:r>
            <w:r w:rsidR="00104272" w:rsidRPr="004C12C9">
              <w:t>R</w:t>
            </w:r>
            <w:r w:rsidRPr="004C12C9">
              <w:t>ate</w:t>
            </w:r>
          </w:p>
        </w:tc>
      </w:tr>
      <w:tr w:rsidR="00267ED4" w:rsidRPr="004C12C9" w14:paraId="60DD5787" w14:textId="77777777" w:rsidTr="00726C18">
        <w:trPr>
          <w:trHeight w:val="20"/>
        </w:trPr>
        <w:tc>
          <w:tcPr>
            <w:tcW w:w="1110" w:type="pct"/>
          </w:tcPr>
          <w:p w14:paraId="33FC5707" w14:textId="77777777" w:rsidR="00A91ED8" w:rsidRPr="004C12C9" w:rsidRDefault="00A91ED8" w:rsidP="0067098D">
            <w:pPr>
              <w:pStyle w:val="ICFTabletext"/>
            </w:pPr>
            <w:r w:rsidRPr="004C12C9">
              <w:rPr>
                <w:lang w:bidi="ar-SA"/>
              </w:rPr>
              <w:t>Other commercial A/C and heat pumps</w:t>
            </w:r>
          </w:p>
        </w:tc>
        <w:tc>
          <w:tcPr>
            <w:tcW w:w="647" w:type="pct"/>
            <w:vAlign w:val="center"/>
          </w:tcPr>
          <w:p w14:paraId="72A37C36" w14:textId="77777777" w:rsidR="00A91ED8" w:rsidRPr="004C12C9" w:rsidRDefault="00A91ED8" w:rsidP="0067098D">
            <w:pPr>
              <w:pStyle w:val="ICFTabletext"/>
              <w:jc w:val="center"/>
            </w:pPr>
            <w:r w:rsidRPr="004C12C9">
              <w:t>0%</w:t>
            </w:r>
          </w:p>
        </w:tc>
        <w:tc>
          <w:tcPr>
            <w:tcW w:w="654" w:type="pct"/>
            <w:vAlign w:val="center"/>
          </w:tcPr>
          <w:p w14:paraId="04E10733" w14:textId="51031255" w:rsidR="00A91ED8" w:rsidRPr="004C12C9" w:rsidRDefault="00A91ED8" w:rsidP="0067098D">
            <w:pPr>
              <w:pStyle w:val="ICFTabletext"/>
              <w:jc w:val="center"/>
            </w:pPr>
            <w:r w:rsidRPr="004C12C9">
              <w:t>8</w:t>
            </w:r>
            <w:r w:rsidR="001048C9" w:rsidRPr="004C12C9">
              <w:t>.0</w:t>
            </w:r>
            <w:r w:rsidRPr="004C12C9">
              <w:t>%</w:t>
            </w:r>
          </w:p>
        </w:tc>
        <w:tc>
          <w:tcPr>
            <w:tcW w:w="648" w:type="pct"/>
            <w:vAlign w:val="center"/>
          </w:tcPr>
          <w:p w14:paraId="47DDF270" w14:textId="77777777" w:rsidR="00A91ED8" w:rsidRPr="004C12C9" w:rsidRDefault="00A91ED8" w:rsidP="0067098D">
            <w:pPr>
              <w:pStyle w:val="ICFTabletext"/>
              <w:jc w:val="center"/>
            </w:pPr>
            <w:r w:rsidRPr="004C12C9">
              <w:t>80%</w:t>
            </w:r>
          </w:p>
        </w:tc>
        <w:tc>
          <w:tcPr>
            <w:tcW w:w="648" w:type="pct"/>
            <w:vAlign w:val="center"/>
          </w:tcPr>
          <w:p w14:paraId="28AA9465" w14:textId="77777777" w:rsidR="00A91ED8" w:rsidRPr="004C12C9" w:rsidRDefault="00A91ED8" w:rsidP="0067098D">
            <w:pPr>
              <w:pStyle w:val="ICFTabletext"/>
              <w:jc w:val="center"/>
            </w:pPr>
            <w:r w:rsidRPr="004C12C9">
              <w:t>70%</w:t>
            </w:r>
          </w:p>
        </w:tc>
        <w:tc>
          <w:tcPr>
            <w:tcW w:w="648" w:type="pct"/>
            <w:vAlign w:val="center"/>
          </w:tcPr>
          <w:p w14:paraId="330BBB23" w14:textId="393F9169" w:rsidR="00A91ED8" w:rsidRPr="004C12C9" w:rsidRDefault="00A91ED8" w:rsidP="0067098D">
            <w:pPr>
              <w:pStyle w:val="ICFTabletext"/>
              <w:jc w:val="center"/>
            </w:pPr>
            <w:r w:rsidRPr="004C12C9">
              <w:t>25</w:t>
            </w:r>
            <w:r w:rsidR="00C21CAF" w:rsidRPr="004C12C9">
              <w:t>.0</w:t>
            </w:r>
          </w:p>
        </w:tc>
        <w:tc>
          <w:tcPr>
            <w:tcW w:w="645" w:type="pct"/>
            <w:shd w:val="clear" w:color="auto" w:fill="FFFFFF" w:themeFill="background1"/>
            <w:vAlign w:val="center"/>
          </w:tcPr>
          <w:p w14:paraId="6416FC63" w14:textId="77777777" w:rsidR="00A91ED8" w:rsidRPr="004C12C9" w:rsidRDefault="00A91ED8" w:rsidP="0067098D">
            <w:pPr>
              <w:pStyle w:val="ICFTabletext"/>
              <w:jc w:val="center"/>
            </w:pPr>
            <w:r w:rsidRPr="004C12C9">
              <w:t>8.</w:t>
            </w:r>
            <w:r w:rsidRPr="004C12C9">
              <w:rPr>
                <w:bCs/>
              </w:rPr>
              <w:t>96</w:t>
            </w:r>
            <w:r w:rsidRPr="004C12C9">
              <w:t>%</w:t>
            </w:r>
          </w:p>
        </w:tc>
      </w:tr>
      <w:tr w:rsidR="00267ED4" w:rsidRPr="004C12C9" w14:paraId="7685522D" w14:textId="77777777" w:rsidTr="00726C18">
        <w:trPr>
          <w:trHeight w:val="20"/>
        </w:trPr>
        <w:tc>
          <w:tcPr>
            <w:tcW w:w="1110" w:type="pct"/>
          </w:tcPr>
          <w:p w14:paraId="2673AFA9" w14:textId="5A321A47" w:rsidR="00A91ED8" w:rsidRPr="004C12C9" w:rsidRDefault="00A91ED8" w:rsidP="0067098D">
            <w:pPr>
              <w:pStyle w:val="ICFTabletext"/>
            </w:pPr>
            <w:r w:rsidRPr="004C12C9">
              <w:t xml:space="preserve">Average </w:t>
            </w:r>
            <w:r w:rsidR="00276639" w:rsidRPr="004C12C9">
              <w:t>r</w:t>
            </w:r>
            <w:r w:rsidRPr="004C12C9">
              <w:rPr>
                <w:lang w:bidi="ar-SA"/>
              </w:rPr>
              <w:t xml:space="preserve">oom A/C </w:t>
            </w:r>
            <w:r w:rsidRPr="004C12C9">
              <w:t xml:space="preserve">&amp; </w:t>
            </w:r>
            <w:r w:rsidR="00276639" w:rsidRPr="004C12C9">
              <w:t>o</w:t>
            </w:r>
            <w:r w:rsidRPr="004C12C9">
              <w:rPr>
                <w:lang w:bidi="ar-SA"/>
              </w:rPr>
              <w:t>ther residential A/C and heat pumps</w:t>
            </w:r>
          </w:p>
        </w:tc>
        <w:tc>
          <w:tcPr>
            <w:tcW w:w="647" w:type="pct"/>
            <w:vAlign w:val="center"/>
          </w:tcPr>
          <w:p w14:paraId="3F26A329" w14:textId="77777777" w:rsidR="00A91ED8" w:rsidRPr="004C12C9" w:rsidRDefault="00A91ED8" w:rsidP="0067098D">
            <w:pPr>
              <w:pStyle w:val="ICFTabletext"/>
              <w:jc w:val="center"/>
            </w:pPr>
            <w:r w:rsidRPr="004C12C9">
              <w:t>0%</w:t>
            </w:r>
          </w:p>
        </w:tc>
        <w:tc>
          <w:tcPr>
            <w:tcW w:w="654" w:type="pct"/>
            <w:vAlign w:val="center"/>
          </w:tcPr>
          <w:p w14:paraId="484E41A6" w14:textId="4EF3C9DC" w:rsidR="00A91ED8" w:rsidRPr="004C12C9" w:rsidRDefault="00A91ED8" w:rsidP="0067098D">
            <w:pPr>
              <w:pStyle w:val="ICFTabletext"/>
              <w:jc w:val="center"/>
            </w:pPr>
            <w:r w:rsidRPr="004C12C9">
              <w:t>4</w:t>
            </w:r>
            <w:r w:rsidR="00C21CAF" w:rsidRPr="004C12C9">
              <w:t>.5</w:t>
            </w:r>
            <w:r w:rsidRPr="004C12C9">
              <w:t>%</w:t>
            </w:r>
          </w:p>
        </w:tc>
        <w:tc>
          <w:tcPr>
            <w:tcW w:w="648" w:type="pct"/>
            <w:vAlign w:val="center"/>
          </w:tcPr>
          <w:p w14:paraId="7D394A67" w14:textId="77777777" w:rsidR="00A91ED8" w:rsidRPr="004C12C9" w:rsidRDefault="00A91ED8" w:rsidP="0067098D">
            <w:pPr>
              <w:pStyle w:val="ICFTabletext"/>
              <w:jc w:val="center"/>
            </w:pPr>
            <w:r w:rsidRPr="004C12C9">
              <w:t>87%</w:t>
            </w:r>
          </w:p>
        </w:tc>
        <w:tc>
          <w:tcPr>
            <w:tcW w:w="648" w:type="pct"/>
            <w:vAlign w:val="center"/>
          </w:tcPr>
          <w:p w14:paraId="19E84E1A" w14:textId="77777777" w:rsidR="00A91ED8" w:rsidRPr="004C12C9" w:rsidRDefault="00A91ED8" w:rsidP="0067098D">
            <w:pPr>
              <w:pStyle w:val="ICFTabletext"/>
              <w:jc w:val="center"/>
            </w:pPr>
            <w:r w:rsidRPr="004C12C9">
              <w:t>36%</w:t>
            </w:r>
          </w:p>
        </w:tc>
        <w:tc>
          <w:tcPr>
            <w:tcW w:w="648" w:type="pct"/>
            <w:vAlign w:val="center"/>
          </w:tcPr>
          <w:p w14:paraId="0008F884" w14:textId="77777777" w:rsidR="00A91ED8" w:rsidRPr="004C12C9" w:rsidRDefault="00A91ED8" w:rsidP="0067098D">
            <w:pPr>
              <w:pStyle w:val="ICFTabletext"/>
              <w:jc w:val="center"/>
            </w:pPr>
            <w:r w:rsidRPr="004C12C9">
              <w:t>13.5</w:t>
            </w:r>
          </w:p>
        </w:tc>
        <w:tc>
          <w:tcPr>
            <w:tcW w:w="645" w:type="pct"/>
            <w:shd w:val="clear" w:color="auto" w:fill="FFFFFF" w:themeFill="background1"/>
            <w:vAlign w:val="center"/>
          </w:tcPr>
          <w:p w14:paraId="733294DA" w14:textId="77777777" w:rsidR="00A91ED8" w:rsidRPr="004C12C9" w:rsidRDefault="00A91ED8" w:rsidP="0067098D">
            <w:pPr>
              <w:pStyle w:val="ICFTabletext"/>
              <w:jc w:val="center"/>
            </w:pPr>
            <w:r w:rsidRPr="004C12C9">
              <w:t>8.61%</w:t>
            </w:r>
          </w:p>
        </w:tc>
      </w:tr>
      <w:tr w:rsidR="00267ED4" w:rsidRPr="004C12C9" w14:paraId="0DBA1964" w14:textId="77777777" w:rsidTr="00726C18">
        <w:trPr>
          <w:trHeight w:val="20"/>
        </w:trPr>
        <w:tc>
          <w:tcPr>
            <w:tcW w:w="1110" w:type="pct"/>
          </w:tcPr>
          <w:p w14:paraId="664BCA5A" w14:textId="77777777" w:rsidR="00A91ED8" w:rsidRPr="004C12C9" w:rsidRDefault="00A91ED8" w:rsidP="0067098D">
            <w:pPr>
              <w:pStyle w:val="ICFTabletext"/>
            </w:pPr>
            <w:r w:rsidRPr="004C12C9">
              <w:rPr>
                <w:lang w:bidi="ar-SA"/>
              </w:rPr>
              <w:t>Walk-in refrigerators and freezers</w:t>
            </w:r>
          </w:p>
        </w:tc>
        <w:tc>
          <w:tcPr>
            <w:tcW w:w="647" w:type="pct"/>
            <w:vAlign w:val="center"/>
          </w:tcPr>
          <w:p w14:paraId="049ECA5F" w14:textId="77777777" w:rsidR="00A91ED8" w:rsidRPr="004C12C9" w:rsidRDefault="00A91ED8" w:rsidP="0067098D">
            <w:pPr>
              <w:pStyle w:val="ICFTabletext"/>
              <w:jc w:val="center"/>
            </w:pPr>
            <w:r w:rsidRPr="004C12C9">
              <w:t>2%</w:t>
            </w:r>
          </w:p>
        </w:tc>
        <w:tc>
          <w:tcPr>
            <w:tcW w:w="654" w:type="pct"/>
            <w:vAlign w:val="center"/>
          </w:tcPr>
          <w:p w14:paraId="5AC652A9" w14:textId="52AFB4AC" w:rsidR="00A91ED8" w:rsidRPr="004C12C9" w:rsidRDefault="00A91ED8" w:rsidP="0067098D">
            <w:pPr>
              <w:pStyle w:val="ICFTabletext"/>
              <w:jc w:val="center"/>
            </w:pPr>
            <w:r w:rsidRPr="004C12C9">
              <w:t>12</w:t>
            </w:r>
            <w:r w:rsidR="00C21CAF" w:rsidRPr="004C12C9">
              <w:t>.0</w:t>
            </w:r>
            <w:r w:rsidRPr="004C12C9">
              <w:t>%</w:t>
            </w:r>
          </w:p>
        </w:tc>
        <w:tc>
          <w:tcPr>
            <w:tcW w:w="648" w:type="pct"/>
            <w:vAlign w:val="center"/>
          </w:tcPr>
          <w:p w14:paraId="055E076C" w14:textId="77777777" w:rsidR="00A91ED8" w:rsidRPr="004C12C9" w:rsidRDefault="00A91ED8" w:rsidP="0067098D">
            <w:pPr>
              <w:pStyle w:val="ICFTabletext"/>
              <w:jc w:val="center"/>
            </w:pPr>
            <w:r w:rsidRPr="004C12C9">
              <w:t>90%</w:t>
            </w:r>
          </w:p>
        </w:tc>
        <w:tc>
          <w:tcPr>
            <w:tcW w:w="648" w:type="pct"/>
            <w:vAlign w:val="center"/>
          </w:tcPr>
          <w:p w14:paraId="034F6E8A" w14:textId="77777777" w:rsidR="00A91ED8" w:rsidRPr="004C12C9" w:rsidRDefault="00A91ED8" w:rsidP="0067098D">
            <w:pPr>
              <w:pStyle w:val="ICFTabletext"/>
              <w:jc w:val="center"/>
            </w:pPr>
            <w:r w:rsidRPr="004C12C9">
              <w:t>70%</w:t>
            </w:r>
          </w:p>
        </w:tc>
        <w:tc>
          <w:tcPr>
            <w:tcW w:w="648" w:type="pct"/>
            <w:vAlign w:val="center"/>
          </w:tcPr>
          <w:p w14:paraId="19504F5E" w14:textId="0F83C38F" w:rsidR="00A91ED8" w:rsidRPr="004C12C9" w:rsidRDefault="00A91ED8" w:rsidP="0067098D">
            <w:pPr>
              <w:pStyle w:val="ICFTabletext"/>
              <w:jc w:val="center"/>
            </w:pPr>
            <w:r w:rsidRPr="004C12C9">
              <w:t>20</w:t>
            </w:r>
            <w:r w:rsidR="00C21CAF" w:rsidRPr="004C12C9">
              <w:t>.0</w:t>
            </w:r>
            <w:r w:rsidRPr="004C12C9">
              <w:t xml:space="preserve"> </w:t>
            </w:r>
          </w:p>
        </w:tc>
        <w:tc>
          <w:tcPr>
            <w:tcW w:w="645" w:type="pct"/>
            <w:shd w:val="clear" w:color="auto" w:fill="FFFFFF" w:themeFill="background1"/>
            <w:vAlign w:val="center"/>
          </w:tcPr>
          <w:p w14:paraId="39019B93" w14:textId="77777777" w:rsidR="00A91ED8" w:rsidRPr="004C12C9" w:rsidRDefault="00A91ED8" w:rsidP="0067098D">
            <w:pPr>
              <w:pStyle w:val="ICFTabletext"/>
              <w:jc w:val="center"/>
            </w:pPr>
            <w:r w:rsidRPr="004C12C9">
              <w:t>13.45%</w:t>
            </w:r>
          </w:p>
        </w:tc>
      </w:tr>
    </w:tbl>
    <w:p w14:paraId="2E584240" w14:textId="77777777" w:rsidR="00A91ED8" w:rsidRPr="004C12C9" w:rsidRDefault="00A91ED8" w:rsidP="00E31E37">
      <w:pPr>
        <w:pStyle w:val="Heading4"/>
      </w:pPr>
      <w:r w:rsidRPr="004C12C9">
        <w:lastRenderedPageBreak/>
        <w:t>Limitations</w:t>
      </w:r>
    </w:p>
    <w:p w14:paraId="60C1CF40" w14:textId="02153FD3" w:rsidR="00953AC0" w:rsidRPr="004C12C9" w:rsidRDefault="00953AC0" w:rsidP="00953AC0">
      <w:r w:rsidRPr="004C12C9">
        <w:t xml:space="preserve">Key limitations of the methodology used to quantify emissions from </w:t>
      </w:r>
      <w:r w:rsidR="00076B65" w:rsidRPr="004C12C9">
        <w:t>HFC leakage</w:t>
      </w:r>
      <w:r w:rsidRPr="004C12C9">
        <w:t xml:space="preserve"> include:</w:t>
      </w:r>
    </w:p>
    <w:p w14:paraId="7B37957C" w14:textId="12684DED" w:rsidR="008F61BB" w:rsidRPr="004C12C9" w:rsidRDefault="008F61BB" w:rsidP="003B5F7F">
      <w:pPr>
        <w:pStyle w:val="ListParagraph"/>
        <w:numPr>
          <w:ilvl w:val="0"/>
          <w:numId w:val="20"/>
        </w:numPr>
      </w:pPr>
      <w:r w:rsidRPr="004C12C9">
        <w:t>This calculation method is one of four approaches for estimating emissions from HFC leakage</w:t>
      </w:r>
      <w:r w:rsidR="00253F4A" w:rsidRPr="004C12C9">
        <w:t xml:space="preserve"> presented by the EPA</w:t>
      </w:r>
      <w:r w:rsidRPr="004C12C9">
        <w:t xml:space="preserve">. It represents the most simplified option among the available methods. This approach relies on </w:t>
      </w:r>
      <w:r w:rsidR="001927C4" w:rsidRPr="004C12C9">
        <w:t>limited inputs</w:t>
      </w:r>
      <w:r w:rsidR="008A3E24" w:rsidRPr="004C12C9">
        <w:t xml:space="preserve"> (i.e., buil</w:t>
      </w:r>
      <w:r w:rsidR="00854B8B" w:rsidRPr="004C12C9">
        <w:t xml:space="preserve">ding </w:t>
      </w:r>
      <w:r w:rsidRPr="004C12C9">
        <w:t>square footage</w:t>
      </w:r>
      <w:r w:rsidR="008A3E24" w:rsidRPr="004C12C9">
        <w:t>)</w:t>
      </w:r>
      <w:r w:rsidR="00C42FA7" w:rsidRPr="004C12C9">
        <w:t xml:space="preserve"> and incorporates numerous assumptions regarding</w:t>
      </w:r>
      <w:r w:rsidRPr="004C12C9">
        <w:t xml:space="preserve"> the type of refrigeration and A/C equipment </w:t>
      </w:r>
      <w:r w:rsidR="00605C3F" w:rsidRPr="004C12C9">
        <w:t xml:space="preserve">and the refrigerants </w:t>
      </w:r>
      <w:r w:rsidR="00C42FA7" w:rsidRPr="004C12C9">
        <w:t xml:space="preserve">used </w:t>
      </w:r>
      <w:r w:rsidRPr="004C12C9">
        <w:t>in each building.</w:t>
      </w:r>
    </w:p>
    <w:p w14:paraId="6BB7E8BD" w14:textId="278AB24B" w:rsidR="00A36EEB" w:rsidRPr="004C12C9" w:rsidRDefault="00B217BC" w:rsidP="003B5F7F">
      <w:pPr>
        <w:pStyle w:val="ListParagraph"/>
        <w:numPr>
          <w:ilvl w:val="0"/>
          <w:numId w:val="20"/>
        </w:numPr>
      </w:pPr>
      <w:r w:rsidRPr="004C12C9">
        <w:t xml:space="preserve">The </w:t>
      </w:r>
      <w:r w:rsidR="006C31F9" w:rsidRPr="004C12C9">
        <w:t>HFC</w:t>
      </w:r>
      <w:r w:rsidR="00063690" w:rsidRPr="004C12C9">
        <w:t xml:space="preserve"> Accounting Tool </w:t>
      </w:r>
      <w:r w:rsidR="00114D88" w:rsidRPr="004C12C9">
        <w:t xml:space="preserve">was developed prior to the enactment of </w:t>
      </w:r>
      <w:r w:rsidR="00335928" w:rsidRPr="004C12C9">
        <w:t xml:space="preserve">the </w:t>
      </w:r>
      <w:r w:rsidR="001663C8" w:rsidRPr="004C12C9">
        <w:t>AIM Act of 2020</w:t>
      </w:r>
      <w:r w:rsidR="00271F8A" w:rsidRPr="004C12C9">
        <w:t>, which establishes a phasedown schedule for HFCs in the United States</w:t>
      </w:r>
      <w:r w:rsidR="001663C8" w:rsidRPr="004C12C9">
        <w:t xml:space="preserve">. </w:t>
      </w:r>
      <w:r w:rsidR="00BB5E86">
        <w:t>D</w:t>
      </w:r>
      <w:r w:rsidR="001663C8" w:rsidRPr="004C12C9">
        <w:t>efault assumptions</w:t>
      </w:r>
      <w:r w:rsidR="00271F8A" w:rsidRPr="004C12C9">
        <w:t xml:space="preserve"> </w:t>
      </w:r>
      <w:r w:rsidR="00173E3C">
        <w:t xml:space="preserve">in the calculator </w:t>
      </w:r>
      <w:r w:rsidR="003558D5">
        <w:t>were tailored to reflect</w:t>
      </w:r>
      <w:r w:rsidR="00867E66">
        <w:t xml:space="preserve"> recent trends and regulations regarding the use of </w:t>
      </w:r>
      <w:r w:rsidR="00271F8A" w:rsidRPr="004C12C9">
        <w:t xml:space="preserve">HFCs in </w:t>
      </w:r>
      <w:r w:rsidR="008814A7" w:rsidRPr="004C12C9">
        <w:t xml:space="preserve">refrigeration and A/C equipment. </w:t>
      </w:r>
      <w:r w:rsidR="00AF72D8">
        <w:t xml:space="preserve">These trends are expected to </w:t>
      </w:r>
      <w:r w:rsidR="00173E3C">
        <w:t xml:space="preserve">continue to </w:t>
      </w:r>
      <w:r w:rsidR="00AF72D8">
        <w:t>change as new regulations are established and implemented under the AIM Act.</w:t>
      </w:r>
    </w:p>
    <w:p w14:paraId="7FC1AB82" w14:textId="6E3878A0" w:rsidR="00FC5F6E" w:rsidRPr="004C12C9" w:rsidRDefault="00953AC0" w:rsidP="003B5F7F">
      <w:pPr>
        <w:pStyle w:val="ListParagraph"/>
        <w:numPr>
          <w:ilvl w:val="0"/>
          <w:numId w:val="20"/>
        </w:numPr>
      </w:pPr>
      <w:r w:rsidRPr="004C12C9">
        <w:t>The</w:t>
      </w:r>
      <w:r w:rsidR="00994D63" w:rsidRPr="004C12C9">
        <w:t xml:space="preserve"> </w:t>
      </w:r>
      <w:r w:rsidR="007640AF" w:rsidRPr="004C12C9">
        <w:t xml:space="preserve">calculator </w:t>
      </w:r>
      <w:r w:rsidR="008F61BB" w:rsidRPr="004C12C9">
        <w:t>c</w:t>
      </w:r>
      <w:r w:rsidR="00E7546E" w:rsidRPr="004C12C9">
        <w:t>haracterizes</w:t>
      </w:r>
      <w:r w:rsidR="008F61BB" w:rsidRPr="004C12C9">
        <w:t xml:space="preserve"> buildings into four types: </w:t>
      </w:r>
      <w:r w:rsidR="005D5BA1" w:rsidRPr="004C12C9">
        <w:t xml:space="preserve">residential, </w:t>
      </w:r>
      <w:r w:rsidR="00C96711" w:rsidRPr="004C12C9">
        <w:t>institutional, commercial, and industrial</w:t>
      </w:r>
      <w:r w:rsidR="008F61BB" w:rsidRPr="004C12C9">
        <w:t>. Each category is</w:t>
      </w:r>
      <w:r w:rsidR="00387CE6" w:rsidRPr="004C12C9">
        <w:t xml:space="preserve"> mapped to a </w:t>
      </w:r>
      <w:r w:rsidR="001A73DC" w:rsidRPr="004C12C9">
        <w:t>representative</w:t>
      </w:r>
      <w:r w:rsidR="00387CE6" w:rsidRPr="004C12C9">
        <w:t xml:space="preserve"> building type </w:t>
      </w:r>
      <w:r w:rsidR="00BF5D91" w:rsidRPr="004C12C9">
        <w:t xml:space="preserve">from the HFC Accounting Tool. </w:t>
      </w:r>
      <w:r w:rsidR="00877DDB" w:rsidRPr="004C12C9">
        <w:t xml:space="preserve">This mapping introduces </w:t>
      </w:r>
      <w:r w:rsidR="008F61BB" w:rsidRPr="004C12C9">
        <w:t xml:space="preserve">some </w:t>
      </w:r>
      <w:r w:rsidR="00877DDB" w:rsidRPr="004C12C9">
        <w:t>uncertainty</w:t>
      </w:r>
      <w:r w:rsidR="008F61BB" w:rsidRPr="004C12C9">
        <w:t>, as</w:t>
      </w:r>
      <w:r w:rsidR="00C96711" w:rsidRPr="004C12C9">
        <w:t xml:space="preserve"> </w:t>
      </w:r>
      <w:r w:rsidR="00B71DE9" w:rsidRPr="004C12C9">
        <w:t>there is vari</w:t>
      </w:r>
      <w:r w:rsidR="00612A2C" w:rsidRPr="004C12C9">
        <w:t xml:space="preserve">ation </w:t>
      </w:r>
      <w:r w:rsidR="00DC4AD1" w:rsidRPr="004C12C9">
        <w:t>in equipment use</w:t>
      </w:r>
      <w:r w:rsidR="00757FA5" w:rsidRPr="004C12C9">
        <w:t xml:space="preserve"> a</w:t>
      </w:r>
      <w:r w:rsidR="00C878E1" w:rsidRPr="004C12C9">
        <w:t>cross</w:t>
      </w:r>
      <w:r w:rsidR="00757FA5" w:rsidRPr="004C12C9">
        <w:t xml:space="preserve"> </w:t>
      </w:r>
      <w:r w:rsidR="002A0526" w:rsidRPr="004C12C9">
        <w:t xml:space="preserve">building </w:t>
      </w:r>
      <w:r w:rsidR="00757FA5" w:rsidRPr="004C12C9">
        <w:t>subcategories</w:t>
      </w:r>
      <w:r w:rsidR="00C96711" w:rsidRPr="004C12C9">
        <w:t>.</w:t>
      </w:r>
      <w:r w:rsidR="00FC5F6E" w:rsidRPr="004C12C9">
        <w:tab/>
      </w:r>
    </w:p>
    <w:p w14:paraId="263EDA63" w14:textId="77777777" w:rsidR="00D551C1" w:rsidRPr="004C12C9" w:rsidRDefault="00FC5F6E" w:rsidP="00F25C37">
      <w:pPr>
        <w:pStyle w:val="Heading3"/>
      </w:pPr>
      <w:bookmarkStart w:id="195" w:name="_Toc219887778"/>
      <w:r w:rsidRPr="004C12C9">
        <w:t>Land Use Change</w:t>
      </w:r>
      <w:bookmarkEnd w:id="195"/>
      <w:r w:rsidRPr="004C12C9">
        <w:tab/>
      </w:r>
    </w:p>
    <w:p w14:paraId="0A178F58" w14:textId="26F661C8" w:rsidR="003832C7" w:rsidRPr="004C12C9" w:rsidRDefault="00D551C1" w:rsidP="003832C7">
      <w:r w:rsidRPr="004C12C9">
        <w:t xml:space="preserve">This emissions source (or sink) includes the net carbon change from the transition of one land use type to another during project operation. The method described below uses a stock change approach to calculate carbon gains or losses, which are used as a proxy for emissions. To account for lifecycle emissions, the net carbon change calculations assume full realization of the land transition. </w:t>
      </w:r>
      <w:r w:rsidR="003832C7" w:rsidRPr="004C12C9">
        <w:t xml:space="preserve">The </w:t>
      </w:r>
      <w:r w:rsidR="007640AF" w:rsidRPr="004C12C9">
        <w:t xml:space="preserve">calculator </w:t>
      </w:r>
      <w:r w:rsidR="003832C7" w:rsidRPr="004C12C9">
        <w:t>quantifies net carbon change from land use change based on land area post-construction</w:t>
      </w:r>
      <w:r w:rsidR="00832B91" w:rsidRPr="004C12C9">
        <w:t xml:space="preserve"> and post-operation,</w:t>
      </w:r>
      <w:r w:rsidR="006B1219" w:rsidRPr="004C12C9">
        <w:t xml:space="preserve"> </w:t>
      </w:r>
      <w:r w:rsidR="003832C7" w:rsidRPr="004C12C9">
        <w:t>and the carbon stock of each land type and tree, as shown in</w:t>
      </w:r>
      <w:r w:rsidR="002A4E1F">
        <w:t xml:space="preserve"> </w:t>
      </w:r>
      <w:r w:rsidR="002A4E1F">
        <w:fldChar w:fldCharType="begin"/>
      </w:r>
      <w:r w:rsidR="002A4E1F">
        <w:instrText xml:space="preserve"> REF _Ref195426965 \h </w:instrText>
      </w:r>
      <w:r w:rsidR="002A4E1F">
        <w:fldChar w:fldCharType="separate"/>
      </w:r>
      <w:r w:rsidR="002A4E1F" w:rsidRPr="004C12C9">
        <w:t xml:space="preserve">Equation </w:t>
      </w:r>
      <w:r w:rsidR="002A4E1F">
        <w:rPr>
          <w:noProof/>
        </w:rPr>
        <w:t>23</w:t>
      </w:r>
      <w:r w:rsidR="002A4E1F">
        <w:fldChar w:fldCharType="end"/>
      </w:r>
      <w:r w:rsidR="005313C9">
        <w:t>.</w:t>
      </w:r>
    </w:p>
    <w:p w14:paraId="277330CD" w14:textId="2A9965EC" w:rsidR="00D551C1" w:rsidRPr="004C12C9" w:rsidRDefault="00D551C1" w:rsidP="00972CF9">
      <w:pPr>
        <w:pStyle w:val="Caption"/>
      </w:pPr>
      <w:bookmarkStart w:id="196" w:name="_Ref195426965"/>
      <w:r w:rsidRPr="004C12C9">
        <w:t xml:space="preserve">Equation </w:t>
      </w:r>
      <w:r w:rsidR="00127094">
        <w:fldChar w:fldCharType="begin"/>
      </w:r>
      <w:r w:rsidR="00127094">
        <w:instrText xml:space="preserve"> SEQ Equation \* ARABIC </w:instrText>
      </w:r>
      <w:r w:rsidR="00127094">
        <w:fldChar w:fldCharType="separate"/>
      </w:r>
      <w:r w:rsidR="00C47624">
        <w:rPr>
          <w:noProof/>
        </w:rPr>
        <w:t>23</w:t>
      </w:r>
      <w:r w:rsidR="00127094">
        <w:fldChar w:fldCharType="end"/>
      </w:r>
      <w:bookmarkEnd w:id="196"/>
      <w:r w:rsidRPr="004C12C9">
        <w:t xml:space="preserve">. Net Change in Carbon Stock from </w:t>
      </w:r>
      <w:r w:rsidR="00832B91" w:rsidRPr="004C12C9">
        <w:t>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30"/>
        <w:gridCol w:w="7640"/>
      </w:tblGrid>
      <w:tr w:rsidR="00832B91" w:rsidRPr="004C12C9" w14:paraId="05DCC310" w14:textId="77777777">
        <w:tc>
          <w:tcPr>
            <w:tcW w:w="10070" w:type="dxa"/>
            <w:gridSpan w:val="2"/>
            <w:shd w:val="clear" w:color="auto" w:fill="F2F2F2" w:themeFill="background1" w:themeFillShade="F2"/>
          </w:tcPr>
          <w:p w14:paraId="2028AAE3" w14:textId="1F62A854" w:rsidR="00832B91" w:rsidRPr="004C12C9" w:rsidRDefault="00F41455" w:rsidP="00832B91">
            <w:pPr>
              <w:pStyle w:val="Equation"/>
              <w:rPr>
                <w:noProof w:val="0"/>
              </w:rPr>
            </w:pPr>
            <m:oMathPara>
              <m:oMath>
                <m:r>
                  <w:rPr>
                    <w:noProof w:val="0"/>
                  </w:rPr>
                  <m:t xml:space="preserve">GHGs emitted or sequestered = </m:t>
                </m:r>
                <m:nary>
                  <m:naryPr>
                    <m:chr m:val="∑"/>
                    <m:limLoc m:val="undOvr"/>
                    <m:subHide m:val="1"/>
                    <m:supHide m:val="1"/>
                    <m:ctrlPr>
                      <w:rPr>
                        <w:noProof w:val="0"/>
                      </w:rPr>
                    </m:ctrlPr>
                  </m:naryPr>
                  <m:sub/>
                  <m:sup/>
                  <m:e>
                    <m:r>
                      <w:rPr>
                        <w:noProof w:val="0"/>
                      </w:rPr>
                      <m:t>(</m:t>
                    </m:r>
                    <m:sSub>
                      <m:sSubPr>
                        <m:ctrlPr>
                          <w:rPr>
                            <w:noProof w:val="0"/>
                          </w:rPr>
                        </m:ctrlPr>
                      </m:sSubPr>
                      <m:e>
                        <m:r>
                          <w:rPr>
                            <w:noProof w:val="0"/>
                          </w:rPr>
                          <m:t>area post construction</m:t>
                        </m:r>
                      </m:e>
                      <m:sub>
                        <m:r>
                          <w:rPr>
                            <w:noProof w:val="0"/>
                          </w:rPr>
                          <m:t>t</m:t>
                        </m:r>
                      </m:sub>
                    </m:sSub>
                    <m:r>
                      <w:rPr>
                        <w:noProof w:val="0"/>
                      </w:rPr>
                      <m:t xml:space="preserve">- </m:t>
                    </m:r>
                  </m:e>
                </m:nary>
                <m:sSub>
                  <m:sSubPr>
                    <m:ctrlPr>
                      <w:rPr>
                        <w:noProof w:val="0"/>
                      </w:rPr>
                    </m:ctrlPr>
                  </m:sSubPr>
                  <m:e>
                    <m:r>
                      <w:rPr>
                        <w:noProof w:val="0"/>
                      </w:rPr>
                      <m:t>area post operation</m:t>
                    </m:r>
                  </m:e>
                  <m:sub>
                    <m:r>
                      <w:rPr>
                        <w:noProof w:val="0"/>
                      </w:rPr>
                      <m:t>t</m:t>
                    </m:r>
                  </m:sub>
                </m:sSub>
                <m:r>
                  <w:rPr>
                    <w:noProof w:val="0"/>
                  </w:rPr>
                  <m:t xml:space="preserve">)× </m:t>
                </m:r>
                <m:sSub>
                  <m:sSubPr>
                    <m:ctrlPr>
                      <w:rPr>
                        <w:noProof w:val="0"/>
                      </w:rPr>
                    </m:ctrlPr>
                  </m:sSubPr>
                  <m:e>
                    <m:r>
                      <w:rPr>
                        <w:noProof w:val="0"/>
                      </w:rPr>
                      <m:t>carbon stock</m:t>
                    </m:r>
                  </m:e>
                  <m:sub>
                    <m:r>
                      <w:rPr>
                        <w:noProof w:val="0"/>
                      </w:rPr>
                      <m:t>t</m:t>
                    </m:r>
                  </m:sub>
                </m:sSub>
                <m:r>
                  <w:rPr>
                    <w:noProof w:val="0"/>
                  </w:rPr>
                  <m:t xml:space="preserve"> × </m:t>
                </m:r>
                <m:f>
                  <m:fPr>
                    <m:ctrlPr>
                      <w:rPr>
                        <w:noProof w:val="0"/>
                      </w:rPr>
                    </m:ctrlPr>
                  </m:fPr>
                  <m:num>
                    <m:r>
                      <w:rPr>
                        <w:noProof w:val="0"/>
                      </w:rPr>
                      <m:t>44</m:t>
                    </m:r>
                  </m:num>
                  <m:den>
                    <m:r>
                      <w:rPr>
                        <w:noProof w:val="0"/>
                      </w:rPr>
                      <m:t>12</m:t>
                    </m:r>
                  </m:den>
                </m:f>
              </m:oMath>
            </m:oMathPara>
          </w:p>
          <w:p w14:paraId="53307A9D" w14:textId="77777777" w:rsidR="00832B91" w:rsidRPr="004C12C9" w:rsidRDefault="00832B91">
            <w:pPr>
              <w:rPr>
                <w:i/>
                <w:iCs/>
              </w:rPr>
            </w:pPr>
            <w:r w:rsidRPr="004C12C9">
              <w:rPr>
                <w:i/>
                <w:iCs/>
                <w:sz w:val="20"/>
                <w:szCs w:val="20"/>
              </w:rPr>
              <w:t xml:space="preserve">where, </w:t>
            </w:r>
          </w:p>
        </w:tc>
      </w:tr>
      <w:tr w:rsidR="00832B91" w:rsidRPr="004C12C9" w14:paraId="176DB330" w14:textId="77777777">
        <w:tc>
          <w:tcPr>
            <w:tcW w:w="2430" w:type="dxa"/>
            <w:shd w:val="clear" w:color="auto" w:fill="F2F2F2" w:themeFill="background1" w:themeFillShade="F2"/>
          </w:tcPr>
          <w:p w14:paraId="550D0986" w14:textId="77777777" w:rsidR="00832B91" w:rsidRPr="004C12C9" w:rsidRDefault="00832B91" w:rsidP="00832B91">
            <w:pPr>
              <w:tabs>
                <w:tab w:val="left" w:pos="2160"/>
              </w:tabs>
              <w:contextualSpacing/>
              <w:rPr>
                <w:rFonts w:eastAsia="Arial"/>
                <w:sz w:val="20"/>
                <w:szCs w:val="20"/>
              </w:rPr>
            </w:pPr>
            <w:r w:rsidRPr="004C12C9">
              <w:rPr>
                <w:rFonts w:eastAsia="Arial"/>
                <w:sz w:val="20"/>
                <w:szCs w:val="20"/>
              </w:rPr>
              <w:t>Area post-construction</w:t>
            </w:r>
          </w:p>
          <w:p w14:paraId="40B5B722" w14:textId="20115881" w:rsidR="00832B91" w:rsidRPr="004C12C9" w:rsidRDefault="00832B91">
            <w:pPr>
              <w:tabs>
                <w:tab w:val="left" w:pos="2160"/>
              </w:tabs>
              <w:contextualSpacing/>
              <w:rPr>
                <w:rFonts w:eastAsia="Arial"/>
                <w:sz w:val="20"/>
                <w:szCs w:val="20"/>
              </w:rPr>
            </w:pPr>
            <w:r w:rsidRPr="004C12C9">
              <w:rPr>
                <w:rFonts w:eastAsia="Arial"/>
                <w:sz w:val="20"/>
                <w:szCs w:val="20"/>
              </w:rPr>
              <w:t>Area post-operation</w:t>
            </w:r>
          </w:p>
          <w:p w14:paraId="163F65C7" w14:textId="77777777" w:rsidR="00832B91" w:rsidRPr="004C12C9" w:rsidRDefault="00832B91">
            <w:pPr>
              <w:tabs>
                <w:tab w:val="left" w:pos="2160"/>
              </w:tabs>
              <w:contextualSpacing/>
              <w:rPr>
                <w:rFonts w:eastAsia="Arial"/>
                <w:sz w:val="20"/>
                <w:szCs w:val="20"/>
              </w:rPr>
            </w:pPr>
            <w:r w:rsidRPr="004C12C9">
              <w:rPr>
                <w:rFonts w:eastAsia="Arial"/>
                <w:sz w:val="20"/>
                <w:szCs w:val="20"/>
              </w:rPr>
              <w:t>carbon stock</w:t>
            </w:r>
            <w:r w:rsidRPr="004C12C9">
              <w:rPr>
                <w:rFonts w:eastAsia="Arial"/>
                <w:sz w:val="20"/>
                <w:szCs w:val="20"/>
                <w:vertAlign w:val="subscript"/>
              </w:rPr>
              <w:t>t</w:t>
            </w:r>
          </w:p>
          <w:p w14:paraId="19303ABE" w14:textId="77777777" w:rsidR="00832B91" w:rsidRPr="004C12C9" w:rsidRDefault="00832B91">
            <w:pPr>
              <w:tabs>
                <w:tab w:val="left" w:pos="2160"/>
              </w:tabs>
              <w:contextualSpacing/>
              <w:rPr>
                <w:rFonts w:eastAsia="Arial"/>
                <w:sz w:val="20"/>
                <w:szCs w:val="20"/>
              </w:rPr>
            </w:pPr>
            <w:r w:rsidRPr="004C12C9">
              <w:rPr>
                <w:rFonts w:eastAsia="Arial"/>
                <w:sz w:val="20"/>
                <w:szCs w:val="20"/>
              </w:rPr>
              <w:t>44/12</w:t>
            </w:r>
          </w:p>
          <w:p w14:paraId="0E13D033" w14:textId="3B00FE62" w:rsidR="00832B91" w:rsidRPr="004C12C9" w:rsidRDefault="00832B91">
            <w:pPr>
              <w:tabs>
                <w:tab w:val="left" w:pos="2160"/>
              </w:tabs>
              <w:contextualSpacing/>
              <w:rPr>
                <w:rFonts w:eastAsia="Arial"/>
                <w:sz w:val="20"/>
                <w:szCs w:val="20"/>
              </w:rPr>
            </w:pPr>
          </w:p>
        </w:tc>
        <w:tc>
          <w:tcPr>
            <w:tcW w:w="7640" w:type="dxa"/>
            <w:shd w:val="clear" w:color="auto" w:fill="F2F2F2" w:themeFill="background1" w:themeFillShade="F2"/>
          </w:tcPr>
          <w:p w14:paraId="0420DC67" w14:textId="77777777" w:rsidR="00832B91" w:rsidRPr="004C12C9" w:rsidRDefault="00832B91" w:rsidP="00832B91">
            <w:pPr>
              <w:tabs>
                <w:tab w:val="left" w:pos="2160"/>
              </w:tabs>
              <w:contextualSpacing/>
              <w:rPr>
                <w:rFonts w:eastAsia="Arial"/>
                <w:sz w:val="20"/>
                <w:szCs w:val="20"/>
              </w:rPr>
            </w:pPr>
            <w:r w:rsidRPr="004C12C9">
              <w:rPr>
                <w:rFonts w:eastAsia="Arial"/>
                <w:sz w:val="20"/>
                <w:szCs w:val="20"/>
              </w:rPr>
              <w:t>= Number of acres of land by type, t, post-construction (acres)</w:t>
            </w:r>
          </w:p>
          <w:p w14:paraId="53492F6D" w14:textId="13EFE47A" w:rsidR="00832B91" w:rsidRPr="004C12C9" w:rsidRDefault="00832B91">
            <w:pPr>
              <w:tabs>
                <w:tab w:val="left" w:pos="2160"/>
              </w:tabs>
              <w:contextualSpacing/>
              <w:rPr>
                <w:rFonts w:eastAsia="Arial"/>
                <w:sz w:val="20"/>
                <w:szCs w:val="20"/>
              </w:rPr>
            </w:pPr>
            <w:r w:rsidRPr="004C12C9">
              <w:rPr>
                <w:rFonts w:eastAsia="Arial"/>
                <w:sz w:val="20"/>
                <w:szCs w:val="20"/>
              </w:rPr>
              <w:t>= Number of acres of land by type, t, post-operation (acres)</w:t>
            </w:r>
          </w:p>
          <w:p w14:paraId="39AD39AC" w14:textId="77777777" w:rsidR="00832B91" w:rsidRPr="004C12C9" w:rsidRDefault="00832B91">
            <w:pPr>
              <w:tabs>
                <w:tab w:val="left" w:pos="2160"/>
              </w:tabs>
              <w:contextualSpacing/>
              <w:rPr>
                <w:rFonts w:eastAsia="Arial"/>
                <w:sz w:val="20"/>
                <w:szCs w:val="20"/>
              </w:rPr>
            </w:pPr>
            <w:r w:rsidRPr="004C12C9">
              <w:rPr>
                <w:rFonts w:eastAsia="Arial"/>
                <w:sz w:val="20"/>
                <w:szCs w:val="20"/>
              </w:rPr>
              <w:t>= Amount of carbon stored per acre for land type, t (MT C/acre)</w:t>
            </w:r>
          </w:p>
          <w:p w14:paraId="458A437E" w14:textId="77777777" w:rsidR="00832B91" w:rsidRPr="004C12C9" w:rsidRDefault="00832B91">
            <w:pPr>
              <w:tabs>
                <w:tab w:val="left" w:pos="2160"/>
              </w:tabs>
              <w:contextualSpacing/>
              <w:rPr>
                <w:rFonts w:eastAsia="Arial"/>
                <w:sz w:val="20"/>
                <w:szCs w:val="20"/>
              </w:rPr>
            </w:pPr>
            <w:r w:rsidRPr="004C12C9">
              <w:rPr>
                <w:rFonts w:eastAsia="Arial"/>
                <w:sz w:val="20"/>
                <w:szCs w:val="20"/>
              </w:rPr>
              <w:t>= Conversion factor of C to CO</w:t>
            </w:r>
            <w:r w:rsidRPr="004C12C9">
              <w:rPr>
                <w:rFonts w:eastAsia="Arial"/>
                <w:sz w:val="20"/>
                <w:szCs w:val="20"/>
                <w:vertAlign w:val="subscript"/>
              </w:rPr>
              <w:t>2</w:t>
            </w:r>
          </w:p>
          <w:p w14:paraId="00F022A5" w14:textId="77777777" w:rsidR="00832B91" w:rsidRPr="004C12C9" w:rsidRDefault="00832B91" w:rsidP="00832B91">
            <w:pPr>
              <w:tabs>
                <w:tab w:val="left" w:pos="2160"/>
              </w:tabs>
              <w:contextualSpacing/>
              <w:rPr>
                <w:rFonts w:eastAsia="Arial"/>
                <w:sz w:val="20"/>
                <w:szCs w:val="20"/>
              </w:rPr>
            </w:pPr>
          </w:p>
        </w:tc>
      </w:tr>
    </w:tbl>
    <w:p w14:paraId="39E4F9CF" w14:textId="77777777" w:rsidR="00D551C1" w:rsidRPr="004C12C9" w:rsidRDefault="00D551C1" w:rsidP="00E31E37">
      <w:pPr>
        <w:pStyle w:val="Heading4"/>
      </w:pPr>
      <w:r w:rsidRPr="004C12C9">
        <w:t>Land Types</w:t>
      </w:r>
    </w:p>
    <w:p w14:paraId="7849F24D" w14:textId="0FEC21DA" w:rsidR="00D551C1" w:rsidRPr="004C12C9" w:rsidRDefault="00D551C1" w:rsidP="007D44CC">
      <w:r w:rsidRPr="004C12C9">
        <w:t xml:space="preserve">Users are required to provide the number of acres by land cover type </w:t>
      </w:r>
      <w:r w:rsidR="00786101" w:rsidRPr="004C12C9">
        <w:t>post-construction</w:t>
      </w:r>
      <w:r w:rsidRPr="004C12C9">
        <w:t xml:space="preserve"> and post-</w:t>
      </w:r>
      <w:r w:rsidR="006F77A9" w:rsidRPr="004C12C9">
        <w:t>operation</w:t>
      </w:r>
      <w:r w:rsidRPr="004C12C9">
        <w:t xml:space="preserve">. The land cover types for which users may provide data </w:t>
      </w:r>
      <w:r w:rsidR="007D44CC" w:rsidRPr="004C12C9">
        <w:t xml:space="preserve">are the same as those listed in Section </w:t>
      </w:r>
      <w:r w:rsidR="007D44CC" w:rsidRPr="004C12C9">
        <w:fldChar w:fldCharType="begin" w:fldLock="1"/>
      </w:r>
      <w:r w:rsidR="007D44CC" w:rsidRPr="004C12C9">
        <w:instrText xml:space="preserve"> REF _Ref195426682 \r \h </w:instrText>
      </w:r>
      <w:r w:rsidR="007D44CC" w:rsidRPr="004C12C9">
        <w:fldChar w:fldCharType="separate"/>
      </w:r>
      <w:r w:rsidR="00127094" w:rsidRPr="004C12C9">
        <w:t>2.5</w:t>
      </w:r>
      <w:r w:rsidR="007D44CC" w:rsidRPr="004C12C9">
        <w:fldChar w:fldCharType="end"/>
      </w:r>
      <w:r w:rsidR="007D44CC" w:rsidRPr="004C12C9">
        <w:t>.</w:t>
      </w:r>
    </w:p>
    <w:p w14:paraId="47E15CDF" w14:textId="22CA1ECA" w:rsidR="00D551C1" w:rsidRPr="004C12C9" w:rsidRDefault="00D551C1" w:rsidP="00E31E37">
      <w:pPr>
        <w:pStyle w:val="Heading4"/>
      </w:pPr>
      <w:r w:rsidRPr="004C12C9">
        <w:lastRenderedPageBreak/>
        <w:t>Carbon Stocks by Land Type</w:t>
      </w:r>
    </w:p>
    <w:p w14:paraId="2BB4BC3E" w14:textId="194FB20B" w:rsidR="00D551C1" w:rsidRPr="004C12C9" w:rsidRDefault="00D551C1" w:rsidP="00972CF9">
      <w:r w:rsidRPr="004C12C9">
        <w:t xml:space="preserve">Carbon stocks by land type were derived from various sources including Minnesota-specific studies, national reports, and IPCC Guidelines. The values represent carbon stocks from aboveground biomass, belowground biomass, soil carbon, and dead organic matter, including litter and woody debris. The carbon stocks by land type are summarized below in </w:t>
      </w:r>
      <w:r w:rsidR="007665E0" w:rsidRPr="004C12C9">
        <w:fldChar w:fldCharType="begin" w:fldLock="1"/>
      </w:r>
      <w:r w:rsidR="007665E0" w:rsidRPr="004C12C9">
        <w:instrText xml:space="preserve"> REF _Ref195866111 \h </w:instrText>
      </w:r>
      <w:r w:rsidR="007665E0" w:rsidRPr="004C12C9">
        <w:fldChar w:fldCharType="separate"/>
      </w:r>
      <w:r w:rsidR="00127094" w:rsidRPr="004C12C9">
        <w:t>Table 3</w:t>
      </w:r>
      <w:r w:rsidR="00127094" w:rsidRPr="004C12C9">
        <w:noBreakHyphen/>
        <w:t>22</w:t>
      </w:r>
      <w:r w:rsidR="007665E0" w:rsidRPr="004C12C9">
        <w:fldChar w:fldCharType="end"/>
      </w:r>
      <w:r w:rsidRPr="004C12C9">
        <w:t>.</w:t>
      </w:r>
      <w:r w:rsidR="002C703F" w:rsidRPr="004C12C9">
        <w:t xml:space="preserve"> See Section </w:t>
      </w:r>
      <w:r w:rsidR="002C703F" w:rsidRPr="004C12C9">
        <w:fldChar w:fldCharType="begin" w:fldLock="1"/>
      </w:r>
      <w:r w:rsidR="002C703F" w:rsidRPr="004C12C9">
        <w:instrText xml:space="preserve"> REF _Ref195426682 \r \h </w:instrText>
      </w:r>
      <w:r w:rsidR="002C703F" w:rsidRPr="004C12C9">
        <w:fldChar w:fldCharType="separate"/>
      </w:r>
      <w:r w:rsidR="00127094" w:rsidRPr="004C12C9">
        <w:t>2.5</w:t>
      </w:r>
      <w:r w:rsidR="002C703F" w:rsidRPr="004C12C9">
        <w:fldChar w:fldCharType="end"/>
      </w:r>
      <w:r w:rsidRPr="004C12C9">
        <w:t xml:space="preserve"> </w:t>
      </w:r>
      <w:r w:rsidR="002C703F" w:rsidRPr="004C12C9">
        <w:t>for a</w:t>
      </w:r>
      <w:r w:rsidR="005F2B10" w:rsidRPr="004C12C9">
        <w:t>dditional details on t</w:t>
      </w:r>
      <w:r w:rsidRPr="004C12C9">
        <w:t>he basis for these values</w:t>
      </w:r>
      <w:r w:rsidR="005F2B10" w:rsidRPr="004C12C9">
        <w:t>.</w:t>
      </w:r>
    </w:p>
    <w:p w14:paraId="4FA65936" w14:textId="09FD5B46" w:rsidR="00D551C1" w:rsidRPr="004C12C9" w:rsidRDefault="00D551C1" w:rsidP="00972CF9">
      <w:pPr>
        <w:pStyle w:val="Caption"/>
      </w:pPr>
      <w:bookmarkStart w:id="197" w:name="_Ref19586611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22</w:t>
      </w:r>
      <w:r w:rsidR="00F72B41">
        <w:fldChar w:fldCharType="end"/>
      </w:r>
      <w:bookmarkEnd w:id="197"/>
      <w:r w:rsidRPr="004C12C9">
        <w:t>. Carbon Stocks by Land Type</w:t>
      </w:r>
    </w:p>
    <w:tbl>
      <w:tblPr>
        <w:tblW w:w="8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025"/>
        <w:gridCol w:w="2070"/>
      </w:tblGrid>
      <w:tr w:rsidR="00AC69D1" w:rsidRPr="004C12C9" w14:paraId="4464DB09" w14:textId="77777777">
        <w:trPr>
          <w:trHeight w:val="300"/>
          <w:tblHeader/>
        </w:trPr>
        <w:tc>
          <w:tcPr>
            <w:tcW w:w="6025" w:type="dxa"/>
            <w:shd w:val="clear" w:color="auto" w:fill="D9D9D9" w:themeFill="background1" w:themeFillShade="D9"/>
            <w:noWrap/>
            <w:vAlign w:val="center"/>
            <w:hideMark/>
          </w:tcPr>
          <w:p w14:paraId="4B5E1332" w14:textId="77777777" w:rsidR="00AC69D1" w:rsidRPr="004C12C9" w:rsidRDefault="00AC69D1">
            <w:pPr>
              <w:pStyle w:val="ICFTableHeading"/>
            </w:pPr>
            <w:r w:rsidRPr="004C12C9">
              <w:t xml:space="preserve">Land type </w:t>
            </w:r>
          </w:p>
        </w:tc>
        <w:tc>
          <w:tcPr>
            <w:tcW w:w="2070" w:type="dxa"/>
            <w:shd w:val="clear" w:color="auto" w:fill="D9D9D9" w:themeFill="background1" w:themeFillShade="D9"/>
            <w:vAlign w:val="center"/>
          </w:tcPr>
          <w:p w14:paraId="73133F00" w14:textId="279F29B9" w:rsidR="00AC69D1" w:rsidRPr="004C12C9" w:rsidRDefault="00AC69D1">
            <w:pPr>
              <w:pStyle w:val="ICFTableHeading"/>
            </w:pPr>
            <w:r w:rsidRPr="004C12C9">
              <w:t xml:space="preserve">MT C per </w:t>
            </w:r>
            <w:r w:rsidR="007665E0" w:rsidRPr="004C12C9">
              <w:t>a</w:t>
            </w:r>
            <w:r w:rsidRPr="004C12C9">
              <w:t>cre</w:t>
            </w:r>
          </w:p>
        </w:tc>
      </w:tr>
      <w:tr w:rsidR="00AC69D1" w:rsidRPr="004C12C9" w14:paraId="2690F973" w14:textId="77777777">
        <w:trPr>
          <w:trHeight w:val="144"/>
        </w:trPr>
        <w:tc>
          <w:tcPr>
            <w:tcW w:w="6025" w:type="dxa"/>
            <w:noWrap/>
            <w:vAlign w:val="center"/>
          </w:tcPr>
          <w:p w14:paraId="6C33C1CE" w14:textId="57A3435A" w:rsidR="00AC69D1" w:rsidRPr="004C12C9" w:rsidRDefault="00AC69D1">
            <w:pPr>
              <w:pStyle w:val="ICFTabletext"/>
            </w:pPr>
            <w:r w:rsidRPr="004C12C9">
              <w:t>Wetlands</w:t>
            </w:r>
            <w:r w:rsidR="00DF1C57">
              <w:t>: peatland, no</w:t>
            </w:r>
            <w:r w:rsidR="00211CDB">
              <w:t>n-</w:t>
            </w:r>
            <w:r w:rsidR="00DF1C57">
              <w:t>forested</w:t>
            </w:r>
          </w:p>
        </w:tc>
        <w:tc>
          <w:tcPr>
            <w:tcW w:w="2070" w:type="dxa"/>
            <w:vAlign w:val="center"/>
          </w:tcPr>
          <w:p w14:paraId="189EFE5D" w14:textId="2D5BCA00" w:rsidR="00AC69D1" w:rsidRPr="004C12C9" w:rsidRDefault="004B346F">
            <w:pPr>
              <w:pStyle w:val="ICFTabletext"/>
              <w:jc w:val="center"/>
            </w:pPr>
            <w:r>
              <w:t>367.</w:t>
            </w:r>
            <w:r w:rsidR="00FB35DF">
              <w:t>9</w:t>
            </w:r>
          </w:p>
        </w:tc>
      </w:tr>
      <w:tr w:rsidR="00DF1C57" w:rsidRPr="004C12C9" w14:paraId="090A0313" w14:textId="77777777">
        <w:trPr>
          <w:trHeight w:val="144"/>
        </w:trPr>
        <w:tc>
          <w:tcPr>
            <w:tcW w:w="6025" w:type="dxa"/>
            <w:noWrap/>
            <w:vAlign w:val="center"/>
          </w:tcPr>
          <w:p w14:paraId="15A35DBC" w14:textId="499C8F74" w:rsidR="00DF1C57" w:rsidRPr="004C12C9" w:rsidRDefault="00DF1C57">
            <w:pPr>
              <w:pStyle w:val="ICFTabletext"/>
            </w:pPr>
            <w:r>
              <w:t>Wetlands: peatland, forested</w:t>
            </w:r>
          </w:p>
        </w:tc>
        <w:tc>
          <w:tcPr>
            <w:tcW w:w="2070" w:type="dxa"/>
            <w:vAlign w:val="center"/>
          </w:tcPr>
          <w:p w14:paraId="374FBCC8" w14:textId="54185577" w:rsidR="00DF1C57" w:rsidRPr="004C12C9" w:rsidRDefault="004B346F">
            <w:pPr>
              <w:pStyle w:val="ICFTabletext"/>
              <w:jc w:val="center"/>
            </w:pPr>
            <w:r>
              <w:t>436.</w:t>
            </w:r>
            <w:r w:rsidR="00FB35DF">
              <w:t>2</w:t>
            </w:r>
          </w:p>
        </w:tc>
      </w:tr>
      <w:tr w:rsidR="00DF1C57" w:rsidRPr="004C12C9" w14:paraId="2FB09682" w14:textId="77777777">
        <w:trPr>
          <w:trHeight w:val="144"/>
        </w:trPr>
        <w:tc>
          <w:tcPr>
            <w:tcW w:w="6025" w:type="dxa"/>
            <w:noWrap/>
            <w:vAlign w:val="center"/>
          </w:tcPr>
          <w:p w14:paraId="26D659E8" w14:textId="57281EF5" w:rsidR="00DF1C57" w:rsidRPr="004C12C9" w:rsidRDefault="00DF1C57">
            <w:pPr>
              <w:pStyle w:val="ICFTabletext"/>
            </w:pPr>
            <w:r>
              <w:t>Wetlands: mineral soil, no</w:t>
            </w:r>
            <w:r w:rsidR="00211CDB">
              <w:t>n-</w:t>
            </w:r>
            <w:r>
              <w:t>forested</w:t>
            </w:r>
          </w:p>
        </w:tc>
        <w:tc>
          <w:tcPr>
            <w:tcW w:w="2070" w:type="dxa"/>
            <w:vAlign w:val="center"/>
          </w:tcPr>
          <w:p w14:paraId="0843E4E3" w14:textId="4E217307" w:rsidR="00DF1C57" w:rsidRPr="004C12C9" w:rsidRDefault="004B346F">
            <w:pPr>
              <w:pStyle w:val="ICFTabletext"/>
              <w:jc w:val="center"/>
            </w:pPr>
            <w:r>
              <w:t>55.</w:t>
            </w:r>
            <w:r w:rsidR="00FB35DF">
              <w:t>6</w:t>
            </w:r>
          </w:p>
        </w:tc>
      </w:tr>
      <w:tr w:rsidR="00AC69D1" w:rsidRPr="004C12C9" w14:paraId="7BDACDB4" w14:textId="77777777">
        <w:trPr>
          <w:trHeight w:val="144"/>
        </w:trPr>
        <w:tc>
          <w:tcPr>
            <w:tcW w:w="6025" w:type="dxa"/>
            <w:noWrap/>
            <w:vAlign w:val="center"/>
          </w:tcPr>
          <w:p w14:paraId="22BE6514" w14:textId="35612549" w:rsidR="00AC69D1" w:rsidRPr="004C12C9" w:rsidRDefault="00AC69D1">
            <w:pPr>
              <w:pStyle w:val="ICFTabletext"/>
            </w:pPr>
            <w:r w:rsidRPr="004C12C9">
              <w:t>Wetlands</w:t>
            </w:r>
            <w:r w:rsidR="00DF1C57">
              <w:t>: mineral soil, forested</w:t>
            </w:r>
          </w:p>
        </w:tc>
        <w:tc>
          <w:tcPr>
            <w:tcW w:w="2070" w:type="dxa"/>
            <w:vAlign w:val="center"/>
          </w:tcPr>
          <w:p w14:paraId="7D3881DC" w14:textId="6AE03FB4" w:rsidR="00AC69D1" w:rsidRPr="004C12C9" w:rsidRDefault="004B346F">
            <w:pPr>
              <w:pStyle w:val="ICFTabletext"/>
              <w:jc w:val="center"/>
            </w:pPr>
            <w:r>
              <w:t>77.</w:t>
            </w:r>
            <w:r w:rsidR="00FB35DF">
              <w:t>2</w:t>
            </w:r>
          </w:p>
        </w:tc>
      </w:tr>
      <w:tr w:rsidR="00AC69D1" w:rsidRPr="004C12C9" w14:paraId="1AD44106" w14:textId="77777777">
        <w:trPr>
          <w:trHeight w:val="144"/>
        </w:trPr>
        <w:tc>
          <w:tcPr>
            <w:tcW w:w="6025" w:type="dxa"/>
            <w:noWrap/>
            <w:vAlign w:val="center"/>
          </w:tcPr>
          <w:p w14:paraId="14126B1A" w14:textId="77777777" w:rsidR="00AC69D1" w:rsidRPr="004C12C9" w:rsidRDefault="00AC69D1">
            <w:pPr>
              <w:pStyle w:val="ICFTabletext"/>
            </w:pPr>
            <w:r w:rsidRPr="004C12C9">
              <w:t xml:space="preserve">Forest </w:t>
            </w:r>
          </w:p>
        </w:tc>
        <w:tc>
          <w:tcPr>
            <w:tcW w:w="2070" w:type="dxa"/>
            <w:vAlign w:val="center"/>
          </w:tcPr>
          <w:p w14:paraId="21A38FE6" w14:textId="6AFD5D02" w:rsidR="00AC69D1" w:rsidRPr="004C12C9" w:rsidRDefault="00AC69D1">
            <w:pPr>
              <w:pStyle w:val="ICFTabletext"/>
              <w:jc w:val="center"/>
            </w:pPr>
            <w:r w:rsidRPr="004C12C9">
              <w:t>99</w:t>
            </w:r>
            <w:r w:rsidR="000663F1" w:rsidRPr="004C12C9">
              <w:t>.0</w:t>
            </w:r>
          </w:p>
        </w:tc>
      </w:tr>
      <w:tr w:rsidR="00AC69D1" w:rsidRPr="004C12C9" w14:paraId="38966073" w14:textId="77777777">
        <w:trPr>
          <w:trHeight w:val="144"/>
        </w:trPr>
        <w:tc>
          <w:tcPr>
            <w:tcW w:w="6025" w:type="dxa"/>
            <w:noWrap/>
            <w:vAlign w:val="center"/>
          </w:tcPr>
          <w:p w14:paraId="5BCF4E2E" w14:textId="77777777" w:rsidR="00AC69D1" w:rsidRPr="004C12C9" w:rsidRDefault="00AC69D1">
            <w:pPr>
              <w:pStyle w:val="ICFTabletext"/>
            </w:pPr>
            <w:r w:rsidRPr="004C12C9">
              <w:t>Rivers and streams</w:t>
            </w:r>
          </w:p>
        </w:tc>
        <w:tc>
          <w:tcPr>
            <w:tcW w:w="2070" w:type="dxa"/>
            <w:vAlign w:val="center"/>
          </w:tcPr>
          <w:p w14:paraId="3AF73418" w14:textId="5893CC6A" w:rsidR="00AC69D1" w:rsidRPr="004C12C9" w:rsidRDefault="00AC69D1">
            <w:pPr>
              <w:pStyle w:val="ICFTabletext"/>
              <w:jc w:val="center"/>
            </w:pPr>
            <w:r w:rsidRPr="004C12C9">
              <w:t>0</w:t>
            </w:r>
          </w:p>
        </w:tc>
      </w:tr>
      <w:tr w:rsidR="00AC69D1" w:rsidRPr="004C12C9" w14:paraId="23F2FF3C" w14:textId="77777777">
        <w:trPr>
          <w:trHeight w:val="144"/>
        </w:trPr>
        <w:tc>
          <w:tcPr>
            <w:tcW w:w="6025" w:type="dxa"/>
            <w:noWrap/>
          </w:tcPr>
          <w:p w14:paraId="7BFEEC8C" w14:textId="77777777" w:rsidR="00AC69D1" w:rsidRPr="004C12C9" w:rsidRDefault="00AC69D1">
            <w:pPr>
              <w:pStyle w:val="ICFTabletext"/>
            </w:pPr>
            <w:r w:rsidRPr="004C12C9">
              <w:t>Brush and grassland</w:t>
            </w:r>
          </w:p>
        </w:tc>
        <w:tc>
          <w:tcPr>
            <w:tcW w:w="2070" w:type="dxa"/>
            <w:vAlign w:val="center"/>
          </w:tcPr>
          <w:p w14:paraId="7DC5AFB7" w14:textId="15A3C54F" w:rsidR="00AC69D1" w:rsidRPr="004C12C9" w:rsidRDefault="000663F1">
            <w:pPr>
              <w:pStyle w:val="ICFTabletext"/>
              <w:jc w:val="center"/>
            </w:pPr>
            <w:r w:rsidRPr="004C12C9">
              <w:t>40.8</w:t>
            </w:r>
          </w:p>
        </w:tc>
      </w:tr>
      <w:tr w:rsidR="00AC69D1" w:rsidRPr="004C12C9" w14:paraId="2D667AB2" w14:textId="77777777">
        <w:trPr>
          <w:trHeight w:val="144"/>
        </w:trPr>
        <w:tc>
          <w:tcPr>
            <w:tcW w:w="6025" w:type="dxa"/>
            <w:noWrap/>
          </w:tcPr>
          <w:p w14:paraId="3C366F19" w14:textId="77777777" w:rsidR="00AC69D1" w:rsidRPr="004C12C9" w:rsidRDefault="00AC69D1">
            <w:pPr>
              <w:pStyle w:val="ICFTabletext"/>
            </w:pPr>
            <w:r w:rsidRPr="004C12C9">
              <w:t>Cropland</w:t>
            </w:r>
          </w:p>
        </w:tc>
        <w:tc>
          <w:tcPr>
            <w:tcW w:w="2070" w:type="dxa"/>
            <w:vAlign w:val="center"/>
          </w:tcPr>
          <w:p w14:paraId="0F50E4CE" w14:textId="7AC22506" w:rsidR="00AC69D1" w:rsidRPr="004C12C9" w:rsidRDefault="000663F1">
            <w:pPr>
              <w:pStyle w:val="ICFTabletext"/>
              <w:jc w:val="center"/>
            </w:pPr>
            <w:r w:rsidRPr="004C12C9">
              <w:t>32.5</w:t>
            </w:r>
          </w:p>
        </w:tc>
      </w:tr>
      <w:tr w:rsidR="00AC69D1" w:rsidRPr="004C12C9" w14:paraId="4E20F251" w14:textId="77777777">
        <w:trPr>
          <w:trHeight w:val="144"/>
        </w:trPr>
        <w:tc>
          <w:tcPr>
            <w:tcW w:w="6025" w:type="dxa"/>
            <w:noWrap/>
          </w:tcPr>
          <w:p w14:paraId="4F7DB98F" w14:textId="77777777" w:rsidR="00AC69D1" w:rsidRPr="004C12C9" w:rsidRDefault="00AC69D1">
            <w:pPr>
              <w:pStyle w:val="ICFTabletext"/>
            </w:pPr>
            <w:r w:rsidRPr="004C12C9">
              <w:t>Livestock rangeland/pastureland</w:t>
            </w:r>
          </w:p>
        </w:tc>
        <w:tc>
          <w:tcPr>
            <w:tcW w:w="2070" w:type="dxa"/>
            <w:vAlign w:val="center"/>
          </w:tcPr>
          <w:p w14:paraId="254473F3" w14:textId="4E93E462" w:rsidR="00AC69D1" w:rsidRPr="004C12C9" w:rsidRDefault="000663F1">
            <w:pPr>
              <w:pStyle w:val="ICFTabletext"/>
              <w:jc w:val="center"/>
            </w:pPr>
            <w:r w:rsidRPr="004C12C9">
              <w:t>40.8</w:t>
            </w:r>
          </w:p>
        </w:tc>
      </w:tr>
      <w:tr w:rsidR="00AC69D1" w:rsidRPr="004C12C9" w14:paraId="7B903011" w14:textId="77777777">
        <w:trPr>
          <w:trHeight w:val="144"/>
        </w:trPr>
        <w:tc>
          <w:tcPr>
            <w:tcW w:w="6025" w:type="dxa"/>
            <w:noWrap/>
          </w:tcPr>
          <w:p w14:paraId="60FCDA60" w14:textId="77777777" w:rsidR="00AC69D1" w:rsidRPr="004C12C9" w:rsidRDefault="00AC69D1">
            <w:pPr>
              <w:pStyle w:val="ICFTabletext"/>
            </w:pPr>
            <w:r w:rsidRPr="004C12C9">
              <w:t>Lawn/landscaping</w:t>
            </w:r>
          </w:p>
        </w:tc>
        <w:tc>
          <w:tcPr>
            <w:tcW w:w="2070" w:type="dxa"/>
            <w:vAlign w:val="center"/>
          </w:tcPr>
          <w:p w14:paraId="5F52839E" w14:textId="0B0885A5" w:rsidR="00AC69D1" w:rsidRPr="004C12C9" w:rsidRDefault="00AC69D1">
            <w:pPr>
              <w:pStyle w:val="ICFTabletext"/>
              <w:jc w:val="center"/>
            </w:pPr>
            <w:r w:rsidRPr="004C12C9">
              <w:t>19</w:t>
            </w:r>
            <w:r w:rsidR="000663F1" w:rsidRPr="004C12C9">
              <w:t>.1</w:t>
            </w:r>
          </w:p>
        </w:tc>
      </w:tr>
      <w:tr w:rsidR="00AC69D1" w:rsidRPr="004C12C9" w14:paraId="30D70B0D" w14:textId="77777777">
        <w:trPr>
          <w:trHeight w:val="144"/>
        </w:trPr>
        <w:tc>
          <w:tcPr>
            <w:tcW w:w="6025" w:type="dxa"/>
            <w:noWrap/>
          </w:tcPr>
          <w:p w14:paraId="6590FD0D" w14:textId="59C2D74F" w:rsidR="00AC69D1" w:rsidRPr="004C12C9" w:rsidRDefault="00AC69D1">
            <w:pPr>
              <w:pStyle w:val="ICFTabletext"/>
            </w:pPr>
            <w:r w:rsidRPr="004C12C9">
              <w:t xml:space="preserve">Green </w:t>
            </w:r>
            <w:r w:rsidR="007665E0" w:rsidRPr="004C12C9">
              <w:t>i</w:t>
            </w:r>
            <w:r w:rsidRPr="004C12C9">
              <w:t xml:space="preserve">nfrastructure: </w:t>
            </w:r>
            <w:r w:rsidR="007665E0" w:rsidRPr="004C12C9">
              <w:t>c</w:t>
            </w:r>
            <w:r w:rsidRPr="004C12C9">
              <w:t>onstructed wetlands, vegetated</w:t>
            </w:r>
          </w:p>
        </w:tc>
        <w:tc>
          <w:tcPr>
            <w:tcW w:w="2070" w:type="dxa"/>
            <w:vAlign w:val="center"/>
          </w:tcPr>
          <w:p w14:paraId="0648C5C0" w14:textId="34DEBF61" w:rsidR="00AC69D1" w:rsidRPr="004C12C9" w:rsidDel="00A41283" w:rsidRDefault="00AC69D1">
            <w:pPr>
              <w:pStyle w:val="ICFTabletext"/>
              <w:jc w:val="center"/>
            </w:pPr>
            <w:r w:rsidRPr="004C12C9">
              <w:t>43</w:t>
            </w:r>
            <w:r w:rsidR="000663F1" w:rsidRPr="004C12C9">
              <w:t>.4</w:t>
            </w:r>
          </w:p>
        </w:tc>
      </w:tr>
      <w:tr w:rsidR="00AC69D1" w:rsidRPr="004C12C9" w14:paraId="147330F7" w14:textId="77777777">
        <w:trPr>
          <w:trHeight w:val="144"/>
        </w:trPr>
        <w:tc>
          <w:tcPr>
            <w:tcW w:w="6025" w:type="dxa"/>
            <w:noWrap/>
          </w:tcPr>
          <w:p w14:paraId="44CFC352" w14:textId="57F1EE2C" w:rsidR="00AC69D1" w:rsidRPr="004C12C9" w:rsidRDefault="00AC69D1">
            <w:pPr>
              <w:pStyle w:val="ICFTabletext"/>
            </w:pPr>
            <w:r w:rsidRPr="004C12C9">
              <w:t xml:space="preserve">Green </w:t>
            </w:r>
            <w:r w:rsidR="007665E0" w:rsidRPr="004C12C9">
              <w:t>i</w:t>
            </w:r>
            <w:r w:rsidRPr="004C12C9">
              <w:t xml:space="preserve">nfrastructure: </w:t>
            </w:r>
            <w:r w:rsidR="007665E0" w:rsidRPr="004C12C9">
              <w:t>c</w:t>
            </w:r>
            <w:r w:rsidRPr="004C12C9">
              <w:t xml:space="preserve">onstructed wetlands, paved </w:t>
            </w:r>
          </w:p>
        </w:tc>
        <w:tc>
          <w:tcPr>
            <w:tcW w:w="2070" w:type="dxa"/>
            <w:vAlign w:val="center"/>
          </w:tcPr>
          <w:p w14:paraId="7184F335" w14:textId="7BBB5D83" w:rsidR="00AC69D1" w:rsidRPr="004C12C9" w:rsidDel="00A41283" w:rsidRDefault="00AC69D1">
            <w:pPr>
              <w:pStyle w:val="ICFTabletext"/>
              <w:jc w:val="center"/>
            </w:pPr>
            <w:r w:rsidRPr="004C12C9">
              <w:t>0</w:t>
            </w:r>
          </w:p>
        </w:tc>
      </w:tr>
      <w:tr w:rsidR="00AC69D1" w:rsidRPr="004C12C9" w14:paraId="696ED37F" w14:textId="77777777">
        <w:trPr>
          <w:trHeight w:val="144"/>
        </w:trPr>
        <w:tc>
          <w:tcPr>
            <w:tcW w:w="6025" w:type="dxa"/>
            <w:noWrap/>
          </w:tcPr>
          <w:p w14:paraId="222A3F2F" w14:textId="11E581B9" w:rsidR="00AC69D1" w:rsidRPr="004C12C9" w:rsidRDefault="00AC69D1">
            <w:pPr>
              <w:pStyle w:val="ICFTabletext"/>
            </w:pPr>
            <w:r w:rsidRPr="004C12C9">
              <w:t xml:space="preserve">Green </w:t>
            </w:r>
            <w:r w:rsidR="007665E0" w:rsidRPr="004C12C9">
              <w:t>i</w:t>
            </w:r>
            <w:r w:rsidRPr="004C12C9">
              <w:t xml:space="preserve">nfrastructure: </w:t>
            </w:r>
            <w:r w:rsidR="007665E0" w:rsidRPr="004C12C9">
              <w:t>c</w:t>
            </w:r>
            <w:r w:rsidRPr="004C12C9">
              <w:t>onstructed green roofs</w:t>
            </w:r>
          </w:p>
        </w:tc>
        <w:tc>
          <w:tcPr>
            <w:tcW w:w="2070" w:type="dxa"/>
            <w:vAlign w:val="center"/>
          </w:tcPr>
          <w:p w14:paraId="49C6C48B" w14:textId="29942C39" w:rsidR="00AC69D1" w:rsidRPr="004C12C9" w:rsidDel="00A41283" w:rsidRDefault="00AC69D1">
            <w:pPr>
              <w:pStyle w:val="ICFTabletext"/>
              <w:jc w:val="center"/>
            </w:pPr>
            <w:r w:rsidRPr="004C12C9">
              <w:t>19</w:t>
            </w:r>
            <w:r w:rsidR="000663F1" w:rsidRPr="004C12C9">
              <w:t>.1</w:t>
            </w:r>
          </w:p>
        </w:tc>
      </w:tr>
      <w:tr w:rsidR="00AC69D1" w:rsidRPr="004C12C9" w14:paraId="0E06CF23" w14:textId="77777777">
        <w:trPr>
          <w:trHeight w:val="144"/>
        </w:trPr>
        <w:tc>
          <w:tcPr>
            <w:tcW w:w="6025" w:type="dxa"/>
            <w:noWrap/>
          </w:tcPr>
          <w:p w14:paraId="5BB4A885" w14:textId="33AFA2DF" w:rsidR="00AC69D1" w:rsidRPr="004C12C9" w:rsidRDefault="00AC69D1">
            <w:pPr>
              <w:pStyle w:val="ICFTabletext"/>
            </w:pPr>
            <w:r w:rsidRPr="004C12C9">
              <w:t xml:space="preserve">Green </w:t>
            </w:r>
            <w:r w:rsidR="007665E0" w:rsidRPr="004C12C9">
              <w:t>i</w:t>
            </w:r>
            <w:r w:rsidRPr="004C12C9">
              <w:t xml:space="preserve">nfrastructure: </w:t>
            </w:r>
            <w:r w:rsidR="007665E0" w:rsidRPr="004C12C9">
              <w:t>c</w:t>
            </w:r>
            <w:r w:rsidRPr="004C12C9">
              <w:t xml:space="preserve">onstructed permeable pavements </w:t>
            </w:r>
          </w:p>
        </w:tc>
        <w:tc>
          <w:tcPr>
            <w:tcW w:w="2070" w:type="dxa"/>
            <w:vAlign w:val="center"/>
          </w:tcPr>
          <w:p w14:paraId="3CB1DA0C" w14:textId="7A66E57D" w:rsidR="00AC69D1" w:rsidRPr="004C12C9" w:rsidDel="00A41283" w:rsidRDefault="00AC69D1">
            <w:pPr>
              <w:pStyle w:val="ICFTabletext"/>
              <w:jc w:val="center"/>
            </w:pPr>
            <w:r w:rsidRPr="004C12C9">
              <w:t>0</w:t>
            </w:r>
          </w:p>
        </w:tc>
      </w:tr>
      <w:tr w:rsidR="00AC69D1" w:rsidRPr="004C12C9" w14:paraId="7C2E640F" w14:textId="77777777">
        <w:trPr>
          <w:trHeight w:val="144"/>
        </w:trPr>
        <w:tc>
          <w:tcPr>
            <w:tcW w:w="6025" w:type="dxa"/>
            <w:noWrap/>
          </w:tcPr>
          <w:p w14:paraId="36451DD9" w14:textId="77777777" w:rsidR="00AC69D1" w:rsidRPr="004C12C9" w:rsidRDefault="00AC69D1">
            <w:pPr>
              <w:pStyle w:val="ICFTabletext"/>
            </w:pPr>
            <w:r w:rsidRPr="004C12C9">
              <w:t xml:space="preserve">Impervious surface </w:t>
            </w:r>
          </w:p>
        </w:tc>
        <w:tc>
          <w:tcPr>
            <w:tcW w:w="2070" w:type="dxa"/>
            <w:vAlign w:val="center"/>
          </w:tcPr>
          <w:p w14:paraId="1496E726" w14:textId="16AD0734" w:rsidR="00AC69D1" w:rsidRPr="004C12C9" w:rsidRDefault="00AC69D1">
            <w:pPr>
              <w:pStyle w:val="ICFTabletext"/>
              <w:jc w:val="center"/>
            </w:pPr>
            <w:r w:rsidRPr="004C12C9">
              <w:t>0</w:t>
            </w:r>
          </w:p>
        </w:tc>
      </w:tr>
      <w:tr w:rsidR="00AC69D1" w:rsidRPr="004C12C9" w14:paraId="63DD8247" w14:textId="77777777">
        <w:trPr>
          <w:trHeight w:val="144"/>
        </w:trPr>
        <w:tc>
          <w:tcPr>
            <w:tcW w:w="6025" w:type="dxa"/>
            <w:noWrap/>
          </w:tcPr>
          <w:p w14:paraId="1AC189B0" w14:textId="77777777" w:rsidR="00AC69D1" w:rsidRPr="004C12C9" w:rsidRDefault="00AC69D1">
            <w:pPr>
              <w:pStyle w:val="ICFTabletext"/>
            </w:pPr>
            <w:r w:rsidRPr="004C12C9">
              <w:t>Stormwater pond (wet sedimentation basin)</w:t>
            </w:r>
          </w:p>
        </w:tc>
        <w:tc>
          <w:tcPr>
            <w:tcW w:w="2070" w:type="dxa"/>
            <w:vAlign w:val="center"/>
          </w:tcPr>
          <w:p w14:paraId="0DCBF0B2" w14:textId="4348B5AC" w:rsidR="00AC69D1" w:rsidRPr="004C12C9" w:rsidRDefault="00AC69D1">
            <w:pPr>
              <w:pStyle w:val="ICFTabletext"/>
              <w:jc w:val="center"/>
            </w:pPr>
            <w:r w:rsidRPr="004C12C9">
              <w:t>0</w:t>
            </w:r>
          </w:p>
        </w:tc>
      </w:tr>
    </w:tbl>
    <w:p w14:paraId="5DAEB734" w14:textId="77777777" w:rsidR="00D551C1" w:rsidRPr="004C12C9" w:rsidRDefault="00D551C1" w:rsidP="00E31E37">
      <w:pPr>
        <w:pStyle w:val="Heading4"/>
      </w:pPr>
      <w:r w:rsidRPr="004C12C9">
        <w:t>Limitations</w:t>
      </w:r>
    </w:p>
    <w:p w14:paraId="20FEBA30" w14:textId="77777777" w:rsidR="005F2B10" w:rsidRPr="004C12C9" w:rsidRDefault="005F2B10" w:rsidP="005F2B10">
      <w:r w:rsidRPr="004C12C9">
        <w:t>Key limitations of the methodology used to quantify emissions from land use change include:</w:t>
      </w:r>
    </w:p>
    <w:p w14:paraId="5F3821A4" w14:textId="77777777" w:rsidR="00DA2832" w:rsidRPr="004C12C9" w:rsidRDefault="00DA2832" w:rsidP="003B5F7F">
      <w:pPr>
        <w:pStyle w:val="ListParagraph"/>
        <w:numPr>
          <w:ilvl w:val="0"/>
          <w:numId w:val="16"/>
        </w:numPr>
      </w:pPr>
      <w:r w:rsidRPr="004C12C9">
        <w:t>The quantification method employs a stock-based approach to estimate net carbon changes from land use conversion, which provides a simplified snapshot of carbon stocks before and after the land transition. Unlike a net flux approach, this method does not directly account for the dynamic processes of carbon sequestration and release over time, such as annual plant growth, decomposition rates, or soil carbon dynamics following disturbance. Therefore, it provides a static estimate of long-term carbon impacts rather than a detailed accounting of annual carbon fluxes.</w:t>
      </w:r>
    </w:p>
    <w:p w14:paraId="076F6AB8" w14:textId="77777777" w:rsidR="00DA2832" w:rsidRPr="004C12C9" w:rsidRDefault="00DA2832" w:rsidP="003B5F7F">
      <w:pPr>
        <w:pStyle w:val="ListParagraph"/>
        <w:numPr>
          <w:ilvl w:val="0"/>
          <w:numId w:val="16"/>
        </w:numPr>
      </w:pPr>
      <w:r w:rsidRPr="004C12C9">
        <w:t xml:space="preserve">The land types included in the calculator are consistent with the land types defined in the EAW. Several limitations arise from the use of pre-defined carbon stock values for each land type. These values are </w:t>
      </w:r>
      <w:r w:rsidRPr="004C12C9">
        <w:lastRenderedPageBreak/>
        <w:t>derived from various sources, including regional and national studies, as well as IPCC Guidelines, and represent averages that may not fully capture the specific conditions of the project site. Site-specific factors such as soil type, vegetation composition, forest age and type, management practices, and microclimate can significantly influence actual carbon stocks.</w:t>
      </w:r>
    </w:p>
    <w:p w14:paraId="585DDC06" w14:textId="77777777" w:rsidR="00DA2832" w:rsidRPr="004C12C9" w:rsidRDefault="00DA2832" w:rsidP="003B5F7F">
      <w:pPr>
        <w:pStyle w:val="ListParagraph"/>
        <w:numPr>
          <w:ilvl w:val="0"/>
          <w:numId w:val="16"/>
        </w:numPr>
      </w:pPr>
      <w:r w:rsidRPr="004C12C9">
        <w:t>The method assumes full realization of the land transition over 30 years. Therefore, the results assume that no further changes to the converted land will occur in the foreseeable future.</w:t>
      </w:r>
    </w:p>
    <w:p w14:paraId="23CEC173" w14:textId="77777777" w:rsidR="00DA2832" w:rsidRPr="004C12C9" w:rsidRDefault="00DA2832" w:rsidP="003B5F7F">
      <w:pPr>
        <w:pStyle w:val="ListParagraph"/>
        <w:numPr>
          <w:ilvl w:val="0"/>
          <w:numId w:val="16"/>
        </w:numPr>
      </w:pPr>
      <w:r w:rsidRPr="004C12C9">
        <w:t>The estimated carbon stocks do not account for impacts from maintenance activities (e.g., lawn moving, irrigation) or fertilizer application. These impacts should be considered separately.</w:t>
      </w:r>
    </w:p>
    <w:p w14:paraId="6E195987" w14:textId="77777777" w:rsidR="004273AD" w:rsidRPr="004C12C9" w:rsidRDefault="00FC5F6E" w:rsidP="00630A96">
      <w:pPr>
        <w:pStyle w:val="Heading3"/>
      </w:pPr>
      <w:bookmarkStart w:id="198" w:name="_Toc219887779"/>
      <w:r w:rsidRPr="004C12C9">
        <w:t>On-Road Vehicles</w:t>
      </w:r>
      <w:bookmarkEnd w:id="198"/>
      <w:r w:rsidRPr="004C12C9">
        <w:tab/>
      </w:r>
      <w:r w:rsidRPr="004C12C9">
        <w:tab/>
      </w:r>
      <w:r w:rsidRPr="004C12C9">
        <w:tab/>
      </w:r>
    </w:p>
    <w:p w14:paraId="450EE426" w14:textId="557EA037" w:rsidR="0046596F" w:rsidRPr="004C12C9" w:rsidRDefault="0040082B" w:rsidP="001E7B95">
      <w:pPr>
        <w:rPr>
          <w:rFonts w:eastAsia="MS PGothic"/>
        </w:rPr>
      </w:pPr>
      <w:r w:rsidRPr="004C12C9">
        <w:rPr>
          <w:rFonts w:eastAsia="MS PGothic"/>
        </w:rPr>
        <w:t>This emissions source includes emissions from on-road vehicles that are used during the operational phase of the project. This includes emissions generated from vehicles that are driven on project roadways and downstream from vehicles driven to and from the project site by visitors or residents.</w:t>
      </w:r>
      <w:r w:rsidR="00843075" w:rsidRPr="004C12C9">
        <w:rPr>
          <w:rFonts w:eastAsia="MS PGothic"/>
        </w:rPr>
        <w:t xml:space="preserve"> </w:t>
      </w:r>
      <w:r w:rsidR="00762FB0" w:rsidRPr="004C12C9">
        <w:t xml:space="preserve">The </w:t>
      </w:r>
      <w:r w:rsidR="005619A4" w:rsidRPr="004C12C9">
        <w:t xml:space="preserve">calculator </w:t>
      </w:r>
      <w:r w:rsidR="00762FB0" w:rsidRPr="004C12C9">
        <w:t xml:space="preserve">quantifies </w:t>
      </w:r>
      <w:r w:rsidR="00762FB0" w:rsidRPr="004C12C9">
        <w:rPr>
          <w:rFonts w:eastAsia="MS PGothic"/>
        </w:rPr>
        <w:t>incremental on-road emissions</w:t>
      </w:r>
      <w:r w:rsidR="00762FB0" w:rsidRPr="004C12C9">
        <w:t xml:space="preserve"> based on estimates of additional </w:t>
      </w:r>
      <w:r w:rsidR="00E07B9B" w:rsidRPr="004C12C9">
        <w:t xml:space="preserve">vehicle miles </w:t>
      </w:r>
      <w:r w:rsidR="002C4E77" w:rsidRPr="004C12C9">
        <w:t>travel</w:t>
      </w:r>
      <w:r w:rsidR="00AF2352" w:rsidRPr="004C12C9">
        <w:t>ed</w:t>
      </w:r>
      <w:r w:rsidR="00E07B9B" w:rsidRPr="004C12C9">
        <w:t xml:space="preserve"> (VMT)</w:t>
      </w:r>
      <w:r w:rsidR="00F57D22" w:rsidRPr="004C12C9">
        <w:t xml:space="preserve"> an</w:t>
      </w:r>
      <w:r w:rsidR="004D5D35" w:rsidRPr="004C12C9">
        <w:t>d</w:t>
      </w:r>
      <w:r w:rsidR="00762FB0" w:rsidRPr="004C12C9">
        <w:t xml:space="preserve"> </w:t>
      </w:r>
      <w:r w:rsidR="000F30A4" w:rsidRPr="004C12C9">
        <w:t xml:space="preserve">an on-road vehicle </w:t>
      </w:r>
      <w:r w:rsidR="00762FB0" w:rsidRPr="004C12C9">
        <w:t>emission factor, as shown in</w:t>
      </w:r>
      <w:r w:rsidR="00AE52E2">
        <w:t xml:space="preserve"> </w:t>
      </w:r>
      <w:r w:rsidR="00AE52E2">
        <w:fldChar w:fldCharType="begin"/>
      </w:r>
      <w:r w:rsidR="00AE52E2">
        <w:instrText xml:space="preserve"> REF _Ref195776575 \h </w:instrText>
      </w:r>
      <w:r w:rsidR="00AE52E2">
        <w:fldChar w:fldCharType="separate"/>
      </w:r>
      <w:r w:rsidR="00AE52E2" w:rsidRPr="004C12C9">
        <w:t xml:space="preserve">Equation </w:t>
      </w:r>
      <w:r w:rsidR="00AE52E2">
        <w:rPr>
          <w:noProof/>
        </w:rPr>
        <w:t>24</w:t>
      </w:r>
      <w:r w:rsidR="00AE52E2">
        <w:fldChar w:fldCharType="end"/>
      </w:r>
      <w:r w:rsidR="00AE52E2">
        <w:t>.</w:t>
      </w:r>
    </w:p>
    <w:p w14:paraId="5DFE9590" w14:textId="180F5E72" w:rsidR="00843075" w:rsidRPr="004C12C9" w:rsidRDefault="00843075" w:rsidP="00843075">
      <w:pPr>
        <w:pStyle w:val="Caption"/>
      </w:pPr>
      <w:bookmarkStart w:id="199" w:name="_Ref195776575"/>
      <w:r w:rsidRPr="004C12C9">
        <w:t xml:space="preserve">Equation </w:t>
      </w:r>
      <w:r w:rsidR="00127094">
        <w:fldChar w:fldCharType="begin"/>
      </w:r>
      <w:r w:rsidR="00127094">
        <w:instrText xml:space="preserve"> SEQ Equation \* ARABIC </w:instrText>
      </w:r>
      <w:r w:rsidR="00127094">
        <w:fldChar w:fldCharType="separate"/>
      </w:r>
      <w:r w:rsidR="00AE52E2">
        <w:rPr>
          <w:noProof/>
        </w:rPr>
        <w:t>24</w:t>
      </w:r>
      <w:r w:rsidR="00127094">
        <w:fldChar w:fldCharType="end"/>
      </w:r>
      <w:bookmarkEnd w:id="199"/>
      <w:r w:rsidRPr="004C12C9">
        <w:t xml:space="preserve">. </w:t>
      </w:r>
      <w:r w:rsidR="00762FB0" w:rsidRPr="004C12C9">
        <w:t xml:space="preserve">Annual </w:t>
      </w:r>
      <w:r w:rsidRPr="004C12C9">
        <w:t>GHG Emissions from On-Road Vehicles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90"/>
        <w:gridCol w:w="8190"/>
      </w:tblGrid>
      <w:tr w:rsidR="0046596F" w:rsidRPr="004C12C9" w14:paraId="1EAC8698" w14:textId="77777777" w:rsidTr="00881317">
        <w:tc>
          <w:tcPr>
            <w:tcW w:w="10080" w:type="dxa"/>
            <w:gridSpan w:val="2"/>
            <w:shd w:val="clear" w:color="auto" w:fill="F2F2F2" w:themeFill="background1" w:themeFillShade="F2"/>
          </w:tcPr>
          <w:p w14:paraId="01EBB077" w14:textId="65C5EC35" w:rsidR="0046596F" w:rsidRPr="004C12C9" w:rsidRDefault="000002AA" w:rsidP="0046596F">
            <w:pPr>
              <w:pStyle w:val="Equation"/>
              <w:rPr>
                <w:noProof w:val="0"/>
              </w:rPr>
            </w:pPr>
            <m:oMathPara>
              <m:oMath>
                <m:r>
                  <w:rPr>
                    <w:noProof w:val="0"/>
                  </w:rPr>
                  <m:t>annual GHG emissions =</m:t>
                </m:r>
                <m:nary>
                  <m:naryPr>
                    <m:chr m:val="∑"/>
                    <m:limLoc m:val="undOvr"/>
                    <m:subHide m:val="1"/>
                    <m:supHide m:val="1"/>
                    <m:ctrlPr>
                      <w:rPr>
                        <w:noProof w:val="0"/>
                      </w:rPr>
                    </m:ctrlPr>
                  </m:naryPr>
                  <m:sub/>
                  <m:sup/>
                  <m:e>
                    <m:sSub>
                      <m:sSubPr>
                        <m:ctrlPr>
                          <w:rPr>
                            <w:noProof w:val="0"/>
                          </w:rPr>
                        </m:ctrlPr>
                      </m:sSubPr>
                      <m:e>
                        <m:r>
                          <w:rPr>
                            <w:noProof w:val="0"/>
                          </w:rPr>
                          <m:t>VMT</m:t>
                        </m:r>
                      </m:e>
                      <m:sub>
                        <m:r>
                          <w:rPr>
                            <w:noProof w:val="0"/>
                          </w:rPr>
                          <m:t>s</m:t>
                        </m:r>
                      </m:sub>
                    </m:sSub>
                    <m:r>
                      <w:rPr>
                        <w:noProof w:val="0"/>
                      </w:rPr>
                      <m:t xml:space="preserve">× </m:t>
                    </m:r>
                    <m:sSub>
                      <m:sSubPr>
                        <m:ctrlPr>
                          <w:rPr>
                            <w:noProof w:val="0"/>
                          </w:rPr>
                        </m:ctrlPr>
                      </m:sSubPr>
                      <m:e>
                        <m:r>
                          <w:rPr>
                            <w:noProof w:val="0"/>
                          </w:rPr>
                          <m:t>emission factor</m:t>
                        </m:r>
                      </m:e>
                      <m:sub>
                        <m:r>
                          <w:rPr>
                            <w:noProof w:val="0"/>
                          </w:rPr>
                          <m:t>s</m:t>
                        </m:r>
                      </m:sub>
                    </m:sSub>
                  </m:e>
                </m:nary>
              </m:oMath>
            </m:oMathPara>
          </w:p>
          <w:p w14:paraId="3A064C5E" w14:textId="77777777" w:rsidR="0046596F" w:rsidRPr="004C12C9" w:rsidRDefault="0046596F" w:rsidP="0032113E">
            <w:pPr>
              <w:rPr>
                <w:i/>
                <w:iCs/>
              </w:rPr>
            </w:pPr>
            <w:r w:rsidRPr="004C12C9">
              <w:rPr>
                <w:i/>
                <w:iCs/>
                <w:sz w:val="20"/>
                <w:szCs w:val="20"/>
              </w:rPr>
              <w:t xml:space="preserve">where, </w:t>
            </w:r>
          </w:p>
        </w:tc>
      </w:tr>
      <w:tr w:rsidR="0046596F" w:rsidRPr="004C12C9" w14:paraId="62DE77BC" w14:textId="77777777" w:rsidTr="00881317">
        <w:tc>
          <w:tcPr>
            <w:tcW w:w="1890" w:type="dxa"/>
            <w:shd w:val="clear" w:color="auto" w:fill="F2F2F2" w:themeFill="background1" w:themeFillShade="F2"/>
          </w:tcPr>
          <w:p w14:paraId="5BB443E4" w14:textId="4F092975" w:rsidR="0046596F" w:rsidRPr="004C12C9" w:rsidRDefault="00843075" w:rsidP="0032113E">
            <w:pPr>
              <w:tabs>
                <w:tab w:val="left" w:pos="2160"/>
              </w:tabs>
              <w:contextualSpacing/>
              <w:rPr>
                <w:rFonts w:eastAsia="Arial"/>
                <w:sz w:val="20"/>
                <w:szCs w:val="20"/>
              </w:rPr>
            </w:pPr>
            <w:r w:rsidRPr="004C12C9">
              <w:rPr>
                <w:rFonts w:eastAsia="Arial"/>
                <w:sz w:val="20"/>
                <w:szCs w:val="20"/>
              </w:rPr>
              <w:t>VMT</w:t>
            </w:r>
          </w:p>
          <w:p w14:paraId="001A88F8" w14:textId="0A2A9E15" w:rsidR="0046596F" w:rsidRPr="004C12C9" w:rsidRDefault="00843075" w:rsidP="0032113E">
            <w:pPr>
              <w:tabs>
                <w:tab w:val="left" w:pos="2160"/>
              </w:tabs>
              <w:contextualSpacing/>
              <w:rPr>
                <w:rFonts w:eastAsia="Arial"/>
                <w:sz w:val="20"/>
                <w:szCs w:val="20"/>
              </w:rPr>
            </w:pPr>
            <w:r w:rsidRPr="004C12C9">
              <w:rPr>
                <w:rFonts w:eastAsia="Arial"/>
                <w:sz w:val="20"/>
                <w:szCs w:val="20"/>
              </w:rPr>
              <w:t>E</w:t>
            </w:r>
            <w:r w:rsidR="00C63583" w:rsidRPr="004C12C9">
              <w:rPr>
                <w:rFonts w:eastAsia="Arial"/>
                <w:sz w:val="20"/>
                <w:szCs w:val="20"/>
              </w:rPr>
              <w:t xml:space="preserve">mission </w:t>
            </w:r>
            <w:r w:rsidR="00762FB0" w:rsidRPr="004C12C9">
              <w:rPr>
                <w:rFonts w:eastAsia="Arial"/>
                <w:sz w:val="20"/>
                <w:szCs w:val="20"/>
              </w:rPr>
              <w:t>factor</w:t>
            </w:r>
          </w:p>
        </w:tc>
        <w:tc>
          <w:tcPr>
            <w:tcW w:w="8190" w:type="dxa"/>
            <w:shd w:val="clear" w:color="auto" w:fill="F2F2F2" w:themeFill="background1" w:themeFillShade="F2"/>
          </w:tcPr>
          <w:p w14:paraId="57A13371" w14:textId="5C965C46" w:rsidR="00843075" w:rsidRPr="004C12C9" w:rsidRDefault="0046596F" w:rsidP="0032113E">
            <w:pPr>
              <w:tabs>
                <w:tab w:val="left" w:pos="2160"/>
              </w:tabs>
              <w:contextualSpacing/>
              <w:rPr>
                <w:rFonts w:eastAsia="Arial"/>
                <w:sz w:val="20"/>
                <w:szCs w:val="20"/>
              </w:rPr>
            </w:pPr>
            <w:r w:rsidRPr="004C12C9">
              <w:rPr>
                <w:rFonts w:eastAsia="Arial"/>
                <w:sz w:val="20"/>
                <w:szCs w:val="20"/>
              </w:rPr>
              <w:t xml:space="preserve">= </w:t>
            </w:r>
            <w:r w:rsidRPr="004C12C9">
              <w:rPr>
                <w:sz w:val="20"/>
                <w:szCs w:val="20"/>
              </w:rPr>
              <w:t xml:space="preserve">Number of additional </w:t>
            </w:r>
            <w:r w:rsidR="00F86FE7" w:rsidRPr="004C12C9">
              <w:rPr>
                <w:sz w:val="20"/>
                <w:szCs w:val="20"/>
              </w:rPr>
              <w:t>VMT</w:t>
            </w:r>
            <w:r w:rsidR="00843075" w:rsidRPr="004C12C9">
              <w:rPr>
                <w:sz w:val="20"/>
                <w:szCs w:val="20"/>
              </w:rPr>
              <w:t xml:space="preserve"> </w:t>
            </w:r>
            <w:r w:rsidRPr="004C12C9">
              <w:rPr>
                <w:sz w:val="20"/>
                <w:szCs w:val="20"/>
              </w:rPr>
              <w:t>by speed bin, s (miles/year)</w:t>
            </w:r>
          </w:p>
          <w:p w14:paraId="08841276" w14:textId="77777777" w:rsidR="00C63583" w:rsidRPr="004C12C9" w:rsidRDefault="0046596F" w:rsidP="0046596F">
            <w:pPr>
              <w:tabs>
                <w:tab w:val="left" w:pos="2160"/>
              </w:tabs>
              <w:contextualSpacing/>
              <w:rPr>
                <w:sz w:val="20"/>
                <w:szCs w:val="20"/>
              </w:rPr>
            </w:pPr>
            <w:r w:rsidRPr="004C12C9">
              <w:rPr>
                <w:rFonts w:eastAsia="Arial"/>
                <w:sz w:val="20"/>
                <w:szCs w:val="20"/>
              </w:rPr>
              <w:t xml:space="preserve">= </w:t>
            </w:r>
            <w:r w:rsidR="00843075" w:rsidRPr="004C12C9">
              <w:rPr>
                <w:sz w:val="20"/>
                <w:szCs w:val="20"/>
              </w:rPr>
              <w:t>Emissions per additional mile traveled by speed bin, s (CO</w:t>
            </w:r>
            <w:r w:rsidR="00843075" w:rsidRPr="004C12C9">
              <w:rPr>
                <w:sz w:val="20"/>
                <w:szCs w:val="20"/>
                <w:vertAlign w:val="subscript"/>
              </w:rPr>
              <w:t>2</w:t>
            </w:r>
            <w:r w:rsidR="00843075" w:rsidRPr="004C12C9">
              <w:rPr>
                <w:sz w:val="20"/>
                <w:szCs w:val="20"/>
              </w:rPr>
              <w:t>e/mile)</w:t>
            </w:r>
          </w:p>
          <w:p w14:paraId="53905374" w14:textId="2BC03A29" w:rsidR="0046596F" w:rsidRPr="004C12C9" w:rsidRDefault="00843075" w:rsidP="00843075">
            <w:pPr>
              <w:tabs>
                <w:tab w:val="left" w:pos="2160"/>
              </w:tabs>
              <w:contextualSpacing/>
              <w:rPr>
                <w:rFonts w:eastAsia="Arial"/>
                <w:sz w:val="20"/>
                <w:szCs w:val="20"/>
              </w:rPr>
            </w:pPr>
            <w:r w:rsidRPr="004C12C9">
              <w:t xml:space="preserve"> </w:t>
            </w:r>
          </w:p>
        </w:tc>
      </w:tr>
    </w:tbl>
    <w:p w14:paraId="051E87E4" w14:textId="77777777" w:rsidR="0046596F" w:rsidRPr="004C12C9" w:rsidRDefault="0046596F" w:rsidP="00972CF9">
      <w:pPr>
        <w:pStyle w:val="ICFText"/>
        <w:rPr>
          <w:rFonts w:eastAsia="MS PGothic"/>
        </w:rPr>
      </w:pPr>
    </w:p>
    <w:p w14:paraId="788FAB65" w14:textId="0F5EC898" w:rsidR="00843075" w:rsidRPr="004C12C9" w:rsidRDefault="002F2699" w:rsidP="008D1428">
      <w:pPr>
        <w:pStyle w:val="Heading4"/>
      </w:pPr>
      <w:r w:rsidRPr="004C12C9">
        <w:t xml:space="preserve">Speed </w:t>
      </w:r>
      <w:r w:rsidR="009B1183" w:rsidRPr="004C12C9">
        <w:t>Bin</w:t>
      </w:r>
    </w:p>
    <w:p w14:paraId="542BAC37" w14:textId="3A99B0E8" w:rsidR="00DA1986" w:rsidRPr="004C12C9" w:rsidRDefault="00DA1986" w:rsidP="00972CF9">
      <w:pPr>
        <w:pStyle w:val="Caption"/>
        <w:rPr>
          <w:rFonts w:eastAsia="MS PGothic"/>
          <w:b w:val="0"/>
          <w:sz w:val="22"/>
          <w:szCs w:val="22"/>
        </w:rPr>
      </w:pPr>
      <w:r w:rsidRPr="004C12C9">
        <w:rPr>
          <w:rFonts w:eastAsia="MS PGothic"/>
          <w:b w:val="0"/>
          <w:sz w:val="22"/>
          <w:szCs w:val="22"/>
        </w:rPr>
        <w:t xml:space="preserve">Users </w:t>
      </w:r>
      <w:r w:rsidR="009C7ADB" w:rsidRPr="004C12C9">
        <w:rPr>
          <w:rFonts w:eastAsia="MS PGothic"/>
          <w:b w:val="0"/>
          <w:sz w:val="22"/>
          <w:szCs w:val="22"/>
        </w:rPr>
        <w:t>have the</w:t>
      </w:r>
      <w:r w:rsidRPr="004C12C9">
        <w:rPr>
          <w:rFonts w:eastAsia="MS PGothic"/>
          <w:b w:val="0"/>
          <w:sz w:val="22"/>
          <w:szCs w:val="22"/>
        </w:rPr>
        <w:t xml:space="preserve"> option to provide VMT broken out by speed bin, if available. The speed bins for which users may provide </w:t>
      </w:r>
      <w:r w:rsidR="009B1183" w:rsidRPr="004C12C9">
        <w:rPr>
          <w:rFonts w:eastAsia="MS PGothic"/>
          <w:b w:val="0"/>
          <w:bCs w:val="0"/>
          <w:sz w:val="22"/>
          <w:szCs w:val="22"/>
        </w:rPr>
        <w:t xml:space="preserve">additional VMT </w:t>
      </w:r>
      <w:r w:rsidR="00117EB3" w:rsidRPr="004C12C9">
        <w:rPr>
          <w:rFonts w:eastAsia="MS PGothic"/>
          <w:b w:val="0"/>
          <w:bCs w:val="0"/>
          <w:sz w:val="22"/>
          <w:szCs w:val="22"/>
        </w:rPr>
        <w:t xml:space="preserve">input </w:t>
      </w:r>
      <w:r w:rsidRPr="004C12C9">
        <w:rPr>
          <w:rFonts w:eastAsia="MS PGothic"/>
          <w:b w:val="0"/>
          <w:sz w:val="22"/>
          <w:szCs w:val="22"/>
        </w:rPr>
        <w:t>data include the following:</w:t>
      </w:r>
    </w:p>
    <w:p w14:paraId="2A7A9C37" w14:textId="77777777" w:rsidR="00DA1986" w:rsidRPr="004C12C9" w:rsidRDefault="00DA1986" w:rsidP="003B5F7F">
      <w:pPr>
        <w:pStyle w:val="ListParagraph"/>
        <w:numPr>
          <w:ilvl w:val="0"/>
          <w:numId w:val="4"/>
        </w:numPr>
      </w:pPr>
      <w:r w:rsidRPr="004C12C9">
        <w:t>0-30 mph</w:t>
      </w:r>
    </w:p>
    <w:p w14:paraId="3CC7A27A" w14:textId="77777777" w:rsidR="00DA1986" w:rsidRPr="004C12C9" w:rsidRDefault="00DA1986" w:rsidP="003B5F7F">
      <w:pPr>
        <w:pStyle w:val="ListParagraph"/>
        <w:numPr>
          <w:ilvl w:val="0"/>
          <w:numId w:val="4"/>
        </w:numPr>
      </w:pPr>
      <w:r w:rsidRPr="004C12C9">
        <w:t>31-55 mph</w:t>
      </w:r>
    </w:p>
    <w:p w14:paraId="51B0FA83" w14:textId="77777777" w:rsidR="00DA1986" w:rsidRPr="004C12C9" w:rsidRDefault="00DA1986" w:rsidP="003B5F7F">
      <w:pPr>
        <w:pStyle w:val="ListParagraph"/>
        <w:numPr>
          <w:ilvl w:val="0"/>
          <w:numId w:val="4"/>
        </w:numPr>
      </w:pPr>
      <w:r w:rsidRPr="004C12C9">
        <w:t>56-75 mph</w:t>
      </w:r>
    </w:p>
    <w:p w14:paraId="0D87456A" w14:textId="77777777" w:rsidR="00DA1986" w:rsidRPr="004C12C9" w:rsidRDefault="00DA1986" w:rsidP="003B5F7F">
      <w:pPr>
        <w:pStyle w:val="ListParagraph"/>
        <w:numPr>
          <w:ilvl w:val="0"/>
          <w:numId w:val="4"/>
        </w:numPr>
      </w:pPr>
      <w:r w:rsidRPr="004C12C9">
        <w:t>Fleet average</w:t>
      </w:r>
    </w:p>
    <w:p w14:paraId="0A27E8BB" w14:textId="7D76F790" w:rsidR="009B1183" w:rsidRPr="004C12C9" w:rsidRDefault="009B1183" w:rsidP="008D1428">
      <w:pPr>
        <w:pStyle w:val="Heading4"/>
      </w:pPr>
      <w:r w:rsidRPr="004C12C9">
        <w:lastRenderedPageBreak/>
        <w:t>Emission Factors</w:t>
      </w:r>
    </w:p>
    <w:p w14:paraId="720CD6FD" w14:textId="3619C796" w:rsidR="00B97A9E" w:rsidRPr="004C12C9" w:rsidRDefault="00402F46" w:rsidP="004367C8">
      <w:pPr>
        <w:rPr>
          <w:rFonts w:eastAsiaTheme="majorEastAsia"/>
          <w:b/>
          <w:color w:val="003865" w:themeColor="accent1"/>
          <w:sz w:val="24"/>
          <w:szCs w:val="24"/>
        </w:rPr>
      </w:pPr>
      <w:r w:rsidRPr="004C12C9">
        <w:rPr>
          <w:rFonts w:eastAsia="MS PGothic"/>
        </w:rPr>
        <w:t>Emission factors for on-road vehicles were obtained from MICE3.0.</w:t>
      </w:r>
      <w:r w:rsidRPr="004C12C9">
        <w:rPr>
          <w:rStyle w:val="FootnoteReference"/>
          <w:rFonts w:asciiTheme="minorHAnsi" w:eastAsia="MS PGothic" w:hAnsiTheme="minorHAnsi" w:cstheme="minorBidi"/>
        </w:rPr>
        <w:footnoteReference w:id="110"/>
      </w:r>
      <w:r w:rsidRPr="004C12C9">
        <w:rPr>
          <w:rFonts w:eastAsia="MS PGothic"/>
        </w:rPr>
        <w:t xml:space="preserve"> The factors are based on emissions generated using MOVES5</w:t>
      </w:r>
      <w:r w:rsidRPr="004C12C9">
        <w:rPr>
          <w:rStyle w:val="FootnoteReference"/>
          <w:rFonts w:asciiTheme="minorHAnsi" w:eastAsia="MS PGothic" w:hAnsiTheme="minorHAnsi" w:cstheme="minorBidi"/>
        </w:rPr>
        <w:footnoteReference w:id="111"/>
      </w:r>
      <w:r w:rsidRPr="004C12C9">
        <w:rPr>
          <w:rFonts w:eastAsia="MS PGothic"/>
        </w:rPr>
        <w:t xml:space="preserve"> and Minnesota-specific inputs. The output from MOVES represents tailpipe-only emissions. </w:t>
      </w:r>
      <w:r w:rsidR="00B97A9E" w:rsidRPr="004C12C9">
        <w:rPr>
          <w:rFonts w:eastAsia="MS PGothic"/>
        </w:rPr>
        <w:t>Therefore, MICE3.0 applies a scaling factor of 1.2894 to account for upstream emissions. The lifecycle emission factors for the on-road fleet and by speed bin are summarized in</w:t>
      </w:r>
      <w:r w:rsidR="00136134">
        <w:rPr>
          <w:rFonts w:eastAsia="MS PGothic"/>
        </w:rPr>
        <w:t xml:space="preserve"> </w:t>
      </w:r>
      <w:r w:rsidR="00136134">
        <w:rPr>
          <w:rFonts w:eastAsia="MS PGothic"/>
        </w:rPr>
        <w:fldChar w:fldCharType="begin"/>
      </w:r>
      <w:r w:rsidR="00136134">
        <w:rPr>
          <w:rFonts w:eastAsia="MS PGothic"/>
        </w:rPr>
        <w:instrText xml:space="preserve"> REF _Ref219831401 \h </w:instrText>
      </w:r>
      <w:r w:rsidR="00136134">
        <w:rPr>
          <w:rFonts w:eastAsia="MS PGothic"/>
        </w:rPr>
      </w:r>
      <w:r w:rsidR="00136134">
        <w:rPr>
          <w:rFonts w:eastAsia="MS PGothic"/>
        </w:rPr>
        <w:fldChar w:fldCharType="separate"/>
      </w:r>
      <w:r w:rsidR="00136134" w:rsidRPr="004C12C9">
        <w:rPr>
          <w:rFonts w:eastAsia="MS PGothic"/>
        </w:rPr>
        <w:t xml:space="preserve">Table </w:t>
      </w:r>
      <w:r w:rsidR="00136134">
        <w:rPr>
          <w:rFonts w:eastAsia="MS PGothic"/>
          <w:noProof/>
        </w:rPr>
        <w:t>3</w:t>
      </w:r>
      <w:r w:rsidR="00136134">
        <w:rPr>
          <w:rFonts w:eastAsia="MS PGothic"/>
        </w:rPr>
        <w:noBreakHyphen/>
      </w:r>
      <w:r w:rsidR="00136134">
        <w:rPr>
          <w:rFonts w:eastAsia="MS PGothic"/>
          <w:noProof/>
        </w:rPr>
        <w:t>23</w:t>
      </w:r>
      <w:r w:rsidR="00136134">
        <w:rPr>
          <w:rFonts w:eastAsia="MS PGothic"/>
        </w:rPr>
        <w:fldChar w:fldCharType="end"/>
      </w:r>
      <w:r w:rsidR="00B97A9E" w:rsidRPr="004C12C9">
        <w:rPr>
          <w:rFonts w:eastAsia="MS PGothic"/>
        </w:rPr>
        <w:t>.</w:t>
      </w:r>
    </w:p>
    <w:p w14:paraId="71A09EF8" w14:textId="2E9A442C" w:rsidR="00B97A9E" w:rsidRPr="004C12C9" w:rsidRDefault="00B97A9E" w:rsidP="00244858">
      <w:pPr>
        <w:pStyle w:val="Caption"/>
        <w:rPr>
          <w:rFonts w:eastAsia="MS PGothic"/>
        </w:rPr>
      </w:pPr>
      <w:bookmarkStart w:id="200" w:name="_Ref219831401"/>
      <w:r w:rsidRPr="004C12C9">
        <w:rPr>
          <w:rFonts w:eastAsia="MS PGothic"/>
        </w:rPr>
        <w:t xml:space="preserve">Table </w:t>
      </w:r>
      <w:r w:rsidR="00F72B41">
        <w:rPr>
          <w:rFonts w:eastAsia="MS PGothic"/>
        </w:rPr>
        <w:fldChar w:fldCharType="begin"/>
      </w:r>
      <w:r w:rsidR="00F72B41">
        <w:rPr>
          <w:rFonts w:eastAsia="MS PGothic"/>
        </w:rPr>
        <w:instrText xml:space="preserve"> STYLEREF 2 \s </w:instrText>
      </w:r>
      <w:r w:rsidR="00F72B41">
        <w:rPr>
          <w:rFonts w:eastAsia="MS PGothic"/>
        </w:rPr>
        <w:fldChar w:fldCharType="separate"/>
      </w:r>
      <w:r w:rsidR="00F72B41">
        <w:rPr>
          <w:rFonts w:eastAsia="MS PGothic"/>
          <w:noProof/>
        </w:rPr>
        <w:t>3</w:t>
      </w:r>
      <w:r w:rsidR="00F72B41">
        <w:rPr>
          <w:rFonts w:eastAsia="MS PGothic"/>
        </w:rPr>
        <w:fldChar w:fldCharType="end"/>
      </w:r>
      <w:r w:rsidR="00F72B41">
        <w:rPr>
          <w:rFonts w:eastAsia="MS PGothic"/>
        </w:rPr>
        <w:noBreakHyphen/>
      </w:r>
      <w:r w:rsidR="00F72B41">
        <w:rPr>
          <w:rFonts w:eastAsia="MS PGothic"/>
        </w:rPr>
        <w:fldChar w:fldCharType="begin"/>
      </w:r>
      <w:r w:rsidR="00F72B41">
        <w:rPr>
          <w:rFonts w:eastAsia="MS PGothic"/>
        </w:rPr>
        <w:instrText xml:space="preserve"> SEQ Table \* ARABIC \s 2 </w:instrText>
      </w:r>
      <w:r w:rsidR="00F72B41">
        <w:rPr>
          <w:rFonts w:eastAsia="MS PGothic"/>
        </w:rPr>
        <w:fldChar w:fldCharType="separate"/>
      </w:r>
      <w:r w:rsidR="00F72B41">
        <w:rPr>
          <w:rFonts w:eastAsia="MS PGothic"/>
          <w:noProof/>
        </w:rPr>
        <w:t>23</w:t>
      </w:r>
      <w:r w:rsidR="00F72B41">
        <w:rPr>
          <w:rFonts w:eastAsia="MS PGothic"/>
        </w:rPr>
        <w:fldChar w:fldCharType="end"/>
      </w:r>
      <w:bookmarkEnd w:id="200"/>
      <w:r w:rsidR="000627CA" w:rsidRPr="004C12C9">
        <w:t>.</w:t>
      </w:r>
      <w:r w:rsidRPr="004C12C9">
        <w:rPr>
          <w:rFonts w:eastAsia="MS PGothic"/>
        </w:rPr>
        <w:t xml:space="preserve"> Emission Factors for On-Road </w:t>
      </w:r>
      <w:r w:rsidR="00A67B26" w:rsidRPr="004C12C9">
        <w:rPr>
          <w:rFonts w:eastAsia="MS PGothic"/>
        </w:rPr>
        <w:t>Vehicles by Speed Bin</w:t>
      </w:r>
    </w:p>
    <w:tbl>
      <w:tblPr>
        <w:tblW w:w="10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620"/>
        <w:gridCol w:w="1424"/>
        <w:gridCol w:w="1424"/>
        <w:gridCol w:w="1424"/>
        <w:gridCol w:w="1424"/>
        <w:gridCol w:w="1424"/>
        <w:gridCol w:w="1425"/>
      </w:tblGrid>
      <w:tr w:rsidR="00B97A9E" w:rsidRPr="004C12C9" w14:paraId="59793D30" w14:textId="77777777" w:rsidTr="00926FD6">
        <w:trPr>
          <w:trHeight w:val="300"/>
        </w:trPr>
        <w:tc>
          <w:tcPr>
            <w:tcW w:w="1620" w:type="dxa"/>
            <w:vMerge w:val="restart"/>
            <w:shd w:val="clear" w:color="auto" w:fill="D9D9D9" w:themeFill="background1" w:themeFillShade="D9"/>
            <w:vAlign w:val="center"/>
            <w:hideMark/>
          </w:tcPr>
          <w:p w14:paraId="39FF820F" w14:textId="2FF14D1B" w:rsidR="00B97A9E" w:rsidRPr="004C12C9" w:rsidRDefault="00B97A9E" w:rsidP="00AC4202">
            <w:pPr>
              <w:pStyle w:val="ICFTableHeading"/>
              <w:keepNext/>
              <w:rPr>
                <w:rFonts w:eastAsia="MS PGothic"/>
              </w:rPr>
            </w:pPr>
            <w:r w:rsidRPr="004C12C9">
              <w:rPr>
                <w:rFonts w:eastAsia="MS PGothic"/>
              </w:rPr>
              <w:t>Speed Bin</w:t>
            </w:r>
          </w:p>
        </w:tc>
        <w:tc>
          <w:tcPr>
            <w:tcW w:w="8545" w:type="dxa"/>
            <w:gridSpan w:val="6"/>
            <w:shd w:val="clear" w:color="auto" w:fill="D9D9D9" w:themeFill="background1" w:themeFillShade="D9"/>
            <w:hideMark/>
          </w:tcPr>
          <w:p w14:paraId="1A2D5DEE" w14:textId="2BEDDCB3" w:rsidR="00B97A9E" w:rsidRPr="004C12C9" w:rsidRDefault="00B97A9E" w:rsidP="00AC4202">
            <w:pPr>
              <w:pStyle w:val="ICFTableHeading"/>
              <w:keepNext/>
              <w:rPr>
                <w:rFonts w:eastAsia="MS PGothic"/>
              </w:rPr>
            </w:pPr>
            <w:r w:rsidRPr="004C12C9">
              <w:rPr>
                <w:rFonts w:eastAsia="MS PGothic"/>
              </w:rPr>
              <w:t>Emission Factor</w:t>
            </w:r>
            <w:r w:rsidRPr="004C12C9">
              <w:rPr>
                <w:rFonts w:eastAsia="MS PGothic"/>
                <w:vertAlign w:val="superscript"/>
              </w:rPr>
              <w:t>a</w:t>
            </w:r>
            <w:r w:rsidRPr="004C12C9">
              <w:rPr>
                <w:rFonts w:eastAsia="MS PGothic"/>
              </w:rPr>
              <w:t xml:space="preserve"> (gCO</w:t>
            </w:r>
            <w:r w:rsidRPr="004C12C9">
              <w:rPr>
                <w:rFonts w:eastAsia="MS PGothic"/>
                <w:vertAlign w:val="subscript"/>
              </w:rPr>
              <w:t>2</w:t>
            </w:r>
            <w:r w:rsidRPr="004C12C9">
              <w:rPr>
                <w:rFonts w:eastAsia="MS PGothic"/>
              </w:rPr>
              <w:t>e/mile)</w:t>
            </w:r>
          </w:p>
        </w:tc>
      </w:tr>
      <w:tr w:rsidR="00B97A9E" w:rsidRPr="004C12C9" w14:paraId="3793C535" w14:textId="77777777" w:rsidTr="00926FD6">
        <w:trPr>
          <w:trHeight w:val="300"/>
        </w:trPr>
        <w:tc>
          <w:tcPr>
            <w:tcW w:w="0" w:type="auto"/>
            <w:vMerge/>
            <w:shd w:val="clear" w:color="auto" w:fill="D9D9D9" w:themeFill="background1" w:themeFillShade="D9"/>
            <w:vAlign w:val="center"/>
            <w:hideMark/>
          </w:tcPr>
          <w:p w14:paraId="1B2D5074" w14:textId="77777777" w:rsidR="00B97A9E" w:rsidRPr="004C12C9" w:rsidRDefault="00B97A9E" w:rsidP="00AC4202">
            <w:pPr>
              <w:pStyle w:val="ICFTableHeading"/>
              <w:keepNext/>
              <w:rPr>
                <w:rFonts w:eastAsia="MS PGothic"/>
              </w:rPr>
            </w:pPr>
          </w:p>
        </w:tc>
        <w:tc>
          <w:tcPr>
            <w:tcW w:w="1424" w:type="dxa"/>
            <w:shd w:val="clear" w:color="auto" w:fill="D9D9D9" w:themeFill="background1" w:themeFillShade="D9"/>
            <w:hideMark/>
          </w:tcPr>
          <w:p w14:paraId="347428D7" w14:textId="2E7BA4A7" w:rsidR="00B97A9E" w:rsidRPr="004C12C9" w:rsidRDefault="00B97A9E" w:rsidP="00AC4202">
            <w:pPr>
              <w:pStyle w:val="ICFTableHeading"/>
              <w:keepNext/>
              <w:rPr>
                <w:rFonts w:eastAsia="MS PGothic"/>
              </w:rPr>
            </w:pPr>
            <w:r w:rsidRPr="004C12C9">
              <w:rPr>
                <w:rFonts w:eastAsia="MS PGothic"/>
              </w:rPr>
              <w:t>2025</w:t>
            </w:r>
          </w:p>
        </w:tc>
        <w:tc>
          <w:tcPr>
            <w:tcW w:w="1424" w:type="dxa"/>
            <w:shd w:val="clear" w:color="auto" w:fill="D9D9D9" w:themeFill="background1" w:themeFillShade="D9"/>
            <w:hideMark/>
          </w:tcPr>
          <w:p w14:paraId="674F8A82" w14:textId="586861EC" w:rsidR="00B97A9E" w:rsidRPr="004C12C9" w:rsidRDefault="00B97A9E" w:rsidP="00AC4202">
            <w:pPr>
              <w:pStyle w:val="ICFTableHeading"/>
              <w:keepNext/>
              <w:rPr>
                <w:rFonts w:eastAsia="MS PGothic"/>
              </w:rPr>
            </w:pPr>
            <w:r w:rsidRPr="004C12C9">
              <w:rPr>
                <w:rFonts w:eastAsia="MS PGothic"/>
              </w:rPr>
              <w:t>2030</w:t>
            </w:r>
          </w:p>
        </w:tc>
        <w:tc>
          <w:tcPr>
            <w:tcW w:w="1424" w:type="dxa"/>
            <w:shd w:val="clear" w:color="auto" w:fill="D9D9D9" w:themeFill="background1" w:themeFillShade="D9"/>
            <w:hideMark/>
          </w:tcPr>
          <w:p w14:paraId="71818539" w14:textId="378190F9" w:rsidR="00B97A9E" w:rsidRPr="004C12C9" w:rsidRDefault="00B97A9E" w:rsidP="00AC4202">
            <w:pPr>
              <w:pStyle w:val="ICFTableHeading"/>
              <w:keepNext/>
              <w:rPr>
                <w:rFonts w:eastAsia="MS PGothic"/>
              </w:rPr>
            </w:pPr>
            <w:r w:rsidRPr="004C12C9">
              <w:rPr>
                <w:rFonts w:eastAsia="MS PGothic"/>
              </w:rPr>
              <w:t>2035</w:t>
            </w:r>
          </w:p>
        </w:tc>
        <w:tc>
          <w:tcPr>
            <w:tcW w:w="1424" w:type="dxa"/>
            <w:shd w:val="clear" w:color="auto" w:fill="D9D9D9" w:themeFill="background1" w:themeFillShade="D9"/>
            <w:hideMark/>
          </w:tcPr>
          <w:p w14:paraId="10E0E069" w14:textId="00A36C10" w:rsidR="00B97A9E" w:rsidRPr="004C12C9" w:rsidRDefault="00B97A9E" w:rsidP="00AC4202">
            <w:pPr>
              <w:pStyle w:val="ICFTableHeading"/>
              <w:keepNext/>
              <w:rPr>
                <w:rFonts w:eastAsia="MS PGothic"/>
              </w:rPr>
            </w:pPr>
            <w:r w:rsidRPr="004C12C9">
              <w:rPr>
                <w:rFonts w:eastAsia="MS PGothic"/>
              </w:rPr>
              <w:t>2040</w:t>
            </w:r>
          </w:p>
        </w:tc>
        <w:tc>
          <w:tcPr>
            <w:tcW w:w="1424" w:type="dxa"/>
            <w:shd w:val="clear" w:color="auto" w:fill="D9D9D9" w:themeFill="background1" w:themeFillShade="D9"/>
            <w:hideMark/>
          </w:tcPr>
          <w:p w14:paraId="1E0DC3A2" w14:textId="18755FDB" w:rsidR="00B97A9E" w:rsidRPr="004C12C9" w:rsidRDefault="00B97A9E" w:rsidP="00AC4202">
            <w:pPr>
              <w:pStyle w:val="ICFTableHeading"/>
              <w:keepNext/>
              <w:rPr>
                <w:rFonts w:eastAsia="MS PGothic"/>
              </w:rPr>
            </w:pPr>
            <w:r w:rsidRPr="004C12C9">
              <w:rPr>
                <w:rFonts w:eastAsia="MS PGothic"/>
              </w:rPr>
              <w:t>2045</w:t>
            </w:r>
          </w:p>
        </w:tc>
        <w:tc>
          <w:tcPr>
            <w:tcW w:w="1425" w:type="dxa"/>
            <w:shd w:val="clear" w:color="auto" w:fill="D9D9D9" w:themeFill="background1" w:themeFillShade="D9"/>
            <w:hideMark/>
          </w:tcPr>
          <w:p w14:paraId="1116ED21" w14:textId="69EB1752" w:rsidR="00B97A9E" w:rsidRPr="004C12C9" w:rsidRDefault="00B97A9E" w:rsidP="00AC4202">
            <w:pPr>
              <w:pStyle w:val="ICFTableHeading"/>
              <w:keepNext/>
              <w:rPr>
                <w:rFonts w:eastAsia="MS PGothic"/>
              </w:rPr>
            </w:pPr>
            <w:r w:rsidRPr="004C12C9">
              <w:rPr>
                <w:rFonts w:eastAsia="MS PGothic"/>
              </w:rPr>
              <w:t>2050</w:t>
            </w:r>
          </w:p>
        </w:tc>
      </w:tr>
      <w:tr w:rsidR="00B97A9E" w:rsidRPr="004C12C9" w14:paraId="3BB49EF1" w14:textId="77777777" w:rsidTr="00926FD6">
        <w:trPr>
          <w:trHeight w:val="300"/>
        </w:trPr>
        <w:tc>
          <w:tcPr>
            <w:tcW w:w="1620" w:type="dxa"/>
            <w:vAlign w:val="center"/>
            <w:hideMark/>
          </w:tcPr>
          <w:p w14:paraId="3B016143" w14:textId="77777777" w:rsidR="00B97A9E" w:rsidRPr="004C12C9" w:rsidRDefault="00B97A9E" w:rsidP="00244858">
            <w:pPr>
              <w:pStyle w:val="ICFTabletext"/>
              <w:ind w:left="90"/>
              <w:rPr>
                <w:rFonts w:eastAsia="MS PGothic"/>
              </w:rPr>
            </w:pPr>
            <w:r w:rsidRPr="004C12C9">
              <w:rPr>
                <w:rFonts w:eastAsia="MS PGothic"/>
              </w:rPr>
              <w:t>0-30 </w:t>
            </w:r>
          </w:p>
        </w:tc>
        <w:tc>
          <w:tcPr>
            <w:tcW w:w="1424" w:type="dxa"/>
            <w:vAlign w:val="center"/>
            <w:hideMark/>
          </w:tcPr>
          <w:p w14:paraId="3EFD2D78" w14:textId="67231776" w:rsidR="00B97A9E" w:rsidRPr="004C12C9" w:rsidRDefault="00B97A9E" w:rsidP="00244858">
            <w:pPr>
              <w:pStyle w:val="ICFTabletext"/>
              <w:ind w:left="90"/>
              <w:jc w:val="center"/>
              <w:rPr>
                <w:rFonts w:eastAsia="MS PGothic"/>
              </w:rPr>
            </w:pPr>
            <w:r w:rsidRPr="004C12C9">
              <w:rPr>
                <w:rFonts w:eastAsia="MS PGothic"/>
              </w:rPr>
              <w:t>854.89</w:t>
            </w:r>
          </w:p>
        </w:tc>
        <w:tc>
          <w:tcPr>
            <w:tcW w:w="1424" w:type="dxa"/>
            <w:vAlign w:val="center"/>
            <w:hideMark/>
          </w:tcPr>
          <w:p w14:paraId="11C61E2D" w14:textId="4847E701" w:rsidR="00B97A9E" w:rsidRPr="004C12C9" w:rsidRDefault="00B97A9E" w:rsidP="00244858">
            <w:pPr>
              <w:pStyle w:val="ICFTabletext"/>
              <w:ind w:left="90"/>
              <w:jc w:val="center"/>
              <w:rPr>
                <w:rFonts w:eastAsia="MS PGothic"/>
              </w:rPr>
            </w:pPr>
            <w:r w:rsidRPr="004C12C9">
              <w:rPr>
                <w:rFonts w:eastAsia="MS PGothic"/>
              </w:rPr>
              <w:t>717.55</w:t>
            </w:r>
          </w:p>
        </w:tc>
        <w:tc>
          <w:tcPr>
            <w:tcW w:w="1424" w:type="dxa"/>
            <w:vAlign w:val="center"/>
            <w:hideMark/>
          </w:tcPr>
          <w:p w14:paraId="7880660F" w14:textId="0975E2BD" w:rsidR="00B97A9E" w:rsidRPr="004C12C9" w:rsidRDefault="00B97A9E" w:rsidP="00244858">
            <w:pPr>
              <w:pStyle w:val="ICFTabletext"/>
              <w:ind w:left="90"/>
              <w:jc w:val="center"/>
              <w:rPr>
                <w:rFonts w:eastAsia="MS PGothic"/>
              </w:rPr>
            </w:pPr>
            <w:r w:rsidRPr="004C12C9">
              <w:rPr>
                <w:rFonts w:eastAsia="MS PGothic"/>
              </w:rPr>
              <w:t>558.62</w:t>
            </w:r>
          </w:p>
        </w:tc>
        <w:tc>
          <w:tcPr>
            <w:tcW w:w="1424" w:type="dxa"/>
            <w:vAlign w:val="center"/>
            <w:hideMark/>
          </w:tcPr>
          <w:p w14:paraId="70D832C0" w14:textId="0A882A2E" w:rsidR="00B97A9E" w:rsidRPr="004C12C9" w:rsidRDefault="00B97A9E" w:rsidP="00244858">
            <w:pPr>
              <w:pStyle w:val="ICFTabletext"/>
              <w:ind w:left="90"/>
              <w:jc w:val="center"/>
              <w:rPr>
                <w:rFonts w:eastAsia="MS PGothic"/>
              </w:rPr>
            </w:pPr>
            <w:r w:rsidRPr="004C12C9">
              <w:rPr>
                <w:rFonts w:eastAsia="MS PGothic"/>
              </w:rPr>
              <w:t>446.81</w:t>
            </w:r>
          </w:p>
        </w:tc>
        <w:tc>
          <w:tcPr>
            <w:tcW w:w="1424" w:type="dxa"/>
            <w:vAlign w:val="center"/>
            <w:hideMark/>
          </w:tcPr>
          <w:p w14:paraId="311FDFC5" w14:textId="24C6DF0F" w:rsidR="00B97A9E" w:rsidRPr="004C12C9" w:rsidRDefault="00B97A9E" w:rsidP="00244858">
            <w:pPr>
              <w:pStyle w:val="ICFTabletext"/>
              <w:ind w:left="90"/>
              <w:jc w:val="center"/>
              <w:rPr>
                <w:rFonts w:eastAsia="MS PGothic"/>
              </w:rPr>
            </w:pPr>
            <w:r w:rsidRPr="004C12C9">
              <w:rPr>
                <w:rFonts w:eastAsia="MS PGothic"/>
              </w:rPr>
              <w:t>382.78</w:t>
            </w:r>
          </w:p>
        </w:tc>
        <w:tc>
          <w:tcPr>
            <w:tcW w:w="1425" w:type="dxa"/>
            <w:vAlign w:val="center"/>
            <w:hideMark/>
          </w:tcPr>
          <w:p w14:paraId="2ED85153" w14:textId="7C680CB3" w:rsidR="00B97A9E" w:rsidRPr="004C12C9" w:rsidRDefault="00B97A9E" w:rsidP="00244858">
            <w:pPr>
              <w:pStyle w:val="ICFTabletext"/>
              <w:ind w:left="90"/>
              <w:jc w:val="center"/>
              <w:rPr>
                <w:rFonts w:eastAsia="MS PGothic"/>
              </w:rPr>
            </w:pPr>
            <w:r w:rsidRPr="004C12C9">
              <w:rPr>
                <w:rFonts w:eastAsia="MS PGothic"/>
              </w:rPr>
              <w:t>351.40</w:t>
            </w:r>
          </w:p>
        </w:tc>
      </w:tr>
      <w:tr w:rsidR="00B97A9E" w:rsidRPr="004C12C9" w14:paraId="37334EE7" w14:textId="77777777" w:rsidTr="00926FD6">
        <w:trPr>
          <w:trHeight w:val="300"/>
        </w:trPr>
        <w:tc>
          <w:tcPr>
            <w:tcW w:w="1620" w:type="dxa"/>
            <w:vAlign w:val="center"/>
            <w:hideMark/>
          </w:tcPr>
          <w:p w14:paraId="1B424976" w14:textId="77777777" w:rsidR="00B97A9E" w:rsidRPr="004C12C9" w:rsidRDefault="00B97A9E" w:rsidP="00244858">
            <w:pPr>
              <w:pStyle w:val="ICFTabletext"/>
              <w:ind w:left="90"/>
              <w:rPr>
                <w:rFonts w:eastAsia="MS PGothic"/>
              </w:rPr>
            </w:pPr>
            <w:r w:rsidRPr="004C12C9">
              <w:rPr>
                <w:rFonts w:eastAsia="MS PGothic"/>
              </w:rPr>
              <w:t>31-55 </w:t>
            </w:r>
          </w:p>
        </w:tc>
        <w:tc>
          <w:tcPr>
            <w:tcW w:w="1424" w:type="dxa"/>
            <w:vAlign w:val="center"/>
            <w:hideMark/>
          </w:tcPr>
          <w:p w14:paraId="5908F966" w14:textId="3EBC2F74" w:rsidR="00B97A9E" w:rsidRPr="004C12C9" w:rsidRDefault="00B97A9E" w:rsidP="00244858">
            <w:pPr>
              <w:pStyle w:val="ICFTabletext"/>
              <w:ind w:left="90"/>
              <w:jc w:val="center"/>
              <w:rPr>
                <w:rFonts w:eastAsia="MS PGothic"/>
              </w:rPr>
            </w:pPr>
            <w:r w:rsidRPr="004C12C9">
              <w:rPr>
                <w:rFonts w:eastAsia="MS PGothic"/>
              </w:rPr>
              <w:t>529.47</w:t>
            </w:r>
          </w:p>
        </w:tc>
        <w:tc>
          <w:tcPr>
            <w:tcW w:w="1424" w:type="dxa"/>
            <w:vAlign w:val="center"/>
            <w:hideMark/>
          </w:tcPr>
          <w:p w14:paraId="4854AD79" w14:textId="54755BDE" w:rsidR="00B97A9E" w:rsidRPr="004C12C9" w:rsidRDefault="00B97A9E" w:rsidP="00244858">
            <w:pPr>
              <w:pStyle w:val="ICFTabletext"/>
              <w:ind w:left="90"/>
              <w:jc w:val="center"/>
              <w:rPr>
                <w:rFonts w:eastAsia="MS PGothic"/>
              </w:rPr>
            </w:pPr>
            <w:r w:rsidRPr="004C12C9">
              <w:rPr>
                <w:rFonts w:eastAsia="MS PGothic"/>
              </w:rPr>
              <w:t>445.57</w:t>
            </w:r>
          </w:p>
        </w:tc>
        <w:tc>
          <w:tcPr>
            <w:tcW w:w="1424" w:type="dxa"/>
            <w:vAlign w:val="center"/>
            <w:hideMark/>
          </w:tcPr>
          <w:p w14:paraId="738FD89D" w14:textId="35522E9D" w:rsidR="00B97A9E" w:rsidRPr="004C12C9" w:rsidRDefault="00B97A9E" w:rsidP="00244858">
            <w:pPr>
              <w:pStyle w:val="ICFTabletext"/>
              <w:ind w:left="90"/>
              <w:jc w:val="center"/>
              <w:rPr>
                <w:rFonts w:eastAsia="MS PGothic"/>
              </w:rPr>
            </w:pPr>
            <w:r w:rsidRPr="004C12C9">
              <w:rPr>
                <w:rFonts w:eastAsia="MS PGothic"/>
              </w:rPr>
              <w:t>348.27</w:t>
            </w:r>
          </w:p>
        </w:tc>
        <w:tc>
          <w:tcPr>
            <w:tcW w:w="1424" w:type="dxa"/>
            <w:vAlign w:val="center"/>
            <w:hideMark/>
          </w:tcPr>
          <w:p w14:paraId="7076012F" w14:textId="2CD30425" w:rsidR="00B97A9E" w:rsidRPr="004C12C9" w:rsidRDefault="00B97A9E" w:rsidP="00244858">
            <w:pPr>
              <w:pStyle w:val="ICFTabletext"/>
              <w:ind w:left="90"/>
              <w:jc w:val="center"/>
              <w:rPr>
                <w:rFonts w:eastAsia="MS PGothic"/>
              </w:rPr>
            </w:pPr>
            <w:r w:rsidRPr="004C12C9">
              <w:rPr>
                <w:rFonts w:eastAsia="MS PGothic"/>
              </w:rPr>
              <w:t>279.83</w:t>
            </w:r>
          </w:p>
        </w:tc>
        <w:tc>
          <w:tcPr>
            <w:tcW w:w="1424" w:type="dxa"/>
            <w:vAlign w:val="center"/>
            <w:hideMark/>
          </w:tcPr>
          <w:p w14:paraId="7A18558B" w14:textId="3652C161" w:rsidR="00B97A9E" w:rsidRPr="004C12C9" w:rsidRDefault="00B97A9E" w:rsidP="00244858">
            <w:pPr>
              <w:pStyle w:val="ICFTabletext"/>
              <w:ind w:left="90"/>
              <w:jc w:val="center"/>
              <w:rPr>
                <w:rFonts w:eastAsia="MS PGothic"/>
              </w:rPr>
            </w:pPr>
            <w:r w:rsidRPr="004C12C9">
              <w:rPr>
                <w:rFonts w:eastAsia="MS PGothic"/>
              </w:rPr>
              <w:t>240.56</w:t>
            </w:r>
          </w:p>
        </w:tc>
        <w:tc>
          <w:tcPr>
            <w:tcW w:w="1425" w:type="dxa"/>
            <w:vAlign w:val="center"/>
            <w:hideMark/>
          </w:tcPr>
          <w:p w14:paraId="12969DE0" w14:textId="1FD17A16" w:rsidR="00B97A9E" w:rsidRPr="004C12C9" w:rsidRDefault="00B97A9E" w:rsidP="00244858">
            <w:pPr>
              <w:pStyle w:val="ICFTabletext"/>
              <w:ind w:left="90"/>
              <w:jc w:val="center"/>
              <w:rPr>
                <w:rFonts w:eastAsia="MS PGothic"/>
              </w:rPr>
            </w:pPr>
            <w:r w:rsidRPr="004C12C9">
              <w:rPr>
                <w:rFonts w:eastAsia="MS PGothic"/>
              </w:rPr>
              <w:t>221.16</w:t>
            </w:r>
          </w:p>
        </w:tc>
      </w:tr>
      <w:tr w:rsidR="00B97A9E" w:rsidRPr="004C12C9" w14:paraId="481EEA6F" w14:textId="77777777" w:rsidTr="00926FD6">
        <w:trPr>
          <w:trHeight w:val="300"/>
        </w:trPr>
        <w:tc>
          <w:tcPr>
            <w:tcW w:w="1620" w:type="dxa"/>
            <w:vAlign w:val="center"/>
            <w:hideMark/>
          </w:tcPr>
          <w:p w14:paraId="4666B40E" w14:textId="77777777" w:rsidR="00B97A9E" w:rsidRPr="004C12C9" w:rsidRDefault="00B97A9E" w:rsidP="00244858">
            <w:pPr>
              <w:pStyle w:val="ICFTabletext"/>
              <w:ind w:left="90"/>
              <w:rPr>
                <w:rFonts w:eastAsia="MS PGothic"/>
              </w:rPr>
            </w:pPr>
            <w:r w:rsidRPr="004C12C9">
              <w:rPr>
                <w:rFonts w:eastAsia="MS PGothic"/>
              </w:rPr>
              <w:t>56-75 </w:t>
            </w:r>
          </w:p>
        </w:tc>
        <w:tc>
          <w:tcPr>
            <w:tcW w:w="1424" w:type="dxa"/>
            <w:vAlign w:val="center"/>
            <w:hideMark/>
          </w:tcPr>
          <w:p w14:paraId="6D166981" w14:textId="42455B49" w:rsidR="00B97A9E" w:rsidRPr="004C12C9" w:rsidRDefault="00B97A9E" w:rsidP="00244858">
            <w:pPr>
              <w:pStyle w:val="ICFTabletext"/>
              <w:ind w:left="90"/>
              <w:jc w:val="center"/>
              <w:rPr>
                <w:rFonts w:eastAsia="MS PGothic"/>
              </w:rPr>
            </w:pPr>
            <w:r w:rsidRPr="004C12C9">
              <w:rPr>
                <w:rFonts w:eastAsia="MS PGothic"/>
              </w:rPr>
              <w:t>518.99</w:t>
            </w:r>
          </w:p>
        </w:tc>
        <w:tc>
          <w:tcPr>
            <w:tcW w:w="1424" w:type="dxa"/>
            <w:vAlign w:val="center"/>
            <w:hideMark/>
          </w:tcPr>
          <w:p w14:paraId="0FDA73B3" w14:textId="79CBC952" w:rsidR="00B97A9E" w:rsidRPr="004C12C9" w:rsidRDefault="00B97A9E" w:rsidP="00244858">
            <w:pPr>
              <w:pStyle w:val="ICFTabletext"/>
              <w:ind w:left="90"/>
              <w:jc w:val="center"/>
              <w:rPr>
                <w:rFonts w:eastAsia="MS PGothic"/>
              </w:rPr>
            </w:pPr>
            <w:r w:rsidRPr="004C12C9">
              <w:rPr>
                <w:rFonts w:eastAsia="MS PGothic"/>
              </w:rPr>
              <w:t>436.81</w:t>
            </w:r>
          </w:p>
        </w:tc>
        <w:tc>
          <w:tcPr>
            <w:tcW w:w="1424" w:type="dxa"/>
            <w:vAlign w:val="center"/>
            <w:hideMark/>
          </w:tcPr>
          <w:p w14:paraId="4A955AFD" w14:textId="19F74BC6" w:rsidR="00B97A9E" w:rsidRPr="004C12C9" w:rsidRDefault="00B97A9E" w:rsidP="00244858">
            <w:pPr>
              <w:pStyle w:val="ICFTabletext"/>
              <w:ind w:left="90"/>
              <w:jc w:val="center"/>
              <w:rPr>
                <w:rFonts w:eastAsia="MS PGothic"/>
              </w:rPr>
            </w:pPr>
            <w:r w:rsidRPr="004C12C9">
              <w:rPr>
                <w:rFonts w:eastAsia="MS PGothic"/>
              </w:rPr>
              <w:t>342.00</w:t>
            </w:r>
          </w:p>
        </w:tc>
        <w:tc>
          <w:tcPr>
            <w:tcW w:w="1424" w:type="dxa"/>
            <w:vAlign w:val="center"/>
            <w:hideMark/>
          </w:tcPr>
          <w:p w14:paraId="5ED08841" w14:textId="3F229D82" w:rsidR="00B97A9E" w:rsidRPr="004C12C9" w:rsidRDefault="00B97A9E" w:rsidP="00244858">
            <w:pPr>
              <w:pStyle w:val="ICFTabletext"/>
              <w:ind w:left="90"/>
              <w:jc w:val="center"/>
              <w:rPr>
                <w:rFonts w:eastAsia="MS PGothic"/>
              </w:rPr>
            </w:pPr>
            <w:r w:rsidRPr="004C12C9">
              <w:rPr>
                <w:rFonts w:eastAsia="MS PGothic"/>
              </w:rPr>
              <w:t>275.38</w:t>
            </w:r>
          </w:p>
        </w:tc>
        <w:tc>
          <w:tcPr>
            <w:tcW w:w="1424" w:type="dxa"/>
            <w:vAlign w:val="center"/>
            <w:hideMark/>
          </w:tcPr>
          <w:p w14:paraId="0108187C" w14:textId="2E014F02" w:rsidR="00B97A9E" w:rsidRPr="004C12C9" w:rsidRDefault="00B97A9E" w:rsidP="00244858">
            <w:pPr>
              <w:pStyle w:val="ICFTabletext"/>
              <w:ind w:left="90"/>
              <w:jc w:val="center"/>
              <w:rPr>
                <w:rFonts w:eastAsia="MS PGothic"/>
              </w:rPr>
            </w:pPr>
            <w:r w:rsidRPr="004C12C9">
              <w:rPr>
                <w:rFonts w:eastAsia="MS PGothic"/>
              </w:rPr>
              <w:t>237.17</w:t>
            </w:r>
          </w:p>
        </w:tc>
        <w:tc>
          <w:tcPr>
            <w:tcW w:w="1425" w:type="dxa"/>
            <w:vAlign w:val="center"/>
            <w:hideMark/>
          </w:tcPr>
          <w:p w14:paraId="2E9FEB9E" w14:textId="0340BDD9" w:rsidR="00B97A9E" w:rsidRPr="004C12C9" w:rsidRDefault="00B97A9E" w:rsidP="00244858">
            <w:pPr>
              <w:pStyle w:val="ICFTabletext"/>
              <w:ind w:left="90"/>
              <w:jc w:val="center"/>
              <w:rPr>
                <w:rFonts w:eastAsia="MS PGothic"/>
              </w:rPr>
            </w:pPr>
            <w:r w:rsidRPr="004C12C9">
              <w:rPr>
                <w:rFonts w:eastAsia="MS PGothic"/>
              </w:rPr>
              <w:t>218.36</w:t>
            </w:r>
          </w:p>
        </w:tc>
      </w:tr>
      <w:tr w:rsidR="00B97A9E" w:rsidRPr="004C12C9" w14:paraId="22A01D16" w14:textId="77777777" w:rsidTr="00926FD6">
        <w:trPr>
          <w:trHeight w:val="300"/>
        </w:trPr>
        <w:tc>
          <w:tcPr>
            <w:tcW w:w="1620" w:type="dxa"/>
            <w:vAlign w:val="center"/>
            <w:hideMark/>
          </w:tcPr>
          <w:p w14:paraId="65148817" w14:textId="77777777" w:rsidR="00B97A9E" w:rsidRPr="004C12C9" w:rsidRDefault="00B97A9E" w:rsidP="00244858">
            <w:pPr>
              <w:pStyle w:val="ICFTabletext"/>
              <w:ind w:left="90"/>
              <w:rPr>
                <w:rFonts w:eastAsia="MS PGothic"/>
              </w:rPr>
            </w:pPr>
            <w:r w:rsidRPr="004C12C9">
              <w:rPr>
                <w:rFonts w:eastAsia="MS PGothic"/>
              </w:rPr>
              <w:t>Fleet Average </w:t>
            </w:r>
          </w:p>
        </w:tc>
        <w:tc>
          <w:tcPr>
            <w:tcW w:w="1424" w:type="dxa"/>
            <w:vAlign w:val="center"/>
            <w:hideMark/>
          </w:tcPr>
          <w:p w14:paraId="5FB5C1C1" w14:textId="25651713" w:rsidR="00B97A9E" w:rsidRPr="004C12C9" w:rsidRDefault="00B97A9E" w:rsidP="00244858">
            <w:pPr>
              <w:pStyle w:val="ICFTabletext"/>
              <w:ind w:left="90"/>
              <w:jc w:val="center"/>
              <w:rPr>
                <w:rFonts w:eastAsia="MS PGothic"/>
              </w:rPr>
            </w:pPr>
            <w:r w:rsidRPr="004C12C9">
              <w:rPr>
                <w:rFonts w:eastAsia="MS PGothic"/>
              </w:rPr>
              <w:t>578.9</w:t>
            </w:r>
            <w:r w:rsidR="000903D7" w:rsidRPr="004C12C9">
              <w:rPr>
                <w:rFonts w:eastAsia="MS PGothic"/>
              </w:rPr>
              <w:t>1</w:t>
            </w:r>
          </w:p>
        </w:tc>
        <w:tc>
          <w:tcPr>
            <w:tcW w:w="1424" w:type="dxa"/>
            <w:vAlign w:val="center"/>
            <w:hideMark/>
          </w:tcPr>
          <w:p w14:paraId="5AD6FC6D" w14:textId="05F865C6" w:rsidR="00B97A9E" w:rsidRPr="004C12C9" w:rsidRDefault="00B97A9E" w:rsidP="00244858">
            <w:pPr>
              <w:pStyle w:val="ICFTabletext"/>
              <w:ind w:left="90"/>
              <w:jc w:val="center"/>
              <w:rPr>
                <w:rFonts w:eastAsia="MS PGothic"/>
              </w:rPr>
            </w:pPr>
            <w:r w:rsidRPr="004C12C9">
              <w:rPr>
                <w:rFonts w:eastAsia="MS PGothic"/>
              </w:rPr>
              <w:t>485.7</w:t>
            </w:r>
            <w:r w:rsidR="000903D7" w:rsidRPr="004C12C9">
              <w:rPr>
                <w:rFonts w:eastAsia="MS PGothic"/>
              </w:rPr>
              <w:t>3</w:t>
            </w:r>
          </w:p>
        </w:tc>
        <w:tc>
          <w:tcPr>
            <w:tcW w:w="1424" w:type="dxa"/>
            <w:vAlign w:val="center"/>
            <w:hideMark/>
          </w:tcPr>
          <w:p w14:paraId="049ED058" w14:textId="6AA1EF69" w:rsidR="00B97A9E" w:rsidRPr="004C12C9" w:rsidRDefault="00B97A9E" w:rsidP="00244858">
            <w:pPr>
              <w:pStyle w:val="ICFTabletext"/>
              <w:ind w:left="90"/>
              <w:jc w:val="center"/>
              <w:rPr>
                <w:rFonts w:eastAsia="MS PGothic"/>
              </w:rPr>
            </w:pPr>
            <w:r w:rsidRPr="004C12C9">
              <w:rPr>
                <w:rFonts w:eastAsia="MS PGothic"/>
              </w:rPr>
              <w:t>378.31</w:t>
            </w:r>
          </w:p>
        </w:tc>
        <w:tc>
          <w:tcPr>
            <w:tcW w:w="1424" w:type="dxa"/>
            <w:vAlign w:val="center"/>
            <w:hideMark/>
          </w:tcPr>
          <w:p w14:paraId="5BAB8547" w14:textId="616A76D8" w:rsidR="00B97A9E" w:rsidRPr="004C12C9" w:rsidRDefault="00B97A9E" w:rsidP="00244858">
            <w:pPr>
              <w:pStyle w:val="ICFTabletext"/>
              <w:ind w:left="90"/>
              <w:jc w:val="center"/>
              <w:rPr>
                <w:rFonts w:eastAsia="MS PGothic"/>
              </w:rPr>
            </w:pPr>
            <w:r w:rsidRPr="004C12C9">
              <w:rPr>
                <w:rFonts w:eastAsia="MS PGothic"/>
              </w:rPr>
              <w:t>302.92</w:t>
            </w:r>
          </w:p>
        </w:tc>
        <w:tc>
          <w:tcPr>
            <w:tcW w:w="1424" w:type="dxa"/>
            <w:vAlign w:val="center"/>
            <w:hideMark/>
          </w:tcPr>
          <w:p w14:paraId="5E24CF4E" w14:textId="4C5E254B" w:rsidR="00B97A9E" w:rsidRPr="004C12C9" w:rsidRDefault="00B97A9E" w:rsidP="00244858">
            <w:pPr>
              <w:pStyle w:val="ICFTabletext"/>
              <w:ind w:left="90"/>
              <w:jc w:val="center"/>
              <w:rPr>
                <w:rFonts w:eastAsia="MS PGothic"/>
              </w:rPr>
            </w:pPr>
            <w:r w:rsidRPr="004C12C9">
              <w:rPr>
                <w:rFonts w:eastAsia="MS PGothic"/>
              </w:rPr>
              <w:t>259.65</w:t>
            </w:r>
          </w:p>
        </w:tc>
        <w:tc>
          <w:tcPr>
            <w:tcW w:w="1425" w:type="dxa"/>
            <w:vAlign w:val="center"/>
            <w:hideMark/>
          </w:tcPr>
          <w:p w14:paraId="4531CD5C" w14:textId="52C98C81" w:rsidR="00B97A9E" w:rsidRPr="004C12C9" w:rsidRDefault="00B97A9E" w:rsidP="00244858">
            <w:pPr>
              <w:pStyle w:val="ICFTabletext"/>
              <w:ind w:left="90"/>
              <w:jc w:val="center"/>
              <w:rPr>
                <w:rFonts w:eastAsia="MS PGothic"/>
              </w:rPr>
            </w:pPr>
            <w:r w:rsidRPr="004C12C9">
              <w:rPr>
                <w:rFonts w:eastAsia="MS PGothic"/>
              </w:rPr>
              <w:t>238.31</w:t>
            </w:r>
          </w:p>
        </w:tc>
      </w:tr>
    </w:tbl>
    <w:p w14:paraId="7388A696" w14:textId="267F62AC" w:rsidR="00B97A9E" w:rsidRPr="004C12C9" w:rsidRDefault="00B97A9E" w:rsidP="00244858">
      <w:pPr>
        <w:pStyle w:val="TableFooter"/>
        <w:rPr>
          <w:rFonts w:eastAsia="MS PGothic"/>
        </w:rPr>
      </w:pPr>
      <w:r w:rsidRPr="004C12C9">
        <w:rPr>
          <w:rFonts w:eastAsia="MS PGothic"/>
          <w:vertAlign w:val="superscript"/>
        </w:rPr>
        <w:t>a</w:t>
      </w:r>
      <w:r w:rsidRPr="004C12C9">
        <w:rPr>
          <w:rFonts w:eastAsia="MS PGothic"/>
        </w:rPr>
        <w:t xml:space="preserve"> Emission factors from the M</w:t>
      </w:r>
      <w:r w:rsidR="00A707C1" w:rsidRPr="004C12C9">
        <w:rPr>
          <w:rFonts w:eastAsia="MS PGothic"/>
        </w:rPr>
        <w:t>innesota Infrastructure Carbon Estimator (MICE)</w:t>
      </w:r>
      <w:r w:rsidRPr="004C12C9">
        <w:rPr>
          <w:rFonts w:eastAsia="MS PGothic"/>
        </w:rPr>
        <w:t xml:space="preserve"> </w:t>
      </w:r>
      <w:r w:rsidR="00F532B9" w:rsidRPr="004C12C9">
        <w:rPr>
          <w:rFonts w:eastAsia="MS PGothic"/>
        </w:rPr>
        <w:t>T</w:t>
      </w:r>
      <w:r w:rsidRPr="004C12C9">
        <w:rPr>
          <w:rFonts w:eastAsia="MS PGothic"/>
        </w:rPr>
        <w:t xml:space="preserve">ool were derived using AR5 </w:t>
      </w:r>
      <w:r w:rsidR="00306123" w:rsidRPr="004C12C9">
        <w:rPr>
          <w:rFonts w:eastAsia="MS PGothic"/>
        </w:rPr>
        <w:t>global warming potentials</w:t>
      </w:r>
      <w:r w:rsidRPr="004C12C9">
        <w:rPr>
          <w:rFonts w:eastAsia="MS PGothic"/>
        </w:rPr>
        <w:t>.</w:t>
      </w:r>
    </w:p>
    <w:p w14:paraId="5A5BB539" w14:textId="26FE384E" w:rsidR="004B1D11" w:rsidRPr="004C12C9" w:rsidRDefault="004B1D11" w:rsidP="002C2A5A">
      <w:pPr>
        <w:pStyle w:val="Heading4"/>
      </w:pPr>
      <w:r w:rsidRPr="004C12C9">
        <w:t>Limitations</w:t>
      </w:r>
    </w:p>
    <w:p w14:paraId="2FCA75FD" w14:textId="65F1E291" w:rsidR="00117EB3" w:rsidRPr="004C12C9" w:rsidRDefault="00117EB3" w:rsidP="00117EB3">
      <w:r w:rsidRPr="004C12C9">
        <w:t xml:space="preserve">Key limitations of the methodology used to quantify emissions from </w:t>
      </w:r>
      <w:r w:rsidR="00D32F5F" w:rsidRPr="004C12C9">
        <w:t>o</w:t>
      </w:r>
      <w:r w:rsidR="0032113E" w:rsidRPr="004C12C9">
        <w:t>n-</w:t>
      </w:r>
      <w:r w:rsidR="00D32F5F" w:rsidRPr="004C12C9">
        <w:t>r</w:t>
      </w:r>
      <w:r w:rsidR="0032113E" w:rsidRPr="004C12C9">
        <w:t xml:space="preserve">oad </w:t>
      </w:r>
      <w:r w:rsidR="00D32F5F" w:rsidRPr="004C12C9">
        <w:t>v</w:t>
      </w:r>
      <w:r w:rsidR="0032113E" w:rsidRPr="004C12C9">
        <w:t>ehicles</w:t>
      </w:r>
      <w:r w:rsidRPr="004C12C9">
        <w:t xml:space="preserve"> include:</w:t>
      </w:r>
    </w:p>
    <w:p w14:paraId="3BBAD7B0" w14:textId="66E71923" w:rsidR="00457B15" w:rsidRPr="004C12C9" w:rsidRDefault="000917C7" w:rsidP="003B5F7F">
      <w:pPr>
        <w:pStyle w:val="ListParagraph"/>
        <w:numPr>
          <w:ilvl w:val="0"/>
          <w:numId w:val="44"/>
        </w:numPr>
        <w:ind w:left="660"/>
      </w:pPr>
      <w:r w:rsidRPr="004C12C9">
        <w:t xml:space="preserve">The calculator currently limits users in quantifying </w:t>
      </w:r>
      <w:r w:rsidR="00472938" w:rsidRPr="004C12C9">
        <w:t xml:space="preserve">increases in </w:t>
      </w:r>
      <w:r w:rsidRPr="004C12C9">
        <w:t>operational on-road emissions</w:t>
      </w:r>
      <w:r w:rsidR="00FF03FE" w:rsidRPr="004C12C9">
        <w:t xml:space="preserve"> </w:t>
      </w:r>
      <w:r w:rsidR="00326B14">
        <w:t xml:space="preserve">based on </w:t>
      </w:r>
      <w:r w:rsidR="00326B14" w:rsidRPr="00326B14">
        <w:t>the emission estimates tied to the fleet composition outputted from the MOVE</w:t>
      </w:r>
      <w:r w:rsidR="00D13AF6">
        <w:t>S</w:t>
      </w:r>
      <w:r w:rsidR="00326B14" w:rsidRPr="00326B14">
        <w:t xml:space="preserve"> model, per the user selected (or defaulted) speed bin</w:t>
      </w:r>
      <w:r w:rsidR="00D5609A" w:rsidRPr="004C12C9">
        <w:t xml:space="preserve">. </w:t>
      </w:r>
      <w:r w:rsidR="00C21D3A" w:rsidRPr="004C12C9">
        <w:t>Further tailoring of e</w:t>
      </w:r>
      <w:r w:rsidR="00087D53" w:rsidRPr="004C12C9">
        <w:t>mission factors by</w:t>
      </w:r>
      <w:r w:rsidR="00763F78" w:rsidRPr="004C12C9">
        <w:t xml:space="preserve"> </w:t>
      </w:r>
      <w:r w:rsidR="008A3555" w:rsidRPr="004C12C9">
        <w:t>vehicle type (e.g., light-duty vehicles</w:t>
      </w:r>
      <w:r w:rsidR="001E7799" w:rsidRPr="004C12C9">
        <w:t xml:space="preserve">, </w:t>
      </w:r>
      <w:r w:rsidR="008A3555" w:rsidRPr="004C12C9">
        <w:t>heavy-duty vehicles) is not currently available.</w:t>
      </w:r>
    </w:p>
    <w:p w14:paraId="67C3CCC7" w14:textId="09BF6719" w:rsidR="0032113E" w:rsidRPr="004C12C9" w:rsidRDefault="0032113E" w:rsidP="003B5F7F">
      <w:pPr>
        <w:pStyle w:val="ListParagraph"/>
        <w:numPr>
          <w:ilvl w:val="0"/>
          <w:numId w:val="44"/>
        </w:numPr>
        <w:ind w:left="660"/>
      </w:pPr>
      <w:r w:rsidRPr="004C12C9">
        <w:t xml:space="preserve">While projects may also impact traffic congestion in addition to trip generation, the methodology </w:t>
      </w:r>
      <w:r w:rsidR="00FE1159" w:rsidRPr="004C12C9">
        <w:t xml:space="preserve">only accounts for </w:t>
      </w:r>
      <w:r w:rsidRPr="004C12C9">
        <w:t>emissions from trip generation.</w:t>
      </w:r>
    </w:p>
    <w:p w14:paraId="112869C4" w14:textId="77777777" w:rsidR="00220F8A" w:rsidRPr="004C12C9" w:rsidRDefault="00FC5F6E" w:rsidP="00AE1F3A">
      <w:pPr>
        <w:pStyle w:val="Heading3"/>
        <w:ind w:left="1210"/>
      </w:pPr>
      <w:bookmarkStart w:id="201" w:name="_Toc219887780"/>
      <w:r w:rsidRPr="004C12C9">
        <w:t>Treatment of Waste On-Site</w:t>
      </w:r>
      <w:bookmarkEnd w:id="201"/>
      <w:r w:rsidRPr="004C12C9">
        <w:tab/>
      </w:r>
    </w:p>
    <w:p w14:paraId="15F607CA" w14:textId="3327D423" w:rsidR="00741B07" w:rsidRPr="004C12C9" w:rsidRDefault="00741B07" w:rsidP="00972CF9">
      <w:r w:rsidRPr="004C12C9">
        <w:t xml:space="preserve">Emissions result from the on-site treatment of waste during project operations. This emissions source is applicable to landfills, waste incineration facilities, composting facilities, and anaerobic digesters. </w:t>
      </w:r>
      <w:r w:rsidR="009B144C" w:rsidRPr="004C12C9">
        <w:t xml:space="preserve">The </w:t>
      </w:r>
      <w:r w:rsidR="00380123" w:rsidRPr="004C12C9">
        <w:t xml:space="preserve">calculator </w:t>
      </w:r>
      <w:r w:rsidR="009B144C" w:rsidRPr="004C12C9">
        <w:t>quantifies emissions</w:t>
      </w:r>
      <w:r w:rsidRPr="004C12C9">
        <w:rPr>
          <w:rFonts w:eastAsia="MS PGothic"/>
        </w:rPr>
        <w:t xml:space="preserve"> the </w:t>
      </w:r>
      <w:r w:rsidRPr="004C12C9">
        <w:t xml:space="preserve">treatment of waste on-site </w:t>
      </w:r>
      <w:r w:rsidR="009B144C" w:rsidRPr="004C12C9">
        <w:t xml:space="preserve">based on the estimated quantity of waste and </w:t>
      </w:r>
      <w:r w:rsidR="0074398C" w:rsidRPr="004C12C9">
        <w:t>treatment</w:t>
      </w:r>
      <w:r w:rsidR="009B144C" w:rsidRPr="004C12C9">
        <w:t>-specific emission factors, as shown in</w:t>
      </w:r>
      <w:r w:rsidR="007F7E16">
        <w:t xml:space="preserve"> </w:t>
      </w:r>
      <w:r w:rsidR="007F7E16">
        <w:fldChar w:fldCharType="begin"/>
      </w:r>
      <w:r w:rsidR="007F7E16">
        <w:instrText xml:space="preserve"> REF _Ref195535421 \h </w:instrText>
      </w:r>
      <w:r w:rsidR="007F7E16">
        <w:fldChar w:fldCharType="separate"/>
      </w:r>
      <w:r w:rsidR="007F7E16" w:rsidRPr="004C12C9">
        <w:t xml:space="preserve">Equation </w:t>
      </w:r>
      <w:r w:rsidR="007F7E16">
        <w:rPr>
          <w:noProof/>
        </w:rPr>
        <w:t>25</w:t>
      </w:r>
      <w:r w:rsidR="007F7E16">
        <w:fldChar w:fldCharType="end"/>
      </w:r>
      <w:r w:rsidR="003432E1" w:rsidRPr="004C12C9">
        <w:t>.</w:t>
      </w:r>
    </w:p>
    <w:p w14:paraId="0D9A0513" w14:textId="659A435F" w:rsidR="005B131E" w:rsidRPr="004C12C9" w:rsidRDefault="003432E1" w:rsidP="005B131E">
      <w:pPr>
        <w:pStyle w:val="Caption"/>
      </w:pPr>
      <w:bookmarkStart w:id="202" w:name="_Ref195535421"/>
      <w:r w:rsidRPr="004C12C9">
        <w:lastRenderedPageBreak/>
        <w:t xml:space="preserve">Equation </w:t>
      </w:r>
      <w:r w:rsidR="00127094">
        <w:fldChar w:fldCharType="begin"/>
      </w:r>
      <w:r w:rsidR="00127094">
        <w:instrText xml:space="preserve"> SEQ Equation \* ARABIC </w:instrText>
      </w:r>
      <w:r w:rsidR="00127094">
        <w:fldChar w:fldCharType="separate"/>
      </w:r>
      <w:r w:rsidR="007F7E16">
        <w:rPr>
          <w:noProof/>
        </w:rPr>
        <w:t>25</w:t>
      </w:r>
      <w:r w:rsidR="00127094">
        <w:fldChar w:fldCharType="end"/>
      </w:r>
      <w:bookmarkEnd w:id="202"/>
      <w:r w:rsidRPr="004C12C9">
        <w:t xml:space="preserve">. </w:t>
      </w:r>
      <w:r w:rsidR="003D6657" w:rsidRPr="004C12C9">
        <w:t xml:space="preserve">Annual </w:t>
      </w:r>
      <w:r w:rsidRPr="004C12C9">
        <w:t>GHG Emissions from Waste Treated On-Site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8090"/>
      </w:tblGrid>
      <w:tr w:rsidR="00805441" w:rsidRPr="004C12C9" w14:paraId="7CBF8FBB" w14:textId="77777777">
        <w:tc>
          <w:tcPr>
            <w:tcW w:w="10070" w:type="dxa"/>
            <w:gridSpan w:val="2"/>
            <w:shd w:val="clear" w:color="auto" w:fill="F2F2F2" w:themeFill="background1" w:themeFillShade="F2"/>
          </w:tcPr>
          <w:p w14:paraId="73A11D49" w14:textId="5F1DC2CF" w:rsidR="00D2627B" w:rsidRPr="004C12C9" w:rsidRDefault="000002AA" w:rsidP="00D2627B">
            <w:pPr>
              <w:pStyle w:val="Equation"/>
              <w:rPr>
                <w:noProof w:val="0"/>
                <w:lang w:bidi="ar-SA"/>
              </w:rPr>
            </w:pPr>
            <m:oMathPara>
              <m:oMath>
                <m:r>
                  <w:rPr>
                    <w:noProof w:val="0"/>
                  </w:rPr>
                  <m:t xml:space="preserve">annual GHG emissions= </m:t>
                </m:r>
                <m:nary>
                  <m:naryPr>
                    <m:chr m:val="∑"/>
                    <m:limLoc m:val="undOvr"/>
                    <m:subHide m:val="1"/>
                    <m:supHide m:val="1"/>
                    <m:ctrlPr>
                      <w:rPr>
                        <w:noProof w:val="0"/>
                        <w:color w:val="auto"/>
                        <w:sz w:val="22"/>
                        <w:szCs w:val="22"/>
                        <w:lang w:bidi="ar-SA"/>
                      </w:rPr>
                    </m:ctrlPr>
                  </m:naryPr>
                  <m:sub/>
                  <m:sup/>
                  <m:e>
                    <m:sSub>
                      <m:sSubPr>
                        <m:ctrlPr>
                          <w:rPr>
                            <w:noProof w:val="0"/>
                            <w:color w:val="auto"/>
                            <w:sz w:val="22"/>
                            <w:szCs w:val="22"/>
                            <w:lang w:bidi="ar-SA"/>
                          </w:rPr>
                        </m:ctrlPr>
                      </m:sSubPr>
                      <m:e>
                        <m:r>
                          <w:rPr>
                            <w:noProof w:val="0"/>
                          </w:rPr>
                          <m:t>waste treated</m:t>
                        </m:r>
                      </m:e>
                      <m:sub>
                        <m:r>
                          <w:rPr>
                            <w:noProof w:val="0"/>
                          </w:rPr>
                          <m:t>p</m:t>
                        </m:r>
                      </m:sub>
                    </m:sSub>
                  </m:e>
                </m:nary>
                <m:r>
                  <w:rPr>
                    <w:noProof w:val="0"/>
                  </w:rPr>
                  <m:t xml:space="preserve"> × </m:t>
                </m:r>
                <m:sSub>
                  <m:sSubPr>
                    <m:ctrlPr>
                      <w:rPr>
                        <w:noProof w:val="0"/>
                      </w:rPr>
                    </m:ctrlPr>
                  </m:sSubPr>
                  <m:e>
                    <m:r>
                      <w:rPr>
                        <w:noProof w:val="0"/>
                      </w:rPr>
                      <m:t>emission factor</m:t>
                    </m:r>
                  </m:e>
                  <m:sub>
                    <m:r>
                      <w:rPr>
                        <w:noProof w:val="0"/>
                      </w:rPr>
                      <m:t>p</m:t>
                    </m:r>
                  </m:sub>
                </m:sSub>
              </m:oMath>
            </m:oMathPara>
          </w:p>
          <w:p w14:paraId="3E1668CF" w14:textId="77777777" w:rsidR="00805441" w:rsidRPr="004C12C9" w:rsidRDefault="00805441">
            <w:pPr>
              <w:rPr>
                <w:i/>
                <w:iCs/>
              </w:rPr>
            </w:pPr>
            <w:r w:rsidRPr="004C12C9">
              <w:rPr>
                <w:i/>
                <w:iCs/>
                <w:sz w:val="20"/>
                <w:szCs w:val="20"/>
              </w:rPr>
              <w:t xml:space="preserve">where, </w:t>
            </w:r>
          </w:p>
        </w:tc>
      </w:tr>
      <w:tr w:rsidR="00805441" w:rsidRPr="004C12C9" w14:paraId="4236D6BE" w14:textId="77777777">
        <w:tc>
          <w:tcPr>
            <w:tcW w:w="1980" w:type="dxa"/>
            <w:shd w:val="clear" w:color="auto" w:fill="F2F2F2" w:themeFill="background1" w:themeFillShade="F2"/>
          </w:tcPr>
          <w:p w14:paraId="5BFA0486" w14:textId="31CBFFA9" w:rsidR="00805441" w:rsidRPr="004C12C9" w:rsidRDefault="00BA5D9E">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Waste treated</w:t>
            </w:r>
          </w:p>
          <w:p w14:paraId="23F6BF9C" w14:textId="0693D080" w:rsidR="00805441" w:rsidRPr="004C12C9" w:rsidRDefault="00BA5D9E">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r w:rsidR="00805441" w:rsidRPr="004C12C9">
              <w:rPr>
                <w:rFonts w:ascii="Calibri" w:eastAsia="Arial" w:hAnsi="Calibri"/>
                <w:bCs w:val="0"/>
                <w:i w:val="0"/>
                <w:noProof w:val="0"/>
                <w:color w:val="auto"/>
                <w:sz w:val="20"/>
                <w:szCs w:val="20"/>
              </w:rPr>
              <w:t xml:space="preserve"> </w:t>
            </w:r>
          </w:p>
        </w:tc>
        <w:tc>
          <w:tcPr>
            <w:tcW w:w="8090" w:type="dxa"/>
            <w:shd w:val="clear" w:color="auto" w:fill="F2F2F2" w:themeFill="background1" w:themeFillShade="F2"/>
          </w:tcPr>
          <w:p w14:paraId="4C2179FF" w14:textId="3C34CCE4" w:rsidR="00805441" w:rsidRPr="004C12C9" w:rsidRDefault="00805441">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BA5D9E" w:rsidRPr="004C12C9">
              <w:rPr>
                <w:rFonts w:ascii="Calibri" w:eastAsia="Arial" w:hAnsi="Calibri"/>
                <w:bCs w:val="0"/>
                <w:i w:val="0"/>
                <w:noProof w:val="0"/>
                <w:color w:val="auto"/>
                <w:sz w:val="20"/>
                <w:szCs w:val="20"/>
              </w:rPr>
              <w:t>Amount of waste material treated each year by treatment type, p (tons/year)</w:t>
            </w:r>
          </w:p>
          <w:p w14:paraId="3B51F990" w14:textId="41DE49FF" w:rsidR="00805441" w:rsidRPr="004C12C9" w:rsidRDefault="00805441">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BA5D9E" w:rsidRPr="004C12C9">
              <w:rPr>
                <w:rFonts w:ascii="Calibri" w:eastAsia="Arial" w:hAnsi="Calibri"/>
                <w:bCs w:val="0"/>
                <w:i w:val="0"/>
                <w:noProof w:val="0"/>
                <w:color w:val="auto"/>
                <w:sz w:val="20"/>
                <w:szCs w:val="20"/>
              </w:rPr>
              <w:t>Emissions associated with the treatment of waste by treatment type, t (MTCO</w:t>
            </w:r>
            <w:r w:rsidR="00BA5D9E" w:rsidRPr="004C12C9">
              <w:rPr>
                <w:rFonts w:ascii="Calibri" w:eastAsia="Arial" w:hAnsi="Calibri"/>
                <w:bCs w:val="0"/>
                <w:i w:val="0"/>
                <w:noProof w:val="0"/>
                <w:color w:val="auto"/>
                <w:sz w:val="20"/>
                <w:szCs w:val="20"/>
                <w:vertAlign w:val="subscript"/>
              </w:rPr>
              <w:t>2</w:t>
            </w:r>
            <w:r w:rsidR="00BA5D9E" w:rsidRPr="004C12C9">
              <w:rPr>
                <w:rFonts w:ascii="Calibri" w:eastAsia="Arial" w:hAnsi="Calibri"/>
                <w:bCs w:val="0"/>
                <w:i w:val="0"/>
                <w:noProof w:val="0"/>
                <w:color w:val="auto"/>
                <w:sz w:val="20"/>
                <w:szCs w:val="20"/>
              </w:rPr>
              <w:t>e/ton)</w:t>
            </w:r>
          </w:p>
          <w:p w14:paraId="7190270B" w14:textId="77777777" w:rsidR="00805441" w:rsidRPr="004C12C9" w:rsidRDefault="00805441" w:rsidP="00BA5D9E">
            <w:pPr>
              <w:pStyle w:val="Equation"/>
              <w:spacing w:before="0" w:after="0"/>
              <w:jc w:val="left"/>
              <w:rPr>
                <w:rFonts w:ascii="Calibri" w:eastAsia="Arial" w:hAnsi="Calibri"/>
                <w:bCs w:val="0"/>
                <w:i w:val="0"/>
                <w:noProof w:val="0"/>
                <w:color w:val="auto"/>
                <w:sz w:val="20"/>
                <w:szCs w:val="20"/>
              </w:rPr>
            </w:pPr>
          </w:p>
        </w:tc>
      </w:tr>
    </w:tbl>
    <w:p w14:paraId="49A73754" w14:textId="77777777" w:rsidR="00741B07" w:rsidRPr="004C12C9" w:rsidRDefault="00741B07" w:rsidP="00E31E37">
      <w:pPr>
        <w:pStyle w:val="Heading4"/>
      </w:pPr>
      <w:r w:rsidRPr="004C12C9">
        <w:t>Waste Treated</w:t>
      </w:r>
    </w:p>
    <w:p w14:paraId="112693D3" w14:textId="6FCBCB92" w:rsidR="00D8092C" w:rsidRPr="004C12C9" w:rsidRDefault="00D8092C" w:rsidP="00972CF9">
      <w:r w:rsidRPr="004C12C9">
        <w:t xml:space="preserve">The quantity of waste treated annually </w:t>
      </w:r>
      <w:r w:rsidR="003D6657" w:rsidRPr="004C12C9">
        <w:t>is</w:t>
      </w:r>
      <w:r w:rsidRPr="004C12C9">
        <w:t xml:space="preserve"> based on value</w:t>
      </w:r>
      <w:r w:rsidR="003D6657" w:rsidRPr="004C12C9">
        <w:t>s</w:t>
      </w:r>
      <w:r w:rsidRPr="004C12C9">
        <w:t xml:space="preserve"> provided by user</w:t>
      </w:r>
      <w:r w:rsidR="003D6657" w:rsidRPr="004C12C9">
        <w:t>s</w:t>
      </w:r>
      <w:r w:rsidRPr="004C12C9">
        <w:t xml:space="preserve"> in short tons</w:t>
      </w:r>
      <w:r w:rsidR="00986A16" w:rsidRPr="004C12C9">
        <w:t xml:space="preserve"> by</w:t>
      </w:r>
      <w:r w:rsidRPr="004C12C9">
        <w:t xml:space="preserve"> waste treatment practice. The types of waste treatment practices </w:t>
      </w:r>
      <w:r w:rsidR="00F00E02" w:rsidRPr="004C12C9">
        <w:t>for which</w:t>
      </w:r>
      <w:r w:rsidRPr="004C12C9">
        <w:t xml:space="preserve"> users may </w:t>
      </w:r>
      <w:r w:rsidR="00F00E02" w:rsidRPr="004C12C9">
        <w:t>provide data</w:t>
      </w:r>
      <w:r w:rsidRPr="004C12C9">
        <w:t xml:space="preserve"> include:</w:t>
      </w:r>
    </w:p>
    <w:p w14:paraId="1001BEC0" w14:textId="77777777" w:rsidR="00D8092C" w:rsidRPr="004C12C9" w:rsidRDefault="00D8092C" w:rsidP="003B5F7F">
      <w:pPr>
        <w:pStyle w:val="ListParagraph"/>
        <w:numPr>
          <w:ilvl w:val="0"/>
          <w:numId w:val="7"/>
        </w:numPr>
      </w:pPr>
      <w:r w:rsidRPr="004C12C9">
        <w:t>Landfilling (MSW)</w:t>
      </w:r>
    </w:p>
    <w:p w14:paraId="2DFF8EF6" w14:textId="77777777" w:rsidR="00D8092C" w:rsidRPr="004C12C9" w:rsidRDefault="00D8092C" w:rsidP="003B5F7F">
      <w:pPr>
        <w:pStyle w:val="ListParagraph"/>
        <w:numPr>
          <w:ilvl w:val="0"/>
          <w:numId w:val="7"/>
        </w:numPr>
      </w:pPr>
      <w:r w:rsidRPr="004C12C9">
        <w:t>Landfilling (C&amp;D)</w:t>
      </w:r>
    </w:p>
    <w:p w14:paraId="401C4A96" w14:textId="77777777" w:rsidR="00D8092C" w:rsidRPr="004C12C9" w:rsidRDefault="00D8092C" w:rsidP="003B5F7F">
      <w:pPr>
        <w:pStyle w:val="ListParagraph"/>
        <w:numPr>
          <w:ilvl w:val="0"/>
          <w:numId w:val="7"/>
        </w:numPr>
      </w:pPr>
      <w:r w:rsidRPr="004C12C9">
        <w:t>Combustion</w:t>
      </w:r>
    </w:p>
    <w:p w14:paraId="18662074" w14:textId="77777777" w:rsidR="00D8092C" w:rsidRPr="004C12C9" w:rsidRDefault="00D8092C" w:rsidP="003B5F7F">
      <w:pPr>
        <w:pStyle w:val="ListParagraph"/>
        <w:numPr>
          <w:ilvl w:val="0"/>
          <w:numId w:val="7"/>
        </w:numPr>
      </w:pPr>
      <w:r w:rsidRPr="004C12C9">
        <w:t>Composting</w:t>
      </w:r>
    </w:p>
    <w:p w14:paraId="20F7D251" w14:textId="77777777" w:rsidR="00D8092C" w:rsidRPr="004C12C9" w:rsidRDefault="00D8092C" w:rsidP="003B5F7F">
      <w:pPr>
        <w:pStyle w:val="ListParagraph"/>
        <w:numPr>
          <w:ilvl w:val="0"/>
          <w:numId w:val="7"/>
        </w:numPr>
      </w:pPr>
      <w:r w:rsidRPr="004C12C9">
        <w:t>Anaerobic Digestion (Dry)</w:t>
      </w:r>
    </w:p>
    <w:p w14:paraId="5E4C2E89" w14:textId="77777777" w:rsidR="00D8092C" w:rsidRPr="004C12C9" w:rsidRDefault="00D8092C" w:rsidP="003B5F7F">
      <w:pPr>
        <w:pStyle w:val="ListParagraph"/>
        <w:numPr>
          <w:ilvl w:val="0"/>
          <w:numId w:val="7"/>
        </w:numPr>
      </w:pPr>
      <w:r w:rsidRPr="004C12C9">
        <w:t>Anaerobic Digestion (Wet)</w:t>
      </w:r>
    </w:p>
    <w:p w14:paraId="369D8240" w14:textId="77777777" w:rsidR="00D8092C" w:rsidRPr="004C12C9" w:rsidRDefault="00D8092C" w:rsidP="00E31E37">
      <w:pPr>
        <w:pStyle w:val="Heading4"/>
      </w:pPr>
      <w:r w:rsidRPr="004C12C9">
        <w:t>Emission Factors</w:t>
      </w:r>
    </w:p>
    <w:p w14:paraId="0FB1ABAF" w14:textId="13C774D7" w:rsidR="00AE7E46" w:rsidRPr="004C12C9" w:rsidRDefault="00AE7E46" w:rsidP="00972CF9">
      <w:r w:rsidRPr="004C12C9">
        <w:t xml:space="preserve">Emission factors associated with the </w:t>
      </w:r>
      <w:r w:rsidR="00C07FE2" w:rsidRPr="004C12C9">
        <w:t xml:space="preserve">waste </w:t>
      </w:r>
      <w:r w:rsidRPr="004C12C9">
        <w:t xml:space="preserve">treatment </w:t>
      </w:r>
      <w:r w:rsidR="00C07FE2" w:rsidRPr="004C12C9">
        <w:t>practice</w:t>
      </w:r>
      <w:r w:rsidRPr="004C12C9">
        <w:rPr>
          <w:rFonts w:eastAsia="DM Sans" w:cs="DM Sans"/>
        </w:rPr>
        <w:t xml:space="preserve">, as summarized in </w:t>
      </w:r>
      <w:r w:rsidR="00C07FE2" w:rsidRPr="004C12C9">
        <w:rPr>
          <w:rFonts w:eastAsia="DM Sans" w:cs="DM Sans"/>
        </w:rPr>
        <w:fldChar w:fldCharType="begin" w:fldLock="1"/>
      </w:r>
      <w:r w:rsidR="00C07FE2" w:rsidRPr="004C12C9">
        <w:rPr>
          <w:rFonts w:eastAsia="DM Sans" w:cs="DM Sans"/>
        </w:rPr>
        <w:instrText xml:space="preserve"> REF _Ref195699891 \h </w:instrText>
      </w:r>
      <w:r w:rsidR="00C07FE2" w:rsidRPr="004C12C9">
        <w:rPr>
          <w:rFonts w:eastAsia="DM Sans" w:cs="DM Sans"/>
        </w:rPr>
      </w:r>
      <w:r w:rsidR="00C07FE2" w:rsidRPr="004C12C9">
        <w:rPr>
          <w:rFonts w:eastAsia="DM Sans" w:cs="DM Sans"/>
        </w:rPr>
        <w:fldChar w:fldCharType="separate"/>
      </w:r>
      <w:r w:rsidR="00127094" w:rsidRPr="004C12C9">
        <w:t>Table 3</w:t>
      </w:r>
      <w:r w:rsidR="00127094" w:rsidRPr="004C12C9">
        <w:noBreakHyphen/>
        <w:t>24</w:t>
      </w:r>
      <w:r w:rsidR="00C07FE2" w:rsidRPr="004C12C9">
        <w:rPr>
          <w:rFonts w:eastAsia="DM Sans" w:cs="DM Sans"/>
        </w:rPr>
        <w:fldChar w:fldCharType="end"/>
      </w:r>
      <w:r w:rsidRPr="004C12C9">
        <w:rPr>
          <w:rFonts w:eastAsia="DM Sans" w:cs="DM Sans"/>
        </w:rPr>
        <w:t>,</w:t>
      </w:r>
      <w:r w:rsidRPr="004C12C9">
        <w:t xml:space="preserve"> were derived from EPA’s </w:t>
      </w:r>
      <w:r w:rsidR="00637713" w:rsidRPr="004C12C9">
        <w:t>GHG</w:t>
      </w:r>
      <w:r w:rsidRPr="004C12C9">
        <w:t xml:space="preserve"> Emissions Factors Hub.</w:t>
      </w:r>
      <w:r w:rsidRPr="004C12C9">
        <w:rPr>
          <w:rStyle w:val="FootnoteReference"/>
        </w:rPr>
        <w:footnoteReference w:id="112"/>
      </w:r>
      <w:r w:rsidRPr="004C12C9">
        <w:t xml:space="preserve"> The emission factors, which are based on factors from WARM, include emissions from the decomposition and combustion of waste as well as the transportation of waste to the waste treatment facility.</w:t>
      </w:r>
      <w:r w:rsidR="00CE1B72" w:rsidRPr="004C12C9">
        <w:rPr>
          <w:rStyle w:val="FootnoteReference"/>
        </w:rPr>
        <w:footnoteReference w:id="113"/>
      </w:r>
      <w:r w:rsidRPr="004C12C9">
        <w:t xml:space="preserve"> The landfilling emissions factor for C&amp;D waste </w:t>
      </w:r>
      <w:r w:rsidR="00D73EDA" w:rsidRPr="004C12C9">
        <w:t>is consistent with the emissions factor</w:t>
      </w:r>
      <w:r w:rsidRPr="004C12C9">
        <w:t xml:space="preserve"> derived </w:t>
      </w:r>
      <w:r w:rsidR="00DB6D61" w:rsidRPr="004C12C9">
        <w:t xml:space="preserve">in Section </w:t>
      </w:r>
      <w:r w:rsidR="00DB6D61" w:rsidRPr="004C12C9">
        <w:fldChar w:fldCharType="begin" w:fldLock="1"/>
      </w:r>
      <w:r w:rsidR="00DB6D61" w:rsidRPr="004C12C9">
        <w:instrText xml:space="preserve"> REF _Ref195604073 \r \h </w:instrText>
      </w:r>
      <w:r w:rsidR="00DB6D61" w:rsidRPr="004C12C9">
        <w:fldChar w:fldCharType="separate"/>
      </w:r>
      <w:r w:rsidR="00127094" w:rsidRPr="004C12C9">
        <w:t>2.6</w:t>
      </w:r>
      <w:r w:rsidR="00DB6D61" w:rsidRPr="004C12C9">
        <w:fldChar w:fldCharType="end"/>
      </w:r>
      <w:r w:rsidR="00DB6D61" w:rsidRPr="004C12C9">
        <w:t xml:space="preserve"> </w:t>
      </w:r>
      <w:r w:rsidRPr="004C12C9">
        <w:t xml:space="preserve">to quantify emissions from </w:t>
      </w:r>
      <w:r w:rsidR="00DF7CA1" w:rsidRPr="004C12C9">
        <w:t>construction waste</w:t>
      </w:r>
      <w:r w:rsidRPr="004C12C9">
        <w:t>.</w:t>
      </w:r>
    </w:p>
    <w:p w14:paraId="2E140CBA" w14:textId="45A868F2" w:rsidR="00AE7E46" w:rsidRPr="004C12C9" w:rsidRDefault="00AE7E46" w:rsidP="001E7799">
      <w:pPr>
        <w:pStyle w:val="Caption"/>
      </w:pPr>
      <w:bookmarkStart w:id="203" w:name="_Ref187331097"/>
      <w:bookmarkStart w:id="204" w:name="_Ref195602979"/>
      <w:bookmarkStart w:id="205" w:name="_Ref19569989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24</w:t>
      </w:r>
      <w:r w:rsidR="00F72B41">
        <w:fldChar w:fldCharType="end"/>
      </w:r>
      <w:bookmarkEnd w:id="203"/>
      <w:bookmarkEnd w:id="204"/>
      <w:bookmarkEnd w:id="205"/>
      <w:r w:rsidRPr="004C12C9">
        <w:t xml:space="preserve">: Waste Emission Factors </w:t>
      </w:r>
      <w:r w:rsidR="009F2D22" w:rsidRPr="004C12C9">
        <w:t>by Treatment Type</w:t>
      </w:r>
    </w:p>
    <w:tbl>
      <w:tblPr>
        <w:tblW w:w="312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65"/>
        <w:gridCol w:w="3331"/>
      </w:tblGrid>
      <w:tr w:rsidR="00D76D79" w:rsidRPr="004C12C9" w14:paraId="659E0B26" w14:textId="77777777" w:rsidTr="001E7799">
        <w:trPr>
          <w:trHeight w:val="367"/>
          <w:tblHeader/>
        </w:trPr>
        <w:tc>
          <w:tcPr>
            <w:tcW w:w="2355" w:type="pct"/>
            <w:shd w:val="clear" w:color="auto" w:fill="D9D9D9" w:themeFill="background1" w:themeFillShade="D9"/>
            <w:vAlign w:val="center"/>
          </w:tcPr>
          <w:p w14:paraId="74CCB65B" w14:textId="40BF411A" w:rsidR="00D76D79" w:rsidRPr="004C12C9" w:rsidRDefault="00D76D79" w:rsidP="001E7799">
            <w:pPr>
              <w:pStyle w:val="ICFTableHeading"/>
              <w:keepNext/>
            </w:pPr>
            <w:r w:rsidRPr="004C12C9">
              <w:t>Treatment Practice</w:t>
            </w:r>
          </w:p>
        </w:tc>
        <w:tc>
          <w:tcPr>
            <w:tcW w:w="2645" w:type="pct"/>
            <w:shd w:val="clear" w:color="auto" w:fill="D9D9D9" w:themeFill="background1" w:themeFillShade="D9"/>
            <w:vAlign w:val="center"/>
          </w:tcPr>
          <w:p w14:paraId="6C7CA4C9" w14:textId="5463FD28" w:rsidR="00D76D79" w:rsidRPr="004C12C9" w:rsidRDefault="00D76D79" w:rsidP="001E7799">
            <w:pPr>
              <w:pStyle w:val="ICFTableHeading"/>
              <w:keepNext/>
              <w:tabs>
                <w:tab w:val="left" w:pos="183"/>
              </w:tabs>
            </w:pPr>
            <w:r w:rsidRPr="004C12C9">
              <w:t>Emission Factor (MTCO</w:t>
            </w:r>
            <w:r w:rsidRPr="004C12C9">
              <w:rPr>
                <w:vertAlign w:val="subscript"/>
              </w:rPr>
              <w:t>2</w:t>
            </w:r>
            <w:r w:rsidRPr="004C12C9">
              <w:t>e/ton)</w:t>
            </w:r>
          </w:p>
        </w:tc>
      </w:tr>
      <w:tr w:rsidR="00D76D79" w:rsidRPr="004C12C9" w14:paraId="6EB11DFA" w14:textId="77777777" w:rsidTr="00F746F6">
        <w:trPr>
          <w:trHeight w:val="20"/>
        </w:trPr>
        <w:tc>
          <w:tcPr>
            <w:tcW w:w="2355" w:type="pct"/>
          </w:tcPr>
          <w:p w14:paraId="7B1EA996" w14:textId="0CE6A46F" w:rsidR="00D76D79" w:rsidRPr="004C12C9" w:rsidRDefault="00D76D79" w:rsidP="001E7799">
            <w:pPr>
              <w:pStyle w:val="ICFTabletext"/>
              <w:keepNext/>
            </w:pPr>
            <w:r w:rsidRPr="004C12C9">
              <w:t>Landfilling (MSW)</w:t>
            </w:r>
          </w:p>
        </w:tc>
        <w:tc>
          <w:tcPr>
            <w:tcW w:w="2645" w:type="pct"/>
          </w:tcPr>
          <w:p w14:paraId="625CD833" w14:textId="024892F8" w:rsidR="00D76D79" w:rsidRPr="004C12C9" w:rsidRDefault="00D76D79" w:rsidP="001E7799">
            <w:pPr>
              <w:pStyle w:val="ICFTabletext"/>
              <w:keepNext/>
              <w:jc w:val="center"/>
            </w:pPr>
            <w:r w:rsidRPr="004C12C9">
              <w:t>0.58</w:t>
            </w:r>
          </w:p>
        </w:tc>
      </w:tr>
      <w:tr w:rsidR="00D76D79" w:rsidRPr="004C12C9" w14:paraId="7524963A" w14:textId="77777777" w:rsidTr="00F746F6">
        <w:trPr>
          <w:trHeight w:val="20"/>
        </w:trPr>
        <w:tc>
          <w:tcPr>
            <w:tcW w:w="2355" w:type="pct"/>
          </w:tcPr>
          <w:p w14:paraId="1BD7F90F" w14:textId="073EFA83" w:rsidR="00D76D79" w:rsidRPr="004C12C9" w:rsidRDefault="00D76D79" w:rsidP="00D76D79">
            <w:pPr>
              <w:pStyle w:val="ICFTabletext"/>
            </w:pPr>
            <w:r w:rsidRPr="004C12C9">
              <w:t>Landfilling (C&amp;D)</w:t>
            </w:r>
          </w:p>
        </w:tc>
        <w:tc>
          <w:tcPr>
            <w:tcW w:w="2645" w:type="pct"/>
          </w:tcPr>
          <w:p w14:paraId="477A6407" w14:textId="353ADC7B" w:rsidR="00D76D79" w:rsidRPr="004C12C9" w:rsidRDefault="00D76D79" w:rsidP="00D76D79">
            <w:pPr>
              <w:pStyle w:val="ICFTabletext"/>
              <w:jc w:val="center"/>
            </w:pPr>
            <w:r w:rsidRPr="004C12C9">
              <w:t>0.05</w:t>
            </w:r>
          </w:p>
        </w:tc>
      </w:tr>
      <w:tr w:rsidR="00D76D79" w:rsidRPr="004C12C9" w14:paraId="67325D38" w14:textId="77777777" w:rsidTr="00F746F6">
        <w:trPr>
          <w:trHeight w:val="20"/>
        </w:trPr>
        <w:tc>
          <w:tcPr>
            <w:tcW w:w="2355" w:type="pct"/>
          </w:tcPr>
          <w:p w14:paraId="17A420BD" w14:textId="161D324F" w:rsidR="00D76D79" w:rsidRPr="004C12C9" w:rsidRDefault="00D76D79" w:rsidP="00D76D79">
            <w:pPr>
              <w:pStyle w:val="ICFTabletext"/>
            </w:pPr>
            <w:r w:rsidRPr="004C12C9">
              <w:t>Combustion</w:t>
            </w:r>
          </w:p>
        </w:tc>
        <w:tc>
          <w:tcPr>
            <w:tcW w:w="2645" w:type="pct"/>
          </w:tcPr>
          <w:p w14:paraId="0E88BB45" w14:textId="2E2930DB" w:rsidR="00D76D79" w:rsidRPr="004C12C9" w:rsidRDefault="00D76D79" w:rsidP="00D76D79">
            <w:pPr>
              <w:pStyle w:val="ICFTabletext"/>
              <w:jc w:val="center"/>
            </w:pPr>
            <w:r w:rsidRPr="004C12C9">
              <w:t>0.43</w:t>
            </w:r>
          </w:p>
        </w:tc>
      </w:tr>
      <w:tr w:rsidR="00D76D79" w:rsidRPr="004C12C9" w14:paraId="333E4371" w14:textId="77777777" w:rsidTr="00F746F6">
        <w:trPr>
          <w:trHeight w:val="20"/>
        </w:trPr>
        <w:tc>
          <w:tcPr>
            <w:tcW w:w="2355" w:type="pct"/>
          </w:tcPr>
          <w:p w14:paraId="122F1798" w14:textId="791FB572" w:rsidR="00D76D79" w:rsidRPr="004C12C9" w:rsidRDefault="00D76D79" w:rsidP="00D76D79">
            <w:pPr>
              <w:pStyle w:val="ICFTabletext"/>
            </w:pPr>
            <w:r w:rsidRPr="004C12C9">
              <w:t>Composting</w:t>
            </w:r>
          </w:p>
        </w:tc>
        <w:tc>
          <w:tcPr>
            <w:tcW w:w="2645" w:type="pct"/>
          </w:tcPr>
          <w:p w14:paraId="33A8EB6D" w14:textId="7D4407B0" w:rsidR="00D76D79" w:rsidRPr="004C12C9" w:rsidRDefault="00D76D79" w:rsidP="00D76D79">
            <w:pPr>
              <w:pStyle w:val="ICFTabletext"/>
              <w:jc w:val="center"/>
            </w:pPr>
            <w:r w:rsidRPr="004C12C9">
              <w:t>0.13</w:t>
            </w:r>
          </w:p>
        </w:tc>
      </w:tr>
      <w:tr w:rsidR="00D76D79" w:rsidRPr="004C12C9" w14:paraId="1B72E9FD" w14:textId="77777777" w:rsidTr="00F746F6">
        <w:trPr>
          <w:trHeight w:val="20"/>
        </w:trPr>
        <w:tc>
          <w:tcPr>
            <w:tcW w:w="2355" w:type="pct"/>
          </w:tcPr>
          <w:p w14:paraId="65782401" w14:textId="5080D1D2" w:rsidR="00D76D79" w:rsidRPr="004C12C9" w:rsidRDefault="00D76D79" w:rsidP="00D76D79">
            <w:pPr>
              <w:pStyle w:val="ICFTabletext"/>
            </w:pPr>
            <w:r w:rsidRPr="004C12C9">
              <w:t>Anaerobic Digestion (Dry)</w:t>
            </w:r>
          </w:p>
        </w:tc>
        <w:tc>
          <w:tcPr>
            <w:tcW w:w="2645" w:type="pct"/>
          </w:tcPr>
          <w:p w14:paraId="4D0A33D2" w14:textId="35E7EBBD" w:rsidR="00D76D79" w:rsidRPr="004C12C9" w:rsidRDefault="00D76D79" w:rsidP="00D76D79">
            <w:pPr>
              <w:pStyle w:val="ICFTabletext"/>
              <w:jc w:val="center"/>
            </w:pPr>
            <w:r w:rsidRPr="004C12C9">
              <w:t>0.13</w:t>
            </w:r>
          </w:p>
        </w:tc>
      </w:tr>
      <w:tr w:rsidR="00D76D79" w:rsidRPr="004C12C9" w14:paraId="7700B2AB" w14:textId="77777777" w:rsidTr="00F746F6">
        <w:trPr>
          <w:trHeight w:val="20"/>
        </w:trPr>
        <w:tc>
          <w:tcPr>
            <w:tcW w:w="2355" w:type="pct"/>
          </w:tcPr>
          <w:p w14:paraId="4A43B287" w14:textId="78FE456B" w:rsidR="00D76D79" w:rsidRPr="004C12C9" w:rsidRDefault="00D76D79" w:rsidP="00D76D79">
            <w:pPr>
              <w:pStyle w:val="ICFTabletext"/>
            </w:pPr>
            <w:r w:rsidRPr="004C12C9">
              <w:t>Anaerobic Digestion (Wet)</w:t>
            </w:r>
          </w:p>
        </w:tc>
        <w:tc>
          <w:tcPr>
            <w:tcW w:w="2645" w:type="pct"/>
          </w:tcPr>
          <w:p w14:paraId="2224C0AF" w14:textId="1D4B94CB" w:rsidR="00D76D79" w:rsidRPr="004C12C9" w:rsidRDefault="00D76D79" w:rsidP="00D76D79">
            <w:pPr>
              <w:pStyle w:val="ICFTabletext"/>
              <w:jc w:val="center"/>
            </w:pPr>
            <w:r w:rsidRPr="004C12C9">
              <w:t>0.11</w:t>
            </w:r>
          </w:p>
        </w:tc>
      </w:tr>
    </w:tbl>
    <w:p w14:paraId="68CAB2FC" w14:textId="77777777" w:rsidR="00AE7E46" w:rsidRPr="004C12C9" w:rsidRDefault="00AE7E46" w:rsidP="00E31E37">
      <w:pPr>
        <w:pStyle w:val="Heading4"/>
      </w:pPr>
      <w:r w:rsidRPr="004C12C9">
        <w:lastRenderedPageBreak/>
        <w:t>Limitations</w:t>
      </w:r>
    </w:p>
    <w:p w14:paraId="7E001BB5" w14:textId="35061796" w:rsidR="00420072" w:rsidRPr="004C12C9" w:rsidRDefault="00420072" w:rsidP="00420072">
      <w:r w:rsidRPr="004C12C9">
        <w:t>Key limitations</w:t>
      </w:r>
      <w:r w:rsidR="00966B60" w:rsidRPr="004C12C9">
        <w:t xml:space="preserve"> of the methodology used to quantify emissions from </w:t>
      </w:r>
      <w:r w:rsidR="00CE7BE7" w:rsidRPr="004C12C9">
        <w:t xml:space="preserve">the treatment of waste </w:t>
      </w:r>
      <w:r w:rsidRPr="004C12C9">
        <w:t>on</w:t>
      </w:r>
      <w:r w:rsidR="00CE7BE7" w:rsidRPr="004C12C9">
        <w:t>-site</w:t>
      </w:r>
      <w:r w:rsidR="00966B60" w:rsidRPr="004C12C9">
        <w:t xml:space="preserve"> </w:t>
      </w:r>
      <w:r w:rsidRPr="004C12C9">
        <w:t>include:</w:t>
      </w:r>
    </w:p>
    <w:p w14:paraId="5947E461" w14:textId="77777777" w:rsidR="00252693" w:rsidRPr="004C12C9" w:rsidRDefault="00942240" w:rsidP="003B5F7F">
      <w:pPr>
        <w:pStyle w:val="ListParagraph"/>
        <w:numPr>
          <w:ilvl w:val="0"/>
          <w:numId w:val="36"/>
        </w:numPr>
        <w:rPr>
          <w:rFonts w:eastAsiaTheme="majorEastAsia"/>
        </w:rPr>
      </w:pPr>
      <w:r w:rsidRPr="004C12C9">
        <w:t>The emission factors reflect assumptions regarding the typical composition of municipal solid waste, C&amp;D waste, or organic waste.</w:t>
      </w:r>
      <w:r w:rsidR="00924104" w:rsidRPr="004C12C9">
        <w:t xml:space="preserve"> </w:t>
      </w:r>
      <w:r w:rsidR="003D5548" w:rsidRPr="004C12C9">
        <w:t xml:space="preserve">The actual composition of the waste treated at these sites may differ from these typical </w:t>
      </w:r>
      <w:r w:rsidR="005960AF" w:rsidRPr="004C12C9">
        <w:t>compositions.</w:t>
      </w:r>
    </w:p>
    <w:p w14:paraId="0CC6C33A" w14:textId="31E78ED3" w:rsidR="00FC5F6E" w:rsidRPr="004C12C9" w:rsidRDefault="00F06F86" w:rsidP="003B5F7F">
      <w:pPr>
        <w:pStyle w:val="ListParagraph"/>
        <w:numPr>
          <w:ilvl w:val="0"/>
          <w:numId w:val="36"/>
        </w:numPr>
        <w:rPr>
          <w:rFonts w:eastAsiaTheme="majorEastAsia"/>
        </w:rPr>
      </w:pPr>
      <w:r w:rsidRPr="004C12C9">
        <w:t xml:space="preserve">Emissions from the transportation of waste that are accounted for in the emission factors are based on a default assumption regarding the distance traveled from the </w:t>
      </w:r>
      <w:r w:rsidR="00161609" w:rsidRPr="004C12C9">
        <w:t>generation</w:t>
      </w:r>
      <w:r w:rsidRPr="004C12C9">
        <w:t xml:space="preserve"> site to the waste management facility, which may vary from the actual distance traveled for a specific project.</w:t>
      </w:r>
    </w:p>
    <w:p w14:paraId="5503A005" w14:textId="7909C66E" w:rsidR="00252693" w:rsidRPr="004C12C9" w:rsidRDefault="00252693" w:rsidP="003B5F7F">
      <w:pPr>
        <w:pStyle w:val="ListParagraph"/>
        <w:numPr>
          <w:ilvl w:val="0"/>
          <w:numId w:val="36"/>
        </w:numPr>
      </w:pPr>
      <w:r w:rsidRPr="004C12C9">
        <w:t xml:space="preserve">The landfill emission factors are based on typical landfill gas collection practices and average landfill moisture conditions. Actual emissions will vary based on the characteristics of the </w:t>
      </w:r>
      <w:r w:rsidR="00B056B8" w:rsidRPr="004C12C9">
        <w:t xml:space="preserve">actual </w:t>
      </w:r>
      <w:r w:rsidRPr="004C12C9">
        <w:t>landfill.</w:t>
      </w:r>
    </w:p>
    <w:p w14:paraId="2F2AFFAF" w14:textId="7DFC9FC4" w:rsidR="00977AAA" w:rsidRPr="004C12C9" w:rsidRDefault="00977AAA" w:rsidP="003B5F7F">
      <w:pPr>
        <w:pStyle w:val="ListParagraph"/>
        <w:numPr>
          <w:ilvl w:val="0"/>
          <w:numId w:val="36"/>
        </w:numPr>
      </w:pPr>
      <w:r w:rsidRPr="004C12C9">
        <w:t xml:space="preserve">The anaerobic digestion factors are based </w:t>
      </w:r>
      <w:r w:rsidR="00F35623" w:rsidRPr="004C12C9">
        <w:t xml:space="preserve">on the treatment of food and yard waste. </w:t>
      </w:r>
      <w:r w:rsidR="00245F7E" w:rsidRPr="004C12C9">
        <w:t xml:space="preserve">An emissions factor to quantify emissions from the treatment of biosolids is not currently available. </w:t>
      </w:r>
      <w:r w:rsidR="00D537DC" w:rsidRPr="004C12C9">
        <w:t xml:space="preserve">Users </w:t>
      </w:r>
      <w:r w:rsidR="00F93C2B" w:rsidRPr="004C12C9">
        <w:t>may</w:t>
      </w:r>
      <w:r w:rsidR="00A9578C" w:rsidRPr="004C12C9">
        <w:t xml:space="preserve"> use</w:t>
      </w:r>
      <w:r w:rsidR="00D537DC" w:rsidRPr="004C12C9">
        <w:t xml:space="preserve"> the Manure Management emissions source to quantify emissions from the treatment of manure</w:t>
      </w:r>
      <w:r w:rsidR="00C81845" w:rsidRPr="004C12C9">
        <w:t xml:space="preserve"> by an anaerobic digester</w:t>
      </w:r>
      <w:r w:rsidR="00D537DC" w:rsidRPr="004C12C9">
        <w:t>.</w:t>
      </w:r>
      <w:r w:rsidR="00650CDF" w:rsidRPr="004C12C9">
        <w:t xml:space="preserve"> </w:t>
      </w:r>
    </w:p>
    <w:p w14:paraId="19B13BC7" w14:textId="77777777" w:rsidR="00220F8A" w:rsidRPr="004C12C9" w:rsidRDefault="00FC5F6E" w:rsidP="003E54BC">
      <w:pPr>
        <w:pStyle w:val="Heading3"/>
        <w:keepNext w:val="0"/>
        <w:widowControl w:val="0"/>
      </w:pPr>
      <w:bookmarkStart w:id="206" w:name="_Toc219887781"/>
      <w:r w:rsidRPr="004C12C9">
        <w:t>Treatment of Wastewater On-Site</w:t>
      </w:r>
      <w:bookmarkEnd w:id="206"/>
      <w:r w:rsidRPr="004C12C9">
        <w:tab/>
      </w:r>
    </w:p>
    <w:p w14:paraId="5932D5DC" w14:textId="519D8BF6" w:rsidR="008C08D4" w:rsidRPr="004C12C9" w:rsidRDefault="008C08D4" w:rsidP="00972CF9">
      <w:r w:rsidRPr="004C12C9">
        <w:t xml:space="preserve">Emissions result from </w:t>
      </w:r>
      <w:r w:rsidR="00FA0436" w:rsidRPr="004C12C9">
        <w:t xml:space="preserve">the </w:t>
      </w:r>
      <w:r w:rsidRPr="004C12C9">
        <w:t>treatment of municipal and industrial wastewater</w:t>
      </w:r>
      <w:r w:rsidR="004B0881" w:rsidRPr="004C12C9">
        <w:t>,</w:t>
      </w:r>
      <w:r w:rsidRPr="004C12C9">
        <w:t xml:space="preserve"> including direct methane </w:t>
      </w:r>
      <w:r w:rsidR="00DA3124">
        <w:t xml:space="preserve">and </w:t>
      </w:r>
      <w:r w:rsidR="00DA3124" w:rsidRPr="004C12C9">
        <w:t xml:space="preserve">nitrous oxide </w:t>
      </w:r>
      <w:r w:rsidRPr="004C12C9">
        <w:t>emissions from the wastewater treatment process and indirect nitrous oxide emissions from wastewater effluent.</w:t>
      </w:r>
    </w:p>
    <w:p w14:paraId="667F1066" w14:textId="6366445E" w:rsidR="008C08D4" w:rsidRPr="004C12C9" w:rsidRDefault="008C08D4" w:rsidP="00BA08A2">
      <w:pPr>
        <w:pStyle w:val="ICFHeading4"/>
      </w:pPr>
      <w:r w:rsidRPr="004C12C9">
        <w:t>Municipal Wastewater Emissions</w:t>
      </w:r>
    </w:p>
    <w:p w14:paraId="06D6724E" w14:textId="16F49731" w:rsidR="00F01386" w:rsidRPr="004C12C9" w:rsidRDefault="00370628" w:rsidP="00972CF9">
      <w:r w:rsidRPr="004C12C9">
        <w:t xml:space="preserve">The </w:t>
      </w:r>
      <w:r w:rsidR="00380123" w:rsidRPr="004C12C9">
        <w:t xml:space="preserve">calculator </w:t>
      </w:r>
      <w:r w:rsidRPr="004C12C9">
        <w:t>quantifies emissions</w:t>
      </w:r>
      <w:r w:rsidR="00F01386" w:rsidRPr="004C12C9">
        <w:rPr>
          <w:rFonts w:eastAsia="MS PGothic"/>
        </w:rPr>
        <w:t xml:space="preserve"> from the </w:t>
      </w:r>
      <w:r w:rsidR="00F01386" w:rsidRPr="004C12C9">
        <w:t xml:space="preserve">treatment of municipal wastewater </w:t>
      </w:r>
      <w:r w:rsidR="00074DA2" w:rsidRPr="004C12C9">
        <w:t xml:space="preserve">based on the population served by the </w:t>
      </w:r>
      <w:r w:rsidR="00942193" w:rsidRPr="004C12C9">
        <w:t>wastewater treatment plant</w:t>
      </w:r>
      <w:r w:rsidR="008B3C20" w:rsidRPr="004C12C9">
        <w:t xml:space="preserve">, the </w:t>
      </w:r>
      <w:r w:rsidR="00E6230F" w:rsidRPr="004C12C9">
        <w:t xml:space="preserve">assumed </w:t>
      </w:r>
      <w:r w:rsidR="009C348F" w:rsidRPr="004C12C9">
        <w:t xml:space="preserve">per capita </w:t>
      </w:r>
      <w:r w:rsidR="008B3C20" w:rsidRPr="004C12C9">
        <w:rPr>
          <w:rFonts w:eastAsia="Arial"/>
        </w:rPr>
        <w:t>biological oxygen demand</w:t>
      </w:r>
      <w:r w:rsidR="00AB0D8F" w:rsidRPr="004C12C9">
        <w:t xml:space="preserve"> (BOD)</w:t>
      </w:r>
      <w:r w:rsidR="00942193" w:rsidRPr="004C12C9">
        <w:t xml:space="preserve"> </w:t>
      </w:r>
      <w:r w:rsidR="00E6230F" w:rsidRPr="004C12C9">
        <w:t xml:space="preserve">and protein </w:t>
      </w:r>
      <w:r w:rsidR="00555F0D" w:rsidRPr="004C12C9">
        <w:t>consumption</w:t>
      </w:r>
      <w:r w:rsidR="00A51F69" w:rsidRPr="004C12C9">
        <w:t xml:space="preserve">, and the resulting methane and </w:t>
      </w:r>
      <w:r w:rsidR="00BE25F0" w:rsidRPr="004C12C9">
        <w:t>nitrous</w:t>
      </w:r>
      <w:r w:rsidR="00A51F69" w:rsidRPr="004C12C9">
        <w:t xml:space="preserve"> oxide </w:t>
      </w:r>
      <w:r w:rsidR="00BE25F0" w:rsidRPr="004C12C9">
        <w:t>emissions, as shown in</w:t>
      </w:r>
      <w:r w:rsidR="00555F0D" w:rsidRPr="004C12C9">
        <w:t xml:space="preserve"> </w:t>
      </w:r>
      <w:r w:rsidR="00C439E8" w:rsidRPr="004C12C9">
        <w:t>the equations below.</w:t>
      </w:r>
    </w:p>
    <w:p w14:paraId="57798B80" w14:textId="68CEE5D3" w:rsidR="00DD05C6" w:rsidRPr="004C12C9" w:rsidRDefault="00DD05C6" w:rsidP="00DA3124">
      <w:pPr>
        <w:pStyle w:val="Caption"/>
        <w:keepNext w:val="0"/>
      </w:pPr>
      <w:bookmarkStart w:id="207" w:name="_Ref195607113"/>
      <w:r w:rsidRPr="004C12C9">
        <w:t xml:space="preserve">Equation </w:t>
      </w:r>
      <w:r w:rsidR="00127094">
        <w:fldChar w:fldCharType="begin"/>
      </w:r>
      <w:r w:rsidR="00127094">
        <w:instrText xml:space="preserve"> SEQ Equation \* ARABIC </w:instrText>
      </w:r>
      <w:r w:rsidR="00127094">
        <w:fldChar w:fldCharType="separate"/>
      </w:r>
      <w:r w:rsidR="00C47624">
        <w:rPr>
          <w:noProof/>
        </w:rPr>
        <w:t>26</w:t>
      </w:r>
      <w:r w:rsidR="00127094">
        <w:fldChar w:fldCharType="end"/>
      </w:r>
      <w:bookmarkEnd w:id="207"/>
      <w:r w:rsidRPr="004C12C9">
        <w:t xml:space="preserve">. Methane </w:t>
      </w:r>
      <w:r w:rsidR="006B3CA4" w:rsidRPr="004C12C9">
        <w:t>E</w:t>
      </w:r>
      <w:r w:rsidRPr="004C12C9">
        <w:t xml:space="preserve">missions </w:t>
      </w:r>
      <w:r w:rsidR="002F72EB" w:rsidRPr="004C12C9">
        <w:t xml:space="preserve">from </w:t>
      </w:r>
      <w:r w:rsidR="006B3CA4" w:rsidRPr="004C12C9">
        <w:t>M</w:t>
      </w:r>
      <w:r w:rsidR="002F72EB" w:rsidRPr="004C12C9">
        <w:t xml:space="preserve">unicipal </w:t>
      </w:r>
      <w:r w:rsidR="006B3CA4" w:rsidRPr="004C12C9">
        <w:t>W</w:t>
      </w:r>
      <w:r w:rsidR="002F72EB" w:rsidRPr="004C12C9">
        <w:t>astewater</w:t>
      </w:r>
      <w:r w:rsidR="005C6B4C">
        <w:t xml:space="preserve">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30"/>
        <w:gridCol w:w="7650"/>
      </w:tblGrid>
      <w:tr w:rsidR="003261B1" w:rsidRPr="004C12C9" w14:paraId="394B5DA3" w14:textId="77777777" w:rsidTr="00470191">
        <w:tc>
          <w:tcPr>
            <w:tcW w:w="10080" w:type="dxa"/>
            <w:gridSpan w:val="2"/>
            <w:shd w:val="clear" w:color="auto" w:fill="F2F2F2" w:themeFill="background1" w:themeFillShade="F2"/>
          </w:tcPr>
          <w:p w14:paraId="41EA84B2" w14:textId="7BC98D53" w:rsidR="003261B1" w:rsidRPr="004C12C9" w:rsidRDefault="000663F1" w:rsidP="00DA3124">
            <w:pPr>
              <w:pStyle w:val="Equation"/>
              <w:rPr>
                <w:noProof w:val="0"/>
              </w:rPr>
            </w:pPr>
            <m:oMathPara>
              <m:oMath>
                <m:r>
                  <w:rPr>
                    <w:noProof w:val="0"/>
                  </w:rPr>
                  <m:t xml:space="preserve">annual </m:t>
                </m:r>
                <m:sSub>
                  <m:sSubPr>
                    <m:ctrlPr>
                      <w:rPr>
                        <w:noProof w:val="0"/>
                      </w:rPr>
                    </m:ctrlPr>
                  </m:sSubPr>
                  <m:e>
                    <m:r>
                      <w:rPr>
                        <w:noProof w:val="0"/>
                      </w:rPr>
                      <m:t>CH</m:t>
                    </m:r>
                  </m:e>
                  <m:sub>
                    <m:r>
                      <w:rPr>
                        <w:noProof w:val="0"/>
                      </w:rPr>
                      <m:t>4</m:t>
                    </m:r>
                  </m:sub>
                </m:sSub>
                <m:r>
                  <w:rPr>
                    <w:noProof w:val="0"/>
                  </w:rPr>
                  <m:t xml:space="preserve"> emissions= population ×BOD× 365 × </m:t>
                </m:r>
                <m:sSub>
                  <m:sSubPr>
                    <m:ctrlPr>
                      <w:rPr>
                        <w:noProof w:val="0"/>
                        <w:lang w:bidi="ar-SA"/>
                      </w:rPr>
                    </m:ctrlPr>
                  </m:sSubPr>
                  <m:e>
                    <m:r>
                      <w:rPr>
                        <w:noProof w:val="0"/>
                      </w:rPr>
                      <m:t>emission factor</m:t>
                    </m:r>
                  </m:e>
                  <m:sub>
                    <m:r>
                      <w:rPr>
                        <w:noProof w:val="0"/>
                      </w:rPr>
                      <m:t>BOD</m:t>
                    </m:r>
                  </m:sub>
                </m:sSub>
                <m:r>
                  <w:rPr>
                    <w:noProof w:val="0"/>
                    <w:lang w:bidi="ar-SA"/>
                  </w:rPr>
                  <m:t xml:space="preserve"> ×</m:t>
                </m:r>
                <m:sSub>
                  <m:sSubPr>
                    <m:ctrlPr>
                      <w:rPr>
                        <w:noProof w:val="0"/>
                        <w:lang w:bidi="ar-SA"/>
                      </w:rPr>
                    </m:ctrlPr>
                  </m:sSubPr>
                  <m:e>
                    <m:r>
                      <w:rPr>
                        <w:noProof w:val="0"/>
                        <w:lang w:bidi="ar-SA"/>
                      </w:rPr>
                      <m:t>MCF</m:t>
                    </m:r>
                  </m:e>
                  <m:sub>
                    <m:r>
                      <w:rPr>
                        <w:noProof w:val="0"/>
                        <w:lang w:bidi="ar-SA"/>
                      </w:rPr>
                      <m:t>t</m:t>
                    </m:r>
                  </m:sub>
                </m:sSub>
              </m:oMath>
            </m:oMathPara>
          </w:p>
          <w:p w14:paraId="5CF18A16" w14:textId="77777777" w:rsidR="003261B1" w:rsidRPr="004C12C9" w:rsidRDefault="003261B1" w:rsidP="00DA3124">
            <w:pPr>
              <w:rPr>
                <w:i/>
                <w:iCs/>
              </w:rPr>
            </w:pPr>
            <w:r w:rsidRPr="004C12C9">
              <w:rPr>
                <w:i/>
                <w:iCs/>
                <w:sz w:val="20"/>
                <w:szCs w:val="20"/>
              </w:rPr>
              <w:t xml:space="preserve">where, </w:t>
            </w:r>
          </w:p>
        </w:tc>
      </w:tr>
      <w:tr w:rsidR="003261B1" w:rsidRPr="004C12C9" w14:paraId="6682C524" w14:textId="77777777" w:rsidTr="0079030C">
        <w:tc>
          <w:tcPr>
            <w:tcW w:w="2430" w:type="dxa"/>
            <w:shd w:val="clear" w:color="auto" w:fill="F2F2F2" w:themeFill="background1" w:themeFillShade="F2"/>
          </w:tcPr>
          <w:p w14:paraId="1B54026B" w14:textId="20724702" w:rsidR="003261B1" w:rsidRPr="004C12C9" w:rsidRDefault="002D14B0"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Population</w:t>
            </w:r>
          </w:p>
          <w:p w14:paraId="76C1FD74" w14:textId="654A84C8" w:rsidR="002D14B0" w:rsidRPr="004C12C9" w:rsidRDefault="002D14B0"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BOD</w:t>
            </w:r>
          </w:p>
          <w:p w14:paraId="170CDE1A" w14:textId="30CC6AAC" w:rsidR="00A37AA9" w:rsidRPr="004C12C9" w:rsidRDefault="006F5429"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365</w:t>
            </w:r>
          </w:p>
          <w:p w14:paraId="6A0129A9" w14:textId="0059FB5D" w:rsidR="002D14B0" w:rsidRPr="004C12C9" w:rsidRDefault="002D14B0"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BOD emission factor</w:t>
            </w:r>
          </w:p>
          <w:p w14:paraId="00ED924D" w14:textId="39C8F546" w:rsidR="003261B1" w:rsidRPr="004C12C9" w:rsidRDefault="006C29B7" w:rsidP="00DA3124">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MCF</w:t>
            </w:r>
            <w:r w:rsidR="0065117A" w:rsidRPr="0065117A">
              <w:rPr>
                <w:rFonts w:ascii="Calibri" w:eastAsia="Arial" w:hAnsi="Calibri"/>
                <w:bCs w:val="0"/>
                <w:i w:val="0"/>
                <w:noProof w:val="0"/>
                <w:color w:val="auto"/>
                <w:sz w:val="20"/>
                <w:szCs w:val="20"/>
                <w:vertAlign w:val="subscript"/>
              </w:rPr>
              <w:t>t</w:t>
            </w:r>
            <w:r w:rsidR="003261B1" w:rsidRPr="004C12C9">
              <w:rPr>
                <w:rFonts w:ascii="Calibri" w:eastAsia="Arial" w:hAnsi="Calibri"/>
                <w:bCs w:val="0"/>
                <w:i w:val="0"/>
                <w:noProof w:val="0"/>
                <w:color w:val="auto"/>
                <w:sz w:val="20"/>
                <w:szCs w:val="20"/>
              </w:rPr>
              <w:t xml:space="preserve"> </w:t>
            </w:r>
          </w:p>
        </w:tc>
        <w:tc>
          <w:tcPr>
            <w:tcW w:w="7650" w:type="dxa"/>
            <w:shd w:val="clear" w:color="auto" w:fill="F2F2F2" w:themeFill="background1" w:themeFillShade="F2"/>
          </w:tcPr>
          <w:p w14:paraId="351235C4" w14:textId="4BAFC796" w:rsidR="003261B1" w:rsidRPr="004C12C9" w:rsidRDefault="003261B1"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t>
            </w:r>
            <w:r w:rsidR="002D14B0" w:rsidRPr="004C12C9">
              <w:rPr>
                <w:rFonts w:ascii="Calibri" w:eastAsia="Arial" w:hAnsi="Calibri"/>
                <w:bCs w:val="0"/>
                <w:i w:val="0"/>
                <w:noProof w:val="0"/>
                <w:color w:val="auto"/>
                <w:sz w:val="20"/>
                <w:szCs w:val="20"/>
              </w:rPr>
              <w:t xml:space="preserve"> Population served by the wastewater treatment plant</w:t>
            </w:r>
          </w:p>
          <w:p w14:paraId="16A576F9" w14:textId="24C08859" w:rsidR="003261B1" w:rsidRPr="004C12C9" w:rsidRDefault="003261B1" w:rsidP="00DA312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t>
            </w:r>
            <w:r w:rsidR="002D14B0" w:rsidRPr="004C12C9">
              <w:rPr>
                <w:rFonts w:ascii="Calibri" w:eastAsia="Arial" w:hAnsi="Calibri"/>
                <w:bCs w:val="0"/>
                <w:i w:val="0"/>
                <w:noProof w:val="0"/>
                <w:color w:val="auto"/>
                <w:sz w:val="20"/>
                <w:szCs w:val="20"/>
              </w:rPr>
              <w:t xml:space="preserve"> </w:t>
            </w:r>
            <w:r w:rsidR="00162527" w:rsidRPr="004C12C9">
              <w:rPr>
                <w:rFonts w:ascii="Calibri" w:eastAsia="Arial" w:hAnsi="Calibri"/>
                <w:bCs w:val="0"/>
                <w:i w:val="0"/>
                <w:noProof w:val="0"/>
                <w:color w:val="auto"/>
                <w:sz w:val="20"/>
                <w:szCs w:val="20"/>
              </w:rPr>
              <w:t xml:space="preserve">Per capita 5-day </w:t>
            </w:r>
            <w:r w:rsidR="004F2E06" w:rsidRPr="004C12C9">
              <w:rPr>
                <w:rFonts w:ascii="Calibri" w:eastAsia="Arial" w:hAnsi="Calibri"/>
                <w:bCs w:val="0"/>
                <w:i w:val="0"/>
                <w:noProof w:val="0"/>
                <w:color w:val="auto"/>
                <w:sz w:val="20"/>
                <w:szCs w:val="20"/>
              </w:rPr>
              <w:t>BOD</w:t>
            </w:r>
            <w:r w:rsidR="00162527" w:rsidRPr="004C12C9">
              <w:rPr>
                <w:rFonts w:ascii="Calibri" w:eastAsia="Arial" w:hAnsi="Calibri"/>
                <w:bCs w:val="0"/>
                <w:i w:val="0"/>
                <w:noProof w:val="0"/>
                <w:color w:val="auto"/>
                <w:sz w:val="20"/>
                <w:szCs w:val="20"/>
              </w:rPr>
              <w:t xml:space="preserve"> (kg/person/</w:t>
            </w:r>
            <w:r w:rsidR="00A37AA9" w:rsidRPr="004C12C9">
              <w:rPr>
                <w:rFonts w:ascii="Calibri" w:eastAsia="Arial" w:hAnsi="Calibri"/>
                <w:bCs w:val="0"/>
                <w:i w:val="0"/>
                <w:noProof w:val="0"/>
                <w:color w:val="auto"/>
                <w:sz w:val="20"/>
                <w:szCs w:val="20"/>
              </w:rPr>
              <w:t>day</w:t>
            </w:r>
            <w:r w:rsidR="00162527" w:rsidRPr="004C12C9">
              <w:rPr>
                <w:rFonts w:ascii="Calibri" w:eastAsia="Arial" w:hAnsi="Calibri"/>
                <w:bCs w:val="0"/>
                <w:i w:val="0"/>
                <w:noProof w:val="0"/>
                <w:color w:val="auto"/>
                <w:sz w:val="20"/>
                <w:szCs w:val="20"/>
              </w:rPr>
              <w:t>)</w:t>
            </w:r>
          </w:p>
          <w:p w14:paraId="4A642E88" w14:textId="2DBB692F" w:rsidR="00A37AA9" w:rsidRPr="004C12C9" w:rsidRDefault="006F5429" w:rsidP="00DA312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05258" w:rsidRPr="004C12C9">
              <w:rPr>
                <w:rFonts w:ascii="Calibri" w:eastAsia="Arial" w:hAnsi="Calibri"/>
                <w:bCs w:val="0"/>
                <w:i w:val="0"/>
                <w:noProof w:val="0"/>
                <w:color w:val="auto"/>
                <w:sz w:val="20"/>
                <w:szCs w:val="20"/>
              </w:rPr>
              <w:t>Conversion factor for d</w:t>
            </w:r>
            <w:r w:rsidRPr="004C12C9">
              <w:rPr>
                <w:rFonts w:ascii="Calibri" w:eastAsia="Arial" w:hAnsi="Calibri"/>
                <w:bCs w:val="0"/>
                <w:i w:val="0"/>
                <w:noProof w:val="0"/>
                <w:color w:val="auto"/>
                <w:sz w:val="20"/>
                <w:szCs w:val="20"/>
              </w:rPr>
              <w:t>ays</w:t>
            </w:r>
            <w:r w:rsidR="007C654F" w:rsidRPr="004C12C9">
              <w:rPr>
                <w:rFonts w:ascii="Calibri" w:eastAsia="Arial" w:hAnsi="Calibri"/>
                <w:bCs w:val="0"/>
                <w:i w:val="0"/>
                <w:noProof w:val="0"/>
                <w:color w:val="auto"/>
                <w:sz w:val="20"/>
                <w:szCs w:val="20"/>
              </w:rPr>
              <w:t>/</w:t>
            </w:r>
            <w:r w:rsidRPr="004C12C9">
              <w:rPr>
                <w:rFonts w:ascii="Calibri" w:eastAsia="Arial" w:hAnsi="Calibri"/>
                <w:bCs w:val="0"/>
                <w:i w:val="0"/>
                <w:noProof w:val="0"/>
                <w:color w:val="auto"/>
                <w:sz w:val="20"/>
                <w:szCs w:val="20"/>
              </w:rPr>
              <w:t>year</w:t>
            </w:r>
          </w:p>
          <w:p w14:paraId="065A7AD7" w14:textId="77777777" w:rsidR="003261B1" w:rsidRPr="004C12C9" w:rsidRDefault="00162527"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Methane emissions per unit of BOD production (kg</w:t>
            </w:r>
            <w:r w:rsidR="00973D75" w:rsidRPr="004C12C9">
              <w:rPr>
                <w:rFonts w:ascii="Calibri" w:eastAsia="Arial" w:hAnsi="Calibri"/>
                <w:bCs w:val="0"/>
                <w:i w:val="0"/>
                <w:noProof w:val="0"/>
                <w:color w:val="auto"/>
                <w:sz w:val="20"/>
                <w:szCs w:val="20"/>
              </w:rPr>
              <w:t xml:space="preserve"> CH</w:t>
            </w:r>
            <w:r w:rsidR="00973D75" w:rsidRPr="004C12C9">
              <w:rPr>
                <w:rFonts w:ascii="Calibri" w:eastAsia="Arial" w:hAnsi="Calibri"/>
                <w:bCs w:val="0"/>
                <w:i w:val="0"/>
                <w:noProof w:val="0"/>
                <w:color w:val="auto"/>
                <w:sz w:val="20"/>
                <w:szCs w:val="20"/>
                <w:vertAlign w:val="subscript"/>
              </w:rPr>
              <w:t>4</w:t>
            </w:r>
            <w:r w:rsidR="00821F94" w:rsidRPr="004C12C9">
              <w:rPr>
                <w:rFonts w:ascii="Calibri" w:eastAsia="Arial" w:hAnsi="Calibri"/>
                <w:bCs w:val="0"/>
                <w:i w:val="0"/>
                <w:noProof w:val="0"/>
                <w:color w:val="auto"/>
                <w:sz w:val="20"/>
                <w:szCs w:val="20"/>
              </w:rPr>
              <w:t>/kg BOD)</w:t>
            </w:r>
          </w:p>
          <w:p w14:paraId="47C61B95" w14:textId="02A81175" w:rsidR="003261B1" w:rsidRPr="004C12C9" w:rsidRDefault="00821F94" w:rsidP="00DA312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9D60F1">
              <w:rPr>
                <w:rFonts w:ascii="Calibri" w:eastAsia="Arial" w:hAnsi="Calibri"/>
                <w:bCs w:val="0"/>
                <w:i w:val="0"/>
                <w:noProof w:val="0"/>
                <w:color w:val="auto"/>
                <w:sz w:val="20"/>
                <w:szCs w:val="20"/>
              </w:rPr>
              <w:t>Methane correction factor</w:t>
            </w:r>
            <w:r w:rsidR="007153F6">
              <w:rPr>
                <w:rFonts w:ascii="Calibri" w:eastAsia="Arial" w:hAnsi="Calibri"/>
                <w:bCs w:val="0"/>
                <w:i w:val="0"/>
                <w:noProof w:val="0"/>
                <w:color w:val="auto"/>
                <w:sz w:val="20"/>
                <w:szCs w:val="20"/>
              </w:rPr>
              <w:t xml:space="preserve"> by system type, t </w:t>
            </w:r>
            <w:r w:rsidR="00DC20A7" w:rsidRPr="004C12C9">
              <w:rPr>
                <w:rFonts w:ascii="Calibri" w:eastAsia="Arial" w:hAnsi="Calibri"/>
                <w:bCs w:val="0"/>
                <w:i w:val="0"/>
                <w:noProof w:val="0"/>
                <w:color w:val="auto"/>
                <w:sz w:val="20"/>
                <w:szCs w:val="20"/>
              </w:rPr>
              <w:t>(</w:t>
            </w:r>
            <w:r w:rsidR="007153F6">
              <w:rPr>
                <w:rFonts w:ascii="Calibri" w:eastAsia="Arial" w:hAnsi="Calibri"/>
                <w:bCs w:val="0"/>
                <w:i w:val="0"/>
                <w:noProof w:val="0"/>
                <w:color w:val="auto"/>
                <w:sz w:val="20"/>
                <w:szCs w:val="20"/>
              </w:rPr>
              <w:t>fraction</w:t>
            </w:r>
            <w:r w:rsidR="00DC20A7" w:rsidRPr="004C12C9">
              <w:rPr>
                <w:rFonts w:ascii="Calibri" w:eastAsia="Arial" w:hAnsi="Calibri"/>
                <w:bCs w:val="0"/>
                <w:i w:val="0"/>
                <w:noProof w:val="0"/>
                <w:color w:val="auto"/>
                <w:sz w:val="20"/>
                <w:szCs w:val="20"/>
              </w:rPr>
              <w:t>)</w:t>
            </w:r>
          </w:p>
          <w:p w14:paraId="64D1FA78" w14:textId="3EC5651B" w:rsidR="00821F94" w:rsidRPr="004C12C9" w:rsidRDefault="00821F94" w:rsidP="00DA3124">
            <w:pPr>
              <w:pStyle w:val="Equation"/>
              <w:spacing w:before="0" w:after="0"/>
              <w:jc w:val="left"/>
              <w:rPr>
                <w:rFonts w:ascii="Calibri" w:eastAsia="Arial" w:hAnsi="Calibri"/>
                <w:bCs w:val="0"/>
                <w:i w:val="0"/>
                <w:noProof w:val="0"/>
                <w:color w:val="auto"/>
                <w:sz w:val="20"/>
                <w:szCs w:val="20"/>
              </w:rPr>
            </w:pPr>
          </w:p>
        </w:tc>
      </w:tr>
    </w:tbl>
    <w:p w14:paraId="7DE0DCA6" w14:textId="6453CEA7" w:rsidR="00F01386" w:rsidRPr="004C12C9" w:rsidRDefault="002F72EB" w:rsidP="00DA3124">
      <w:pPr>
        <w:pStyle w:val="Caption"/>
        <w:rPr>
          <w:rFonts w:eastAsia="Arial"/>
        </w:rPr>
      </w:pPr>
      <w:bookmarkStart w:id="208" w:name="_Ref195607115"/>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27</w:t>
      </w:r>
      <w:r w:rsidR="00127094">
        <w:fldChar w:fldCharType="end"/>
      </w:r>
      <w:bookmarkEnd w:id="208"/>
      <w:r w:rsidRPr="004C12C9">
        <w:t xml:space="preserve">. </w:t>
      </w:r>
      <w:r w:rsidR="00FE4EA1">
        <w:t xml:space="preserve">Direct </w:t>
      </w:r>
      <w:r w:rsidRPr="004C12C9">
        <w:t xml:space="preserve">Nitrous </w:t>
      </w:r>
      <w:r w:rsidR="006B3CA4" w:rsidRPr="004C12C9">
        <w:t>O</w:t>
      </w:r>
      <w:r w:rsidRPr="004C12C9">
        <w:t xml:space="preserve">xide </w:t>
      </w:r>
      <w:r w:rsidR="006B3CA4" w:rsidRPr="004C12C9">
        <w:t>E</w:t>
      </w:r>
      <w:r w:rsidRPr="004C12C9">
        <w:t xml:space="preserve">missions from </w:t>
      </w:r>
      <w:r w:rsidR="006B3CA4" w:rsidRPr="004C12C9">
        <w:t>M</w:t>
      </w:r>
      <w:r w:rsidRPr="004C12C9">
        <w:t xml:space="preserve">unicipal </w:t>
      </w:r>
      <w:r w:rsidR="006B3CA4" w:rsidRPr="004C12C9">
        <w:t>W</w:t>
      </w:r>
      <w:r w:rsidRPr="004C12C9">
        <w:t>astewater</w:t>
      </w:r>
      <w:r w:rsidR="00AA323D">
        <w:t xml:space="preserve">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DD05C6" w:rsidRPr="004C12C9" w14:paraId="6FDA510B" w14:textId="77777777">
        <w:tc>
          <w:tcPr>
            <w:tcW w:w="10070" w:type="dxa"/>
            <w:gridSpan w:val="2"/>
            <w:shd w:val="clear" w:color="auto" w:fill="F2F2F2" w:themeFill="background1" w:themeFillShade="F2"/>
          </w:tcPr>
          <w:p w14:paraId="5720B079" w14:textId="4D7E8468" w:rsidR="00F33803" w:rsidRPr="004C12C9" w:rsidRDefault="000B05B0" w:rsidP="00DA3124">
            <w:pPr>
              <w:pStyle w:val="Equation"/>
              <w:keepNext/>
              <w:rPr>
                <w:noProof w:val="0"/>
              </w:rPr>
            </w:pPr>
            <m:oMathPara>
              <m:oMath>
                <m:r>
                  <w:rPr>
                    <w:noProof w:val="0"/>
                  </w:rPr>
                  <m:t xml:space="preserve">annual direct </m:t>
                </m:r>
                <m:sSub>
                  <m:sSubPr>
                    <m:ctrlPr>
                      <w:rPr>
                        <w:noProof w:val="0"/>
                      </w:rPr>
                    </m:ctrlPr>
                  </m:sSubPr>
                  <m:e>
                    <m:r>
                      <w:rPr>
                        <w:noProof w:val="0"/>
                      </w:rPr>
                      <m:t>N</m:t>
                    </m:r>
                  </m:e>
                  <m:sub>
                    <m:r>
                      <w:rPr>
                        <w:noProof w:val="0"/>
                      </w:rPr>
                      <m:t>2</m:t>
                    </m:r>
                  </m:sub>
                </m:sSub>
                <m:r>
                  <w:rPr>
                    <w:noProof w:val="0"/>
                  </w:rPr>
                  <m:t>O emissions= population ×protein× nitrogen content ×fraction ×</m:t>
                </m:r>
                <m:sSub>
                  <m:sSubPr>
                    <m:ctrlPr>
                      <w:rPr>
                        <w:noProof w:val="0"/>
                        <w:lang w:bidi="ar-SA"/>
                      </w:rPr>
                    </m:ctrlPr>
                  </m:sSubPr>
                  <m:e>
                    <m:r>
                      <w:rPr>
                        <w:noProof w:val="0"/>
                      </w:rPr>
                      <m:t>emission factor</m:t>
                    </m:r>
                  </m:e>
                  <m:sub>
                    <m:r>
                      <w:rPr>
                        <w:noProof w:val="0"/>
                      </w:rPr>
                      <m:t>N2O,  t</m:t>
                    </m:r>
                  </m:sub>
                </m:sSub>
                <m:r>
                  <w:rPr>
                    <w:noProof w:val="0"/>
                    <w:lang w:bidi="ar-SA"/>
                  </w:rPr>
                  <m:t xml:space="preserve"> ×</m:t>
                </m:r>
                <m:f>
                  <m:fPr>
                    <m:ctrlPr>
                      <w:rPr>
                        <w:noProof w:val="0"/>
                        <w:lang w:bidi="ar-SA"/>
                      </w:rPr>
                    </m:ctrlPr>
                  </m:fPr>
                  <m:num>
                    <m:r>
                      <w:rPr>
                        <w:noProof w:val="0"/>
                        <w:lang w:bidi="ar-SA"/>
                      </w:rPr>
                      <m:t>44</m:t>
                    </m:r>
                  </m:num>
                  <m:den>
                    <m:r>
                      <w:rPr>
                        <w:noProof w:val="0"/>
                        <w:lang w:bidi="ar-SA"/>
                      </w:rPr>
                      <m:t>28</m:t>
                    </m:r>
                  </m:den>
                </m:f>
                <m:r>
                  <w:rPr>
                    <w:rFonts w:eastAsia="Arial"/>
                    <w:noProof w:val="0"/>
                    <w:color w:val="auto"/>
                    <w:sz w:val="20"/>
                    <w:szCs w:val="20"/>
                  </w:rPr>
                  <m:t xml:space="preserve"> </m:t>
                </m:r>
              </m:oMath>
            </m:oMathPara>
          </w:p>
          <w:p w14:paraId="5444D633" w14:textId="77777777" w:rsidR="00DD05C6" w:rsidRPr="004C12C9" w:rsidRDefault="00DD05C6" w:rsidP="00DA3124">
            <w:pPr>
              <w:keepNext/>
              <w:rPr>
                <w:i/>
                <w:iCs/>
              </w:rPr>
            </w:pPr>
            <w:r w:rsidRPr="004C12C9">
              <w:rPr>
                <w:i/>
                <w:iCs/>
                <w:sz w:val="20"/>
                <w:szCs w:val="20"/>
              </w:rPr>
              <w:t xml:space="preserve">where, </w:t>
            </w:r>
          </w:p>
        </w:tc>
      </w:tr>
      <w:tr w:rsidR="00DD05C6" w:rsidRPr="004C12C9" w14:paraId="6B2D2B5F" w14:textId="77777777" w:rsidTr="00862162">
        <w:trPr>
          <w:trHeight w:val="702"/>
        </w:trPr>
        <w:tc>
          <w:tcPr>
            <w:tcW w:w="2070" w:type="dxa"/>
            <w:shd w:val="clear" w:color="auto" w:fill="F2F2F2" w:themeFill="background1" w:themeFillShade="F2"/>
          </w:tcPr>
          <w:p w14:paraId="25641021" w14:textId="77777777" w:rsidR="00DD05C6" w:rsidRPr="004C12C9" w:rsidRDefault="00DD05C6">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Population</w:t>
            </w:r>
          </w:p>
          <w:p w14:paraId="2D56B555" w14:textId="77777777" w:rsidR="00F33803" w:rsidRPr="004C12C9" w:rsidRDefault="00F33803">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Protein</w:t>
            </w:r>
          </w:p>
          <w:p w14:paraId="3E3067D1" w14:textId="70D7980E" w:rsidR="00F33803" w:rsidRPr="004C12C9" w:rsidRDefault="00F33803">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Nitrogen content</w:t>
            </w:r>
          </w:p>
          <w:p w14:paraId="06073B89" w14:textId="0A595A50" w:rsidR="00F33803" w:rsidRPr="004C12C9" w:rsidRDefault="00F33803">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F</w:t>
            </w:r>
            <w:r w:rsidR="00653FBA" w:rsidRPr="004C12C9">
              <w:rPr>
                <w:rFonts w:ascii="Calibri" w:eastAsia="Arial" w:hAnsi="Calibri"/>
                <w:i w:val="0"/>
                <w:noProof w:val="0"/>
                <w:color w:val="auto"/>
                <w:sz w:val="20"/>
                <w:szCs w:val="20"/>
              </w:rPr>
              <w:t>actor</w:t>
            </w:r>
          </w:p>
          <w:p w14:paraId="34A1B983" w14:textId="2E3958D1" w:rsidR="00BE32AD" w:rsidRPr="004C12C9" w:rsidRDefault="00F33803">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N</w:t>
            </w:r>
            <w:r w:rsidRPr="004C12C9">
              <w:rPr>
                <w:rFonts w:ascii="Calibri" w:eastAsia="Arial" w:hAnsi="Calibri"/>
                <w:i w:val="0"/>
                <w:noProof w:val="0"/>
                <w:color w:val="auto"/>
                <w:sz w:val="20"/>
                <w:szCs w:val="20"/>
                <w:vertAlign w:val="subscript"/>
              </w:rPr>
              <w:t>2</w:t>
            </w:r>
            <w:r w:rsidRPr="004C12C9">
              <w:rPr>
                <w:rFonts w:ascii="Calibri" w:eastAsia="Arial" w:hAnsi="Calibri"/>
                <w:i w:val="0"/>
                <w:noProof w:val="0"/>
                <w:color w:val="auto"/>
                <w:sz w:val="20"/>
                <w:szCs w:val="20"/>
              </w:rPr>
              <w:t>O emission factor</w:t>
            </w:r>
            <w:r w:rsidR="00D02CCD" w:rsidRPr="00D02CCD">
              <w:rPr>
                <w:rFonts w:ascii="Calibri" w:eastAsia="Arial" w:hAnsi="Calibri"/>
                <w:i w:val="0"/>
                <w:noProof w:val="0"/>
                <w:color w:val="auto"/>
                <w:sz w:val="20"/>
                <w:szCs w:val="20"/>
                <w:vertAlign w:val="subscript"/>
              </w:rPr>
              <w:t>t</w:t>
            </w:r>
          </w:p>
          <w:p w14:paraId="4C7E6F10" w14:textId="050ECD7E" w:rsidR="00DD05C6" w:rsidRPr="004C12C9" w:rsidRDefault="009E24F1">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44/28</w:t>
            </w:r>
          </w:p>
        </w:tc>
        <w:tc>
          <w:tcPr>
            <w:tcW w:w="8000" w:type="dxa"/>
            <w:shd w:val="clear" w:color="auto" w:fill="F2F2F2" w:themeFill="background1" w:themeFillShade="F2"/>
          </w:tcPr>
          <w:p w14:paraId="2977A29D" w14:textId="77777777" w:rsidR="00DD05C6" w:rsidRPr="004C12C9" w:rsidRDefault="00DD05C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Population served by the wastewater treatment plant</w:t>
            </w:r>
          </w:p>
          <w:p w14:paraId="4074D447" w14:textId="77777777" w:rsidR="00DD05C6" w:rsidRPr="004C12C9" w:rsidRDefault="006D7CD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per capita protein consumption (kg/person/year)</w:t>
            </w:r>
          </w:p>
          <w:p w14:paraId="045968C6" w14:textId="77777777" w:rsidR="006D7CD4" w:rsidRPr="004C12C9" w:rsidRDefault="006D7CD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Fraction of nitrogen in protein (kg N/kg protein)</w:t>
            </w:r>
          </w:p>
          <w:p w14:paraId="26B0B778" w14:textId="19BD1CE9" w:rsidR="006D7CD4" w:rsidRPr="004C12C9" w:rsidRDefault="006D7CD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653FBA" w:rsidRPr="004C12C9">
              <w:rPr>
                <w:rFonts w:ascii="Calibri" w:eastAsia="Arial" w:hAnsi="Calibri"/>
                <w:bCs w:val="0"/>
                <w:i w:val="0"/>
                <w:noProof w:val="0"/>
                <w:color w:val="auto"/>
                <w:sz w:val="20"/>
                <w:szCs w:val="20"/>
              </w:rPr>
              <w:t>Factor to adjust for</w:t>
            </w:r>
            <w:r w:rsidRPr="004C12C9">
              <w:rPr>
                <w:rFonts w:ascii="Calibri" w:eastAsia="Arial" w:hAnsi="Calibri"/>
                <w:bCs w:val="0"/>
                <w:i w:val="0"/>
                <w:noProof w:val="0"/>
                <w:color w:val="auto"/>
                <w:sz w:val="20"/>
                <w:szCs w:val="20"/>
              </w:rPr>
              <w:t xml:space="preserve"> of nitrogen in the protein not consumed</w:t>
            </w:r>
          </w:p>
          <w:p w14:paraId="1AACCD31" w14:textId="25D0B414" w:rsidR="006D7CD4" w:rsidRPr="004C12C9" w:rsidRDefault="006D7CD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Nitrous oxide emissions per nitrogen treated</w:t>
            </w:r>
            <w:r w:rsidR="00D02CCD">
              <w:rPr>
                <w:rFonts w:ascii="Calibri" w:eastAsia="Arial" w:hAnsi="Calibri"/>
                <w:bCs w:val="0"/>
                <w:i w:val="0"/>
                <w:noProof w:val="0"/>
                <w:color w:val="auto"/>
                <w:sz w:val="20"/>
                <w:szCs w:val="20"/>
              </w:rPr>
              <w:t xml:space="preserve"> by system type, t</w:t>
            </w:r>
            <w:r w:rsidRPr="004C12C9">
              <w:rPr>
                <w:rFonts w:ascii="Calibri" w:eastAsia="Arial" w:hAnsi="Calibri"/>
                <w:bCs w:val="0"/>
                <w:i w:val="0"/>
                <w:noProof w:val="0"/>
                <w:color w:val="auto"/>
                <w:sz w:val="20"/>
                <w:szCs w:val="20"/>
              </w:rPr>
              <w:t xml:space="preserve"> (kg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 N)</w:t>
            </w:r>
            <w:r w:rsidR="00826447">
              <w:rPr>
                <w:rFonts w:ascii="Calibri" w:eastAsia="Arial" w:hAnsi="Calibri"/>
                <w:bCs w:val="0"/>
                <w:i w:val="0"/>
                <w:noProof w:val="0"/>
                <w:color w:val="auto"/>
                <w:sz w:val="20"/>
                <w:szCs w:val="20"/>
              </w:rPr>
              <w:t xml:space="preserve"> </w:t>
            </w:r>
          </w:p>
          <w:p w14:paraId="7155A261" w14:textId="77777777" w:rsidR="00DD05C6" w:rsidRPr="004C12C9" w:rsidRDefault="006D7CD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4B4232" w:rsidRPr="004C12C9">
              <w:rPr>
                <w:rFonts w:ascii="Calibri" w:eastAsia="Arial" w:hAnsi="Calibri"/>
                <w:bCs w:val="0"/>
                <w:i w:val="0"/>
                <w:noProof w:val="0"/>
                <w:color w:val="auto"/>
                <w:sz w:val="20"/>
                <w:szCs w:val="20"/>
              </w:rPr>
              <w:t>Conversion factor of N</w:t>
            </w:r>
            <w:r w:rsidR="004B4232" w:rsidRPr="004C12C9">
              <w:rPr>
                <w:rFonts w:ascii="Calibri" w:eastAsia="Arial" w:hAnsi="Calibri"/>
                <w:bCs w:val="0"/>
                <w:i w:val="0"/>
                <w:noProof w:val="0"/>
                <w:color w:val="auto"/>
                <w:sz w:val="20"/>
                <w:szCs w:val="20"/>
                <w:vertAlign w:val="subscript"/>
              </w:rPr>
              <w:t>2</w:t>
            </w:r>
            <w:r w:rsidR="004B4232" w:rsidRPr="004C12C9">
              <w:rPr>
                <w:rFonts w:ascii="Calibri" w:eastAsia="Arial" w:hAnsi="Calibri"/>
                <w:bCs w:val="0"/>
                <w:i w:val="0"/>
                <w:noProof w:val="0"/>
                <w:color w:val="auto"/>
                <w:sz w:val="20"/>
                <w:szCs w:val="20"/>
              </w:rPr>
              <w:t>O</w:t>
            </w:r>
            <w:r w:rsidR="002F72EB" w:rsidRPr="004C12C9">
              <w:rPr>
                <w:rFonts w:ascii="Calibri" w:eastAsia="Arial" w:hAnsi="Calibri"/>
                <w:bCs w:val="0"/>
                <w:i w:val="0"/>
                <w:noProof w:val="0"/>
                <w:color w:val="auto"/>
                <w:sz w:val="20"/>
                <w:szCs w:val="20"/>
              </w:rPr>
              <w:t>-N to N</w:t>
            </w:r>
            <w:r w:rsidR="002F72EB" w:rsidRPr="004C12C9">
              <w:rPr>
                <w:rFonts w:ascii="Calibri" w:eastAsia="Arial" w:hAnsi="Calibri"/>
                <w:bCs w:val="0"/>
                <w:i w:val="0"/>
                <w:noProof w:val="0"/>
                <w:color w:val="auto"/>
                <w:sz w:val="20"/>
                <w:szCs w:val="20"/>
                <w:vertAlign w:val="subscript"/>
              </w:rPr>
              <w:t>2</w:t>
            </w:r>
            <w:r w:rsidR="002F72EB" w:rsidRPr="004C12C9">
              <w:rPr>
                <w:rFonts w:ascii="Calibri" w:eastAsia="Arial" w:hAnsi="Calibri"/>
                <w:bCs w:val="0"/>
                <w:i w:val="0"/>
                <w:noProof w:val="0"/>
                <w:color w:val="auto"/>
                <w:sz w:val="20"/>
                <w:szCs w:val="20"/>
              </w:rPr>
              <w:t>O</w:t>
            </w:r>
          </w:p>
          <w:p w14:paraId="02394C34" w14:textId="3D64C8B4" w:rsidR="006D7CD4" w:rsidRPr="004C12C9" w:rsidRDefault="006D7CD4">
            <w:pPr>
              <w:pStyle w:val="Equation"/>
              <w:spacing w:before="0" w:after="0"/>
              <w:jc w:val="left"/>
              <w:rPr>
                <w:rFonts w:ascii="Calibri" w:eastAsia="Arial" w:hAnsi="Calibri"/>
                <w:bCs w:val="0"/>
                <w:i w:val="0"/>
                <w:noProof w:val="0"/>
                <w:color w:val="auto"/>
                <w:sz w:val="20"/>
                <w:szCs w:val="20"/>
              </w:rPr>
            </w:pPr>
          </w:p>
        </w:tc>
      </w:tr>
    </w:tbl>
    <w:p w14:paraId="0BE9208C" w14:textId="4BB74ABD" w:rsidR="00C47624" w:rsidRDefault="00C47624" w:rsidP="00C47624">
      <w:pPr>
        <w:pStyle w:val="Caption"/>
      </w:pPr>
      <w:bookmarkStart w:id="209" w:name="_Ref219841769"/>
      <w:bookmarkStart w:id="210" w:name="_Ref195607117"/>
      <w:r>
        <w:t xml:space="preserve">Equation </w:t>
      </w:r>
      <w:r>
        <w:fldChar w:fldCharType="begin"/>
      </w:r>
      <w:r>
        <w:instrText xml:space="preserve"> SEQ Equation \* ARABIC </w:instrText>
      </w:r>
      <w:r>
        <w:fldChar w:fldCharType="separate"/>
      </w:r>
      <w:r>
        <w:rPr>
          <w:noProof/>
        </w:rPr>
        <w:t>28</w:t>
      </w:r>
      <w:r>
        <w:fldChar w:fldCharType="end"/>
      </w:r>
      <w:bookmarkEnd w:id="209"/>
      <w:r>
        <w:t xml:space="preserve">. Nitrous Oxide Emissions from Municipal Wastewater </w:t>
      </w:r>
      <w:r w:rsidR="002B06F2">
        <w:t xml:space="preserve">Effluent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C47624" w:rsidRPr="004C12C9" w14:paraId="288765CB" w14:textId="77777777" w:rsidTr="00BC0D67">
        <w:tc>
          <w:tcPr>
            <w:tcW w:w="10070" w:type="dxa"/>
            <w:gridSpan w:val="2"/>
            <w:shd w:val="clear" w:color="auto" w:fill="F2F2F2" w:themeFill="background1" w:themeFillShade="F2"/>
          </w:tcPr>
          <w:p w14:paraId="2AB4C047" w14:textId="30268CCA" w:rsidR="00C47624" w:rsidRPr="004C12C9" w:rsidRDefault="000B05B0" w:rsidP="00BC0D67">
            <w:pPr>
              <w:pStyle w:val="Equation"/>
              <w:rPr>
                <w:noProof w:val="0"/>
              </w:rPr>
            </w:pPr>
            <m:oMathPara>
              <m:oMath>
                <m:r>
                  <w:rPr>
                    <w:noProof w:val="0"/>
                  </w:rPr>
                  <m:t xml:space="preserve">annual </m:t>
                </m:r>
                <m:sSub>
                  <m:sSubPr>
                    <m:ctrlPr>
                      <w:rPr>
                        <w:noProof w:val="0"/>
                      </w:rPr>
                    </m:ctrlPr>
                  </m:sSubPr>
                  <m:e>
                    <m:r>
                      <w:rPr>
                        <w:noProof w:val="0"/>
                      </w:rPr>
                      <m:t>indirect N</m:t>
                    </m:r>
                  </m:e>
                  <m:sub>
                    <m:r>
                      <w:rPr>
                        <w:noProof w:val="0"/>
                      </w:rPr>
                      <m:t>2</m:t>
                    </m:r>
                  </m:sub>
                </m:sSub>
                <m:r>
                  <w:rPr>
                    <w:noProof w:val="0"/>
                  </w:rPr>
                  <m:t>O emissions=</m:t>
                </m:r>
                <m:d>
                  <m:dPr>
                    <m:ctrlPr>
                      <w:rPr>
                        <w:noProof w:val="0"/>
                      </w:rPr>
                    </m:ctrlPr>
                  </m:dPr>
                  <m:e>
                    <m:r>
                      <w:rPr>
                        <w:noProof w:val="0"/>
                      </w:rPr>
                      <m:t xml:space="preserve">population ×protein× nitrogen content ×fraction-direct </m:t>
                    </m:r>
                    <m:sSub>
                      <m:sSubPr>
                        <m:ctrlPr>
                          <w:rPr>
                            <w:noProof w:val="0"/>
                            <w:color w:val="auto"/>
                            <w:lang w:bidi="ar-SA"/>
                          </w:rPr>
                        </m:ctrlPr>
                      </m:sSubPr>
                      <m:e>
                        <m:r>
                          <w:rPr>
                            <w:noProof w:val="0"/>
                            <w:color w:val="auto"/>
                            <w:lang w:bidi="ar-SA"/>
                          </w:rPr>
                          <m:t>N</m:t>
                        </m:r>
                      </m:e>
                      <m:sub>
                        <m:r>
                          <w:rPr>
                            <w:noProof w:val="0"/>
                            <w:color w:val="auto"/>
                            <w:lang w:bidi="ar-SA"/>
                          </w:rPr>
                          <m:t>2</m:t>
                        </m:r>
                      </m:sub>
                    </m:sSub>
                    <m:r>
                      <w:rPr>
                        <w:noProof w:val="0"/>
                        <w:color w:val="auto"/>
                        <w:lang w:bidi="ar-SA"/>
                      </w:rPr>
                      <m:t>O</m:t>
                    </m:r>
                    <m:r>
                      <w:rPr>
                        <w:noProof w:val="0"/>
                      </w:rPr>
                      <m:t xml:space="preserve"> emissions</m:t>
                    </m:r>
                  </m:e>
                </m:d>
                <m:r>
                  <w:rPr>
                    <w:noProof w:val="0"/>
                  </w:rPr>
                  <m:t xml:space="preserve"> x </m:t>
                </m:r>
                <m:sSub>
                  <m:sSubPr>
                    <m:ctrlPr>
                      <w:rPr>
                        <w:noProof w:val="0"/>
                        <w:lang w:bidi="ar-SA"/>
                      </w:rPr>
                    </m:ctrlPr>
                  </m:sSubPr>
                  <m:e>
                    <m:r>
                      <w:rPr>
                        <w:noProof w:val="0"/>
                      </w:rPr>
                      <m:t>emission factor</m:t>
                    </m:r>
                  </m:e>
                  <m:sub>
                    <m:r>
                      <w:rPr>
                        <w:noProof w:val="0"/>
                      </w:rPr>
                      <m:t>N2O</m:t>
                    </m:r>
                  </m:sub>
                </m:sSub>
                <m:r>
                  <w:rPr>
                    <w:noProof w:val="0"/>
                    <w:lang w:bidi="ar-SA"/>
                  </w:rPr>
                  <m:t xml:space="preserve"> ×</m:t>
                </m:r>
                <m:f>
                  <m:fPr>
                    <m:ctrlPr>
                      <w:rPr>
                        <w:noProof w:val="0"/>
                        <w:lang w:bidi="ar-SA"/>
                      </w:rPr>
                    </m:ctrlPr>
                  </m:fPr>
                  <m:num>
                    <m:r>
                      <w:rPr>
                        <w:noProof w:val="0"/>
                        <w:lang w:bidi="ar-SA"/>
                      </w:rPr>
                      <m:t>44</m:t>
                    </m:r>
                  </m:num>
                  <m:den>
                    <m:r>
                      <w:rPr>
                        <w:noProof w:val="0"/>
                        <w:lang w:bidi="ar-SA"/>
                      </w:rPr>
                      <m:t>28</m:t>
                    </m:r>
                  </m:den>
                </m:f>
              </m:oMath>
            </m:oMathPara>
          </w:p>
          <w:p w14:paraId="73413B28" w14:textId="77777777" w:rsidR="00C47624" w:rsidRPr="004C12C9" w:rsidRDefault="00C47624" w:rsidP="00BC0D67">
            <w:pPr>
              <w:rPr>
                <w:i/>
                <w:iCs/>
              </w:rPr>
            </w:pPr>
            <w:r w:rsidRPr="004C12C9">
              <w:rPr>
                <w:i/>
                <w:iCs/>
                <w:sz w:val="20"/>
                <w:szCs w:val="20"/>
              </w:rPr>
              <w:t xml:space="preserve">where, </w:t>
            </w:r>
          </w:p>
        </w:tc>
      </w:tr>
      <w:tr w:rsidR="00C47624" w:rsidRPr="004C12C9" w14:paraId="6C441BF5" w14:textId="77777777" w:rsidTr="00862162">
        <w:trPr>
          <w:trHeight w:val="702"/>
        </w:trPr>
        <w:tc>
          <w:tcPr>
            <w:tcW w:w="2070" w:type="dxa"/>
            <w:shd w:val="clear" w:color="auto" w:fill="F2F2F2" w:themeFill="background1" w:themeFillShade="F2"/>
          </w:tcPr>
          <w:p w14:paraId="6D58E4C0" w14:textId="77777777" w:rsidR="00C47624" w:rsidRPr="004C12C9" w:rsidRDefault="00C47624" w:rsidP="00BC0D67">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Population</w:t>
            </w:r>
          </w:p>
          <w:p w14:paraId="064C88F3" w14:textId="77777777" w:rsidR="00C47624" w:rsidRPr="004C12C9" w:rsidRDefault="00C47624" w:rsidP="00BC0D67">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Protein</w:t>
            </w:r>
          </w:p>
          <w:p w14:paraId="412E74AB" w14:textId="77777777" w:rsidR="00C47624" w:rsidRPr="004C12C9" w:rsidRDefault="00C47624" w:rsidP="00BC0D67">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Nitrogen content</w:t>
            </w:r>
          </w:p>
          <w:p w14:paraId="2E3EAC46" w14:textId="77777777" w:rsidR="00C47624" w:rsidRDefault="00C47624" w:rsidP="00BC0D67">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Factor</w:t>
            </w:r>
          </w:p>
          <w:p w14:paraId="3F788121" w14:textId="0757E28E" w:rsidR="0031569D" w:rsidRPr="004C12C9" w:rsidRDefault="0031569D" w:rsidP="00BC0D67">
            <w:pPr>
              <w:pStyle w:val="Equation"/>
              <w:spacing w:before="0" w:after="0"/>
              <w:jc w:val="left"/>
              <w:rPr>
                <w:rFonts w:ascii="Calibri" w:eastAsia="Arial" w:hAnsi="Calibri"/>
                <w:i w:val="0"/>
                <w:noProof w:val="0"/>
                <w:color w:val="auto"/>
                <w:sz w:val="20"/>
                <w:szCs w:val="20"/>
              </w:rPr>
            </w:pPr>
            <w:r>
              <w:rPr>
                <w:rFonts w:ascii="Calibri" w:eastAsia="Arial" w:hAnsi="Calibri"/>
                <w:i w:val="0"/>
                <w:noProof w:val="0"/>
                <w:color w:val="auto"/>
                <w:sz w:val="20"/>
                <w:szCs w:val="20"/>
              </w:rPr>
              <w:t>Direct N</w:t>
            </w:r>
            <w:r w:rsidRPr="00C62004">
              <w:rPr>
                <w:rFonts w:ascii="Calibri" w:eastAsia="Arial" w:hAnsi="Calibri"/>
                <w:i w:val="0"/>
                <w:noProof w:val="0"/>
                <w:color w:val="auto"/>
                <w:sz w:val="20"/>
                <w:szCs w:val="20"/>
                <w:vertAlign w:val="subscript"/>
              </w:rPr>
              <w:t>2</w:t>
            </w:r>
            <w:r>
              <w:rPr>
                <w:rFonts w:ascii="Calibri" w:eastAsia="Arial" w:hAnsi="Calibri"/>
                <w:i w:val="0"/>
                <w:noProof w:val="0"/>
                <w:color w:val="auto"/>
                <w:sz w:val="20"/>
                <w:szCs w:val="20"/>
              </w:rPr>
              <w:t>O Emissions</w:t>
            </w:r>
          </w:p>
          <w:p w14:paraId="3563BF57" w14:textId="77777777" w:rsidR="00C47624" w:rsidRPr="004C12C9" w:rsidRDefault="00C47624" w:rsidP="00BC0D67">
            <w:pPr>
              <w:pStyle w:val="Equation"/>
              <w:spacing w:before="0" w:after="0"/>
              <w:jc w:val="left"/>
              <w:rPr>
                <w:rFonts w:ascii="Calibri" w:eastAsia="Arial" w:hAnsi="Calibri"/>
                <w:i w:val="0"/>
                <w:noProof w:val="0"/>
                <w:color w:val="auto"/>
                <w:sz w:val="20"/>
                <w:szCs w:val="20"/>
              </w:rPr>
            </w:pPr>
            <w:r w:rsidRPr="004C12C9">
              <w:rPr>
                <w:rFonts w:ascii="Calibri" w:eastAsia="Arial" w:hAnsi="Calibri"/>
                <w:i w:val="0"/>
                <w:noProof w:val="0"/>
                <w:color w:val="auto"/>
                <w:sz w:val="20"/>
                <w:szCs w:val="20"/>
              </w:rPr>
              <w:t>N</w:t>
            </w:r>
            <w:r w:rsidRPr="004C12C9">
              <w:rPr>
                <w:rFonts w:ascii="Calibri" w:eastAsia="Arial" w:hAnsi="Calibri"/>
                <w:i w:val="0"/>
                <w:noProof w:val="0"/>
                <w:color w:val="auto"/>
                <w:sz w:val="20"/>
                <w:szCs w:val="20"/>
                <w:vertAlign w:val="subscript"/>
              </w:rPr>
              <w:t>2</w:t>
            </w:r>
            <w:r w:rsidRPr="004C12C9">
              <w:rPr>
                <w:rFonts w:ascii="Calibri" w:eastAsia="Arial" w:hAnsi="Calibri"/>
                <w:i w:val="0"/>
                <w:noProof w:val="0"/>
                <w:color w:val="auto"/>
                <w:sz w:val="20"/>
                <w:szCs w:val="20"/>
              </w:rPr>
              <w:t>O emission factor</w:t>
            </w:r>
          </w:p>
          <w:p w14:paraId="4EB03223" w14:textId="3787E7F2" w:rsidR="00C47624" w:rsidRPr="004C12C9" w:rsidRDefault="00781872" w:rsidP="00BC0D67">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44/</w:t>
            </w:r>
            <w:r w:rsidR="009E24F1">
              <w:rPr>
                <w:rFonts w:ascii="Calibri" w:eastAsia="Arial" w:hAnsi="Calibri"/>
                <w:bCs w:val="0"/>
                <w:i w:val="0"/>
                <w:noProof w:val="0"/>
                <w:color w:val="auto"/>
                <w:sz w:val="20"/>
                <w:szCs w:val="20"/>
              </w:rPr>
              <w:t>28</w:t>
            </w:r>
            <w:r w:rsidR="00C47624" w:rsidRPr="004C12C9">
              <w:rPr>
                <w:rFonts w:ascii="Calibri" w:eastAsia="Arial" w:hAnsi="Calibri"/>
                <w:bCs w:val="0"/>
                <w:i w:val="0"/>
                <w:noProof w:val="0"/>
                <w:color w:val="auto"/>
                <w:sz w:val="20"/>
                <w:szCs w:val="20"/>
              </w:rPr>
              <w:t xml:space="preserve"> </w:t>
            </w:r>
          </w:p>
        </w:tc>
        <w:tc>
          <w:tcPr>
            <w:tcW w:w="8000" w:type="dxa"/>
            <w:shd w:val="clear" w:color="auto" w:fill="F2F2F2" w:themeFill="background1" w:themeFillShade="F2"/>
          </w:tcPr>
          <w:p w14:paraId="58805822" w14:textId="77777777" w:rsidR="00C47624" w:rsidRPr="004C12C9"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Population served by the wastewater treatment plant</w:t>
            </w:r>
          </w:p>
          <w:p w14:paraId="4EC1EE03" w14:textId="77777777" w:rsidR="00C47624" w:rsidRPr="004C12C9"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per capita protein consumption (kg/person/year)</w:t>
            </w:r>
          </w:p>
          <w:p w14:paraId="00D4C4E2" w14:textId="77777777" w:rsidR="00C47624" w:rsidRPr="004C12C9"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Fraction of nitrogen in protein (kg N/kg protein)</w:t>
            </w:r>
          </w:p>
          <w:p w14:paraId="7D91B2C4" w14:textId="25F82B49" w:rsidR="00C47624"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Factor to adjust for nitrogen in </w:t>
            </w:r>
            <w:r w:rsidR="00C339C2">
              <w:rPr>
                <w:rFonts w:ascii="Calibri" w:eastAsia="Arial" w:hAnsi="Calibri"/>
                <w:bCs w:val="0"/>
                <w:i w:val="0"/>
                <w:noProof w:val="0"/>
                <w:color w:val="auto"/>
                <w:sz w:val="20"/>
                <w:szCs w:val="20"/>
              </w:rPr>
              <w:t>non-consumed</w:t>
            </w:r>
            <w:r w:rsidRPr="004C12C9">
              <w:rPr>
                <w:rFonts w:ascii="Calibri" w:eastAsia="Arial" w:hAnsi="Calibri"/>
                <w:bCs w:val="0"/>
                <w:i w:val="0"/>
                <w:noProof w:val="0"/>
                <w:color w:val="auto"/>
                <w:sz w:val="20"/>
                <w:szCs w:val="20"/>
              </w:rPr>
              <w:t xml:space="preserve"> protein</w:t>
            </w:r>
          </w:p>
          <w:p w14:paraId="6E833053" w14:textId="3CA1526E" w:rsidR="0031569D" w:rsidRPr="004C12C9" w:rsidRDefault="0031569D" w:rsidP="00BC0D67">
            <w:pPr>
              <w:pStyle w:val="Equation"/>
              <w:spacing w:before="0" w:after="0"/>
              <w:jc w:val="left"/>
              <w:rPr>
                <w:rFonts w:ascii="Calibri" w:eastAsia="Arial" w:hAnsi="Calibri"/>
                <w:bCs w:val="0"/>
                <w:i w:val="0"/>
                <w:noProof w:val="0"/>
                <w:color w:val="auto"/>
                <w:sz w:val="20"/>
                <w:szCs w:val="20"/>
              </w:rPr>
            </w:pPr>
            <w:r>
              <w:rPr>
                <w:rFonts w:ascii="Calibri" w:eastAsia="Arial" w:hAnsi="Calibri"/>
                <w:bCs w:val="0"/>
                <w:i w:val="0"/>
                <w:noProof w:val="0"/>
                <w:color w:val="auto"/>
                <w:sz w:val="20"/>
                <w:szCs w:val="20"/>
              </w:rPr>
              <w:t xml:space="preserve">= </w:t>
            </w:r>
            <w:r w:rsidR="00913090">
              <w:rPr>
                <w:rFonts w:ascii="Calibri" w:eastAsia="Arial" w:hAnsi="Calibri"/>
                <w:bCs w:val="0"/>
                <w:i w:val="0"/>
                <w:noProof w:val="0"/>
                <w:color w:val="auto"/>
                <w:sz w:val="20"/>
                <w:szCs w:val="20"/>
              </w:rPr>
              <w:t>Direct N</w:t>
            </w:r>
            <w:r w:rsidR="00913090" w:rsidRPr="00C62004">
              <w:rPr>
                <w:rFonts w:ascii="Calibri" w:eastAsia="Arial" w:hAnsi="Calibri"/>
                <w:i w:val="0"/>
                <w:color w:val="auto"/>
                <w:sz w:val="20"/>
                <w:szCs w:val="20"/>
                <w:vertAlign w:val="subscript"/>
              </w:rPr>
              <w:t>2</w:t>
            </w:r>
            <w:r w:rsidR="00913090">
              <w:rPr>
                <w:rFonts w:ascii="Calibri" w:eastAsia="Arial" w:hAnsi="Calibri"/>
                <w:bCs w:val="0"/>
                <w:i w:val="0"/>
                <w:noProof w:val="0"/>
                <w:color w:val="auto"/>
                <w:sz w:val="20"/>
                <w:szCs w:val="20"/>
              </w:rPr>
              <w:t xml:space="preserve">O emissions from Equation </w:t>
            </w:r>
            <w:r w:rsidR="000B05B0">
              <w:rPr>
                <w:rFonts w:ascii="Calibri" w:eastAsia="Arial" w:hAnsi="Calibri"/>
                <w:bCs w:val="0"/>
                <w:i w:val="0"/>
                <w:noProof w:val="0"/>
                <w:color w:val="auto"/>
                <w:sz w:val="20"/>
                <w:szCs w:val="20"/>
              </w:rPr>
              <w:t>27</w:t>
            </w:r>
            <w:r w:rsidR="00913090">
              <w:rPr>
                <w:rFonts w:ascii="Calibri" w:eastAsia="Arial" w:hAnsi="Calibri"/>
                <w:bCs w:val="0"/>
                <w:i w:val="0"/>
                <w:noProof w:val="0"/>
                <w:color w:val="auto"/>
                <w:sz w:val="20"/>
                <w:szCs w:val="20"/>
              </w:rPr>
              <w:t xml:space="preserve"> converted to kg N/year</w:t>
            </w:r>
          </w:p>
          <w:p w14:paraId="598410E6" w14:textId="779A287F" w:rsidR="00C47624" w:rsidRPr="004C12C9"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EF4FD4">
              <w:rPr>
                <w:rFonts w:ascii="Calibri" w:eastAsia="Arial" w:hAnsi="Calibri"/>
                <w:bCs w:val="0"/>
                <w:i w:val="0"/>
                <w:noProof w:val="0"/>
                <w:color w:val="auto"/>
                <w:sz w:val="20"/>
                <w:szCs w:val="20"/>
              </w:rPr>
              <w:t>Effluent n</w:t>
            </w:r>
            <w:r w:rsidRPr="004C12C9">
              <w:rPr>
                <w:rFonts w:ascii="Calibri" w:eastAsia="Arial" w:hAnsi="Calibri"/>
                <w:bCs w:val="0"/>
                <w:i w:val="0"/>
                <w:noProof w:val="0"/>
                <w:color w:val="auto"/>
                <w:sz w:val="20"/>
                <w:szCs w:val="20"/>
              </w:rPr>
              <w:t>itrous oxide emissions per nitrogen treated (kg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 N)</w:t>
            </w:r>
          </w:p>
          <w:p w14:paraId="3A892B23" w14:textId="77777777" w:rsidR="00C47624" w:rsidRPr="004C12C9" w:rsidRDefault="00C47624" w:rsidP="00BC0D6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Conversion factor of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 to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p w14:paraId="3B48A08D" w14:textId="77777777" w:rsidR="00C47624" w:rsidRPr="004C12C9" w:rsidRDefault="00C47624" w:rsidP="00BC0D67">
            <w:pPr>
              <w:pStyle w:val="Equation"/>
              <w:spacing w:before="0" w:after="0"/>
              <w:jc w:val="left"/>
              <w:rPr>
                <w:rFonts w:ascii="Calibri" w:eastAsia="Arial" w:hAnsi="Calibri"/>
                <w:bCs w:val="0"/>
                <w:i w:val="0"/>
                <w:noProof w:val="0"/>
                <w:color w:val="auto"/>
                <w:sz w:val="20"/>
                <w:szCs w:val="20"/>
              </w:rPr>
            </w:pPr>
          </w:p>
        </w:tc>
      </w:tr>
    </w:tbl>
    <w:p w14:paraId="2FD80056" w14:textId="53F4838F" w:rsidR="00F01386" w:rsidRPr="004C12C9" w:rsidRDefault="002F72EB" w:rsidP="002F72EB">
      <w:pPr>
        <w:pStyle w:val="Caption"/>
        <w:rPr>
          <w:rFonts w:eastAsia="Arial"/>
        </w:rPr>
      </w:pPr>
      <w:r w:rsidRPr="004C12C9">
        <w:t xml:space="preserve">Equation </w:t>
      </w:r>
      <w:r w:rsidR="00127094">
        <w:fldChar w:fldCharType="begin"/>
      </w:r>
      <w:r w:rsidR="00127094">
        <w:instrText xml:space="preserve"> SEQ Equation \* ARABIC </w:instrText>
      </w:r>
      <w:r w:rsidR="00127094">
        <w:fldChar w:fldCharType="separate"/>
      </w:r>
      <w:r w:rsidR="00C47624">
        <w:rPr>
          <w:noProof/>
        </w:rPr>
        <w:t>29</w:t>
      </w:r>
      <w:r w:rsidR="00127094">
        <w:fldChar w:fldCharType="end"/>
      </w:r>
      <w:bookmarkEnd w:id="210"/>
      <w:r w:rsidRPr="004C12C9">
        <w:t>.</w:t>
      </w:r>
      <w:r w:rsidR="006C24D3" w:rsidRPr="004C12C9">
        <w:t xml:space="preserve"> Annual GHG </w:t>
      </w:r>
      <w:r w:rsidR="006B3CA4" w:rsidRPr="004C12C9">
        <w:t>E</w:t>
      </w:r>
      <w:r w:rsidR="006C24D3" w:rsidRPr="004C12C9">
        <w:t xml:space="preserve">missions from </w:t>
      </w:r>
      <w:r w:rsidR="006B3CA4" w:rsidRPr="004C12C9">
        <w:t>M</w:t>
      </w:r>
      <w:r w:rsidR="006C24D3" w:rsidRPr="004C12C9">
        <w:t xml:space="preserve">unicipal </w:t>
      </w:r>
      <w:r w:rsidR="006B3CA4" w:rsidRPr="004C12C9">
        <w:t>W</w:t>
      </w:r>
      <w:r w:rsidR="006C24D3" w:rsidRPr="004C12C9">
        <w:t xml:space="preserve">astewater </w:t>
      </w:r>
      <w:r w:rsidR="006B3CA4" w:rsidRPr="004C12C9">
        <w:t>T</w:t>
      </w:r>
      <w:r w:rsidR="006C24D3" w:rsidRPr="004C12C9">
        <w: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70"/>
        <w:gridCol w:w="8000"/>
      </w:tblGrid>
      <w:tr w:rsidR="00041AAB" w:rsidRPr="004C12C9" w14:paraId="42F2548B" w14:textId="77777777">
        <w:tc>
          <w:tcPr>
            <w:tcW w:w="10070" w:type="dxa"/>
            <w:gridSpan w:val="2"/>
            <w:shd w:val="clear" w:color="auto" w:fill="F2F2F2" w:themeFill="background1" w:themeFillShade="F2"/>
          </w:tcPr>
          <w:p w14:paraId="2858AD8F" w14:textId="76566832" w:rsidR="00041AAB" w:rsidRPr="004C12C9" w:rsidRDefault="000002AA" w:rsidP="00041AAB">
            <w:pPr>
              <w:pStyle w:val="Equation"/>
              <w:rPr>
                <w:noProof w:val="0"/>
                <w:lang w:bidi="ar-SA"/>
              </w:rPr>
            </w:pPr>
            <m:oMathPara>
              <m:oMath>
                <m:r>
                  <w:rPr>
                    <w:noProof w:val="0"/>
                  </w:rPr>
                  <m:t xml:space="preserve">annual GHG emissions= </m:t>
                </m:r>
                <m:r>
                  <w:rPr>
                    <w:noProof w:val="0"/>
                    <w:color w:val="auto"/>
                    <w:lang w:bidi="ar-SA"/>
                  </w:rPr>
                  <m:t>(</m:t>
                </m:r>
                <m:sSub>
                  <m:sSubPr>
                    <m:ctrlPr>
                      <w:rPr>
                        <w:noProof w:val="0"/>
                        <w:color w:val="auto"/>
                        <w:lang w:bidi="ar-SA"/>
                      </w:rPr>
                    </m:ctrlPr>
                  </m:sSubPr>
                  <m:e>
                    <m:r>
                      <w:rPr>
                        <w:noProof w:val="0"/>
                        <w:color w:val="auto"/>
                        <w:lang w:bidi="ar-SA"/>
                      </w:rPr>
                      <m:t>CH</m:t>
                    </m:r>
                  </m:e>
                  <m:sub>
                    <m:r>
                      <w:rPr>
                        <w:noProof w:val="0"/>
                        <w:color w:val="auto"/>
                        <w:lang w:bidi="ar-SA"/>
                      </w:rPr>
                      <m:t>4</m:t>
                    </m:r>
                  </m:sub>
                </m:sSub>
                <m:r>
                  <w:rPr>
                    <w:noProof w:val="0"/>
                    <w:color w:val="auto"/>
                    <w:lang w:bidi="ar-SA"/>
                  </w:rPr>
                  <m:t xml:space="preserve"> emissions </m:t>
                </m:r>
                <m:r>
                  <w:rPr>
                    <w:noProof w:val="0"/>
                  </w:rPr>
                  <m:t xml:space="preserve">× </m:t>
                </m:r>
                <m:sSub>
                  <m:sSubPr>
                    <m:ctrlPr>
                      <w:rPr>
                        <w:noProof w:val="0"/>
                      </w:rPr>
                    </m:ctrlPr>
                  </m:sSubPr>
                  <m:e>
                    <m:r>
                      <w:rPr>
                        <w:noProof w:val="0"/>
                      </w:rPr>
                      <m:t>GWP</m:t>
                    </m:r>
                  </m:e>
                  <m:sub>
                    <m:sSub>
                      <m:sSubPr>
                        <m:ctrlPr>
                          <w:rPr>
                            <w:noProof w:val="0"/>
                          </w:rPr>
                        </m:ctrlPr>
                      </m:sSubPr>
                      <m:e>
                        <m:r>
                          <w:rPr>
                            <w:noProof w:val="0"/>
                          </w:rPr>
                          <m:t>CH</m:t>
                        </m:r>
                      </m:e>
                      <m:sub>
                        <m:r>
                          <w:rPr>
                            <w:noProof w:val="0"/>
                          </w:rPr>
                          <m:t>4</m:t>
                        </m:r>
                      </m:sub>
                    </m:sSub>
                  </m:sub>
                </m:sSub>
                <m:r>
                  <w:rPr>
                    <w:noProof w:val="0"/>
                    <w:color w:val="auto"/>
                    <w:lang w:bidi="ar-SA"/>
                  </w:rPr>
                  <m:t>)+(</m:t>
                </m:r>
                <m:sSub>
                  <m:sSubPr>
                    <m:ctrlPr>
                      <w:rPr>
                        <w:noProof w:val="0"/>
                        <w:color w:val="auto"/>
                        <w:lang w:bidi="ar-SA"/>
                      </w:rPr>
                    </m:ctrlPr>
                  </m:sSubPr>
                  <m:e>
                    <m:r>
                      <w:rPr>
                        <w:noProof w:val="0"/>
                        <w:color w:val="auto"/>
                        <w:lang w:bidi="ar-SA"/>
                      </w:rPr>
                      <m:t>N</m:t>
                    </m:r>
                  </m:e>
                  <m:sub>
                    <m:r>
                      <w:rPr>
                        <w:noProof w:val="0"/>
                        <w:color w:val="auto"/>
                        <w:lang w:bidi="ar-SA"/>
                      </w:rPr>
                      <m:t>2</m:t>
                    </m:r>
                  </m:sub>
                </m:sSub>
                <m:r>
                  <w:rPr>
                    <w:noProof w:val="0"/>
                    <w:color w:val="auto"/>
                    <w:lang w:bidi="ar-SA"/>
                  </w:rPr>
                  <m:t xml:space="preserve">O emissions </m:t>
                </m:r>
                <m:r>
                  <w:rPr>
                    <w:noProof w:val="0"/>
                  </w:rPr>
                  <m:t xml:space="preserve">× </m:t>
                </m:r>
                <m:sSub>
                  <m:sSubPr>
                    <m:ctrlPr>
                      <w:rPr>
                        <w:noProof w:val="0"/>
                      </w:rPr>
                    </m:ctrlPr>
                  </m:sSubPr>
                  <m:e>
                    <m:r>
                      <w:rPr>
                        <w:noProof w:val="0"/>
                      </w:rPr>
                      <m:t>GWP</m:t>
                    </m:r>
                  </m:e>
                  <m:sub>
                    <m:sSub>
                      <m:sSubPr>
                        <m:ctrlPr>
                          <w:rPr>
                            <w:noProof w:val="0"/>
                          </w:rPr>
                        </m:ctrlPr>
                      </m:sSubPr>
                      <m:e>
                        <m:r>
                          <w:rPr>
                            <w:noProof w:val="0"/>
                          </w:rPr>
                          <m:t>N</m:t>
                        </m:r>
                      </m:e>
                      <m:sub>
                        <m:r>
                          <w:rPr>
                            <w:noProof w:val="0"/>
                          </w:rPr>
                          <m:t>2</m:t>
                        </m:r>
                      </m:sub>
                    </m:sSub>
                    <m:r>
                      <w:rPr>
                        <w:noProof w:val="0"/>
                      </w:rPr>
                      <m:t>O</m:t>
                    </m:r>
                  </m:sub>
                </m:sSub>
                <m:r>
                  <w:rPr>
                    <w:noProof w:val="0"/>
                    <w:color w:val="auto"/>
                    <w:lang w:bidi="ar-SA"/>
                  </w:rPr>
                  <m:t>)</m:t>
                </m:r>
              </m:oMath>
            </m:oMathPara>
          </w:p>
          <w:p w14:paraId="6D070FB4" w14:textId="77777777" w:rsidR="00041AAB" w:rsidRPr="004C12C9" w:rsidRDefault="00041AAB">
            <w:pPr>
              <w:rPr>
                <w:i/>
                <w:iCs/>
              </w:rPr>
            </w:pPr>
            <w:r w:rsidRPr="004C12C9">
              <w:rPr>
                <w:i/>
                <w:iCs/>
                <w:sz w:val="20"/>
                <w:szCs w:val="20"/>
              </w:rPr>
              <w:t xml:space="preserve">where, </w:t>
            </w:r>
          </w:p>
        </w:tc>
      </w:tr>
      <w:tr w:rsidR="00041AAB" w:rsidRPr="004C12C9" w14:paraId="4E3E9A15" w14:textId="77777777" w:rsidTr="00862162">
        <w:trPr>
          <w:trHeight w:val="702"/>
        </w:trPr>
        <w:tc>
          <w:tcPr>
            <w:tcW w:w="2070" w:type="dxa"/>
            <w:shd w:val="clear" w:color="auto" w:fill="F2F2F2" w:themeFill="background1" w:themeFillShade="F2"/>
          </w:tcPr>
          <w:p w14:paraId="56147F75" w14:textId="77777777" w:rsidR="00041AAB" w:rsidRPr="004C12C9" w:rsidRDefault="00041AA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CH4</w:t>
            </w:r>
          </w:p>
          <w:p w14:paraId="6533BA84" w14:textId="77777777" w:rsidR="00041AAB" w:rsidRPr="004C12C9" w:rsidRDefault="00041AAB">
            <w:pPr>
              <w:pStyle w:val="Equation"/>
              <w:spacing w:before="0" w:after="0"/>
              <w:jc w:val="left"/>
              <w:rPr>
                <w:rFonts w:ascii="Calibri" w:eastAsia="Arial" w:hAnsi="Calibri"/>
                <w:bCs w:val="0"/>
                <w:i w:val="0"/>
                <w:noProof w:val="0"/>
                <w:color w:val="auto"/>
                <w:sz w:val="20"/>
                <w:szCs w:val="20"/>
                <w:vertAlign w:val="subscript"/>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N2O</w:t>
            </w:r>
          </w:p>
          <w:p w14:paraId="7566A1A2" w14:textId="77777777" w:rsidR="0017121B" w:rsidRPr="004C12C9" w:rsidRDefault="0017121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CH</w:t>
            </w:r>
            <w:r w:rsidRPr="004C12C9">
              <w:rPr>
                <w:rFonts w:ascii="Calibri" w:eastAsia="Arial" w:hAnsi="Calibri"/>
                <w:bCs w:val="0"/>
                <w:i w:val="0"/>
                <w:noProof w:val="0"/>
                <w:color w:val="auto"/>
                <w:sz w:val="20"/>
                <w:szCs w:val="20"/>
                <w:vertAlign w:val="subscript"/>
              </w:rPr>
              <w:t>4</w:t>
            </w:r>
            <w:r w:rsidRPr="004C12C9">
              <w:rPr>
                <w:rFonts w:ascii="Calibri" w:eastAsia="Arial" w:hAnsi="Calibri"/>
                <w:bCs w:val="0"/>
                <w:i w:val="0"/>
                <w:noProof w:val="0"/>
                <w:color w:val="auto"/>
                <w:sz w:val="20"/>
                <w:szCs w:val="20"/>
              </w:rPr>
              <w:t xml:space="preserve"> emissions</w:t>
            </w:r>
          </w:p>
          <w:p w14:paraId="747AB752" w14:textId="46B6A930" w:rsidR="00041AAB" w:rsidRPr="004C12C9" w:rsidRDefault="0017121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 emissions</w:t>
            </w:r>
            <w:r w:rsidR="00041AAB" w:rsidRPr="004C12C9">
              <w:rPr>
                <w:rFonts w:ascii="Calibri" w:eastAsia="Arial" w:hAnsi="Calibri"/>
                <w:bCs w:val="0"/>
                <w:i w:val="0"/>
                <w:noProof w:val="0"/>
                <w:color w:val="auto"/>
                <w:sz w:val="20"/>
                <w:szCs w:val="20"/>
              </w:rPr>
              <w:t xml:space="preserve"> </w:t>
            </w:r>
          </w:p>
        </w:tc>
        <w:tc>
          <w:tcPr>
            <w:tcW w:w="8000" w:type="dxa"/>
            <w:shd w:val="clear" w:color="auto" w:fill="F2F2F2" w:themeFill="background1" w:themeFillShade="F2"/>
          </w:tcPr>
          <w:p w14:paraId="677C6154" w14:textId="22F84B8E" w:rsidR="00041AAB" w:rsidRPr="004C12C9" w:rsidRDefault="00041AAB" w:rsidP="00D50CB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D50CB6" w:rsidRPr="004C12C9">
              <w:rPr>
                <w:rFonts w:ascii="Calibri" w:eastAsia="Arial" w:hAnsi="Calibri"/>
                <w:bCs w:val="0"/>
                <w:i w:val="0"/>
                <w:noProof w:val="0"/>
                <w:color w:val="auto"/>
                <w:sz w:val="20"/>
                <w:szCs w:val="20"/>
              </w:rPr>
              <w:t>G</w:t>
            </w:r>
            <w:r w:rsidR="00BF0188" w:rsidRPr="004C12C9">
              <w:rPr>
                <w:rFonts w:ascii="Calibri" w:eastAsia="Arial" w:hAnsi="Calibri"/>
                <w:bCs w:val="0"/>
                <w:i w:val="0"/>
                <w:noProof w:val="0"/>
                <w:color w:val="auto"/>
                <w:sz w:val="20"/>
                <w:szCs w:val="20"/>
              </w:rPr>
              <w:t>WP</w:t>
            </w:r>
            <w:r w:rsidR="00D50CB6" w:rsidRPr="004C12C9">
              <w:rPr>
                <w:rFonts w:ascii="Calibri" w:eastAsia="Arial" w:hAnsi="Calibri"/>
                <w:bCs w:val="0"/>
                <w:i w:val="0"/>
                <w:noProof w:val="0"/>
                <w:color w:val="auto"/>
                <w:sz w:val="20"/>
                <w:szCs w:val="20"/>
              </w:rPr>
              <w:t xml:space="preserve"> of methane</w:t>
            </w:r>
          </w:p>
          <w:p w14:paraId="76A8236A" w14:textId="3EC11E08" w:rsidR="00D50CB6" w:rsidRPr="004C12C9" w:rsidRDefault="00D50CB6" w:rsidP="00D50CB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G</w:t>
            </w:r>
            <w:r w:rsidR="00BF0188" w:rsidRPr="004C12C9">
              <w:rPr>
                <w:rFonts w:ascii="Calibri" w:eastAsia="Arial" w:hAnsi="Calibri"/>
                <w:bCs w:val="0"/>
                <w:i w:val="0"/>
                <w:noProof w:val="0"/>
                <w:color w:val="auto"/>
                <w:sz w:val="20"/>
                <w:szCs w:val="20"/>
              </w:rPr>
              <w:t>WP</w:t>
            </w:r>
            <w:r w:rsidRPr="004C12C9">
              <w:rPr>
                <w:rFonts w:ascii="Calibri" w:eastAsia="Arial" w:hAnsi="Calibri"/>
                <w:bCs w:val="0"/>
                <w:i w:val="0"/>
                <w:noProof w:val="0"/>
                <w:color w:val="auto"/>
                <w:sz w:val="20"/>
                <w:szCs w:val="20"/>
              </w:rPr>
              <w:t xml:space="preserve"> of nitrous oxide</w:t>
            </w:r>
          </w:p>
          <w:p w14:paraId="1B3A4DDB" w14:textId="30F687F9" w:rsidR="00D50CB6" w:rsidRPr="004C12C9" w:rsidRDefault="00D50CB6" w:rsidP="00D50CB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6C24D3" w:rsidRPr="004C12C9">
              <w:rPr>
                <w:rFonts w:ascii="Calibri" w:eastAsia="Arial" w:hAnsi="Calibri"/>
                <w:bCs w:val="0"/>
                <w:i w:val="0"/>
                <w:noProof w:val="0"/>
                <w:color w:val="auto"/>
                <w:sz w:val="20"/>
                <w:szCs w:val="20"/>
              </w:rPr>
              <w:t>Annual CH</w:t>
            </w:r>
            <w:r w:rsidR="006C24D3" w:rsidRPr="004C12C9">
              <w:rPr>
                <w:rFonts w:ascii="Calibri" w:eastAsia="Arial" w:hAnsi="Calibri"/>
                <w:bCs w:val="0"/>
                <w:i w:val="0"/>
                <w:noProof w:val="0"/>
                <w:color w:val="auto"/>
                <w:sz w:val="20"/>
                <w:szCs w:val="20"/>
                <w:vertAlign w:val="subscript"/>
              </w:rPr>
              <w:t>4</w:t>
            </w:r>
            <w:r w:rsidR="006C24D3" w:rsidRPr="004C12C9">
              <w:rPr>
                <w:rFonts w:ascii="Calibri" w:eastAsia="Arial" w:hAnsi="Calibri"/>
                <w:bCs w:val="0"/>
                <w:i w:val="0"/>
                <w:noProof w:val="0"/>
                <w:color w:val="auto"/>
                <w:sz w:val="20"/>
                <w:szCs w:val="20"/>
              </w:rPr>
              <w:t xml:space="preserve"> emissions from municipal wastewater treatment (kg CH</w:t>
            </w:r>
            <w:r w:rsidR="006C24D3" w:rsidRPr="004C12C9">
              <w:rPr>
                <w:rFonts w:ascii="Calibri" w:eastAsia="Arial" w:hAnsi="Calibri"/>
                <w:bCs w:val="0"/>
                <w:i w:val="0"/>
                <w:noProof w:val="0"/>
                <w:color w:val="auto"/>
                <w:sz w:val="20"/>
                <w:szCs w:val="20"/>
                <w:vertAlign w:val="subscript"/>
              </w:rPr>
              <w:t>4</w:t>
            </w:r>
            <w:r w:rsidR="006C24D3" w:rsidRPr="004C12C9">
              <w:rPr>
                <w:rFonts w:ascii="Calibri" w:eastAsia="Arial" w:hAnsi="Calibri"/>
                <w:bCs w:val="0"/>
                <w:i w:val="0"/>
                <w:noProof w:val="0"/>
                <w:color w:val="auto"/>
                <w:sz w:val="20"/>
                <w:szCs w:val="20"/>
              </w:rPr>
              <w:t>)</w:t>
            </w:r>
          </w:p>
          <w:p w14:paraId="1B340FDB" w14:textId="310AD7A6" w:rsidR="00041AAB" w:rsidRPr="004C12C9" w:rsidRDefault="006C24D3">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Annual </w:t>
            </w:r>
            <w:r w:rsidR="00425D0D">
              <w:rPr>
                <w:rFonts w:ascii="Calibri" w:eastAsia="Arial" w:hAnsi="Calibri"/>
                <w:bCs w:val="0"/>
                <w:i w:val="0"/>
                <w:noProof w:val="0"/>
                <w:color w:val="auto"/>
                <w:sz w:val="20"/>
                <w:szCs w:val="20"/>
              </w:rPr>
              <w:t xml:space="preserve">direct and </w:t>
            </w:r>
            <w:r w:rsidR="00EC74AD">
              <w:rPr>
                <w:rFonts w:ascii="Calibri" w:eastAsia="Arial" w:hAnsi="Calibri"/>
                <w:bCs w:val="0"/>
                <w:i w:val="0"/>
                <w:noProof w:val="0"/>
                <w:color w:val="auto"/>
                <w:sz w:val="20"/>
                <w:szCs w:val="20"/>
              </w:rPr>
              <w:t>indirect</w:t>
            </w:r>
            <w:r w:rsidR="00425D0D">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 emissions from municipal wastewater treatment (kg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p w14:paraId="1C74F744" w14:textId="128352DC" w:rsidR="006C24D3" w:rsidRPr="004C12C9" w:rsidRDefault="006C24D3" w:rsidP="00D50CB6">
            <w:pPr>
              <w:pStyle w:val="Equation"/>
              <w:spacing w:before="0" w:after="0"/>
              <w:jc w:val="left"/>
              <w:rPr>
                <w:rFonts w:ascii="Calibri" w:eastAsia="Arial" w:hAnsi="Calibri"/>
                <w:bCs w:val="0"/>
                <w:i w:val="0"/>
                <w:noProof w:val="0"/>
                <w:color w:val="auto"/>
                <w:sz w:val="20"/>
                <w:szCs w:val="20"/>
              </w:rPr>
            </w:pPr>
          </w:p>
        </w:tc>
      </w:tr>
    </w:tbl>
    <w:p w14:paraId="75E0EE22" w14:textId="77777777" w:rsidR="00F01386" w:rsidRPr="004C12C9" w:rsidRDefault="00F01386" w:rsidP="00E31E37">
      <w:pPr>
        <w:pStyle w:val="Heading4"/>
      </w:pPr>
      <w:r w:rsidRPr="004C12C9">
        <w:t>Population</w:t>
      </w:r>
    </w:p>
    <w:p w14:paraId="2E2669FC" w14:textId="0BDD19CB" w:rsidR="00307639" w:rsidRPr="004C12C9" w:rsidRDefault="00307639" w:rsidP="00972CF9">
      <w:r w:rsidRPr="004C12C9">
        <w:t xml:space="preserve">The population served by the municipal wastewater treatment plant </w:t>
      </w:r>
      <w:r w:rsidR="006C24D3" w:rsidRPr="004C12C9">
        <w:t>is</w:t>
      </w:r>
      <w:r w:rsidRPr="004C12C9">
        <w:t xml:space="preserve"> based on the value provided by the user.</w:t>
      </w:r>
    </w:p>
    <w:p w14:paraId="71722440" w14:textId="77777777" w:rsidR="00307639" w:rsidRPr="004C12C9" w:rsidRDefault="00307639" w:rsidP="00E31E37">
      <w:pPr>
        <w:pStyle w:val="Heading4"/>
      </w:pPr>
      <w:r w:rsidRPr="004C12C9">
        <w:lastRenderedPageBreak/>
        <w:t>Default Values</w:t>
      </w:r>
    </w:p>
    <w:p w14:paraId="31707348" w14:textId="51752F7E" w:rsidR="00523579" w:rsidRPr="004C12C9" w:rsidRDefault="00523579" w:rsidP="00972CF9">
      <w:r w:rsidRPr="004C12C9">
        <w:t xml:space="preserve">Default values, as summarized in </w:t>
      </w:r>
      <w:r w:rsidR="002C34C1" w:rsidRPr="004C12C9">
        <w:fldChar w:fldCharType="begin" w:fldLock="1"/>
      </w:r>
      <w:r w:rsidR="002C34C1" w:rsidRPr="004C12C9">
        <w:instrText xml:space="preserve"> REF _Ref195787427 \h </w:instrText>
      </w:r>
      <w:r w:rsidR="002C34C1" w:rsidRPr="004C12C9">
        <w:fldChar w:fldCharType="separate"/>
      </w:r>
      <w:r w:rsidR="00127094" w:rsidRPr="004C12C9">
        <w:t>Table 3</w:t>
      </w:r>
      <w:r w:rsidR="00127094" w:rsidRPr="004C12C9">
        <w:noBreakHyphen/>
        <w:t>25</w:t>
      </w:r>
      <w:r w:rsidR="002C34C1" w:rsidRPr="004C12C9">
        <w:fldChar w:fldCharType="end"/>
      </w:r>
      <w:r w:rsidRPr="004C12C9">
        <w:t>, were obtained from EPA’s State Inventory Tool.</w:t>
      </w:r>
      <w:r w:rsidRPr="004C12C9">
        <w:rPr>
          <w:rStyle w:val="FootnoteReference"/>
        </w:rPr>
        <w:footnoteReference w:id="114"/>
      </w:r>
      <w:r w:rsidR="000504F0" w:rsidRPr="000504F0">
        <w:t xml:space="preserve"> </w:t>
      </w:r>
      <w:r w:rsidR="000504F0">
        <w:t>System-specific default values</w:t>
      </w:r>
      <w:r w:rsidR="001819F2">
        <w:t xml:space="preserve"> presented</w:t>
      </w:r>
      <w:r w:rsidR="000504F0">
        <w:t xml:space="preserve"> in </w:t>
      </w:r>
      <w:r w:rsidR="000504F0">
        <w:fldChar w:fldCharType="begin"/>
      </w:r>
      <w:r w:rsidR="000504F0">
        <w:instrText xml:space="preserve"> REF _Ref219840716 \h </w:instrText>
      </w:r>
      <w:r w:rsidR="000504F0">
        <w:fldChar w:fldCharType="separate"/>
      </w:r>
      <w:r w:rsidR="000504F0">
        <w:t xml:space="preserve">Table </w:t>
      </w:r>
      <w:r w:rsidR="000504F0">
        <w:rPr>
          <w:noProof/>
        </w:rPr>
        <w:t>3</w:t>
      </w:r>
      <w:r w:rsidR="000504F0">
        <w:noBreakHyphen/>
      </w:r>
      <w:r w:rsidR="000504F0">
        <w:rPr>
          <w:noProof/>
        </w:rPr>
        <w:t>26</w:t>
      </w:r>
      <w:r w:rsidR="000504F0">
        <w:fldChar w:fldCharType="end"/>
      </w:r>
      <w:r w:rsidR="000504F0">
        <w:t xml:space="preserve"> were derived from the </w:t>
      </w:r>
      <w:r w:rsidR="000504F0" w:rsidRPr="004C12C9">
        <w:t>1990-2022 U.S. GHG Inventory</w:t>
      </w:r>
      <w:r w:rsidR="000504F0" w:rsidRPr="004C12C9">
        <w:rPr>
          <w:rStyle w:val="FootnoteReference"/>
        </w:rPr>
        <w:footnoteReference w:id="115"/>
      </w:r>
      <w:r w:rsidR="000504F0" w:rsidRPr="004C12C9">
        <w:t xml:space="preserve"> </w:t>
      </w:r>
      <w:r w:rsidR="000504F0">
        <w:t xml:space="preserve">and </w:t>
      </w:r>
      <w:r w:rsidR="00CE1438" w:rsidRPr="004C12C9">
        <w:t>the 2019 Refinement to the 2006 IPCC Guidelines</w:t>
      </w:r>
      <w:r w:rsidR="00CE1438">
        <w:t>.</w:t>
      </w:r>
      <w:r w:rsidR="00CE1438" w:rsidRPr="004C12C9">
        <w:rPr>
          <w:rStyle w:val="FootnoteReference"/>
        </w:rPr>
        <w:footnoteReference w:id="116"/>
      </w:r>
    </w:p>
    <w:p w14:paraId="420361A1" w14:textId="48541797" w:rsidR="00523579" w:rsidRPr="004C12C9" w:rsidRDefault="00523579" w:rsidP="00972CF9">
      <w:pPr>
        <w:pStyle w:val="Caption"/>
      </w:pPr>
      <w:bookmarkStart w:id="211" w:name="_Ref187334783"/>
      <w:bookmarkStart w:id="212" w:name="_Ref195605492"/>
      <w:bookmarkStart w:id="213" w:name="_Ref195787427"/>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25</w:t>
      </w:r>
      <w:r w:rsidR="00F72B41">
        <w:fldChar w:fldCharType="end"/>
      </w:r>
      <w:bookmarkEnd w:id="211"/>
      <w:bookmarkEnd w:id="212"/>
      <w:bookmarkEnd w:id="213"/>
      <w:r w:rsidRPr="004C12C9">
        <w:t>: Municipal Wastewater Treatment Default Values</w:t>
      </w:r>
    </w:p>
    <w:tbl>
      <w:tblPr>
        <w:tblW w:w="420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1890"/>
        <w:gridCol w:w="2272"/>
      </w:tblGrid>
      <w:tr w:rsidR="00523579" w:rsidRPr="004C12C9" w14:paraId="700218C1" w14:textId="77777777" w:rsidTr="007E4014">
        <w:trPr>
          <w:trHeight w:val="367"/>
          <w:tblHeader/>
        </w:trPr>
        <w:tc>
          <w:tcPr>
            <w:tcW w:w="2545" w:type="pct"/>
            <w:shd w:val="clear" w:color="auto" w:fill="D9D9D9" w:themeFill="background1" w:themeFillShade="D9"/>
            <w:vAlign w:val="center"/>
          </w:tcPr>
          <w:p w14:paraId="16C53A7A" w14:textId="77777777" w:rsidR="00523579" w:rsidRPr="004C12C9" w:rsidRDefault="00523579">
            <w:pPr>
              <w:pStyle w:val="ICFTableHeading"/>
            </w:pPr>
            <w:r w:rsidRPr="004C12C9">
              <w:t>Data Element</w:t>
            </w:r>
          </w:p>
        </w:tc>
        <w:tc>
          <w:tcPr>
            <w:tcW w:w="1115" w:type="pct"/>
            <w:shd w:val="clear" w:color="auto" w:fill="D9D9D9" w:themeFill="background1" w:themeFillShade="D9"/>
            <w:vAlign w:val="center"/>
          </w:tcPr>
          <w:p w14:paraId="27611DC2" w14:textId="77777777" w:rsidR="00523579" w:rsidRPr="004C12C9" w:rsidRDefault="00523579">
            <w:pPr>
              <w:pStyle w:val="ICFTableHeading"/>
              <w:tabs>
                <w:tab w:val="left" w:pos="183"/>
              </w:tabs>
            </w:pPr>
            <w:r w:rsidRPr="004C12C9">
              <w:t>Value</w:t>
            </w:r>
          </w:p>
        </w:tc>
        <w:tc>
          <w:tcPr>
            <w:tcW w:w="1340" w:type="pct"/>
            <w:shd w:val="clear" w:color="auto" w:fill="D9D9D9" w:themeFill="background1" w:themeFillShade="D9"/>
          </w:tcPr>
          <w:p w14:paraId="53BF613C" w14:textId="77777777" w:rsidR="00523579" w:rsidRPr="004C12C9" w:rsidRDefault="00523579">
            <w:pPr>
              <w:pStyle w:val="ICFTableHeading"/>
              <w:tabs>
                <w:tab w:val="left" w:pos="183"/>
              </w:tabs>
            </w:pPr>
            <w:r w:rsidRPr="004C12C9">
              <w:t>Units</w:t>
            </w:r>
          </w:p>
        </w:tc>
      </w:tr>
      <w:tr w:rsidR="00523579" w:rsidRPr="004C12C9" w14:paraId="71096BF4" w14:textId="77777777" w:rsidTr="007E4014">
        <w:trPr>
          <w:trHeight w:val="20"/>
        </w:trPr>
        <w:tc>
          <w:tcPr>
            <w:tcW w:w="2545" w:type="pct"/>
          </w:tcPr>
          <w:p w14:paraId="1B7C9BC7" w14:textId="77777777" w:rsidR="00523579" w:rsidRPr="004C12C9" w:rsidRDefault="00523579" w:rsidP="00461162">
            <w:pPr>
              <w:pStyle w:val="ICFTabletext"/>
            </w:pPr>
            <w:r w:rsidRPr="004C12C9">
              <w:t>BOD</w:t>
            </w:r>
          </w:p>
        </w:tc>
        <w:tc>
          <w:tcPr>
            <w:tcW w:w="1115" w:type="pct"/>
          </w:tcPr>
          <w:p w14:paraId="1670D7EB" w14:textId="77777777" w:rsidR="00523579" w:rsidRPr="004C12C9" w:rsidRDefault="00523579" w:rsidP="00461162">
            <w:pPr>
              <w:pStyle w:val="ICFTabletext"/>
              <w:jc w:val="center"/>
            </w:pPr>
            <w:r w:rsidRPr="004C12C9">
              <w:t>0.09</w:t>
            </w:r>
          </w:p>
        </w:tc>
        <w:tc>
          <w:tcPr>
            <w:tcW w:w="1340" w:type="pct"/>
          </w:tcPr>
          <w:p w14:paraId="021815D0" w14:textId="77777777" w:rsidR="00523579" w:rsidRPr="004C12C9" w:rsidRDefault="00523579" w:rsidP="00461162">
            <w:pPr>
              <w:pStyle w:val="ICFTabletext"/>
            </w:pPr>
            <w:r w:rsidRPr="004C12C9">
              <w:t>kg/person/day</w:t>
            </w:r>
          </w:p>
        </w:tc>
      </w:tr>
      <w:tr w:rsidR="00523579" w:rsidRPr="004C12C9" w14:paraId="6E2FCC4B" w14:textId="77777777" w:rsidTr="007E4014">
        <w:trPr>
          <w:trHeight w:val="20"/>
        </w:trPr>
        <w:tc>
          <w:tcPr>
            <w:tcW w:w="2545" w:type="pct"/>
          </w:tcPr>
          <w:p w14:paraId="117F73F8" w14:textId="77777777" w:rsidR="00523579" w:rsidRPr="004C12C9" w:rsidRDefault="00523579" w:rsidP="00461162">
            <w:pPr>
              <w:pStyle w:val="ICFTabletext"/>
            </w:pPr>
            <w:r w:rsidRPr="004C12C9">
              <w:t>BOD emission factor</w:t>
            </w:r>
          </w:p>
        </w:tc>
        <w:tc>
          <w:tcPr>
            <w:tcW w:w="1115" w:type="pct"/>
          </w:tcPr>
          <w:p w14:paraId="6190B31B" w14:textId="77777777" w:rsidR="00523579" w:rsidRPr="004C12C9" w:rsidRDefault="00523579" w:rsidP="00461162">
            <w:pPr>
              <w:pStyle w:val="ICFTabletext"/>
              <w:jc w:val="center"/>
            </w:pPr>
            <w:r w:rsidRPr="004C12C9">
              <w:t>0.6</w:t>
            </w:r>
          </w:p>
        </w:tc>
        <w:tc>
          <w:tcPr>
            <w:tcW w:w="1340" w:type="pct"/>
          </w:tcPr>
          <w:p w14:paraId="0733EDA0" w14:textId="77777777" w:rsidR="00523579" w:rsidRPr="004C12C9" w:rsidRDefault="00523579" w:rsidP="00461162">
            <w:pPr>
              <w:pStyle w:val="ICFTabletext"/>
            </w:pPr>
            <w:r w:rsidRPr="004C12C9">
              <w:rPr>
                <w:rFonts w:eastAsia="Arial"/>
              </w:rPr>
              <w:t>kg CH</w:t>
            </w:r>
            <w:r w:rsidRPr="004C12C9">
              <w:rPr>
                <w:rFonts w:eastAsia="Arial"/>
                <w:vertAlign w:val="subscript"/>
              </w:rPr>
              <w:t>4</w:t>
            </w:r>
            <w:r w:rsidRPr="004C12C9">
              <w:rPr>
                <w:rFonts w:eastAsia="Arial"/>
              </w:rPr>
              <w:t>/kg BOD</w:t>
            </w:r>
          </w:p>
        </w:tc>
      </w:tr>
      <w:tr w:rsidR="00457A2E" w:rsidRPr="004C12C9" w14:paraId="6CF05438" w14:textId="77777777" w:rsidTr="007E4014">
        <w:trPr>
          <w:trHeight w:val="20"/>
        </w:trPr>
        <w:tc>
          <w:tcPr>
            <w:tcW w:w="2545" w:type="pct"/>
          </w:tcPr>
          <w:p w14:paraId="111066E0" w14:textId="77777777" w:rsidR="00457A2E" w:rsidRPr="004C12C9" w:rsidRDefault="00457A2E" w:rsidP="00457A2E">
            <w:pPr>
              <w:pStyle w:val="ICFTabletext"/>
            </w:pPr>
            <w:r w:rsidRPr="004C12C9">
              <w:t>Protein</w:t>
            </w:r>
          </w:p>
        </w:tc>
        <w:tc>
          <w:tcPr>
            <w:tcW w:w="1115" w:type="pct"/>
          </w:tcPr>
          <w:p w14:paraId="3D4747C3" w14:textId="33163D40" w:rsidR="00457A2E" w:rsidRPr="004C12C9" w:rsidRDefault="00457A2E" w:rsidP="00457A2E">
            <w:pPr>
              <w:pStyle w:val="ICFTabletext"/>
              <w:jc w:val="center"/>
            </w:pPr>
            <w:r w:rsidRPr="004C12C9">
              <w:t>35.7</w:t>
            </w:r>
            <w:r w:rsidR="00B92BDF" w:rsidRPr="004C12C9">
              <w:rPr>
                <w:vertAlign w:val="superscript"/>
              </w:rPr>
              <w:t>a</w:t>
            </w:r>
          </w:p>
        </w:tc>
        <w:tc>
          <w:tcPr>
            <w:tcW w:w="1340" w:type="pct"/>
          </w:tcPr>
          <w:p w14:paraId="7298DA01" w14:textId="77777777" w:rsidR="00457A2E" w:rsidRPr="004C12C9" w:rsidRDefault="00457A2E" w:rsidP="00457A2E">
            <w:pPr>
              <w:pStyle w:val="ICFTabletext"/>
            </w:pPr>
            <w:r w:rsidRPr="004C12C9">
              <w:t>kg/person/year</w:t>
            </w:r>
          </w:p>
        </w:tc>
      </w:tr>
      <w:tr w:rsidR="00457A2E" w:rsidRPr="004C12C9" w14:paraId="27F0E2C5" w14:textId="77777777" w:rsidTr="007E4014">
        <w:trPr>
          <w:trHeight w:val="20"/>
        </w:trPr>
        <w:tc>
          <w:tcPr>
            <w:tcW w:w="2545" w:type="pct"/>
          </w:tcPr>
          <w:p w14:paraId="5ADBCBEC" w14:textId="77777777" w:rsidR="00457A2E" w:rsidRPr="004C12C9" w:rsidRDefault="00457A2E" w:rsidP="00457A2E">
            <w:pPr>
              <w:pStyle w:val="ICFTabletext"/>
            </w:pPr>
            <w:r w:rsidRPr="004C12C9">
              <w:t>Nitrogen content in protein</w:t>
            </w:r>
          </w:p>
        </w:tc>
        <w:tc>
          <w:tcPr>
            <w:tcW w:w="1115" w:type="pct"/>
          </w:tcPr>
          <w:p w14:paraId="3D2B0602" w14:textId="65905BAC" w:rsidR="00457A2E" w:rsidRPr="004C12C9" w:rsidRDefault="00457A2E" w:rsidP="00457A2E">
            <w:pPr>
              <w:pStyle w:val="ICFTabletext"/>
              <w:jc w:val="center"/>
            </w:pPr>
            <w:r w:rsidRPr="004C12C9">
              <w:t>16</w:t>
            </w:r>
          </w:p>
        </w:tc>
        <w:tc>
          <w:tcPr>
            <w:tcW w:w="1340" w:type="pct"/>
          </w:tcPr>
          <w:p w14:paraId="36925C6F" w14:textId="77777777" w:rsidR="00457A2E" w:rsidRPr="004C12C9" w:rsidRDefault="00457A2E" w:rsidP="00457A2E">
            <w:pPr>
              <w:pStyle w:val="ICFTabletext"/>
            </w:pPr>
            <w:r w:rsidRPr="004C12C9">
              <w:rPr>
                <w:rFonts w:eastAsia="Arial"/>
              </w:rPr>
              <w:t>Percent</w:t>
            </w:r>
          </w:p>
        </w:tc>
      </w:tr>
      <w:tr w:rsidR="00457A2E" w:rsidRPr="004C12C9" w14:paraId="566E2C6B" w14:textId="77777777" w:rsidTr="007E4014">
        <w:trPr>
          <w:trHeight w:val="20"/>
        </w:trPr>
        <w:tc>
          <w:tcPr>
            <w:tcW w:w="2545" w:type="pct"/>
          </w:tcPr>
          <w:p w14:paraId="5F386E3D" w14:textId="2B0DD1CE" w:rsidR="00457A2E" w:rsidRPr="004C12C9" w:rsidRDefault="00457A2E" w:rsidP="00457A2E">
            <w:pPr>
              <w:pStyle w:val="ICFTabletext"/>
            </w:pPr>
            <w:r w:rsidRPr="004C12C9">
              <w:t>Factor to adjust for non-consumed protein</w:t>
            </w:r>
          </w:p>
        </w:tc>
        <w:tc>
          <w:tcPr>
            <w:tcW w:w="1115" w:type="pct"/>
          </w:tcPr>
          <w:p w14:paraId="12EA0FBA" w14:textId="356CE021" w:rsidR="00457A2E" w:rsidRPr="004C12C9" w:rsidRDefault="00457A2E" w:rsidP="00457A2E">
            <w:pPr>
              <w:pStyle w:val="ICFTabletext"/>
              <w:jc w:val="center"/>
            </w:pPr>
            <w:r w:rsidRPr="004C12C9">
              <w:t>1.75</w:t>
            </w:r>
          </w:p>
        </w:tc>
        <w:tc>
          <w:tcPr>
            <w:tcW w:w="1340" w:type="pct"/>
          </w:tcPr>
          <w:p w14:paraId="386A05D2" w14:textId="53246F81" w:rsidR="00457A2E" w:rsidRPr="004C12C9" w:rsidRDefault="00457A2E" w:rsidP="00457A2E">
            <w:pPr>
              <w:pStyle w:val="ICFTabletext"/>
            </w:pPr>
            <w:r w:rsidRPr="004C12C9">
              <w:t>kg N/kg N</w:t>
            </w:r>
          </w:p>
        </w:tc>
      </w:tr>
      <w:tr w:rsidR="00457A2E" w:rsidRPr="004C12C9" w14:paraId="42E99565" w14:textId="77777777" w:rsidTr="007E4014">
        <w:trPr>
          <w:trHeight w:val="20"/>
        </w:trPr>
        <w:tc>
          <w:tcPr>
            <w:tcW w:w="2545" w:type="pct"/>
          </w:tcPr>
          <w:p w14:paraId="5BAAEA9F" w14:textId="233B7761" w:rsidR="00457A2E" w:rsidRPr="004C12C9" w:rsidRDefault="00BD3580" w:rsidP="00457A2E">
            <w:pPr>
              <w:pStyle w:val="ICFTabletext"/>
            </w:pPr>
            <w:r>
              <w:t xml:space="preserve">Effluent </w:t>
            </w:r>
            <w:r w:rsidR="00457A2E" w:rsidRPr="004C12C9">
              <w:t>N</w:t>
            </w:r>
            <w:r w:rsidR="00457A2E" w:rsidRPr="004C12C9">
              <w:rPr>
                <w:vertAlign w:val="subscript"/>
              </w:rPr>
              <w:t>2</w:t>
            </w:r>
            <w:r w:rsidR="00457A2E" w:rsidRPr="004C12C9">
              <w:t>O emission factor</w:t>
            </w:r>
          </w:p>
        </w:tc>
        <w:tc>
          <w:tcPr>
            <w:tcW w:w="1115" w:type="pct"/>
          </w:tcPr>
          <w:p w14:paraId="46F7C93A" w14:textId="77777777" w:rsidR="00457A2E" w:rsidRPr="004C12C9" w:rsidRDefault="00457A2E" w:rsidP="00457A2E">
            <w:pPr>
              <w:pStyle w:val="ICFTabletext"/>
              <w:jc w:val="center"/>
            </w:pPr>
            <w:r w:rsidRPr="004C12C9">
              <w:t>0.005</w:t>
            </w:r>
          </w:p>
        </w:tc>
        <w:tc>
          <w:tcPr>
            <w:tcW w:w="1340" w:type="pct"/>
          </w:tcPr>
          <w:p w14:paraId="2AEF8C64" w14:textId="01A5E470" w:rsidR="00457A2E" w:rsidRPr="004C12C9" w:rsidRDefault="00457A2E" w:rsidP="00457A2E">
            <w:pPr>
              <w:pStyle w:val="ICFTabletext"/>
            </w:pPr>
            <w:r w:rsidRPr="004C12C9">
              <w:t>kg N</w:t>
            </w:r>
            <w:r w:rsidRPr="004C12C9">
              <w:rPr>
                <w:vertAlign w:val="subscript"/>
              </w:rPr>
              <w:t>2</w:t>
            </w:r>
            <w:r w:rsidRPr="004C12C9">
              <w:t>O</w:t>
            </w:r>
            <w:r w:rsidR="001D7F63">
              <w:t>-N</w:t>
            </w:r>
            <w:r w:rsidRPr="004C12C9">
              <w:t xml:space="preserve">/kg </w:t>
            </w:r>
            <w:r w:rsidR="00BF0BD9">
              <w:t>N</w:t>
            </w:r>
          </w:p>
        </w:tc>
      </w:tr>
    </w:tbl>
    <w:p w14:paraId="52708B09" w14:textId="219778B7" w:rsidR="00B92BDF" w:rsidRPr="004C12C9" w:rsidRDefault="00B92BDF" w:rsidP="00B92BDF">
      <w:pPr>
        <w:pStyle w:val="TableFooter"/>
      </w:pPr>
      <w:r w:rsidRPr="004C12C9">
        <w:rPr>
          <w:vertAlign w:val="superscript"/>
        </w:rPr>
        <w:t>a</w:t>
      </w:r>
      <w:r w:rsidRPr="004C12C9">
        <w:t xml:space="preserve"> Based on the </w:t>
      </w:r>
      <w:r w:rsidR="008A249D" w:rsidRPr="004C12C9">
        <w:t xml:space="preserve">2022 </w:t>
      </w:r>
      <w:r w:rsidRPr="004C12C9">
        <w:t>value</w:t>
      </w:r>
      <w:r w:rsidR="005D127B" w:rsidRPr="004C12C9">
        <w:t xml:space="preserve"> published in</w:t>
      </w:r>
      <w:r w:rsidR="008F77D8" w:rsidRPr="004C12C9">
        <w:t xml:space="preserve"> the 1990-2022 U.S. GHG Inventory</w:t>
      </w:r>
      <w:r w:rsidR="005D127B" w:rsidRPr="004C12C9">
        <w:t>, Table 7-34</w:t>
      </w:r>
      <w:r w:rsidR="008F77D8" w:rsidRPr="004C12C9">
        <w:t xml:space="preserve">.  </w:t>
      </w:r>
    </w:p>
    <w:p w14:paraId="2EA0A174" w14:textId="6981FA5B" w:rsidR="00D14441" w:rsidRPr="00BF0BD9" w:rsidRDefault="000F76C7" w:rsidP="00482D4F">
      <w:pPr>
        <w:pStyle w:val="Caption"/>
      </w:pPr>
      <w:bookmarkStart w:id="214" w:name="_Ref219840716"/>
      <w:r>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26</w:t>
      </w:r>
      <w:r w:rsidR="00F72B41">
        <w:fldChar w:fldCharType="end"/>
      </w:r>
      <w:bookmarkEnd w:id="214"/>
      <w:r>
        <w:t>. Municipal Wastewater System-Specific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22"/>
        <w:gridCol w:w="3353"/>
        <w:gridCol w:w="4495"/>
      </w:tblGrid>
      <w:tr w:rsidR="000504F0" w:rsidRPr="004C12C9" w14:paraId="37876513" w14:textId="77777777" w:rsidTr="001D7F63">
        <w:trPr>
          <w:trHeight w:val="367"/>
          <w:tblHeader/>
        </w:trPr>
        <w:tc>
          <w:tcPr>
            <w:tcW w:w="1103" w:type="pct"/>
            <w:shd w:val="clear" w:color="auto" w:fill="D9D9D9" w:themeFill="background1" w:themeFillShade="D9"/>
            <w:vAlign w:val="center"/>
          </w:tcPr>
          <w:p w14:paraId="635E9D1B" w14:textId="21B932FC" w:rsidR="000504F0" w:rsidRPr="004C12C9" w:rsidRDefault="000504F0" w:rsidP="00BC0D67">
            <w:pPr>
              <w:pStyle w:val="ICFTableHeading"/>
            </w:pPr>
            <w:r>
              <w:t>System Type</w:t>
            </w:r>
          </w:p>
        </w:tc>
        <w:tc>
          <w:tcPr>
            <w:tcW w:w="1665" w:type="pct"/>
            <w:shd w:val="clear" w:color="auto" w:fill="D9D9D9" w:themeFill="background1" w:themeFillShade="D9"/>
          </w:tcPr>
          <w:p w14:paraId="74E87011" w14:textId="601FCDFD" w:rsidR="000504F0" w:rsidRDefault="007F2F8F" w:rsidP="00BC0D67">
            <w:pPr>
              <w:pStyle w:val="ICFTableHeading"/>
              <w:tabs>
                <w:tab w:val="left" w:pos="183"/>
              </w:tabs>
            </w:pPr>
            <w:r>
              <w:t>Methan Correction Factor</w:t>
            </w:r>
          </w:p>
        </w:tc>
        <w:tc>
          <w:tcPr>
            <w:tcW w:w="2232" w:type="pct"/>
            <w:shd w:val="clear" w:color="auto" w:fill="D9D9D9" w:themeFill="background1" w:themeFillShade="D9"/>
            <w:vAlign w:val="center"/>
          </w:tcPr>
          <w:p w14:paraId="3FBDF6F7" w14:textId="7303D3FC" w:rsidR="000504F0" w:rsidRPr="004C12C9" w:rsidRDefault="000504F0" w:rsidP="00BC0D67">
            <w:pPr>
              <w:pStyle w:val="ICFTableHeading"/>
              <w:tabs>
                <w:tab w:val="left" w:pos="183"/>
              </w:tabs>
            </w:pPr>
            <w:r>
              <w:t>Direct N</w:t>
            </w:r>
            <w:r w:rsidRPr="00482D4F">
              <w:rPr>
                <w:vertAlign w:val="subscript"/>
              </w:rPr>
              <w:t>2</w:t>
            </w:r>
            <w:r>
              <w:t>O Emission Factors (kgN</w:t>
            </w:r>
            <w:r w:rsidRPr="00482D4F">
              <w:rPr>
                <w:vertAlign w:val="subscript"/>
              </w:rPr>
              <w:t>2</w:t>
            </w:r>
            <w:r>
              <w:t>O-N/kg N)</w:t>
            </w:r>
          </w:p>
        </w:tc>
      </w:tr>
      <w:tr w:rsidR="007F2F8F" w:rsidRPr="004C12C9" w14:paraId="5983879A" w14:textId="77777777" w:rsidTr="007F2F8F">
        <w:trPr>
          <w:trHeight w:val="20"/>
        </w:trPr>
        <w:tc>
          <w:tcPr>
            <w:tcW w:w="1103" w:type="pct"/>
          </w:tcPr>
          <w:p w14:paraId="603D5B59" w14:textId="1A26AB16" w:rsidR="007F2F8F" w:rsidRPr="004C12C9" w:rsidRDefault="007F2F8F" w:rsidP="007F2F8F">
            <w:pPr>
              <w:pStyle w:val="ICFTabletext"/>
            </w:pPr>
            <w:r>
              <w:t>Septic system</w:t>
            </w:r>
          </w:p>
        </w:tc>
        <w:tc>
          <w:tcPr>
            <w:tcW w:w="1665" w:type="pct"/>
          </w:tcPr>
          <w:p w14:paraId="18817AF2" w14:textId="630C73F1" w:rsidR="007F2F8F" w:rsidRDefault="007F2F8F" w:rsidP="007F2F8F">
            <w:pPr>
              <w:pStyle w:val="ICFTabletext"/>
              <w:jc w:val="center"/>
            </w:pPr>
            <w:r w:rsidRPr="00023A8A">
              <w:t>0.50</w:t>
            </w:r>
          </w:p>
        </w:tc>
        <w:tc>
          <w:tcPr>
            <w:tcW w:w="2232" w:type="pct"/>
          </w:tcPr>
          <w:p w14:paraId="2CE6502E" w14:textId="75174365" w:rsidR="007F2F8F" w:rsidRPr="004C12C9" w:rsidRDefault="007F2F8F" w:rsidP="007F2F8F">
            <w:pPr>
              <w:pStyle w:val="ICFTabletext"/>
              <w:jc w:val="center"/>
            </w:pPr>
            <w:r>
              <w:t>0.0045</w:t>
            </w:r>
          </w:p>
        </w:tc>
      </w:tr>
      <w:tr w:rsidR="007F2F8F" w:rsidRPr="004C12C9" w14:paraId="26E5569B" w14:textId="77777777" w:rsidTr="007F2F8F">
        <w:trPr>
          <w:trHeight w:val="20"/>
        </w:trPr>
        <w:tc>
          <w:tcPr>
            <w:tcW w:w="1103" w:type="pct"/>
          </w:tcPr>
          <w:p w14:paraId="25F5F57D" w14:textId="3E678971" w:rsidR="007F2F8F" w:rsidRPr="004C12C9" w:rsidRDefault="007F2F8F" w:rsidP="007F2F8F">
            <w:pPr>
              <w:pStyle w:val="ICFTabletext"/>
            </w:pPr>
            <w:r>
              <w:t>Aerobic system</w:t>
            </w:r>
          </w:p>
        </w:tc>
        <w:tc>
          <w:tcPr>
            <w:tcW w:w="1665" w:type="pct"/>
          </w:tcPr>
          <w:p w14:paraId="414C0D06" w14:textId="6FC8E08E" w:rsidR="007F2F8F" w:rsidRDefault="007F2F8F" w:rsidP="007F2F8F">
            <w:pPr>
              <w:pStyle w:val="ICFTabletext"/>
              <w:jc w:val="center"/>
            </w:pPr>
            <w:r w:rsidRPr="00023A8A">
              <w:t>0.03</w:t>
            </w:r>
          </w:p>
        </w:tc>
        <w:tc>
          <w:tcPr>
            <w:tcW w:w="2232" w:type="pct"/>
          </w:tcPr>
          <w:p w14:paraId="67D78E61" w14:textId="482151CD" w:rsidR="007F2F8F" w:rsidRPr="004C12C9" w:rsidRDefault="007F2F8F" w:rsidP="007F2F8F">
            <w:pPr>
              <w:pStyle w:val="ICFTabletext"/>
              <w:jc w:val="center"/>
            </w:pPr>
            <w:r>
              <w:t>0.0150</w:t>
            </w:r>
          </w:p>
        </w:tc>
      </w:tr>
      <w:tr w:rsidR="007F2F8F" w:rsidRPr="004C12C9" w14:paraId="0DB1E448" w14:textId="77777777" w:rsidTr="007F2F8F">
        <w:trPr>
          <w:trHeight w:val="20"/>
        </w:trPr>
        <w:tc>
          <w:tcPr>
            <w:tcW w:w="1103" w:type="pct"/>
          </w:tcPr>
          <w:p w14:paraId="4738458F" w14:textId="2E1FD706" w:rsidR="007F2F8F" w:rsidRPr="004C12C9" w:rsidRDefault="007F2F8F" w:rsidP="007F2F8F">
            <w:pPr>
              <w:pStyle w:val="ICFTabletext"/>
            </w:pPr>
            <w:r>
              <w:t>Anaerobic system</w:t>
            </w:r>
          </w:p>
        </w:tc>
        <w:tc>
          <w:tcPr>
            <w:tcW w:w="1665" w:type="pct"/>
          </w:tcPr>
          <w:p w14:paraId="5212E389" w14:textId="085B9908" w:rsidR="007F2F8F" w:rsidRDefault="007F2F8F" w:rsidP="007F2F8F">
            <w:pPr>
              <w:pStyle w:val="ICFTabletext"/>
              <w:jc w:val="center"/>
            </w:pPr>
            <w:r w:rsidRPr="00023A8A">
              <w:t>0.80</w:t>
            </w:r>
          </w:p>
        </w:tc>
        <w:tc>
          <w:tcPr>
            <w:tcW w:w="2232" w:type="pct"/>
          </w:tcPr>
          <w:p w14:paraId="54D16334" w14:textId="069D0D46" w:rsidR="007F2F8F" w:rsidRPr="004C12C9" w:rsidRDefault="007F2F8F" w:rsidP="007F2F8F">
            <w:pPr>
              <w:pStyle w:val="ICFTabletext"/>
              <w:jc w:val="center"/>
            </w:pPr>
            <w:r>
              <w:t>0.0000</w:t>
            </w:r>
          </w:p>
        </w:tc>
      </w:tr>
      <w:tr w:rsidR="007F2F8F" w:rsidRPr="004C12C9" w14:paraId="79A4E92E" w14:textId="77777777" w:rsidTr="007F2F8F">
        <w:trPr>
          <w:trHeight w:val="20"/>
        </w:trPr>
        <w:tc>
          <w:tcPr>
            <w:tcW w:w="1103" w:type="pct"/>
          </w:tcPr>
          <w:p w14:paraId="7C8F53BA" w14:textId="044A2075" w:rsidR="007F2F8F" w:rsidRPr="004C12C9" w:rsidRDefault="007F2F8F" w:rsidP="007F2F8F">
            <w:pPr>
              <w:pStyle w:val="ICFTabletext"/>
            </w:pPr>
            <w:r>
              <w:t>Constructed wetlands</w:t>
            </w:r>
          </w:p>
        </w:tc>
        <w:tc>
          <w:tcPr>
            <w:tcW w:w="1665" w:type="pct"/>
          </w:tcPr>
          <w:p w14:paraId="7B7A1ABC" w14:textId="3D0A7BAF" w:rsidR="007F2F8F" w:rsidRDefault="007F2F8F" w:rsidP="007F2F8F">
            <w:pPr>
              <w:pStyle w:val="ICFTabletext"/>
              <w:jc w:val="center"/>
            </w:pPr>
            <w:r w:rsidRPr="00023A8A">
              <w:t>0.40</w:t>
            </w:r>
          </w:p>
        </w:tc>
        <w:tc>
          <w:tcPr>
            <w:tcW w:w="2232" w:type="pct"/>
          </w:tcPr>
          <w:p w14:paraId="218C01E8" w14:textId="492A6BE5" w:rsidR="007F2F8F" w:rsidRPr="004C12C9" w:rsidRDefault="007F2F8F" w:rsidP="007F2F8F">
            <w:pPr>
              <w:pStyle w:val="ICFTabletext"/>
              <w:jc w:val="center"/>
            </w:pPr>
            <w:r>
              <w:t>0.0013</w:t>
            </w:r>
          </w:p>
        </w:tc>
      </w:tr>
    </w:tbl>
    <w:p w14:paraId="4590CB5E" w14:textId="53399B81" w:rsidR="00926951" w:rsidRPr="004C12C9" w:rsidRDefault="00926951" w:rsidP="00E31E37">
      <w:pPr>
        <w:pStyle w:val="Heading4"/>
      </w:pPr>
      <w:r w:rsidRPr="004C12C9">
        <w:t>Limitations</w:t>
      </w:r>
    </w:p>
    <w:p w14:paraId="2FDE9217" w14:textId="43279FA2" w:rsidR="00461162" w:rsidRPr="004C12C9" w:rsidRDefault="00461162" w:rsidP="00461162">
      <w:r w:rsidRPr="004C12C9">
        <w:t xml:space="preserve">Key </w:t>
      </w:r>
      <w:r w:rsidR="000746D0" w:rsidRPr="004C12C9">
        <w:t>limitations</w:t>
      </w:r>
      <w:r w:rsidRPr="004C12C9">
        <w:t xml:space="preserve"> of the methodology used</w:t>
      </w:r>
      <w:r w:rsidR="00CE6B2E" w:rsidRPr="004C12C9">
        <w:t xml:space="preserve"> to</w:t>
      </w:r>
      <w:r w:rsidR="00D42071" w:rsidRPr="004C12C9">
        <w:t xml:space="preserve"> </w:t>
      </w:r>
      <w:r w:rsidRPr="004C12C9">
        <w:t>quantify emissions from the treatment of municipal wastewater on-site include:</w:t>
      </w:r>
    </w:p>
    <w:p w14:paraId="1748FCD2" w14:textId="7FDD8F95" w:rsidR="00373126" w:rsidRPr="004C12C9" w:rsidRDefault="00373126" w:rsidP="003B5F7F">
      <w:pPr>
        <w:pStyle w:val="ListParagraph"/>
        <w:numPr>
          <w:ilvl w:val="0"/>
          <w:numId w:val="21"/>
        </w:numPr>
      </w:pPr>
      <w:r w:rsidRPr="004C12C9">
        <w:t>The emission</w:t>
      </w:r>
      <w:r w:rsidR="005B6D6B" w:rsidRPr="004C12C9">
        <w:t xml:space="preserve"> estimates are </w:t>
      </w:r>
      <w:r w:rsidR="007828F1" w:rsidRPr="004C12C9">
        <w:t xml:space="preserve">calculated </w:t>
      </w:r>
      <w:r w:rsidR="005B6D6B" w:rsidRPr="004C12C9">
        <w:t xml:space="preserve">based on a variety of assumptions about the </w:t>
      </w:r>
      <w:r w:rsidR="00497F50" w:rsidRPr="004C12C9">
        <w:t>BOD production and protein content of the population served</w:t>
      </w:r>
      <w:r w:rsidR="007828F1" w:rsidRPr="004C12C9">
        <w:t xml:space="preserve">, which are not editable in </w:t>
      </w:r>
      <w:r w:rsidR="00380123" w:rsidRPr="004C12C9">
        <w:t>calculator</w:t>
      </w:r>
      <w:r w:rsidR="007828F1" w:rsidRPr="004C12C9">
        <w:t>.</w:t>
      </w:r>
      <w:r w:rsidR="00534F4D" w:rsidRPr="004C12C9">
        <w:t xml:space="preserve"> Actual emissions </w:t>
      </w:r>
      <w:r w:rsidR="00D54130" w:rsidRPr="004C12C9">
        <w:t>will vary based on the specific characteristics of the treatment plant.</w:t>
      </w:r>
    </w:p>
    <w:p w14:paraId="69FEFE62" w14:textId="76620269" w:rsidR="00EC7095" w:rsidRPr="004C12C9" w:rsidRDefault="00EC7095" w:rsidP="003B5F7F">
      <w:pPr>
        <w:pStyle w:val="ListParagraph"/>
        <w:numPr>
          <w:ilvl w:val="0"/>
          <w:numId w:val="21"/>
        </w:numPr>
      </w:pPr>
      <w:r w:rsidRPr="004C12C9">
        <w:t xml:space="preserve">The wastewater treatment calculations currently assume that no nitrogen is removed </w:t>
      </w:r>
      <w:r w:rsidR="00F86E02" w:rsidRPr="004C12C9">
        <w:t>as</w:t>
      </w:r>
      <w:r w:rsidRPr="004C12C9">
        <w:t xml:space="preserve"> sludge and </w:t>
      </w:r>
      <w:r w:rsidR="0026498A" w:rsidRPr="004C12C9">
        <w:t>do</w:t>
      </w:r>
      <w:r w:rsidR="00FF2B54" w:rsidRPr="004C12C9">
        <w:t xml:space="preserve"> not </w:t>
      </w:r>
      <w:r w:rsidR="0026498A" w:rsidRPr="004C12C9">
        <w:t>separately</w:t>
      </w:r>
      <w:r w:rsidRPr="004C12C9">
        <w:t xml:space="preserve"> calculate emissions from </w:t>
      </w:r>
      <w:r w:rsidR="00537D83" w:rsidRPr="004C12C9">
        <w:t>the</w:t>
      </w:r>
      <w:r w:rsidR="007E410E" w:rsidRPr="004C12C9">
        <w:t xml:space="preserve"> </w:t>
      </w:r>
      <w:r w:rsidR="00F86E02" w:rsidRPr="004C12C9">
        <w:t xml:space="preserve">treatment </w:t>
      </w:r>
      <w:r w:rsidR="00537D83" w:rsidRPr="004C12C9">
        <w:t>of sludge or</w:t>
      </w:r>
      <w:r w:rsidR="00E57B0F" w:rsidRPr="004C12C9">
        <w:t xml:space="preserve"> the </w:t>
      </w:r>
      <w:r w:rsidRPr="004C12C9">
        <w:t xml:space="preserve">use of biosolids as </w:t>
      </w:r>
      <w:r w:rsidR="00537D83" w:rsidRPr="004C12C9">
        <w:t xml:space="preserve">a </w:t>
      </w:r>
      <w:r w:rsidRPr="004C12C9">
        <w:t>fertilizer.</w:t>
      </w:r>
      <w:r w:rsidR="00C92F2C" w:rsidRPr="004C12C9">
        <w:t xml:space="preserve"> </w:t>
      </w:r>
      <w:r w:rsidRPr="004C12C9">
        <w:t xml:space="preserve">  </w:t>
      </w:r>
    </w:p>
    <w:p w14:paraId="662D8699" w14:textId="270D555E" w:rsidR="00523579" w:rsidRPr="004C12C9" w:rsidRDefault="00523579" w:rsidP="00FF69F0">
      <w:pPr>
        <w:pStyle w:val="ICFHeading4"/>
      </w:pPr>
      <w:r w:rsidRPr="004C12C9">
        <w:lastRenderedPageBreak/>
        <w:t>Industrial Wastewater Emissions</w:t>
      </w:r>
    </w:p>
    <w:p w14:paraId="2880C259" w14:textId="08D5B97C" w:rsidR="00A864A2" w:rsidRPr="004C12C9" w:rsidRDefault="00955904" w:rsidP="00972CF9">
      <w:pPr>
        <w:rPr>
          <w:rFonts w:eastAsia="Arial"/>
        </w:rPr>
      </w:pPr>
      <w:r w:rsidRPr="004C12C9">
        <w:t xml:space="preserve">The </w:t>
      </w:r>
      <w:r w:rsidR="00380123" w:rsidRPr="004C12C9">
        <w:t xml:space="preserve">calculator </w:t>
      </w:r>
      <w:r w:rsidRPr="004C12C9">
        <w:t>quantifies emissions</w:t>
      </w:r>
      <w:r w:rsidR="00A864A2" w:rsidRPr="004C12C9">
        <w:rPr>
          <w:rFonts w:eastAsia="MS PGothic"/>
        </w:rPr>
        <w:t xml:space="preserve"> from the </w:t>
      </w:r>
      <w:r w:rsidR="00A864A2" w:rsidRPr="004C12C9">
        <w:t xml:space="preserve">treatment of industrial wastewater </w:t>
      </w:r>
      <w:r w:rsidR="004C0A20" w:rsidRPr="004C12C9">
        <w:t xml:space="preserve">based on </w:t>
      </w:r>
      <w:r w:rsidR="00F5329C" w:rsidRPr="004C12C9">
        <w:t xml:space="preserve">the product </w:t>
      </w:r>
      <w:r w:rsidR="0041195F" w:rsidRPr="004C12C9">
        <w:t>quantity</w:t>
      </w:r>
      <w:r w:rsidR="004C0A20" w:rsidRPr="004C12C9">
        <w:t>,</w:t>
      </w:r>
      <w:r w:rsidR="000E7B64" w:rsidRPr="004C12C9">
        <w:t xml:space="preserve"> water consumption per </w:t>
      </w:r>
      <w:r w:rsidR="00F82639" w:rsidRPr="004C12C9">
        <w:t xml:space="preserve">product, the </w:t>
      </w:r>
      <w:r w:rsidR="003B6ECA" w:rsidRPr="004C12C9">
        <w:t xml:space="preserve">oxygen demand, and </w:t>
      </w:r>
      <w:r w:rsidR="00004A8F" w:rsidRPr="004C12C9">
        <w:t xml:space="preserve">product-specific </w:t>
      </w:r>
      <w:r w:rsidR="003B6ECA" w:rsidRPr="004C12C9">
        <w:t>emissions factor,</w:t>
      </w:r>
      <w:r w:rsidR="004C0A20" w:rsidRPr="004C12C9">
        <w:t xml:space="preserve"> as shown in</w:t>
      </w:r>
      <w:r w:rsidR="00162E51">
        <w:t xml:space="preserve"> </w:t>
      </w:r>
      <w:r w:rsidR="00162E51">
        <w:fldChar w:fldCharType="begin"/>
      </w:r>
      <w:r w:rsidR="00162E51">
        <w:instrText xml:space="preserve"> REF _Ref195628440 \h </w:instrText>
      </w:r>
      <w:r w:rsidR="00162E51">
        <w:fldChar w:fldCharType="separate"/>
      </w:r>
      <w:r w:rsidR="00162E51" w:rsidRPr="004C12C9">
        <w:t xml:space="preserve">Equation </w:t>
      </w:r>
      <w:r w:rsidR="00162E51">
        <w:rPr>
          <w:noProof/>
        </w:rPr>
        <w:t>30</w:t>
      </w:r>
      <w:r w:rsidR="00162E51">
        <w:fldChar w:fldCharType="end"/>
      </w:r>
      <w:r w:rsidRPr="004C12C9">
        <w:t>.</w:t>
      </w:r>
    </w:p>
    <w:p w14:paraId="25890305" w14:textId="78F66CE0" w:rsidR="00367606" w:rsidRPr="004C12C9" w:rsidRDefault="00367606" w:rsidP="00367606">
      <w:pPr>
        <w:pStyle w:val="Caption"/>
      </w:pPr>
      <w:bookmarkStart w:id="215" w:name="_Ref195628440"/>
      <w:r w:rsidRPr="004C12C9">
        <w:t xml:space="preserve">Equation </w:t>
      </w:r>
      <w:r w:rsidR="00127094">
        <w:fldChar w:fldCharType="begin"/>
      </w:r>
      <w:r w:rsidR="00127094">
        <w:instrText xml:space="preserve"> SEQ Equation \* ARABIC </w:instrText>
      </w:r>
      <w:r w:rsidR="00127094">
        <w:fldChar w:fldCharType="separate"/>
      </w:r>
      <w:r w:rsidR="00162E51">
        <w:rPr>
          <w:noProof/>
        </w:rPr>
        <w:t>30</w:t>
      </w:r>
      <w:r w:rsidR="00127094">
        <w:fldChar w:fldCharType="end"/>
      </w:r>
      <w:bookmarkEnd w:id="215"/>
      <w:r w:rsidRPr="004C12C9">
        <w:t xml:space="preserve">. </w:t>
      </w:r>
      <w:r w:rsidR="00415688" w:rsidRPr="004C12C9">
        <w:t>Annual</w:t>
      </w:r>
      <w:r w:rsidRPr="004C12C9">
        <w:t xml:space="preserve"> GHG Emissions from the </w:t>
      </w:r>
      <w:r w:rsidR="00C57946" w:rsidRPr="004C12C9">
        <w:t>T</w:t>
      </w:r>
      <w:r w:rsidRPr="004C12C9">
        <w:t xml:space="preserve">reatment of </w:t>
      </w:r>
      <w:r w:rsidR="00C57946" w:rsidRPr="004C12C9">
        <w:t>I</w:t>
      </w:r>
      <w:r w:rsidRPr="004C12C9">
        <w:t xml:space="preserve">ndustrial </w:t>
      </w:r>
      <w:r w:rsidR="00C57946" w:rsidRPr="004C12C9">
        <w:t>W</w:t>
      </w:r>
      <w:r w:rsidRPr="004C12C9">
        <w:t>astewater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80"/>
      </w:tblGrid>
      <w:tr w:rsidR="00367606" w:rsidRPr="004C12C9" w14:paraId="1D104230" w14:textId="77777777" w:rsidTr="00C64A24">
        <w:tc>
          <w:tcPr>
            <w:tcW w:w="10080" w:type="dxa"/>
            <w:gridSpan w:val="2"/>
            <w:shd w:val="clear" w:color="auto" w:fill="F2F2F2" w:themeFill="background1" w:themeFillShade="F2"/>
          </w:tcPr>
          <w:p w14:paraId="1E62824C" w14:textId="0D4E916D" w:rsidR="00367606" w:rsidRPr="004C12C9" w:rsidRDefault="000002AA">
            <w:pPr>
              <w:pStyle w:val="Equation"/>
              <w:rPr>
                <w:noProof w:val="0"/>
                <w:lang w:bidi="ar-SA"/>
              </w:rPr>
            </w:pPr>
            <m:oMathPara>
              <m:oMath>
                <m:r>
                  <w:rPr>
                    <w:noProof w:val="0"/>
                  </w:rPr>
                  <m:t xml:space="preserve">Annual GHG emissions= </m:t>
                </m:r>
                <m:sSub>
                  <m:sSubPr>
                    <m:ctrlPr>
                      <w:rPr>
                        <w:noProof w:val="0"/>
                        <w:color w:val="auto"/>
                        <w:lang w:bidi="ar-SA"/>
                      </w:rPr>
                    </m:ctrlPr>
                  </m:sSubPr>
                  <m:e>
                    <m:r>
                      <w:rPr>
                        <w:noProof w:val="0"/>
                      </w:rPr>
                      <m:t>production</m:t>
                    </m:r>
                  </m:e>
                  <m:sub>
                    <m:r>
                      <w:rPr>
                        <w:noProof w:val="0"/>
                      </w:rPr>
                      <m:t>p</m:t>
                    </m:r>
                  </m:sub>
                </m:sSub>
                <m:r>
                  <w:rPr>
                    <w:noProof w:val="0"/>
                  </w:rPr>
                  <m:t xml:space="preserve">× </m:t>
                </m:r>
                <m:sSub>
                  <m:sSubPr>
                    <m:ctrlPr>
                      <w:rPr>
                        <w:noProof w:val="0"/>
                      </w:rPr>
                    </m:ctrlPr>
                  </m:sSubPr>
                  <m:e>
                    <m:r>
                      <w:rPr>
                        <w:noProof w:val="0"/>
                      </w:rPr>
                      <m:t>outflow</m:t>
                    </m:r>
                  </m:e>
                  <m:sub>
                    <m:r>
                      <w:rPr>
                        <w:noProof w:val="0"/>
                      </w:rPr>
                      <m:t>p</m:t>
                    </m:r>
                  </m:sub>
                </m:sSub>
                <m:r>
                  <w:rPr>
                    <w:noProof w:val="0"/>
                  </w:rPr>
                  <m:t xml:space="preserve"> ×</m:t>
                </m:r>
                <m:f>
                  <m:fPr>
                    <m:ctrlPr>
                      <w:rPr>
                        <w:noProof w:val="0"/>
                      </w:rPr>
                    </m:ctrlPr>
                  </m:fPr>
                  <m:num>
                    <m:r>
                      <w:rPr>
                        <w:noProof w:val="0"/>
                      </w:rPr>
                      <m:t>1000 L</m:t>
                    </m:r>
                  </m:num>
                  <m:den>
                    <m:sSup>
                      <m:sSupPr>
                        <m:ctrlPr>
                          <w:rPr>
                            <w:noProof w:val="0"/>
                          </w:rPr>
                        </m:ctrlPr>
                      </m:sSupPr>
                      <m:e>
                        <m:r>
                          <w:rPr>
                            <w:noProof w:val="0"/>
                          </w:rPr>
                          <m:t>m</m:t>
                        </m:r>
                      </m:e>
                      <m:sup>
                        <m:r>
                          <w:rPr>
                            <w:noProof w:val="0"/>
                          </w:rPr>
                          <m:t>3</m:t>
                        </m:r>
                      </m:sup>
                    </m:sSup>
                  </m:den>
                </m:f>
                <m:r>
                  <w:rPr>
                    <w:noProof w:val="0"/>
                  </w:rPr>
                  <m:t>×</m:t>
                </m:r>
                <m:sSub>
                  <m:sSubPr>
                    <m:ctrlPr>
                      <w:rPr>
                        <w:noProof w:val="0"/>
                      </w:rPr>
                    </m:ctrlPr>
                  </m:sSubPr>
                  <m:e>
                    <m:r>
                      <w:rPr>
                        <w:noProof w:val="0"/>
                      </w:rPr>
                      <m:t>BOD or COD</m:t>
                    </m:r>
                  </m:e>
                  <m:sub>
                    <m:r>
                      <w:rPr>
                        <w:noProof w:val="0"/>
                      </w:rPr>
                      <m:t>p</m:t>
                    </m:r>
                  </m:sub>
                </m:sSub>
                <m:r>
                  <w:rPr>
                    <w:noProof w:val="0"/>
                  </w:rPr>
                  <m:t xml:space="preserve"> × </m:t>
                </m:r>
                <m:sSub>
                  <m:sSubPr>
                    <m:ctrlPr>
                      <w:rPr>
                        <w:noProof w:val="0"/>
                      </w:rPr>
                    </m:ctrlPr>
                  </m:sSubPr>
                  <m:e>
                    <m:r>
                      <w:rPr>
                        <w:noProof w:val="0"/>
                      </w:rPr>
                      <m:t>emission factor</m:t>
                    </m:r>
                  </m:e>
                  <m:sub>
                    <m:r>
                      <w:rPr>
                        <w:noProof w:val="0"/>
                      </w:rPr>
                      <m:t>p</m:t>
                    </m:r>
                  </m:sub>
                </m:sSub>
                <m:r>
                  <w:rPr>
                    <w:noProof w:val="0"/>
                  </w:rPr>
                  <m:t>×</m:t>
                </m:r>
                <m:f>
                  <m:fPr>
                    <m:ctrlPr>
                      <w:rPr>
                        <w:noProof w:val="0"/>
                      </w:rPr>
                    </m:ctrlPr>
                  </m:fPr>
                  <m:num>
                    <m:r>
                      <w:rPr>
                        <w:noProof w:val="0"/>
                      </w:rPr>
                      <m:t>kg</m:t>
                    </m:r>
                  </m:num>
                  <m:den>
                    <m:r>
                      <w:rPr>
                        <w:noProof w:val="0"/>
                      </w:rPr>
                      <m:t>1000 g</m:t>
                    </m:r>
                  </m:den>
                </m:f>
                <m:r>
                  <w:rPr>
                    <w:noProof w:val="0"/>
                  </w:rPr>
                  <m:t xml:space="preserve"> ×AD ×</m:t>
                </m:r>
                <m:sSub>
                  <m:sSubPr>
                    <m:ctrlPr>
                      <w:rPr>
                        <w:noProof w:val="0"/>
                      </w:rPr>
                    </m:ctrlPr>
                  </m:sSubPr>
                  <m:e>
                    <m:r>
                      <w:rPr>
                        <w:noProof w:val="0"/>
                      </w:rPr>
                      <m:t>GWP</m:t>
                    </m:r>
                  </m:e>
                  <m:sub>
                    <m:r>
                      <w:rPr>
                        <w:noProof w:val="0"/>
                      </w:rPr>
                      <m:t>CH4</m:t>
                    </m:r>
                  </m:sub>
                </m:sSub>
              </m:oMath>
            </m:oMathPara>
          </w:p>
          <w:p w14:paraId="442D688A" w14:textId="77777777" w:rsidR="00367606" w:rsidRPr="004C12C9" w:rsidRDefault="00367606">
            <w:pPr>
              <w:rPr>
                <w:i/>
                <w:iCs/>
              </w:rPr>
            </w:pPr>
            <w:r w:rsidRPr="004C12C9">
              <w:rPr>
                <w:i/>
                <w:iCs/>
                <w:sz w:val="20"/>
                <w:szCs w:val="20"/>
              </w:rPr>
              <w:t xml:space="preserve">where, </w:t>
            </w:r>
          </w:p>
        </w:tc>
      </w:tr>
      <w:tr w:rsidR="00367606" w:rsidRPr="004C12C9" w14:paraId="2AA1E231" w14:textId="77777777" w:rsidTr="00C64A24">
        <w:trPr>
          <w:trHeight w:val="702"/>
        </w:trPr>
        <w:tc>
          <w:tcPr>
            <w:tcW w:w="1800" w:type="dxa"/>
            <w:shd w:val="clear" w:color="auto" w:fill="F2F2F2" w:themeFill="background1" w:themeFillShade="F2"/>
          </w:tcPr>
          <w:p w14:paraId="1FC2C432" w14:textId="77777777" w:rsidR="00367606" w:rsidRPr="004C12C9" w:rsidRDefault="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Production</w:t>
            </w:r>
          </w:p>
          <w:p w14:paraId="2A92D21D" w14:textId="77777777" w:rsidR="00367606" w:rsidRPr="004C12C9" w:rsidRDefault="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Outflow</w:t>
            </w:r>
          </w:p>
          <w:p w14:paraId="23111331" w14:textId="3A0235D3" w:rsidR="00367606" w:rsidRPr="004C12C9" w:rsidRDefault="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BOD</w:t>
            </w:r>
            <w:r w:rsidR="00F82639" w:rsidRPr="004C12C9">
              <w:rPr>
                <w:rFonts w:ascii="Calibri" w:eastAsia="Arial" w:hAnsi="Calibri"/>
                <w:bCs w:val="0"/>
                <w:i w:val="0"/>
                <w:noProof w:val="0"/>
                <w:color w:val="auto"/>
                <w:sz w:val="20"/>
                <w:szCs w:val="20"/>
              </w:rPr>
              <w:t xml:space="preserve"> or </w:t>
            </w:r>
            <w:r w:rsidRPr="004C12C9">
              <w:rPr>
                <w:rFonts w:ascii="Calibri" w:eastAsia="Arial" w:hAnsi="Calibri"/>
                <w:bCs w:val="0"/>
                <w:i w:val="0"/>
                <w:noProof w:val="0"/>
                <w:color w:val="auto"/>
                <w:sz w:val="20"/>
                <w:szCs w:val="20"/>
              </w:rPr>
              <w:t>COD</w:t>
            </w:r>
          </w:p>
          <w:p w14:paraId="0D2994A2" w14:textId="77777777" w:rsidR="0008698B" w:rsidRPr="004C12C9" w:rsidRDefault="0008698B">
            <w:pPr>
              <w:pStyle w:val="Equation"/>
              <w:spacing w:before="0" w:after="0"/>
              <w:jc w:val="left"/>
              <w:rPr>
                <w:rFonts w:ascii="Calibri" w:eastAsia="Arial" w:hAnsi="Calibri"/>
                <w:bCs w:val="0"/>
                <w:i w:val="0"/>
                <w:noProof w:val="0"/>
                <w:color w:val="auto"/>
                <w:sz w:val="20"/>
                <w:szCs w:val="20"/>
              </w:rPr>
            </w:pPr>
          </w:p>
          <w:p w14:paraId="425B9784" w14:textId="77777777" w:rsidR="00367606" w:rsidRPr="004C12C9" w:rsidRDefault="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 factor</w:t>
            </w:r>
          </w:p>
          <w:p w14:paraId="4F8C6CC3" w14:textId="5201B6DD" w:rsidR="00367606" w:rsidRPr="004C12C9" w:rsidRDefault="007C27C7">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AD</w:t>
            </w:r>
          </w:p>
          <w:p w14:paraId="7AD7FC16" w14:textId="6D18D96E" w:rsidR="00367606" w:rsidRPr="004C12C9" w:rsidRDefault="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CH4</w:t>
            </w:r>
            <w:r w:rsidRPr="004C12C9">
              <w:rPr>
                <w:rFonts w:ascii="Calibri" w:eastAsia="Arial" w:hAnsi="Calibri"/>
                <w:bCs w:val="0"/>
                <w:i w:val="0"/>
                <w:noProof w:val="0"/>
                <w:color w:val="auto"/>
                <w:sz w:val="20"/>
                <w:szCs w:val="20"/>
              </w:rPr>
              <w:t xml:space="preserve"> </w:t>
            </w:r>
          </w:p>
        </w:tc>
        <w:tc>
          <w:tcPr>
            <w:tcW w:w="8280" w:type="dxa"/>
            <w:shd w:val="clear" w:color="auto" w:fill="F2F2F2" w:themeFill="background1" w:themeFillShade="F2"/>
          </w:tcPr>
          <w:p w14:paraId="4AEEC3BD" w14:textId="428348A8" w:rsidR="00367606" w:rsidRPr="004C12C9" w:rsidRDefault="00367606" w:rsidP="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product produced annually by product type, p (MT/year)</w:t>
            </w:r>
          </w:p>
          <w:p w14:paraId="78DC012A" w14:textId="64D2A87B" w:rsidR="00367606" w:rsidRPr="004C12C9" w:rsidRDefault="00367606" w:rsidP="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water consumed per unit output by product type, p (m</w:t>
            </w:r>
            <w:r w:rsidRPr="004C12C9">
              <w:rPr>
                <w:rFonts w:ascii="Calibri" w:eastAsia="Arial" w:hAnsi="Calibri"/>
                <w:bCs w:val="0"/>
                <w:i w:val="0"/>
                <w:noProof w:val="0"/>
                <w:color w:val="auto"/>
                <w:sz w:val="20"/>
                <w:szCs w:val="20"/>
                <w:vertAlign w:val="superscript"/>
              </w:rPr>
              <w:t>3</w:t>
            </w:r>
            <w:r w:rsidRPr="004C12C9">
              <w:rPr>
                <w:rFonts w:ascii="Calibri" w:eastAsia="Arial" w:hAnsi="Calibri"/>
                <w:bCs w:val="0"/>
                <w:i w:val="0"/>
                <w:noProof w:val="0"/>
                <w:color w:val="auto"/>
                <w:sz w:val="20"/>
                <w:szCs w:val="20"/>
              </w:rPr>
              <w:t>/MT)</w:t>
            </w:r>
          </w:p>
          <w:p w14:paraId="21FDB1F5" w14:textId="6D6AB463" w:rsidR="00367606" w:rsidRPr="004C12C9" w:rsidRDefault="00367606" w:rsidP="000F1BE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Biological </w:t>
            </w:r>
            <w:r w:rsidR="007E486F" w:rsidRPr="004C12C9">
              <w:rPr>
                <w:rFonts w:ascii="Calibri" w:eastAsia="Arial" w:hAnsi="Calibri"/>
                <w:bCs w:val="0"/>
                <w:i w:val="0"/>
                <w:noProof w:val="0"/>
                <w:color w:val="auto"/>
                <w:sz w:val="20"/>
                <w:szCs w:val="20"/>
              </w:rPr>
              <w:t xml:space="preserve">oxygen demand (BOD) </w:t>
            </w:r>
            <w:r w:rsidRPr="004C12C9">
              <w:rPr>
                <w:rFonts w:ascii="Calibri" w:eastAsia="Arial" w:hAnsi="Calibri"/>
                <w:bCs w:val="0"/>
                <w:i w:val="0"/>
                <w:noProof w:val="0"/>
                <w:color w:val="auto"/>
                <w:sz w:val="20"/>
                <w:szCs w:val="20"/>
              </w:rPr>
              <w:t xml:space="preserve">or chemical oxygen demand </w:t>
            </w:r>
            <w:r w:rsidR="007E486F" w:rsidRPr="004C12C9">
              <w:rPr>
                <w:rFonts w:ascii="Calibri" w:eastAsia="Arial" w:hAnsi="Calibri"/>
                <w:bCs w:val="0"/>
                <w:i w:val="0"/>
                <w:noProof w:val="0"/>
                <w:color w:val="auto"/>
                <w:sz w:val="20"/>
                <w:szCs w:val="20"/>
              </w:rPr>
              <w:t xml:space="preserve">(COD) </w:t>
            </w:r>
            <w:r w:rsidRPr="004C12C9">
              <w:rPr>
                <w:rFonts w:ascii="Calibri" w:eastAsia="Arial" w:hAnsi="Calibri"/>
                <w:bCs w:val="0"/>
                <w:i w:val="0"/>
                <w:noProof w:val="0"/>
                <w:color w:val="auto"/>
                <w:sz w:val="20"/>
                <w:szCs w:val="20"/>
              </w:rPr>
              <w:t>per wastewater outflow by product type, p (g/L)</w:t>
            </w:r>
          </w:p>
          <w:p w14:paraId="03B0309F" w14:textId="34797A83" w:rsidR="00367606" w:rsidRPr="004C12C9" w:rsidRDefault="00367606" w:rsidP="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D3650" w:rsidRPr="004C12C9">
              <w:rPr>
                <w:rFonts w:ascii="Calibri" w:eastAsia="Arial" w:hAnsi="Calibri"/>
                <w:bCs w:val="0"/>
                <w:i w:val="0"/>
                <w:noProof w:val="0"/>
                <w:color w:val="auto"/>
                <w:sz w:val="20"/>
                <w:szCs w:val="20"/>
              </w:rPr>
              <w:t xml:space="preserve">Methane emissions per </w:t>
            </w:r>
            <w:r w:rsidR="008F6ABC" w:rsidRPr="004C12C9">
              <w:rPr>
                <w:rFonts w:ascii="Calibri" w:eastAsia="Arial" w:hAnsi="Calibri"/>
                <w:bCs w:val="0"/>
                <w:i w:val="0"/>
                <w:noProof w:val="0"/>
                <w:color w:val="auto"/>
                <w:sz w:val="20"/>
                <w:szCs w:val="20"/>
              </w:rPr>
              <w:t>unit of BOD or COD production (g CH</w:t>
            </w:r>
            <w:r w:rsidR="008F6ABC" w:rsidRPr="004C12C9">
              <w:rPr>
                <w:rFonts w:ascii="Calibri" w:eastAsia="Arial" w:hAnsi="Calibri"/>
                <w:bCs w:val="0"/>
                <w:i w:val="0"/>
                <w:noProof w:val="0"/>
                <w:color w:val="auto"/>
                <w:sz w:val="20"/>
                <w:szCs w:val="20"/>
                <w:vertAlign w:val="subscript"/>
              </w:rPr>
              <w:t>4</w:t>
            </w:r>
            <w:r w:rsidR="008F6ABC" w:rsidRPr="004C12C9">
              <w:rPr>
                <w:rFonts w:ascii="Calibri" w:eastAsia="Arial" w:hAnsi="Calibri"/>
                <w:bCs w:val="0"/>
                <w:i w:val="0"/>
                <w:noProof w:val="0"/>
                <w:color w:val="auto"/>
                <w:sz w:val="20"/>
                <w:szCs w:val="20"/>
              </w:rPr>
              <w:t>/g BOD/COD)</w:t>
            </w:r>
          </w:p>
          <w:p w14:paraId="2C5797E8" w14:textId="3ED85FAA" w:rsidR="008F6ABC" w:rsidRPr="004C12C9" w:rsidRDefault="003C3FEA" w:rsidP="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Fraction of wastewater anaerobically digested</w:t>
            </w:r>
            <w:r w:rsidR="004C0A0B" w:rsidRPr="004C12C9">
              <w:rPr>
                <w:rFonts w:ascii="Calibri" w:eastAsia="Arial" w:hAnsi="Calibri"/>
                <w:bCs w:val="0"/>
                <w:i w:val="0"/>
                <w:noProof w:val="0"/>
                <w:color w:val="auto"/>
                <w:sz w:val="20"/>
                <w:szCs w:val="20"/>
              </w:rPr>
              <w:t xml:space="preserve"> (%)</w:t>
            </w:r>
          </w:p>
          <w:p w14:paraId="4A3ABD81" w14:textId="3F37220B" w:rsidR="00C21FB4" w:rsidRPr="004C12C9" w:rsidRDefault="00C21FB4" w:rsidP="00367606">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G</w:t>
            </w:r>
            <w:r w:rsidR="00BF0188" w:rsidRPr="004C12C9">
              <w:rPr>
                <w:rFonts w:ascii="Calibri" w:eastAsia="Arial" w:hAnsi="Calibri"/>
                <w:bCs w:val="0"/>
                <w:i w:val="0"/>
                <w:noProof w:val="0"/>
                <w:color w:val="auto"/>
                <w:sz w:val="20"/>
                <w:szCs w:val="20"/>
              </w:rPr>
              <w:t>WP</w:t>
            </w:r>
            <w:r w:rsidRPr="004C12C9">
              <w:rPr>
                <w:rFonts w:ascii="Calibri" w:eastAsia="Arial" w:hAnsi="Calibri"/>
                <w:bCs w:val="0"/>
                <w:i w:val="0"/>
                <w:noProof w:val="0"/>
                <w:color w:val="auto"/>
                <w:sz w:val="20"/>
                <w:szCs w:val="20"/>
              </w:rPr>
              <w:t xml:space="preserve"> of </w:t>
            </w:r>
            <w:r w:rsidR="002854C3" w:rsidRPr="004C12C9">
              <w:rPr>
                <w:rFonts w:ascii="Calibri" w:eastAsia="Arial" w:hAnsi="Calibri"/>
                <w:bCs w:val="0"/>
                <w:i w:val="0"/>
                <w:noProof w:val="0"/>
                <w:color w:val="auto"/>
                <w:sz w:val="20"/>
                <w:szCs w:val="20"/>
              </w:rPr>
              <w:t>methane</w:t>
            </w:r>
          </w:p>
          <w:p w14:paraId="471FD101" w14:textId="1A3F5406" w:rsidR="00367606" w:rsidRPr="004C12C9" w:rsidRDefault="00367606">
            <w:pPr>
              <w:pStyle w:val="Equation"/>
              <w:spacing w:before="0" w:after="0"/>
              <w:jc w:val="left"/>
              <w:rPr>
                <w:rFonts w:ascii="Calibri" w:eastAsia="Arial" w:hAnsi="Calibri"/>
                <w:bCs w:val="0"/>
                <w:i w:val="0"/>
                <w:noProof w:val="0"/>
                <w:color w:val="auto"/>
                <w:sz w:val="20"/>
                <w:szCs w:val="20"/>
              </w:rPr>
            </w:pPr>
          </w:p>
        </w:tc>
      </w:tr>
    </w:tbl>
    <w:p w14:paraId="65CA641B" w14:textId="23BE47F5" w:rsidR="00BD47DC" w:rsidRPr="004C12C9" w:rsidRDefault="00BD47DC" w:rsidP="00E31E37">
      <w:pPr>
        <w:pStyle w:val="Heading4"/>
      </w:pPr>
      <w:r w:rsidRPr="004C12C9">
        <w:t>Product</w:t>
      </w:r>
      <w:r w:rsidR="00F5329C" w:rsidRPr="004C12C9">
        <w:t xml:space="preserve"> Quantity</w:t>
      </w:r>
    </w:p>
    <w:p w14:paraId="645C3C91" w14:textId="6F8566D9" w:rsidR="00592F6F" w:rsidRPr="004C12C9" w:rsidRDefault="00592F6F" w:rsidP="00972CF9">
      <w:r w:rsidRPr="004C12C9">
        <w:t xml:space="preserve">The amount of product produced annually </w:t>
      </w:r>
      <w:r w:rsidR="009E6ED7" w:rsidRPr="004C12C9">
        <w:t>is</w:t>
      </w:r>
      <w:r w:rsidRPr="004C12C9">
        <w:t xml:space="preserve"> based on the value provided by the user in metric tons. The types of products users may select from include the following:</w:t>
      </w:r>
    </w:p>
    <w:p w14:paraId="418C6336" w14:textId="64112DF5" w:rsidR="00592F6F" w:rsidRPr="004C12C9" w:rsidRDefault="00592F6F" w:rsidP="003B5F7F">
      <w:pPr>
        <w:pStyle w:val="ListParagraph"/>
        <w:numPr>
          <w:ilvl w:val="0"/>
          <w:numId w:val="7"/>
        </w:numPr>
      </w:pPr>
      <w:r w:rsidRPr="004C12C9">
        <w:t xml:space="preserve">Fruits and </w:t>
      </w:r>
      <w:r w:rsidR="00071B9D" w:rsidRPr="004C12C9">
        <w:t>v</w:t>
      </w:r>
      <w:r w:rsidRPr="004C12C9">
        <w:t>egetables</w:t>
      </w:r>
    </w:p>
    <w:p w14:paraId="41C6F4F8" w14:textId="2E76E4C6" w:rsidR="00592F6F" w:rsidRPr="004C12C9" w:rsidRDefault="00592F6F" w:rsidP="003B5F7F">
      <w:pPr>
        <w:pStyle w:val="ListParagraph"/>
        <w:numPr>
          <w:ilvl w:val="0"/>
          <w:numId w:val="7"/>
        </w:numPr>
      </w:pPr>
      <w:r w:rsidRPr="004C12C9">
        <w:t xml:space="preserve">Red </w:t>
      </w:r>
      <w:r w:rsidR="00071B9D" w:rsidRPr="004C12C9">
        <w:t>m</w:t>
      </w:r>
      <w:r w:rsidRPr="004C12C9">
        <w:t>eat</w:t>
      </w:r>
    </w:p>
    <w:p w14:paraId="08B0AC95" w14:textId="77777777" w:rsidR="00592F6F" w:rsidRPr="004C12C9" w:rsidRDefault="00592F6F" w:rsidP="003B5F7F">
      <w:pPr>
        <w:pStyle w:val="ListParagraph"/>
        <w:numPr>
          <w:ilvl w:val="0"/>
          <w:numId w:val="7"/>
        </w:numPr>
      </w:pPr>
      <w:r w:rsidRPr="004C12C9">
        <w:t>Poultry</w:t>
      </w:r>
    </w:p>
    <w:p w14:paraId="7CD98579" w14:textId="25F3CFA9" w:rsidR="00592F6F" w:rsidRPr="004C12C9" w:rsidRDefault="00592F6F" w:rsidP="003B5F7F">
      <w:pPr>
        <w:pStyle w:val="ListParagraph"/>
        <w:numPr>
          <w:ilvl w:val="0"/>
          <w:numId w:val="7"/>
        </w:numPr>
      </w:pPr>
      <w:r w:rsidRPr="004C12C9">
        <w:t xml:space="preserve">Pulp and </w:t>
      </w:r>
      <w:r w:rsidR="00071B9D" w:rsidRPr="004C12C9">
        <w:t>p</w:t>
      </w:r>
      <w:r w:rsidRPr="004C12C9">
        <w:t>aper</w:t>
      </w:r>
    </w:p>
    <w:p w14:paraId="5558E8BD" w14:textId="77777777" w:rsidR="00592F6F" w:rsidRPr="004C12C9" w:rsidRDefault="00592F6F" w:rsidP="00E31E37">
      <w:pPr>
        <w:pStyle w:val="Heading4"/>
      </w:pPr>
      <w:r w:rsidRPr="004C12C9">
        <w:t>Default Values</w:t>
      </w:r>
    </w:p>
    <w:p w14:paraId="6C700267" w14:textId="0099CEF3" w:rsidR="00377524" w:rsidRPr="004C12C9" w:rsidRDefault="00377524" w:rsidP="00972CF9">
      <w:r w:rsidRPr="004C12C9">
        <w:t>Default values</w:t>
      </w:r>
      <w:r w:rsidR="00780B9E" w:rsidRPr="004C12C9">
        <w:t xml:space="preserve"> by product type</w:t>
      </w:r>
      <w:r w:rsidRPr="004C12C9">
        <w:t>, as summarized in</w:t>
      </w:r>
      <w:r w:rsidR="00D17BDA">
        <w:t xml:space="preserve"> </w:t>
      </w:r>
      <w:r w:rsidR="00D17BDA">
        <w:fldChar w:fldCharType="begin"/>
      </w:r>
      <w:r w:rsidR="00D17BDA">
        <w:instrText xml:space="preserve"> REF _Ref219841970 \h </w:instrText>
      </w:r>
      <w:r w:rsidR="00D17BDA">
        <w:fldChar w:fldCharType="separate"/>
      </w:r>
      <w:r w:rsidR="00D17BDA" w:rsidRPr="004C12C9">
        <w:t xml:space="preserve">Table </w:t>
      </w:r>
      <w:r w:rsidR="00D17BDA">
        <w:rPr>
          <w:noProof/>
        </w:rPr>
        <w:t>3</w:t>
      </w:r>
      <w:r w:rsidR="00D17BDA">
        <w:noBreakHyphen/>
      </w:r>
      <w:r w:rsidR="00D17BDA">
        <w:rPr>
          <w:noProof/>
        </w:rPr>
        <w:t>27</w:t>
      </w:r>
      <w:r w:rsidR="00D17BDA">
        <w:fldChar w:fldCharType="end"/>
      </w:r>
      <w:r w:rsidRPr="004C12C9">
        <w:t>, were obtained from EPA’s State Inventory Tool.</w:t>
      </w:r>
      <w:r w:rsidRPr="004C12C9">
        <w:rPr>
          <w:rStyle w:val="FootnoteReference"/>
        </w:rPr>
        <w:footnoteReference w:id="117"/>
      </w:r>
    </w:p>
    <w:p w14:paraId="20190C67" w14:textId="7D399B3B" w:rsidR="00377524" w:rsidRPr="004C12C9" w:rsidRDefault="00377524" w:rsidP="00972CF9">
      <w:pPr>
        <w:pStyle w:val="Caption"/>
      </w:pPr>
      <w:bookmarkStart w:id="216" w:name="_Ref219841970"/>
      <w:bookmarkStart w:id="217" w:name="_Ref187336008"/>
      <w:bookmarkStart w:id="218" w:name="_Ref195608021"/>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27</w:t>
      </w:r>
      <w:r w:rsidR="00F72B41">
        <w:fldChar w:fldCharType="end"/>
      </w:r>
      <w:bookmarkEnd w:id="216"/>
      <w:bookmarkEnd w:id="217"/>
      <w:bookmarkEnd w:id="218"/>
      <w:r w:rsidRPr="004C12C9">
        <w:t>: Industrial Wastewater Treatment Default Values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1933"/>
        <w:gridCol w:w="1486"/>
        <w:gridCol w:w="2383"/>
        <w:gridCol w:w="1933"/>
      </w:tblGrid>
      <w:tr w:rsidR="00F2389A" w:rsidRPr="004C12C9" w14:paraId="10974AAD" w14:textId="726E3D30" w:rsidTr="00A31902">
        <w:trPr>
          <w:trHeight w:val="367"/>
          <w:tblHeader/>
        </w:trPr>
        <w:tc>
          <w:tcPr>
            <w:tcW w:w="1159" w:type="pct"/>
            <w:shd w:val="clear" w:color="auto" w:fill="D9D9D9" w:themeFill="background1" w:themeFillShade="D9"/>
            <w:vAlign w:val="center"/>
          </w:tcPr>
          <w:p w14:paraId="41ABBA1E" w14:textId="69A68452" w:rsidR="00F2389A" w:rsidRPr="004C12C9" w:rsidRDefault="00F2389A" w:rsidP="00142C57">
            <w:pPr>
              <w:pStyle w:val="ICFTableHeading"/>
              <w:keepNext/>
            </w:pPr>
            <w:r w:rsidRPr="004C12C9">
              <w:t>Product</w:t>
            </w:r>
          </w:p>
        </w:tc>
        <w:tc>
          <w:tcPr>
            <w:tcW w:w="960" w:type="pct"/>
            <w:shd w:val="clear" w:color="auto" w:fill="D9D9D9" w:themeFill="background1" w:themeFillShade="D9"/>
            <w:vAlign w:val="center"/>
          </w:tcPr>
          <w:p w14:paraId="740FE916" w14:textId="640A1858" w:rsidR="00F2389A" w:rsidRPr="004C12C9" w:rsidRDefault="00F2389A" w:rsidP="00142C57">
            <w:pPr>
              <w:pStyle w:val="ICFTableHeading"/>
              <w:keepNext/>
              <w:tabs>
                <w:tab w:val="left" w:pos="183"/>
              </w:tabs>
            </w:pPr>
            <w:r w:rsidRPr="004C12C9">
              <w:t>Wastewater outflow (m</w:t>
            </w:r>
            <w:r w:rsidRPr="004C12C9">
              <w:rPr>
                <w:vertAlign w:val="superscript"/>
              </w:rPr>
              <w:t>3</w:t>
            </w:r>
            <w:r w:rsidRPr="004C12C9">
              <w:t>/MT)</w:t>
            </w:r>
          </w:p>
        </w:tc>
        <w:tc>
          <w:tcPr>
            <w:tcW w:w="738" w:type="pct"/>
            <w:shd w:val="clear" w:color="auto" w:fill="D9D9D9" w:themeFill="background1" w:themeFillShade="D9"/>
            <w:vAlign w:val="center"/>
          </w:tcPr>
          <w:p w14:paraId="216DE92E" w14:textId="2A9E226C" w:rsidR="00F2389A" w:rsidRPr="004C12C9" w:rsidRDefault="00F2389A" w:rsidP="00142C57">
            <w:pPr>
              <w:pStyle w:val="ICFTableHeading"/>
              <w:keepNext/>
              <w:tabs>
                <w:tab w:val="left" w:pos="183"/>
              </w:tabs>
            </w:pPr>
            <w:r w:rsidRPr="004C12C9">
              <w:t>COD/BOD (g/L)</w:t>
            </w:r>
          </w:p>
        </w:tc>
        <w:tc>
          <w:tcPr>
            <w:tcW w:w="1183" w:type="pct"/>
            <w:shd w:val="clear" w:color="auto" w:fill="D9D9D9" w:themeFill="background1" w:themeFillShade="D9"/>
            <w:vAlign w:val="center"/>
          </w:tcPr>
          <w:p w14:paraId="444EF60D" w14:textId="3B6455FD" w:rsidR="00F2389A" w:rsidRPr="004C12C9" w:rsidRDefault="00F2389A" w:rsidP="00142C57">
            <w:pPr>
              <w:pStyle w:val="ICFTableHeading"/>
              <w:keepNext/>
              <w:tabs>
                <w:tab w:val="left" w:pos="183"/>
              </w:tabs>
            </w:pPr>
            <w:r w:rsidRPr="004C12C9">
              <w:t>Fraction of BOD/COD anaerobically digested</w:t>
            </w:r>
          </w:p>
        </w:tc>
        <w:tc>
          <w:tcPr>
            <w:tcW w:w="960" w:type="pct"/>
            <w:shd w:val="clear" w:color="auto" w:fill="D9D9D9" w:themeFill="background1" w:themeFillShade="D9"/>
            <w:vAlign w:val="center"/>
          </w:tcPr>
          <w:p w14:paraId="0A2E4510" w14:textId="074A91CF" w:rsidR="00F2389A" w:rsidRPr="004C12C9" w:rsidRDefault="00F2389A" w:rsidP="00142C57">
            <w:pPr>
              <w:pStyle w:val="ICFTableHeading"/>
              <w:keepNext/>
              <w:tabs>
                <w:tab w:val="left" w:pos="183"/>
              </w:tabs>
            </w:pPr>
            <w:r w:rsidRPr="004C12C9">
              <w:t>Emission factor (g CH</w:t>
            </w:r>
            <w:r w:rsidRPr="004C12C9">
              <w:rPr>
                <w:vertAlign w:val="subscript"/>
              </w:rPr>
              <w:t>4</w:t>
            </w:r>
            <w:r w:rsidRPr="004C12C9">
              <w:t>/g BOD/COD)</w:t>
            </w:r>
          </w:p>
        </w:tc>
      </w:tr>
      <w:tr w:rsidR="00F2389A" w:rsidRPr="004C12C9" w14:paraId="6C83014D" w14:textId="5D7D504C" w:rsidTr="000B411E">
        <w:trPr>
          <w:trHeight w:val="20"/>
        </w:trPr>
        <w:tc>
          <w:tcPr>
            <w:tcW w:w="1159" w:type="pct"/>
          </w:tcPr>
          <w:p w14:paraId="171894D5" w14:textId="5D260EE5" w:rsidR="00F2389A" w:rsidRPr="004C12C9" w:rsidRDefault="00F2389A" w:rsidP="00F2389A">
            <w:pPr>
              <w:pStyle w:val="ICFTabletext"/>
            </w:pPr>
            <w:r w:rsidRPr="004C12C9">
              <w:t>Fruits and vegetables</w:t>
            </w:r>
          </w:p>
        </w:tc>
        <w:tc>
          <w:tcPr>
            <w:tcW w:w="960" w:type="pct"/>
          </w:tcPr>
          <w:p w14:paraId="25127BE2" w14:textId="181648A2" w:rsidR="00F2389A" w:rsidRPr="004C12C9" w:rsidRDefault="00F2389A" w:rsidP="00F2389A">
            <w:pPr>
              <w:pStyle w:val="ICFTabletext"/>
              <w:jc w:val="center"/>
            </w:pPr>
            <w:r w:rsidRPr="004C12C9">
              <w:t>9.11</w:t>
            </w:r>
          </w:p>
        </w:tc>
        <w:tc>
          <w:tcPr>
            <w:tcW w:w="738" w:type="pct"/>
          </w:tcPr>
          <w:p w14:paraId="51275209" w14:textId="3B799F76" w:rsidR="00F2389A" w:rsidRPr="004C12C9" w:rsidRDefault="00F2389A" w:rsidP="00F2389A">
            <w:pPr>
              <w:pStyle w:val="ICFTabletext"/>
              <w:jc w:val="center"/>
            </w:pPr>
            <w:r w:rsidRPr="004C12C9">
              <w:t>5</w:t>
            </w:r>
            <w:r w:rsidR="004B2F2A" w:rsidRPr="004C12C9">
              <w:t>.0</w:t>
            </w:r>
          </w:p>
        </w:tc>
        <w:tc>
          <w:tcPr>
            <w:tcW w:w="1183" w:type="pct"/>
          </w:tcPr>
          <w:p w14:paraId="0DF1078D" w14:textId="4555E3AF" w:rsidR="00F2389A" w:rsidRPr="004C12C9" w:rsidRDefault="00F2389A" w:rsidP="00F2389A">
            <w:pPr>
              <w:pStyle w:val="ICFTabletext"/>
              <w:jc w:val="center"/>
            </w:pPr>
            <w:r w:rsidRPr="004C12C9">
              <w:t>0</w:t>
            </w:r>
            <w:r w:rsidR="004B2F2A" w:rsidRPr="004C12C9">
              <w:t>.</w:t>
            </w:r>
            <w:r w:rsidRPr="004C12C9">
              <w:t>0%</w:t>
            </w:r>
          </w:p>
        </w:tc>
        <w:tc>
          <w:tcPr>
            <w:tcW w:w="960" w:type="pct"/>
          </w:tcPr>
          <w:p w14:paraId="2B7E5086" w14:textId="7405C96A" w:rsidR="00F2389A" w:rsidRPr="004C12C9" w:rsidRDefault="00F2389A" w:rsidP="00F2389A">
            <w:pPr>
              <w:pStyle w:val="ICFTabletext"/>
              <w:jc w:val="center"/>
            </w:pPr>
            <w:r w:rsidRPr="004C12C9">
              <w:t>0.25</w:t>
            </w:r>
          </w:p>
        </w:tc>
      </w:tr>
      <w:tr w:rsidR="00F2389A" w:rsidRPr="004C12C9" w14:paraId="0C5A06E0" w14:textId="1D286F2A" w:rsidTr="000B411E">
        <w:trPr>
          <w:trHeight w:val="20"/>
        </w:trPr>
        <w:tc>
          <w:tcPr>
            <w:tcW w:w="1159" w:type="pct"/>
          </w:tcPr>
          <w:p w14:paraId="78D5E599" w14:textId="1D0CCDCA" w:rsidR="00F2389A" w:rsidRPr="004C12C9" w:rsidRDefault="00F2389A" w:rsidP="00F2389A">
            <w:pPr>
              <w:pStyle w:val="ICFTabletext"/>
            </w:pPr>
            <w:r w:rsidRPr="004C12C9">
              <w:t>Red meat</w:t>
            </w:r>
          </w:p>
        </w:tc>
        <w:tc>
          <w:tcPr>
            <w:tcW w:w="960" w:type="pct"/>
          </w:tcPr>
          <w:p w14:paraId="40D61DE3" w14:textId="7396231E" w:rsidR="00F2389A" w:rsidRPr="004C12C9" w:rsidRDefault="00F2389A" w:rsidP="00F2389A">
            <w:pPr>
              <w:pStyle w:val="ICFTabletext"/>
              <w:jc w:val="center"/>
            </w:pPr>
            <w:r w:rsidRPr="004C12C9">
              <w:t>5.3</w:t>
            </w:r>
            <w:r w:rsidR="00043588" w:rsidRPr="004C12C9">
              <w:t>0</w:t>
            </w:r>
          </w:p>
        </w:tc>
        <w:tc>
          <w:tcPr>
            <w:tcW w:w="738" w:type="pct"/>
          </w:tcPr>
          <w:p w14:paraId="71455851" w14:textId="0FA99A7A" w:rsidR="00F2389A" w:rsidRPr="004C12C9" w:rsidRDefault="00F2389A" w:rsidP="00F2389A">
            <w:pPr>
              <w:pStyle w:val="ICFTabletext"/>
              <w:jc w:val="center"/>
            </w:pPr>
            <w:r w:rsidRPr="004C12C9">
              <w:t>4.1</w:t>
            </w:r>
          </w:p>
        </w:tc>
        <w:tc>
          <w:tcPr>
            <w:tcW w:w="1183" w:type="pct"/>
          </w:tcPr>
          <w:p w14:paraId="2D545940" w14:textId="7B4F145E" w:rsidR="00F2389A" w:rsidRPr="004C12C9" w:rsidRDefault="00F2389A" w:rsidP="00F2389A">
            <w:pPr>
              <w:pStyle w:val="ICFTabletext"/>
              <w:jc w:val="center"/>
              <w:rPr>
                <w:rFonts w:eastAsia="Arial"/>
              </w:rPr>
            </w:pPr>
            <w:r w:rsidRPr="004C12C9">
              <w:t>33</w:t>
            </w:r>
            <w:r w:rsidR="004B2F2A" w:rsidRPr="004C12C9">
              <w:t>.0</w:t>
            </w:r>
            <w:r w:rsidRPr="004C12C9">
              <w:t>%</w:t>
            </w:r>
          </w:p>
        </w:tc>
        <w:tc>
          <w:tcPr>
            <w:tcW w:w="960" w:type="pct"/>
          </w:tcPr>
          <w:p w14:paraId="333D4CCA" w14:textId="78C0EED0" w:rsidR="00F2389A" w:rsidRPr="004C12C9" w:rsidRDefault="00F2389A" w:rsidP="00F2389A">
            <w:pPr>
              <w:pStyle w:val="ICFTabletext"/>
              <w:jc w:val="center"/>
              <w:rPr>
                <w:rFonts w:eastAsia="Arial"/>
              </w:rPr>
            </w:pPr>
            <w:r w:rsidRPr="004C12C9">
              <w:t>0.25</w:t>
            </w:r>
          </w:p>
        </w:tc>
      </w:tr>
      <w:tr w:rsidR="00F2389A" w:rsidRPr="004C12C9" w14:paraId="2E37FB27" w14:textId="128206E4" w:rsidTr="000B411E">
        <w:trPr>
          <w:trHeight w:val="20"/>
        </w:trPr>
        <w:tc>
          <w:tcPr>
            <w:tcW w:w="1159" w:type="pct"/>
          </w:tcPr>
          <w:p w14:paraId="74C68521" w14:textId="1C968A64" w:rsidR="00F2389A" w:rsidRPr="004C12C9" w:rsidRDefault="00F2389A" w:rsidP="00F2389A">
            <w:pPr>
              <w:pStyle w:val="ICFTabletext"/>
            </w:pPr>
            <w:r w:rsidRPr="004C12C9">
              <w:t>Poultry</w:t>
            </w:r>
          </w:p>
        </w:tc>
        <w:tc>
          <w:tcPr>
            <w:tcW w:w="960" w:type="pct"/>
          </w:tcPr>
          <w:p w14:paraId="7EEE474F" w14:textId="61CE2251" w:rsidR="00F2389A" w:rsidRPr="004C12C9" w:rsidRDefault="00F2389A" w:rsidP="00F2389A">
            <w:pPr>
              <w:pStyle w:val="ICFTabletext"/>
              <w:jc w:val="center"/>
            </w:pPr>
            <w:r w:rsidRPr="004C12C9">
              <w:t>12.5</w:t>
            </w:r>
            <w:r w:rsidR="00043588" w:rsidRPr="004C12C9">
              <w:t>0</w:t>
            </w:r>
          </w:p>
        </w:tc>
        <w:tc>
          <w:tcPr>
            <w:tcW w:w="738" w:type="pct"/>
          </w:tcPr>
          <w:p w14:paraId="16329983" w14:textId="1CF515C0" w:rsidR="00F2389A" w:rsidRPr="004C12C9" w:rsidRDefault="00F2389A" w:rsidP="00F2389A">
            <w:pPr>
              <w:pStyle w:val="ICFTabletext"/>
              <w:jc w:val="center"/>
              <w:rPr>
                <w:rFonts w:eastAsia="Arial"/>
              </w:rPr>
            </w:pPr>
            <w:r w:rsidRPr="004C12C9">
              <w:t>4.1</w:t>
            </w:r>
          </w:p>
        </w:tc>
        <w:tc>
          <w:tcPr>
            <w:tcW w:w="1183" w:type="pct"/>
          </w:tcPr>
          <w:p w14:paraId="471B7B4D" w14:textId="15192296" w:rsidR="00F2389A" w:rsidRPr="004C12C9" w:rsidRDefault="00F2389A" w:rsidP="00F2389A">
            <w:pPr>
              <w:pStyle w:val="ICFTabletext"/>
              <w:jc w:val="center"/>
              <w:rPr>
                <w:rFonts w:eastAsia="Arial"/>
              </w:rPr>
            </w:pPr>
            <w:r w:rsidRPr="004C12C9">
              <w:t>25</w:t>
            </w:r>
            <w:r w:rsidR="004B2F2A" w:rsidRPr="004C12C9">
              <w:t>.0</w:t>
            </w:r>
            <w:r w:rsidRPr="004C12C9">
              <w:t>%</w:t>
            </w:r>
          </w:p>
        </w:tc>
        <w:tc>
          <w:tcPr>
            <w:tcW w:w="960" w:type="pct"/>
          </w:tcPr>
          <w:p w14:paraId="214F26D5" w14:textId="7C2A10C9" w:rsidR="00F2389A" w:rsidRPr="004C12C9" w:rsidRDefault="00F2389A" w:rsidP="00F2389A">
            <w:pPr>
              <w:pStyle w:val="ICFTabletext"/>
              <w:jc w:val="center"/>
              <w:rPr>
                <w:rFonts w:eastAsia="Arial"/>
              </w:rPr>
            </w:pPr>
            <w:r w:rsidRPr="004C12C9">
              <w:t>0.25</w:t>
            </w:r>
          </w:p>
        </w:tc>
      </w:tr>
      <w:tr w:rsidR="00F2389A" w:rsidRPr="004C12C9" w14:paraId="25070DB6" w14:textId="1A2650FB" w:rsidTr="000B411E">
        <w:trPr>
          <w:trHeight w:val="20"/>
        </w:trPr>
        <w:tc>
          <w:tcPr>
            <w:tcW w:w="1159" w:type="pct"/>
          </w:tcPr>
          <w:p w14:paraId="34AAC25D" w14:textId="74D2F404" w:rsidR="00F2389A" w:rsidRPr="004C12C9" w:rsidRDefault="00F2389A" w:rsidP="00F2389A">
            <w:pPr>
              <w:pStyle w:val="ICFTabletext"/>
            </w:pPr>
            <w:r w:rsidRPr="004C12C9">
              <w:lastRenderedPageBreak/>
              <w:t>Pulp and paper</w:t>
            </w:r>
          </w:p>
        </w:tc>
        <w:tc>
          <w:tcPr>
            <w:tcW w:w="960" w:type="pct"/>
          </w:tcPr>
          <w:p w14:paraId="15EF304C" w14:textId="307A4E78" w:rsidR="00F2389A" w:rsidRPr="004C12C9" w:rsidRDefault="00F2389A" w:rsidP="00F2389A">
            <w:pPr>
              <w:pStyle w:val="ICFTabletext"/>
              <w:jc w:val="center"/>
            </w:pPr>
            <w:r w:rsidRPr="004C12C9">
              <w:t>39</w:t>
            </w:r>
            <w:r w:rsidR="00043588" w:rsidRPr="004C12C9">
              <w:t>.00</w:t>
            </w:r>
          </w:p>
        </w:tc>
        <w:tc>
          <w:tcPr>
            <w:tcW w:w="738" w:type="pct"/>
          </w:tcPr>
          <w:p w14:paraId="141C842A" w14:textId="75EE7AA8" w:rsidR="00F2389A" w:rsidRPr="004C12C9" w:rsidRDefault="00F2389A" w:rsidP="00F2389A">
            <w:pPr>
              <w:pStyle w:val="ICFTabletext"/>
              <w:jc w:val="center"/>
            </w:pPr>
            <w:r w:rsidRPr="004C12C9">
              <w:t>0.3</w:t>
            </w:r>
          </w:p>
        </w:tc>
        <w:tc>
          <w:tcPr>
            <w:tcW w:w="1183" w:type="pct"/>
          </w:tcPr>
          <w:p w14:paraId="2DC92522" w14:textId="58E4799D" w:rsidR="00F2389A" w:rsidRPr="004C12C9" w:rsidRDefault="00F2389A" w:rsidP="00F2389A">
            <w:pPr>
              <w:pStyle w:val="ICFTabletext"/>
              <w:jc w:val="center"/>
            </w:pPr>
            <w:r w:rsidRPr="004C12C9">
              <w:t>5.2%</w:t>
            </w:r>
          </w:p>
        </w:tc>
        <w:tc>
          <w:tcPr>
            <w:tcW w:w="960" w:type="pct"/>
          </w:tcPr>
          <w:p w14:paraId="4AFD6CDF" w14:textId="43E73EE5" w:rsidR="00F2389A" w:rsidRPr="004C12C9" w:rsidRDefault="00F2389A" w:rsidP="00F2389A">
            <w:pPr>
              <w:pStyle w:val="ICFTabletext"/>
              <w:jc w:val="center"/>
            </w:pPr>
            <w:r w:rsidRPr="004C12C9">
              <w:t>0.6</w:t>
            </w:r>
            <w:r w:rsidR="004B2F2A" w:rsidRPr="004C12C9">
              <w:t>0</w:t>
            </w:r>
          </w:p>
        </w:tc>
      </w:tr>
    </w:tbl>
    <w:p w14:paraId="760251F3" w14:textId="77777777" w:rsidR="00377524" w:rsidRPr="004C12C9" w:rsidRDefault="00377524" w:rsidP="00E31E37">
      <w:pPr>
        <w:pStyle w:val="Heading4"/>
      </w:pPr>
      <w:r w:rsidRPr="004C12C9">
        <w:t>Limitations</w:t>
      </w:r>
    </w:p>
    <w:p w14:paraId="30011284" w14:textId="43C67761" w:rsidR="00CE7BE7" w:rsidRPr="004C12C9" w:rsidRDefault="00CE7BE7" w:rsidP="00CE7BE7">
      <w:r w:rsidRPr="004C12C9">
        <w:t xml:space="preserve">Key limitations of the methodology used to quantify emissions from the treatment of </w:t>
      </w:r>
      <w:r w:rsidR="00461162" w:rsidRPr="004C12C9">
        <w:t xml:space="preserve">industrial </w:t>
      </w:r>
      <w:r w:rsidRPr="004C12C9">
        <w:t>wastewater on-site include:</w:t>
      </w:r>
    </w:p>
    <w:p w14:paraId="6DA41342" w14:textId="284B72C4" w:rsidR="00DC1254" w:rsidRPr="004C12C9" w:rsidRDefault="00DC1254" w:rsidP="003B5F7F">
      <w:pPr>
        <w:pStyle w:val="ListParagraph"/>
        <w:numPr>
          <w:ilvl w:val="0"/>
          <w:numId w:val="22"/>
        </w:numPr>
      </w:pPr>
      <w:r w:rsidRPr="004C12C9">
        <w:t xml:space="preserve">The </w:t>
      </w:r>
      <w:r w:rsidR="008107B2" w:rsidRPr="004C12C9">
        <w:t xml:space="preserve">calculator </w:t>
      </w:r>
      <w:r w:rsidRPr="004C12C9">
        <w:t>only includes</w:t>
      </w:r>
      <w:r w:rsidR="007E2A36" w:rsidRPr="004C12C9">
        <w:t xml:space="preserve"> default assumptions for select industries. </w:t>
      </w:r>
      <w:r w:rsidR="009D38CA" w:rsidRPr="004C12C9">
        <w:t xml:space="preserve">Users are encouraged to independently estimate emissions from industrial wastewater treatment if their industry is not covered by the </w:t>
      </w:r>
      <w:r w:rsidR="00C41111" w:rsidRPr="004C12C9">
        <w:t>calculator</w:t>
      </w:r>
      <w:r w:rsidR="009D38CA" w:rsidRPr="004C12C9">
        <w:t>.</w:t>
      </w:r>
    </w:p>
    <w:p w14:paraId="237B7379" w14:textId="717E8ECF" w:rsidR="00FC5F6E" w:rsidRPr="004C12C9" w:rsidRDefault="00127727" w:rsidP="003B5F7F">
      <w:pPr>
        <w:pStyle w:val="ListParagraph"/>
        <w:numPr>
          <w:ilvl w:val="0"/>
          <w:numId w:val="22"/>
        </w:numPr>
      </w:pPr>
      <w:r w:rsidRPr="004C12C9">
        <w:t xml:space="preserve">The emission estimates are calculated based on a variety of assumptions about the quantity of </w:t>
      </w:r>
      <w:r w:rsidR="00B33604" w:rsidRPr="004C12C9">
        <w:t>waste</w:t>
      </w:r>
      <w:r w:rsidRPr="004C12C9">
        <w:t>water treated, BOD</w:t>
      </w:r>
      <w:r w:rsidR="00411665" w:rsidRPr="004C12C9">
        <w:t xml:space="preserve"> or COD</w:t>
      </w:r>
      <w:r w:rsidRPr="004C12C9">
        <w:t xml:space="preserve"> production, and </w:t>
      </w:r>
      <w:r w:rsidR="00B91638" w:rsidRPr="004C12C9">
        <w:t>emission factors</w:t>
      </w:r>
      <w:r w:rsidRPr="004C12C9">
        <w:t xml:space="preserve">, which are not editable in </w:t>
      </w:r>
      <w:r w:rsidR="008107B2" w:rsidRPr="004C12C9">
        <w:t>calculator</w:t>
      </w:r>
      <w:r w:rsidRPr="004C12C9">
        <w:t xml:space="preserve">. Actual emissions will vary based on the specific characteristics of the </w:t>
      </w:r>
      <w:r w:rsidR="00C65A20" w:rsidRPr="004C12C9">
        <w:t xml:space="preserve">wastewater and </w:t>
      </w:r>
      <w:r w:rsidRPr="004C12C9">
        <w:t xml:space="preserve">treatment </w:t>
      </w:r>
      <w:r w:rsidR="00DC1254" w:rsidRPr="004C12C9">
        <w:t>system</w:t>
      </w:r>
      <w:r w:rsidRPr="004C12C9">
        <w:t>.</w:t>
      </w:r>
      <w:r w:rsidR="00FC5F6E" w:rsidRPr="004C12C9">
        <w:tab/>
      </w:r>
    </w:p>
    <w:p w14:paraId="4144B9BA" w14:textId="77777777" w:rsidR="00220F8A" w:rsidRPr="004C12C9" w:rsidRDefault="00FC5F6E" w:rsidP="00425E9C">
      <w:pPr>
        <w:pStyle w:val="Heading3"/>
        <w:ind w:left="1210"/>
      </w:pPr>
      <w:bookmarkStart w:id="219" w:name="_Toc219887782"/>
      <w:r w:rsidRPr="004C12C9">
        <w:t>Treatment of Waste Off-Site</w:t>
      </w:r>
      <w:bookmarkEnd w:id="219"/>
      <w:r w:rsidRPr="004C12C9">
        <w:tab/>
      </w:r>
    </w:p>
    <w:p w14:paraId="045CC6F5" w14:textId="14492E9A" w:rsidR="00395DB1" w:rsidRPr="004C12C9" w:rsidRDefault="001E1435" w:rsidP="00972CF9">
      <w:r w:rsidRPr="004C12C9">
        <w:t xml:space="preserve">Emissions result from the transportation and treatment of waste that is generated </w:t>
      </w:r>
      <w:r w:rsidR="00D538B5" w:rsidRPr="004C12C9">
        <w:t xml:space="preserve">during </w:t>
      </w:r>
      <w:r w:rsidRPr="004C12C9">
        <w:t xml:space="preserve">the operational phase of a project and treated at a facility off-site. Waste generated during </w:t>
      </w:r>
      <w:r w:rsidR="004867AE" w:rsidRPr="004C12C9">
        <w:t xml:space="preserve">project </w:t>
      </w:r>
      <w:r w:rsidRPr="004C12C9">
        <w:t xml:space="preserve">operation may be landfilled, combusted, </w:t>
      </w:r>
      <w:r w:rsidR="004867AE" w:rsidRPr="004C12C9">
        <w:t>composted</w:t>
      </w:r>
      <w:r w:rsidR="001C3DFC" w:rsidRPr="004C12C9">
        <w:t xml:space="preserve">, </w:t>
      </w:r>
      <w:r w:rsidRPr="004C12C9">
        <w:t>or recycled.</w:t>
      </w:r>
      <w:r w:rsidR="00395DB1" w:rsidRPr="004C12C9">
        <w:rPr>
          <w:rFonts w:eastAsia="MS PGothic"/>
        </w:rPr>
        <w:t xml:space="preserve"> </w:t>
      </w:r>
      <w:r w:rsidR="003131C0" w:rsidRPr="004C12C9">
        <w:t xml:space="preserve">The </w:t>
      </w:r>
      <w:r w:rsidR="008107B2" w:rsidRPr="004C12C9">
        <w:t xml:space="preserve">calculator </w:t>
      </w:r>
      <w:r w:rsidR="003131C0" w:rsidRPr="004C12C9">
        <w:t xml:space="preserve">quantifies emissions </w:t>
      </w:r>
      <w:r w:rsidR="003131C0" w:rsidRPr="004C12C9">
        <w:rPr>
          <w:rFonts w:eastAsia="MS PGothic"/>
        </w:rPr>
        <w:t xml:space="preserve">from </w:t>
      </w:r>
      <w:r w:rsidR="00337D77" w:rsidRPr="004C12C9">
        <w:rPr>
          <w:rFonts w:eastAsia="MS PGothic"/>
        </w:rPr>
        <w:t>the treatment of waste off-site</w:t>
      </w:r>
      <w:r w:rsidR="003131C0" w:rsidRPr="004C12C9">
        <w:rPr>
          <w:rFonts w:eastAsia="MS PGothic"/>
        </w:rPr>
        <w:t xml:space="preserve"> </w:t>
      </w:r>
      <w:r w:rsidR="003131C0" w:rsidRPr="004C12C9">
        <w:t xml:space="preserve">based on the estimated quantity of waste </w:t>
      </w:r>
      <w:r w:rsidR="00337D77" w:rsidRPr="004C12C9">
        <w:t xml:space="preserve">generated </w:t>
      </w:r>
      <w:r w:rsidR="006F7B1A" w:rsidRPr="004C12C9">
        <w:t xml:space="preserve">and treatment-specific emission factors, as shown in </w:t>
      </w:r>
      <w:r w:rsidR="00162E51">
        <w:fldChar w:fldCharType="begin"/>
      </w:r>
      <w:r w:rsidR="00162E51">
        <w:instrText xml:space="preserve"> REF _Ref196137333 \h </w:instrText>
      </w:r>
      <w:r w:rsidR="00162E51">
        <w:fldChar w:fldCharType="separate"/>
      </w:r>
      <w:r w:rsidR="00162E51" w:rsidRPr="004C12C9">
        <w:t xml:space="preserve">Equation </w:t>
      </w:r>
      <w:r w:rsidR="00162E51">
        <w:rPr>
          <w:noProof/>
        </w:rPr>
        <w:t>31</w:t>
      </w:r>
      <w:r w:rsidR="00162E51">
        <w:fldChar w:fldCharType="end"/>
      </w:r>
      <w:r w:rsidR="00162E51">
        <w:t xml:space="preserve"> </w:t>
      </w:r>
      <w:r w:rsidR="00262AF8" w:rsidRPr="004C12C9">
        <w:t>and</w:t>
      </w:r>
      <w:r w:rsidR="00162E51">
        <w:t xml:space="preserve"> </w:t>
      </w:r>
      <w:r w:rsidR="00162E51">
        <w:fldChar w:fldCharType="begin"/>
      </w:r>
      <w:r w:rsidR="00162E51">
        <w:instrText xml:space="preserve"> REF _Ref196137335 \h </w:instrText>
      </w:r>
      <w:r w:rsidR="00162E51">
        <w:fldChar w:fldCharType="separate"/>
      </w:r>
      <w:r w:rsidR="00162E51" w:rsidRPr="004C12C9">
        <w:t xml:space="preserve">Equation </w:t>
      </w:r>
      <w:r w:rsidR="00162E51">
        <w:rPr>
          <w:noProof/>
        </w:rPr>
        <w:t>32</w:t>
      </w:r>
      <w:r w:rsidR="00162E51">
        <w:fldChar w:fldCharType="end"/>
      </w:r>
      <w:r w:rsidR="00262AF8" w:rsidRPr="004C12C9">
        <w:t>.</w:t>
      </w:r>
    </w:p>
    <w:p w14:paraId="3E5D6DB2" w14:textId="26050FB6" w:rsidR="005B74FD" w:rsidRPr="004C12C9" w:rsidRDefault="005B74FD" w:rsidP="005B74FD">
      <w:pPr>
        <w:pStyle w:val="Caption"/>
      </w:pPr>
      <w:bookmarkStart w:id="220" w:name="_Ref196137333"/>
      <w:r w:rsidRPr="004C12C9">
        <w:t xml:space="preserve">Equation </w:t>
      </w:r>
      <w:r w:rsidR="00127094">
        <w:fldChar w:fldCharType="begin"/>
      </w:r>
      <w:r w:rsidR="00127094">
        <w:instrText xml:space="preserve"> SEQ Equation \* ARABIC </w:instrText>
      </w:r>
      <w:r w:rsidR="00127094">
        <w:fldChar w:fldCharType="separate"/>
      </w:r>
      <w:r w:rsidR="00C47624">
        <w:rPr>
          <w:noProof/>
        </w:rPr>
        <w:t>31</w:t>
      </w:r>
      <w:r w:rsidR="00127094">
        <w:fldChar w:fldCharType="end"/>
      </w:r>
      <w:bookmarkEnd w:id="220"/>
      <w:r w:rsidRPr="004C12C9">
        <w:t xml:space="preserve">. Annual </w:t>
      </w:r>
      <w:r w:rsidR="00B07113" w:rsidRPr="004C12C9">
        <w:t>Wast</w:t>
      </w:r>
      <w:r w:rsidR="007120B2" w:rsidRPr="004C12C9">
        <w:t>e</w:t>
      </w:r>
      <w:r w:rsidR="00B07113" w:rsidRPr="004C12C9">
        <w:t xml:space="preserve"> </w:t>
      </w:r>
      <w:r w:rsidR="00CE1BEA" w:rsidRPr="004C12C9">
        <w:t>Generation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610"/>
        <w:gridCol w:w="7470"/>
      </w:tblGrid>
      <w:tr w:rsidR="00EA0B6C" w:rsidRPr="004C12C9" w14:paraId="04F8ED0E" w14:textId="77777777" w:rsidTr="00470191">
        <w:tc>
          <w:tcPr>
            <w:tcW w:w="10080" w:type="dxa"/>
            <w:gridSpan w:val="2"/>
            <w:shd w:val="clear" w:color="auto" w:fill="F2F2F2" w:themeFill="background1" w:themeFillShade="F2"/>
          </w:tcPr>
          <w:p w14:paraId="21BC5B63" w14:textId="1A2DBD6B" w:rsidR="00EA0B6C" w:rsidRPr="004C12C9" w:rsidRDefault="00000000" w:rsidP="00EA0B6C">
            <w:pPr>
              <w:pStyle w:val="Equation"/>
              <w:rPr>
                <w:noProof w:val="0"/>
              </w:rPr>
            </w:pPr>
            <m:oMathPara>
              <m:oMath>
                <m:sSub>
                  <m:sSubPr>
                    <m:ctrlPr>
                      <w:rPr>
                        <w:noProof w:val="0"/>
                      </w:rPr>
                    </m:ctrlPr>
                  </m:sSubPr>
                  <m:e>
                    <m:r>
                      <w:rPr>
                        <w:noProof w:val="0"/>
                      </w:rPr>
                      <m:t>waste generated</m:t>
                    </m:r>
                  </m:e>
                  <m:sub>
                    <m:r>
                      <w:rPr>
                        <w:noProof w:val="0"/>
                      </w:rPr>
                      <m:t>p</m:t>
                    </m:r>
                  </m:sub>
                </m:sSub>
                <m:r>
                  <w:rPr>
                    <w:noProof w:val="0"/>
                  </w:rPr>
                  <m:t xml:space="preserve">= </m:t>
                </m:r>
                <m:nary>
                  <m:naryPr>
                    <m:chr m:val="∑"/>
                    <m:limLoc m:val="undOvr"/>
                    <m:subHide m:val="1"/>
                    <m:supHide m:val="1"/>
                    <m:ctrlPr>
                      <w:rPr>
                        <w:noProof w:val="0"/>
                        <w:lang w:bidi="ar-SA"/>
                      </w:rPr>
                    </m:ctrlPr>
                  </m:naryPr>
                  <m:sub/>
                  <m:sup/>
                  <m:e>
                    <m:sSub>
                      <m:sSubPr>
                        <m:ctrlPr>
                          <w:rPr>
                            <w:noProof w:val="0"/>
                            <w:lang w:bidi="ar-SA"/>
                          </w:rPr>
                        </m:ctrlPr>
                      </m:sSubPr>
                      <m:e>
                        <m:r>
                          <w:rPr>
                            <w:noProof w:val="0"/>
                          </w:rPr>
                          <m:t>waste generation rate</m:t>
                        </m:r>
                      </m:e>
                      <m:sub>
                        <m:r>
                          <w:rPr>
                            <w:noProof w:val="0"/>
                          </w:rPr>
                          <m:t>s</m:t>
                        </m:r>
                      </m:sub>
                    </m:sSub>
                  </m:e>
                </m:nary>
                <m:r>
                  <w:rPr>
                    <w:noProof w:val="0"/>
                  </w:rPr>
                  <m:t xml:space="preserve"> ×unit multiplier× </m:t>
                </m:r>
                <m:sSub>
                  <m:sSubPr>
                    <m:ctrlPr>
                      <w:rPr>
                        <w:noProof w:val="0"/>
                        <w:lang w:bidi="ar-SA"/>
                      </w:rPr>
                    </m:ctrlPr>
                  </m:sSubPr>
                  <m:e>
                    <m:r>
                      <w:rPr>
                        <w:noProof w:val="0"/>
                      </w:rPr>
                      <m:t>waste disposal rate</m:t>
                    </m:r>
                  </m:e>
                  <m:sub>
                    <m:r>
                      <w:rPr>
                        <w:noProof w:val="0"/>
                      </w:rPr>
                      <m:t>p</m:t>
                    </m:r>
                  </m:sub>
                </m:sSub>
              </m:oMath>
            </m:oMathPara>
          </w:p>
          <w:p w14:paraId="1F8679BC" w14:textId="77777777" w:rsidR="00EA0B6C" w:rsidRPr="004C12C9" w:rsidRDefault="00EA0B6C" w:rsidP="00290038">
            <w:pPr>
              <w:rPr>
                <w:i/>
                <w:iCs/>
              </w:rPr>
            </w:pPr>
            <w:r w:rsidRPr="004C12C9">
              <w:rPr>
                <w:i/>
                <w:iCs/>
                <w:sz w:val="20"/>
                <w:szCs w:val="20"/>
              </w:rPr>
              <w:t xml:space="preserve">where, </w:t>
            </w:r>
          </w:p>
        </w:tc>
      </w:tr>
      <w:tr w:rsidR="00EA0B6C" w:rsidRPr="004C12C9" w14:paraId="1537280A" w14:textId="77777777" w:rsidTr="00950767">
        <w:trPr>
          <w:trHeight w:val="711"/>
        </w:trPr>
        <w:tc>
          <w:tcPr>
            <w:tcW w:w="2610" w:type="dxa"/>
            <w:shd w:val="clear" w:color="auto" w:fill="F2F2F2" w:themeFill="background1" w:themeFillShade="F2"/>
          </w:tcPr>
          <w:p w14:paraId="6013C2DA" w14:textId="67C87BE6" w:rsidR="00EA0B6C" w:rsidRPr="004C12C9" w:rsidRDefault="00EA0B6C" w:rsidP="00EA0B6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Waste generation rate</w:t>
            </w:r>
          </w:p>
          <w:p w14:paraId="2E856AA4" w14:textId="11461214" w:rsidR="00EA0B6C" w:rsidRPr="004C12C9" w:rsidRDefault="00EA0B6C" w:rsidP="00EA0B6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Unit multiplier</w:t>
            </w:r>
          </w:p>
          <w:p w14:paraId="3C6641E7" w14:textId="7915CC5C" w:rsidR="00EA0B6C" w:rsidRPr="004C12C9" w:rsidRDefault="00EA0B6C" w:rsidP="00EA0B6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Waste disposal rate</w:t>
            </w:r>
          </w:p>
        </w:tc>
        <w:tc>
          <w:tcPr>
            <w:tcW w:w="7470" w:type="dxa"/>
            <w:shd w:val="clear" w:color="auto" w:fill="F2F2F2" w:themeFill="background1" w:themeFillShade="F2"/>
          </w:tcPr>
          <w:p w14:paraId="40E4EAA4" w14:textId="77777777" w:rsidR="00EA0B6C" w:rsidRPr="004C12C9" w:rsidRDefault="00EA0B6C" w:rsidP="00EA0B6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waste material generated by building type, s (lbs/unit)</w:t>
            </w:r>
          </w:p>
          <w:p w14:paraId="00625DB0" w14:textId="77777777" w:rsidR="00EA0B6C" w:rsidRPr="004C12C9" w:rsidRDefault="00EA0B6C" w:rsidP="00EA0B6C">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Number of households/employees/visitors</w:t>
            </w:r>
          </w:p>
          <w:p w14:paraId="0B249364" w14:textId="57E23897" w:rsidR="00EA0B6C" w:rsidRPr="004C12C9" w:rsidRDefault="00EA0B6C" w:rsidP="00950767">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Percent of waste material treated by waste management method, p (%)</w:t>
            </w:r>
          </w:p>
        </w:tc>
      </w:tr>
    </w:tbl>
    <w:p w14:paraId="30AA27A1" w14:textId="2B387489" w:rsidR="00415688" w:rsidRPr="004C12C9" w:rsidRDefault="00415688" w:rsidP="007A1925">
      <w:pPr>
        <w:pStyle w:val="Caption"/>
        <w:keepNext w:val="0"/>
        <w:rPr>
          <w:rFonts w:eastAsia="Arial"/>
        </w:rPr>
      </w:pPr>
      <w:bookmarkStart w:id="221" w:name="_Ref196137335"/>
      <w:r w:rsidRPr="004C12C9">
        <w:t xml:space="preserve">Equation </w:t>
      </w:r>
      <w:r w:rsidR="00127094">
        <w:fldChar w:fldCharType="begin"/>
      </w:r>
      <w:r w:rsidR="00127094">
        <w:instrText xml:space="preserve"> SEQ Equation \* ARABIC </w:instrText>
      </w:r>
      <w:r w:rsidR="00127094">
        <w:fldChar w:fldCharType="separate"/>
      </w:r>
      <w:r w:rsidR="00C47624">
        <w:rPr>
          <w:noProof/>
        </w:rPr>
        <w:t>32</w:t>
      </w:r>
      <w:r w:rsidR="00127094">
        <w:fldChar w:fldCharType="end"/>
      </w:r>
      <w:bookmarkEnd w:id="221"/>
      <w:r w:rsidRPr="004C12C9">
        <w:t>. Annual GHG Emissions from the Treatment of Waste</w:t>
      </w:r>
      <w:r w:rsidR="005B74FD" w:rsidRPr="004C12C9">
        <w:t xml:space="preserve"> Off-Site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340"/>
        <w:gridCol w:w="7740"/>
      </w:tblGrid>
      <w:tr w:rsidR="001C3DFC" w:rsidRPr="004C12C9" w14:paraId="468A625A" w14:textId="77777777" w:rsidTr="0049111F">
        <w:tc>
          <w:tcPr>
            <w:tcW w:w="10080" w:type="dxa"/>
            <w:gridSpan w:val="2"/>
            <w:shd w:val="clear" w:color="auto" w:fill="F2F2F2" w:themeFill="background1" w:themeFillShade="F2"/>
          </w:tcPr>
          <w:p w14:paraId="5D2DE93A" w14:textId="483055D8" w:rsidR="001C3DFC" w:rsidRPr="004C12C9" w:rsidRDefault="000002AA" w:rsidP="007A1925">
            <w:pPr>
              <w:pStyle w:val="Equation"/>
              <w:rPr>
                <w:noProof w:val="0"/>
                <w:lang w:bidi="ar-SA"/>
              </w:rPr>
            </w:pPr>
            <m:oMathPara>
              <m:oMath>
                <m:r>
                  <w:rPr>
                    <w:noProof w:val="0"/>
                  </w:rPr>
                  <m:t xml:space="preserve">annual GHG emissions= </m:t>
                </m:r>
                <m:nary>
                  <m:naryPr>
                    <m:chr m:val="∑"/>
                    <m:limLoc m:val="undOvr"/>
                    <m:subHide m:val="1"/>
                    <m:supHide m:val="1"/>
                    <m:ctrlPr>
                      <w:rPr>
                        <w:noProof w:val="0"/>
                        <w:color w:val="auto"/>
                        <w:sz w:val="22"/>
                        <w:szCs w:val="22"/>
                        <w:lang w:bidi="ar-SA"/>
                      </w:rPr>
                    </m:ctrlPr>
                  </m:naryPr>
                  <m:sub/>
                  <m:sup/>
                  <m:e>
                    <m:sSub>
                      <m:sSubPr>
                        <m:ctrlPr>
                          <w:rPr>
                            <w:noProof w:val="0"/>
                            <w:color w:val="auto"/>
                            <w:sz w:val="22"/>
                            <w:szCs w:val="22"/>
                            <w:lang w:bidi="ar-SA"/>
                          </w:rPr>
                        </m:ctrlPr>
                      </m:sSubPr>
                      <m:e>
                        <m:r>
                          <w:rPr>
                            <w:noProof w:val="0"/>
                          </w:rPr>
                          <m:t>waste generated</m:t>
                        </m:r>
                      </m:e>
                      <m:sub>
                        <m:r>
                          <w:rPr>
                            <w:noProof w:val="0"/>
                          </w:rPr>
                          <m:t>p</m:t>
                        </m:r>
                      </m:sub>
                    </m:sSub>
                  </m:e>
                </m:nary>
                <m:r>
                  <w:rPr>
                    <w:noProof w:val="0"/>
                  </w:rPr>
                  <m:t xml:space="preserve"> × </m:t>
                </m:r>
                <m:sSub>
                  <m:sSubPr>
                    <m:ctrlPr>
                      <w:rPr>
                        <w:noProof w:val="0"/>
                      </w:rPr>
                    </m:ctrlPr>
                  </m:sSubPr>
                  <m:e>
                    <m:r>
                      <w:rPr>
                        <w:noProof w:val="0"/>
                      </w:rPr>
                      <m:t>emission factor</m:t>
                    </m:r>
                  </m:e>
                  <m:sub>
                    <m:r>
                      <w:rPr>
                        <w:noProof w:val="0"/>
                      </w:rPr>
                      <m:t>p</m:t>
                    </m:r>
                  </m:sub>
                </m:sSub>
              </m:oMath>
            </m:oMathPara>
          </w:p>
          <w:p w14:paraId="0194DA61" w14:textId="77777777" w:rsidR="001C3DFC" w:rsidRPr="004C12C9" w:rsidRDefault="001C3DFC" w:rsidP="007A1925">
            <w:pPr>
              <w:rPr>
                <w:i/>
                <w:iCs/>
              </w:rPr>
            </w:pPr>
            <w:r w:rsidRPr="004C12C9">
              <w:rPr>
                <w:i/>
                <w:iCs/>
                <w:sz w:val="20"/>
                <w:szCs w:val="20"/>
              </w:rPr>
              <w:t xml:space="preserve">where, </w:t>
            </w:r>
          </w:p>
        </w:tc>
      </w:tr>
      <w:tr w:rsidR="001C3DFC" w:rsidRPr="004C12C9" w14:paraId="1AAA8882" w14:textId="77777777" w:rsidTr="0049111F">
        <w:tc>
          <w:tcPr>
            <w:tcW w:w="2340" w:type="dxa"/>
            <w:shd w:val="clear" w:color="auto" w:fill="F2F2F2" w:themeFill="background1" w:themeFillShade="F2"/>
          </w:tcPr>
          <w:p w14:paraId="23254BAB" w14:textId="77777777" w:rsidR="001C3DFC" w:rsidRPr="004C12C9" w:rsidRDefault="001C3DFC" w:rsidP="007A192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Waste generated</w:t>
            </w:r>
          </w:p>
          <w:p w14:paraId="13BD77EF" w14:textId="5C8176B5" w:rsidR="001C3DFC" w:rsidRPr="004C12C9" w:rsidRDefault="001C3DFC" w:rsidP="007A192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tc>
        <w:tc>
          <w:tcPr>
            <w:tcW w:w="7740" w:type="dxa"/>
            <w:shd w:val="clear" w:color="auto" w:fill="F2F2F2" w:themeFill="background1" w:themeFillShade="F2"/>
          </w:tcPr>
          <w:p w14:paraId="5AE7A7E2" w14:textId="3633BECA" w:rsidR="001C3DFC" w:rsidRPr="004C12C9" w:rsidRDefault="001C3DFC" w:rsidP="007A192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waste material generated each year by treatment type, p (tons/year)</w:t>
            </w:r>
          </w:p>
          <w:p w14:paraId="69F943CA" w14:textId="193F3C5E" w:rsidR="001C3DFC" w:rsidRPr="004C12C9" w:rsidRDefault="001C3DFC" w:rsidP="00950767">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The emissions associated with the transportation and treatment of waste by treatment type, t (MTCO</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e/ton)</w:t>
            </w:r>
          </w:p>
        </w:tc>
      </w:tr>
    </w:tbl>
    <w:p w14:paraId="0F5ECD4B" w14:textId="77777777" w:rsidR="00395DB1" w:rsidRPr="004C12C9" w:rsidRDefault="00395DB1" w:rsidP="00E31E37">
      <w:pPr>
        <w:pStyle w:val="Heading4"/>
      </w:pPr>
      <w:r w:rsidRPr="004C12C9">
        <w:lastRenderedPageBreak/>
        <w:t>Waste Generation Rate</w:t>
      </w:r>
    </w:p>
    <w:p w14:paraId="521965E3" w14:textId="71384BE4" w:rsidR="00B205AB" w:rsidRPr="004C12C9" w:rsidRDefault="00B205AB" w:rsidP="00972CF9">
      <w:r w:rsidRPr="004C12C9">
        <w:t xml:space="preserve">The quantity of waste generated </w:t>
      </w:r>
      <w:r w:rsidR="00B2653D" w:rsidRPr="004C12C9">
        <w:t xml:space="preserve">is </w:t>
      </w:r>
      <w:r w:rsidR="003A2665" w:rsidRPr="004C12C9">
        <w:t>calculated</w:t>
      </w:r>
      <w:r w:rsidR="00B2653D" w:rsidRPr="004C12C9">
        <w:t xml:space="preserve"> </w:t>
      </w:r>
      <w:r w:rsidR="001C2FA5" w:rsidRPr="004C12C9">
        <w:t xml:space="preserve">based on waste generation rates. </w:t>
      </w:r>
      <w:r w:rsidR="00BD5BB9" w:rsidRPr="004C12C9">
        <w:t>Default w</w:t>
      </w:r>
      <w:r w:rsidR="008C43BD" w:rsidRPr="004C12C9">
        <w:t>aste generation rate</w:t>
      </w:r>
      <w:r w:rsidR="00BD5BB9" w:rsidRPr="004C12C9">
        <w:t xml:space="preserve"> assumptions are available in the </w:t>
      </w:r>
      <w:r w:rsidR="008107B2" w:rsidRPr="004C12C9">
        <w:t>calculator</w:t>
      </w:r>
      <w:r w:rsidR="000D488F" w:rsidRPr="004C12C9">
        <w:t xml:space="preserve">. </w:t>
      </w:r>
      <w:r w:rsidR="003A2665" w:rsidRPr="004C12C9">
        <w:t xml:space="preserve">Users may apply the default values, or they may enter their own value. </w:t>
      </w:r>
      <w:r w:rsidR="000D488F" w:rsidRPr="004C12C9">
        <w:t>The</w:t>
      </w:r>
      <w:r w:rsidR="003A2665" w:rsidRPr="004C12C9">
        <w:t xml:space="preserve"> default waste generation rate</w:t>
      </w:r>
      <w:r w:rsidR="000D488F" w:rsidRPr="004C12C9">
        <w:t xml:space="preserve"> assumptions were</w:t>
      </w:r>
      <w:r w:rsidRPr="004C12C9">
        <w:t xml:space="preserve"> acquired from </w:t>
      </w:r>
      <w:r w:rsidR="00EA4F56" w:rsidRPr="004C12C9">
        <w:t>a</w:t>
      </w:r>
      <w:r w:rsidR="00522EDE" w:rsidRPr="004C12C9">
        <w:t xml:space="preserve"> residential waste characterization study</w:t>
      </w:r>
      <w:r w:rsidR="0056203A" w:rsidRPr="004C12C9">
        <w:t xml:space="preserve"> </w:t>
      </w:r>
      <w:r w:rsidR="00522EDE" w:rsidRPr="004C12C9">
        <w:t>for</w:t>
      </w:r>
      <w:r w:rsidR="0056203A" w:rsidRPr="004C12C9">
        <w:t xml:space="preserve"> the City of Minneapolis,</w:t>
      </w:r>
      <w:r w:rsidR="00E806AD" w:rsidRPr="004C12C9">
        <w:rPr>
          <w:rStyle w:val="FootnoteReference"/>
        </w:rPr>
        <w:footnoteReference w:id="118"/>
      </w:r>
      <w:r w:rsidRPr="004C12C9">
        <w:t xml:space="preserve"> CalRecycle</w:t>
      </w:r>
      <w:r w:rsidR="00E806AD" w:rsidRPr="004C12C9">
        <w:t>,</w:t>
      </w:r>
      <w:r w:rsidRPr="004C12C9">
        <w:rPr>
          <w:rStyle w:val="FootnoteReference"/>
        </w:rPr>
        <w:footnoteReference w:id="119"/>
      </w:r>
      <w:r w:rsidRPr="004C12C9">
        <w:t xml:space="preserve"> and a </w:t>
      </w:r>
      <w:r w:rsidR="00664C08" w:rsidRPr="004C12C9">
        <w:t xml:space="preserve">waste characterization study for </w:t>
      </w:r>
      <w:r w:rsidR="007120B2" w:rsidRPr="004C12C9">
        <w:t>select industry groups</w:t>
      </w:r>
      <w:r w:rsidRPr="004C12C9">
        <w:t>,</w:t>
      </w:r>
      <w:r w:rsidRPr="004C12C9">
        <w:rPr>
          <w:rStyle w:val="FootnoteReference"/>
        </w:rPr>
        <w:footnoteReference w:id="120"/>
      </w:r>
      <w:r w:rsidRPr="004C12C9">
        <w:t xml:space="preserve"> as summarized in</w:t>
      </w:r>
      <w:r w:rsidR="00D17BDA">
        <w:t xml:space="preserve"> </w:t>
      </w:r>
      <w:r w:rsidR="00D17BDA">
        <w:fldChar w:fldCharType="begin"/>
      </w:r>
      <w:r w:rsidR="00D17BDA">
        <w:instrText xml:space="preserve"> REF _Ref219841981 \h </w:instrText>
      </w:r>
      <w:r w:rsidR="00D17BDA">
        <w:fldChar w:fldCharType="separate"/>
      </w:r>
      <w:r w:rsidR="00D17BDA" w:rsidRPr="004C12C9">
        <w:t xml:space="preserve">Table </w:t>
      </w:r>
      <w:r w:rsidR="00D17BDA">
        <w:rPr>
          <w:noProof/>
        </w:rPr>
        <w:t>3</w:t>
      </w:r>
      <w:r w:rsidR="00D17BDA">
        <w:noBreakHyphen/>
      </w:r>
      <w:r w:rsidR="00D17BDA">
        <w:rPr>
          <w:noProof/>
        </w:rPr>
        <w:t>28</w:t>
      </w:r>
      <w:r w:rsidR="00D17BDA">
        <w:fldChar w:fldCharType="end"/>
      </w:r>
      <w:r w:rsidRPr="004C12C9">
        <w:t>.</w:t>
      </w:r>
    </w:p>
    <w:p w14:paraId="33669CB8" w14:textId="7FDE5383" w:rsidR="00B205AB" w:rsidRPr="004C12C9" w:rsidRDefault="00B205AB" w:rsidP="00972CF9">
      <w:pPr>
        <w:pStyle w:val="Caption"/>
      </w:pPr>
      <w:bookmarkStart w:id="222" w:name="_Ref219841981"/>
      <w:bookmarkStart w:id="223" w:name="_Ref184732128"/>
      <w:bookmarkStart w:id="224" w:name="_Ref196137432"/>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28</w:t>
      </w:r>
      <w:r w:rsidR="00F72B41">
        <w:fldChar w:fldCharType="end"/>
      </w:r>
      <w:bookmarkEnd w:id="222"/>
      <w:bookmarkEnd w:id="223"/>
      <w:bookmarkEnd w:id="224"/>
      <w:r w:rsidR="003A1B7E" w:rsidRPr="004C12C9">
        <w:t>.</w:t>
      </w:r>
      <w:r w:rsidRPr="004C12C9">
        <w:t xml:space="preserve"> Waste </w:t>
      </w:r>
      <w:r w:rsidR="00B7744B" w:rsidRPr="004C12C9">
        <w:t>D</w:t>
      </w:r>
      <w:r w:rsidRPr="004C12C9">
        <w:t xml:space="preserve">isposal </w:t>
      </w:r>
      <w:r w:rsidR="00B7744B" w:rsidRPr="004C12C9">
        <w:t>R</w:t>
      </w:r>
      <w:r w:rsidRPr="004C12C9">
        <w:t xml:space="preserve">ates by </w:t>
      </w:r>
      <w:r w:rsidR="00B7744B" w:rsidRPr="004C12C9">
        <w:t>B</w:t>
      </w:r>
      <w:r w:rsidRPr="004C12C9">
        <w:t xml:space="preserve">uilding </w:t>
      </w:r>
      <w:r w:rsidR="00B7744B" w:rsidRPr="004C12C9">
        <w:t>T</w:t>
      </w:r>
      <w:r w:rsidRPr="004C12C9">
        <w:t>ype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01"/>
        <w:gridCol w:w="2119"/>
        <w:gridCol w:w="2526"/>
        <w:gridCol w:w="2524"/>
      </w:tblGrid>
      <w:tr w:rsidR="00B205AB" w:rsidRPr="004C12C9" w14:paraId="1C8328C5" w14:textId="77777777" w:rsidTr="00921604">
        <w:trPr>
          <w:trHeight w:val="367"/>
          <w:tblHeader/>
        </w:trPr>
        <w:tc>
          <w:tcPr>
            <w:tcW w:w="1441" w:type="pct"/>
            <w:shd w:val="clear" w:color="auto" w:fill="D9D9D9" w:themeFill="background1" w:themeFillShade="D9"/>
          </w:tcPr>
          <w:p w14:paraId="0296FDDD" w14:textId="77777777" w:rsidR="00B205AB" w:rsidRPr="004C12C9" w:rsidRDefault="00B205AB" w:rsidP="00F91D02">
            <w:pPr>
              <w:pStyle w:val="ICFTableHeading"/>
            </w:pPr>
            <w:r w:rsidRPr="004C12C9">
              <w:t>Building Type</w:t>
            </w:r>
          </w:p>
        </w:tc>
        <w:tc>
          <w:tcPr>
            <w:tcW w:w="1052" w:type="pct"/>
            <w:shd w:val="clear" w:color="auto" w:fill="D9D9D9" w:themeFill="background1" w:themeFillShade="D9"/>
          </w:tcPr>
          <w:p w14:paraId="7595B18B" w14:textId="77777777" w:rsidR="00B205AB" w:rsidRPr="004C12C9" w:rsidRDefault="00B205AB" w:rsidP="00F91D02">
            <w:pPr>
              <w:pStyle w:val="ICFTableHeading"/>
              <w:tabs>
                <w:tab w:val="left" w:pos="183"/>
              </w:tabs>
            </w:pPr>
            <w:r w:rsidRPr="004C12C9">
              <w:t>Waste Disposal</w:t>
            </w:r>
          </w:p>
        </w:tc>
        <w:tc>
          <w:tcPr>
            <w:tcW w:w="1254" w:type="pct"/>
            <w:shd w:val="clear" w:color="auto" w:fill="D9D9D9" w:themeFill="background1" w:themeFillShade="D9"/>
          </w:tcPr>
          <w:p w14:paraId="0AC90C6D" w14:textId="77777777" w:rsidR="00B205AB" w:rsidRPr="004C12C9" w:rsidRDefault="00B205AB" w:rsidP="00F91D02">
            <w:pPr>
              <w:pStyle w:val="ICFTableHeading"/>
              <w:tabs>
                <w:tab w:val="left" w:pos="183"/>
              </w:tabs>
            </w:pPr>
            <w:r w:rsidRPr="004C12C9">
              <w:t>Units</w:t>
            </w:r>
          </w:p>
        </w:tc>
        <w:tc>
          <w:tcPr>
            <w:tcW w:w="1253" w:type="pct"/>
            <w:shd w:val="clear" w:color="auto" w:fill="D9D9D9" w:themeFill="background1" w:themeFillShade="D9"/>
          </w:tcPr>
          <w:p w14:paraId="5DEE5D6E" w14:textId="77777777" w:rsidR="00B205AB" w:rsidRPr="004C12C9" w:rsidRDefault="00B205AB" w:rsidP="00F91D02">
            <w:pPr>
              <w:pStyle w:val="ICFTableHeading"/>
              <w:tabs>
                <w:tab w:val="left" w:pos="183"/>
              </w:tabs>
            </w:pPr>
            <w:r w:rsidRPr="004C12C9">
              <w:t>Source</w:t>
            </w:r>
          </w:p>
        </w:tc>
      </w:tr>
      <w:tr w:rsidR="00B205AB" w:rsidRPr="004C12C9" w14:paraId="03619B22" w14:textId="77777777" w:rsidTr="005B7D52">
        <w:trPr>
          <w:trHeight w:val="20"/>
        </w:trPr>
        <w:tc>
          <w:tcPr>
            <w:tcW w:w="1441" w:type="pct"/>
          </w:tcPr>
          <w:p w14:paraId="6EBFBEF1" w14:textId="77777777" w:rsidR="00B205AB" w:rsidRPr="004C12C9" w:rsidRDefault="00B205AB" w:rsidP="00F91D02">
            <w:pPr>
              <w:pStyle w:val="ICFTabletext"/>
            </w:pPr>
            <w:r w:rsidRPr="004C12C9">
              <w:t>Residential</w:t>
            </w:r>
          </w:p>
        </w:tc>
        <w:tc>
          <w:tcPr>
            <w:tcW w:w="1052" w:type="pct"/>
          </w:tcPr>
          <w:p w14:paraId="4D0D184A" w14:textId="11B47213" w:rsidR="00B205AB" w:rsidRPr="004C12C9" w:rsidRDefault="00F919B8" w:rsidP="00F91D02">
            <w:pPr>
              <w:pStyle w:val="ICFTabletext"/>
              <w:jc w:val="center"/>
            </w:pPr>
            <w:r w:rsidRPr="004C12C9">
              <w:t>7.00</w:t>
            </w:r>
          </w:p>
        </w:tc>
        <w:tc>
          <w:tcPr>
            <w:tcW w:w="1254" w:type="pct"/>
          </w:tcPr>
          <w:p w14:paraId="0A69A8BA" w14:textId="77777777" w:rsidR="00B205AB" w:rsidRPr="004C12C9" w:rsidRDefault="00B205AB" w:rsidP="00F50B7D">
            <w:pPr>
              <w:pStyle w:val="ICFTabletext"/>
            </w:pPr>
            <w:r w:rsidRPr="004C12C9">
              <w:t>lb/household/day</w:t>
            </w:r>
          </w:p>
        </w:tc>
        <w:tc>
          <w:tcPr>
            <w:tcW w:w="1253" w:type="pct"/>
          </w:tcPr>
          <w:p w14:paraId="127A92E2" w14:textId="6B64830D" w:rsidR="00B205AB" w:rsidRPr="004C12C9" w:rsidRDefault="0056203A" w:rsidP="00F50B7D">
            <w:pPr>
              <w:pStyle w:val="ICFTabletext"/>
            </w:pPr>
            <w:r w:rsidRPr="004C12C9">
              <w:t>MSW Consultants</w:t>
            </w:r>
          </w:p>
        </w:tc>
      </w:tr>
      <w:tr w:rsidR="00B205AB" w:rsidRPr="004C12C9" w14:paraId="4D31DB53" w14:textId="77777777" w:rsidTr="005B7D52">
        <w:trPr>
          <w:trHeight w:val="20"/>
        </w:trPr>
        <w:tc>
          <w:tcPr>
            <w:tcW w:w="1441" w:type="pct"/>
          </w:tcPr>
          <w:p w14:paraId="52890F36" w14:textId="77777777" w:rsidR="00B205AB" w:rsidRPr="004C12C9" w:rsidRDefault="00B205AB" w:rsidP="00F91D02">
            <w:pPr>
              <w:pStyle w:val="ICFTabletext"/>
            </w:pPr>
            <w:r w:rsidRPr="004C12C9">
              <w:t>Industrial</w:t>
            </w:r>
          </w:p>
        </w:tc>
        <w:tc>
          <w:tcPr>
            <w:tcW w:w="1052" w:type="pct"/>
          </w:tcPr>
          <w:p w14:paraId="6F197CBB" w14:textId="77777777" w:rsidR="00B205AB" w:rsidRPr="004C12C9" w:rsidRDefault="00B205AB" w:rsidP="00F91D02">
            <w:pPr>
              <w:pStyle w:val="ICFTabletext"/>
              <w:jc w:val="center"/>
            </w:pPr>
            <w:r w:rsidRPr="004C12C9">
              <w:t>8.93</w:t>
            </w:r>
          </w:p>
        </w:tc>
        <w:tc>
          <w:tcPr>
            <w:tcW w:w="1254" w:type="pct"/>
          </w:tcPr>
          <w:p w14:paraId="3FD30446" w14:textId="77777777" w:rsidR="00B205AB" w:rsidRPr="004C12C9" w:rsidRDefault="00B205AB" w:rsidP="00F50B7D">
            <w:pPr>
              <w:pStyle w:val="ICFTabletext"/>
            </w:pPr>
            <w:r w:rsidRPr="004C12C9">
              <w:t>lb/employee/day</w:t>
            </w:r>
          </w:p>
        </w:tc>
        <w:tc>
          <w:tcPr>
            <w:tcW w:w="1253" w:type="pct"/>
          </w:tcPr>
          <w:p w14:paraId="1D57D277" w14:textId="77777777" w:rsidR="00B205AB" w:rsidRPr="004C12C9" w:rsidRDefault="00B205AB" w:rsidP="00F50B7D">
            <w:pPr>
              <w:pStyle w:val="ICFTabletext"/>
              <w:rPr>
                <w:rFonts w:eastAsia="Arial"/>
              </w:rPr>
            </w:pPr>
            <w:r w:rsidRPr="004C12C9">
              <w:t>CalRecycle</w:t>
            </w:r>
          </w:p>
        </w:tc>
      </w:tr>
      <w:tr w:rsidR="00B205AB" w:rsidRPr="004C12C9" w14:paraId="1D2F17D1" w14:textId="77777777" w:rsidTr="005B7D52">
        <w:trPr>
          <w:trHeight w:val="20"/>
        </w:trPr>
        <w:tc>
          <w:tcPr>
            <w:tcW w:w="1441" w:type="pct"/>
          </w:tcPr>
          <w:p w14:paraId="0CB7CC8F" w14:textId="77777777" w:rsidR="00B205AB" w:rsidRPr="004C12C9" w:rsidRDefault="00B205AB" w:rsidP="00F91D02">
            <w:pPr>
              <w:pStyle w:val="ICFTabletext"/>
            </w:pPr>
            <w:r w:rsidRPr="004C12C9">
              <w:t>Commercial</w:t>
            </w:r>
          </w:p>
        </w:tc>
        <w:tc>
          <w:tcPr>
            <w:tcW w:w="1052" w:type="pct"/>
          </w:tcPr>
          <w:p w14:paraId="022F2F6B" w14:textId="77777777" w:rsidR="00B205AB" w:rsidRPr="004C12C9" w:rsidRDefault="00B205AB" w:rsidP="00F91D02">
            <w:pPr>
              <w:pStyle w:val="ICFTabletext"/>
              <w:jc w:val="center"/>
            </w:pPr>
            <w:r w:rsidRPr="004C12C9">
              <w:t>10.53</w:t>
            </w:r>
          </w:p>
        </w:tc>
        <w:tc>
          <w:tcPr>
            <w:tcW w:w="1254" w:type="pct"/>
          </w:tcPr>
          <w:p w14:paraId="673AC874" w14:textId="77777777" w:rsidR="00B205AB" w:rsidRPr="004C12C9" w:rsidRDefault="00B205AB" w:rsidP="00F50B7D">
            <w:pPr>
              <w:pStyle w:val="ICFTabletext"/>
            </w:pPr>
            <w:r w:rsidRPr="004C12C9">
              <w:t>lb/employee/day</w:t>
            </w:r>
          </w:p>
        </w:tc>
        <w:tc>
          <w:tcPr>
            <w:tcW w:w="1253" w:type="pct"/>
          </w:tcPr>
          <w:p w14:paraId="5528E6E7" w14:textId="77777777" w:rsidR="00B205AB" w:rsidRPr="004C12C9" w:rsidRDefault="00B205AB" w:rsidP="00F50B7D">
            <w:pPr>
              <w:pStyle w:val="ICFTabletext"/>
              <w:rPr>
                <w:rFonts w:eastAsia="Arial"/>
              </w:rPr>
            </w:pPr>
            <w:r w:rsidRPr="004C12C9">
              <w:t>CalRecycle</w:t>
            </w:r>
          </w:p>
        </w:tc>
      </w:tr>
      <w:tr w:rsidR="00B205AB" w:rsidRPr="004C12C9" w14:paraId="3E3FBE0F" w14:textId="77777777" w:rsidTr="005B7D52">
        <w:trPr>
          <w:trHeight w:val="20"/>
        </w:trPr>
        <w:tc>
          <w:tcPr>
            <w:tcW w:w="1441" w:type="pct"/>
          </w:tcPr>
          <w:p w14:paraId="32B175FB" w14:textId="77777777" w:rsidR="00B205AB" w:rsidRPr="004C12C9" w:rsidRDefault="00B205AB" w:rsidP="00F91D02">
            <w:pPr>
              <w:pStyle w:val="ICFTabletext"/>
            </w:pPr>
            <w:r w:rsidRPr="004C12C9">
              <w:t>Institutional</w:t>
            </w:r>
          </w:p>
        </w:tc>
        <w:tc>
          <w:tcPr>
            <w:tcW w:w="1052" w:type="pct"/>
          </w:tcPr>
          <w:p w14:paraId="5D07FBD8" w14:textId="77777777" w:rsidR="00B205AB" w:rsidRPr="004C12C9" w:rsidRDefault="00B205AB" w:rsidP="00F91D02">
            <w:pPr>
              <w:pStyle w:val="ICFTabletext"/>
              <w:jc w:val="center"/>
            </w:pPr>
            <w:r w:rsidRPr="004C12C9">
              <w:t>3.55</w:t>
            </w:r>
          </w:p>
        </w:tc>
        <w:tc>
          <w:tcPr>
            <w:tcW w:w="1254" w:type="pct"/>
          </w:tcPr>
          <w:p w14:paraId="16556942" w14:textId="77777777" w:rsidR="00B205AB" w:rsidRPr="004C12C9" w:rsidRDefault="00B205AB" w:rsidP="00F50B7D">
            <w:pPr>
              <w:pStyle w:val="ICFTabletext"/>
            </w:pPr>
            <w:r w:rsidRPr="004C12C9">
              <w:t>lb/employee/day</w:t>
            </w:r>
          </w:p>
        </w:tc>
        <w:tc>
          <w:tcPr>
            <w:tcW w:w="1253" w:type="pct"/>
          </w:tcPr>
          <w:p w14:paraId="65B3D002" w14:textId="77777777" w:rsidR="00B205AB" w:rsidRPr="004C12C9" w:rsidRDefault="00B205AB" w:rsidP="00F50B7D">
            <w:pPr>
              <w:pStyle w:val="ICFTabletext"/>
            </w:pPr>
            <w:r w:rsidRPr="004C12C9">
              <w:t>CalRecycle</w:t>
            </w:r>
          </w:p>
        </w:tc>
      </w:tr>
      <w:tr w:rsidR="00B205AB" w:rsidRPr="004C12C9" w14:paraId="77EA97E2" w14:textId="77777777" w:rsidTr="005B7D52">
        <w:trPr>
          <w:trHeight w:val="20"/>
        </w:trPr>
        <w:tc>
          <w:tcPr>
            <w:tcW w:w="1441" w:type="pct"/>
          </w:tcPr>
          <w:p w14:paraId="2E6B1D6B" w14:textId="77777777" w:rsidR="00B205AB" w:rsidRPr="004C12C9" w:rsidRDefault="00B205AB" w:rsidP="00F91D02">
            <w:pPr>
              <w:pStyle w:val="ICFTabletext"/>
            </w:pPr>
            <w:r w:rsidRPr="004C12C9">
              <w:t>Public venues and events</w:t>
            </w:r>
          </w:p>
        </w:tc>
        <w:tc>
          <w:tcPr>
            <w:tcW w:w="1052" w:type="pct"/>
            <w:vAlign w:val="center"/>
          </w:tcPr>
          <w:p w14:paraId="5E544EC9" w14:textId="5FBA8DFE" w:rsidR="00B205AB" w:rsidRPr="004C12C9" w:rsidRDefault="00B205AB" w:rsidP="00F91D02">
            <w:pPr>
              <w:pStyle w:val="ICFTabletext"/>
              <w:jc w:val="center"/>
            </w:pPr>
            <w:r w:rsidRPr="004C12C9">
              <w:t>1</w:t>
            </w:r>
            <w:r w:rsidR="009E61FD" w:rsidRPr="004C12C9">
              <w:t>.</w:t>
            </w:r>
            <w:r w:rsidRPr="004C12C9">
              <w:t>72</w:t>
            </w:r>
          </w:p>
        </w:tc>
        <w:tc>
          <w:tcPr>
            <w:tcW w:w="1254" w:type="pct"/>
          </w:tcPr>
          <w:p w14:paraId="635F68B5" w14:textId="24228716" w:rsidR="00B205AB" w:rsidRPr="004C12C9" w:rsidRDefault="00B205AB" w:rsidP="00F50B7D">
            <w:pPr>
              <w:pStyle w:val="ICFTabletext"/>
            </w:pPr>
            <w:r w:rsidRPr="004C12C9">
              <w:t>lb/visitors</w:t>
            </w:r>
          </w:p>
        </w:tc>
        <w:tc>
          <w:tcPr>
            <w:tcW w:w="1253" w:type="pct"/>
          </w:tcPr>
          <w:p w14:paraId="5E40D2FA" w14:textId="7C28153F" w:rsidR="00B205AB" w:rsidRPr="004C12C9" w:rsidRDefault="00B205AB" w:rsidP="00F50B7D">
            <w:pPr>
              <w:pStyle w:val="ICFTabletext"/>
            </w:pPr>
            <w:r w:rsidRPr="004C12C9">
              <w:t>Cascadia</w:t>
            </w:r>
          </w:p>
        </w:tc>
      </w:tr>
    </w:tbl>
    <w:p w14:paraId="2F4FEA4E" w14:textId="77777777" w:rsidR="00B205AB" w:rsidRPr="004C12C9" w:rsidRDefault="00B205AB" w:rsidP="00E31E37">
      <w:pPr>
        <w:pStyle w:val="Heading4"/>
      </w:pPr>
      <w:r w:rsidRPr="004C12C9">
        <w:t>Unit Multiplier</w:t>
      </w:r>
    </w:p>
    <w:p w14:paraId="567BE22A" w14:textId="032F91D7" w:rsidR="00AC5D2A" w:rsidRPr="004C12C9" w:rsidRDefault="00767687" w:rsidP="00972CF9">
      <w:r w:rsidRPr="004C12C9">
        <w:t>Users are required to provide</w:t>
      </w:r>
      <w:r w:rsidR="00AC5D2A" w:rsidRPr="004C12C9">
        <w:t xml:space="preserve"> data </w:t>
      </w:r>
      <w:r w:rsidR="003A55E4" w:rsidRPr="004C12C9">
        <w:t xml:space="preserve">on key project characteristics </w:t>
      </w:r>
      <w:r w:rsidR="00AC5D2A" w:rsidRPr="004C12C9">
        <w:t xml:space="preserve">that </w:t>
      </w:r>
      <w:r w:rsidR="003A55E4" w:rsidRPr="004C12C9">
        <w:t xml:space="preserve">drive waste production. </w:t>
      </w:r>
      <w:r w:rsidR="00AC5D2A" w:rsidRPr="004C12C9">
        <w:t xml:space="preserve">The </w:t>
      </w:r>
      <w:r w:rsidR="00DA5692" w:rsidRPr="004C12C9">
        <w:t xml:space="preserve">project characteristics for which </w:t>
      </w:r>
      <w:r w:rsidR="00AC5D2A" w:rsidRPr="004C12C9">
        <w:t xml:space="preserve">users may provide </w:t>
      </w:r>
      <w:r w:rsidR="00DA5692" w:rsidRPr="004C12C9">
        <w:t>data</w:t>
      </w:r>
      <w:r w:rsidR="00AC5D2A" w:rsidRPr="004C12C9">
        <w:t xml:space="preserve"> include the following:</w:t>
      </w:r>
    </w:p>
    <w:p w14:paraId="69A04E9B" w14:textId="548EF88D" w:rsidR="00AC5D2A" w:rsidRPr="004C12C9" w:rsidRDefault="00AC5D2A" w:rsidP="003B5F7F">
      <w:pPr>
        <w:pStyle w:val="ListParagraph"/>
        <w:numPr>
          <w:ilvl w:val="0"/>
          <w:numId w:val="6"/>
        </w:numPr>
      </w:pPr>
      <w:r w:rsidRPr="004C12C9">
        <w:t xml:space="preserve">Residential: </w:t>
      </w:r>
      <w:r w:rsidR="00F652F0" w:rsidRPr="004C12C9">
        <w:t>n</w:t>
      </w:r>
      <w:r w:rsidRPr="004C12C9">
        <w:t>umber of households</w:t>
      </w:r>
    </w:p>
    <w:p w14:paraId="45F478FC" w14:textId="7CB42AF4" w:rsidR="00AC5D2A" w:rsidRPr="004C12C9" w:rsidRDefault="00AC5D2A" w:rsidP="003B5F7F">
      <w:pPr>
        <w:pStyle w:val="ListParagraph"/>
        <w:numPr>
          <w:ilvl w:val="0"/>
          <w:numId w:val="6"/>
        </w:numPr>
      </w:pPr>
      <w:r w:rsidRPr="004C12C9">
        <w:t xml:space="preserve">Industrial: </w:t>
      </w:r>
      <w:r w:rsidR="00F652F0" w:rsidRPr="004C12C9">
        <w:t>n</w:t>
      </w:r>
      <w:r w:rsidRPr="004C12C9">
        <w:t>umber of employees</w:t>
      </w:r>
    </w:p>
    <w:p w14:paraId="4ED22BDF" w14:textId="18AF6988" w:rsidR="00AC5D2A" w:rsidRPr="004C12C9" w:rsidRDefault="00AC5D2A" w:rsidP="003B5F7F">
      <w:pPr>
        <w:pStyle w:val="ListParagraph"/>
        <w:numPr>
          <w:ilvl w:val="0"/>
          <w:numId w:val="6"/>
        </w:numPr>
      </w:pPr>
      <w:r w:rsidRPr="004C12C9">
        <w:t xml:space="preserve">Commercial: </w:t>
      </w:r>
      <w:r w:rsidR="00F652F0" w:rsidRPr="004C12C9">
        <w:t>n</w:t>
      </w:r>
      <w:r w:rsidRPr="004C12C9">
        <w:t>umber of employees</w:t>
      </w:r>
    </w:p>
    <w:p w14:paraId="6FE9D90F" w14:textId="1CD8D1B1" w:rsidR="00AC5D2A" w:rsidRPr="004C12C9" w:rsidRDefault="00AC5D2A" w:rsidP="003B5F7F">
      <w:pPr>
        <w:pStyle w:val="ListParagraph"/>
        <w:numPr>
          <w:ilvl w:val="0"/>
          <w:numId w:val="6"/>
        </w:numPr>
      </w:pPr>
      <w:r w:rsidRPr="004C12C9">
        <w:t xml:space="preserve">Institutional: </w:t>
      </w:r>
      <w:r w:rsidR="00F652F0" w:rsidRPr="004C12C9">
        <w:t>n</w:t>
      </w:r>
      <w:r w:rsidRPr="004C12C9">
        <w:t>umber of employees</w:t>
      </w:r>
    </w:p>
    <w:p w14:paraId="7939067D" w14:textId="759CAD1B" w:rsidR="00AC5D2A" w:rsidRPr="004C12C9" w:rsidRDefault="00AC5D2A" w:rsidP="003B5F7F">
      <w:pPr>
        <w:pStyle w:val="ListParagraph"/>
        <w:numPr>
          <w:ilvl w:val="0"/>
          <w:numId w:val="6"/>
        </w:numPr>
      </w:pPr>
      <w:r w:rsidRPr="004C12C9">
        <w:t xml:space="preserve">Public venues and events: </w:t>
      </w:r>
      <w:r w:rsidR="00F652F0" w:rsidRPr="004C12C9">
        <w:t>v</w:t>
      </w:r>
      <w:r w:rsidRPr="004C12C9">
        <w:t>isitors per year</w:t>
      </w:r>
    </w:p>
    <w:p w14:paraId="19344221" w14:textId="77777777" w:rsidR="00AC5D2A" w:rsidRPr="004C12C9" w:rsidRDefault="00AC5D2A" w:rsidP="00E31E37">
      <w:pPr>
        <w:pStyle w:val="Heading4"/>
      </w:pPr>
      <w:r w:rsidRPr="004C12C9">
        <w:t>Waste Disposal Rate</w:t>
      </w:r>
    </w:p>
    <w:p w14:paraId="1E7A11D6" w14:textId="6CDFE611" w:rsidR="0091153C" w:rsidRPr="004C12C9" w:rsidRDefault="0091153C" w:rsidP="00972CF9">
      <w:r w:rsidRPr="004C12C9">
        <w:t xml:space="preserve">The Minnesota Pollution Control Agency </w:t>
      </w:r>
      <w:r w:rsidR="00752C79" w:rsidRPr="004C12C9">
        <w:t xml:space="preserve">(MPCA) </w:t>
      </w:r>
      <w:r w:rsidRPr="004C12C9">
        <w:t xml:space="preserve">collects data on the amount of waste treated by waste management </w:t>
      </w:r>
      <w:r w:rsidR="003D5F36" w:rsidRPr="004C12C9">
        <w:t>method</w:t>
      </w:r>
      <w:r w:rsidRPr="004C12C9">
        <w:t xml:space="preserve"> in Minnesota.</w:t>
      </w:r>
      <w:r w:rsidRPr="004C12C9">
        <w:rPr>
          <w:rStyle w:val="FootnoteReference"/>
        </w:rPr>
        <w:footnoteReference w:id="121"/>
      </w:r>
      <w:r w:rsidRPr="004C12C9">
        <w:t xml:space="preserve"> The amount of waste that was landfilled and combusted by county in 2022 is summarized in</w:t>
      </w:r>
      <w:r w:rsidR="00D17BDA">
        <w:t xml:space="preserve"> </w:t>
      </w:r>
      <w:r w:rsidR="00D17BDA">
        <w:fldChar w:fldCharType="begin"/>
      </w:r>
      <w:r w:rsidR="00D17BDA">
        <w:instrText xml:space="preserve"> REF _Ref219841992 \h </w:instrText>
      </w:r>
      <w:r w:rsidR="00D17BDA">
        <w:fldChar w:fldCharType="separate"/>
      </w:r>
      <w:r w:rsidR="00D17BDA" w:rsidRPr="004C12C9">
        <w:t xml:space="preserve">Table </w:t>
      </w:r>
      <w:r w:rsidR="00D17BDA">
        <w:rPr>
          <w:noProof/>
        </w:rPr>
        <w:t>3</w:t>
      </w:r>
      <w:r w:rsidR="00D17BDA">
        <w:noBreakHyphen/>
      </w:r>
      <w:r w:rsidR="00D17BDA">
        <w:rPr>
          <w:noProof/>
        </w:rPr>
        <w:t>29</w:t>
      </w:r>
      <w:r w:rsidR="00D17BDA">
        <w:fldChar w:fldCharType="end"/>
      </w:r>
      <w:r w:rsidRPr="004C12C9">
        <w:t xml:space="preserve">. These values </w:t>
      </w:r>
      <w:r w:rsidR="00E025E1" w:rsidRPr="004C12C9">
        <w:t>are</w:t>
      </w:r>
      <w:r w:rsidRPr="004C12C9">
        <w:t xml:space="preserve"> used to determine the default waste disposal rates by </w:t>
      </w:r>
      <w:r w:rsidRPr="004C12C9">
        <w:lastRenderedPageBreak/>
        <w:t xml:space="preserve">management practice. Users in the </w:t>
      </w:r>
      <w:r w:rsidR="008107B2" w:rsidRPr="004C12C9">
        <w:t xml:space="preserve">calculator </w:t>
      </w:r>
      <w:r w:rsidR="00E025E1" w:rsidRPr="004C12C9">
        <w:t>can</w:t>
      </w:r>
      <w:r w:rsidRPr="004C12C9">
        <w:t xml:space="preserve"> modify these defaults </w:t>
      </w:r>
      <w:r w:rsidR="00E44EC6" w:rsidRPr="004C12C9">
        <w:t>as well as</w:t>
      </w:r>
      <w:r w:rsidRPr="004C12C9">
        <w:t xml:space="preserve"> specify a recycling and composting rate for the waste generated, which are defaulted to zero.</w:t>
      </w:r>
    </w:p>
    <w:p w14:paraId="4C0B0074" w14:textId="4C41469C" w:rsidR="0091153C" w:rsidRPr="004C12C9" w:rsidRDefault="0091153C" w:rsidP="00972CF9">
      <w:pPr>
        <w:pStyle w:val="Caption"/>
      </w:pPr>
      <w:bookmarkStart w:id="225" w:name="_Ref219841992"/>
      <w:bookmarkStart w:id="226" w:name="_Ref184734181"/>
      <w:bookmarkStart w:id="227" w:name="_Ref195608356"/>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29</w:t>
      </w:r>
      <w:r w:rsidR="00F72B41">
        <w:fldChar w:fldCharType="end"/>
      </w:r>
      <w:bookmarkEnd w:id="225"/>
      <w:bookmarkEnd w:id="226"/>
      <w:bookmarkEnd w:id="227"/>
      <w:r w:rsidR="003A1B7E" w:rsidRPr="004C12C9">
        <w:t>.</w:t>
      </w:r>
      <w:r w:rsidRPr="004C12C9">
        <w:t xml:space="preserve"> Waste Disposal Rate by County and Management Method</w:t>
      </w:r>
    </w:p>
    <w:tbl>
      <w:tblPr>
        <w:tblW w:w="101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50"/>
        <w:gridCol w:w="2003"/>
        <w:gridCol w:w="2004"/>
        <w:gridCol w:w="2004"/>
        <w:gridCol w:w="2004"/>
      </w:tblGrid>
      <w:tr w:rsidR="0091153C" w:rsidRPr="004C12C9" w14:paraId="2B186E87" w14:textId="77777777" w:rsidTr="009D3812">
        <w:trPr>
          <w:trHeight w:val="20"/>
          <w:tblHeader/>
        </w:trPr>
        <w:tc>
          <w:tcPr>
            <w:tcW w:w="2150" w:type="dxa"/>
            <w:vMerge w:val="restart"/>
            <w:shd w:val="clear" w:color="auto" w:fill="D9D9D9" w:themeFill="background1" w:themeFillShade="D9"/>
            <w:vAlign w:val="center"/>
            <w:hideMark/>
          </w:tcPr>
          <w:p w14:paraId="5D1D4771" w14:textId="77777777" w:rsidR="0091153C" w:rsidRPr="004C12C9" w:rsidRDefault="0091153C" w:rsidP="003739BE">
            <w:pPr>
              <w:pStyle w:val="ICFTableHeading"/>
            </w:pPr>
            <w:r w:rsidRPr="004C12C9">
              <w:t>County</w:t>
            </w:r>
          </w:p>
        </w:tc>
        <w:tc>
          <w:tcPr>
            <w:tcW w:w="4007" w:type="dxa"/>
            <w:gridSpan w:val="2"/>
            <w:shd w:val="clear" w:color="auto" w:fill="D9D9D9" w:themeFill="background1" w:themeFillShade="D9"/>
            <w:vAlign w:val="center"/>
            <w:hideMark/>
          </w:tcPr>
          <w:p w14:paraId="474AAA12" w14:textId="77777777" w:rsidR="0091153C" w:rsidRPr="004C12C9" w:rsidRDefault="0091153C" w:rsidP="003739BE">
            <w:pPr>
              <w:pStyle w:val="ICFTableHeading"/>
            </w:pPr>
            <w:r w:rsidRPr="004C12C9">
              <w:t>Waste Disposed in 2022 (tons)</w:t>
            </w:r>
          </w:p>
        </w:tc>
        <w:tc>
          <w:tcPr>
            <w:tcW w:w="4008" w:type="dxa"/>
            <w:gridSpan w:val="2"/>
            <w:shd w:val="clear" w:color="auto" w:fill="D9D9D9" w:themeFill="background1" w:themeFillShade="D9"/>
            <w:vAlign w:val="center"/>
          </w:tcPr>
          <w:p w14:paraId="166B3D39" w14:textId="77777777" w:rsidR="0091153C" w:rsidRPr="004C12C9" w:rsidRDefault="0091153C" w:rsidP="003739BE">
            <w:pPr>
              <w:pStyle w:val="ICFTableHeading"/>
            </w:pPr>
            <w:r w:rsidRPr="004C12C9">
              <w:t>Default Waste Disposal Rate</w:t>
            </w:r>
          </w:p>
        </w:tc>
      </w:tr>
      <w:tr w:rsidR="0091153C" w:rsidRPr="004C12C9" w14:paraId="6267DAF8" w14:textId="77777777" w:rsidTr="009D3812">
        <w:trPr>
          <w:trHeight w:val="20"/>
          <w:tblHeader/>
        </w:trPr>
        <w:tc>
          <w:tcPr>
            <w:tcW w:w="2150" w:type="dxa"/>
            <w:vMerge/>
            <w:shd w:val="clear" w:color="auto" w:fill="D9D9D9" w:themeFill="background1" w:themeFillShade="D9"/>
            <w:vAlign w:val="bottom"/>
          </w:tcPr>
          <w:p w14:paraId="6354FB12" w14:textId="77777777" w:rsidR="0091153C" w:rsidRPr="004C12C9" w:rsidRDefault="0091153C" w:rsidP="003739BE">
            <w:pPr>
              <w:pStyle w:val="ICFTableHeading"/>
            </w:pPr>
          </w:p>
        </w:tc>
        <w:tc>
          <w:tcPr>
            <w:tcW w:w="2003" w:type="dxa"/>
            <w:shd w:val="clear" w:color="auto" w:fill="D9D9D9" w:themeFill="background1" w:themeFillShade="D9"/>
          </w:tcPr>
          <w:p w14:paraId="4E30CD10" w14:textId="77777777" w:rsidR="0091153C" w:rsidRPr="004C12C9" w:rsidRDefault="0091153C" w:rsidP="003739BE">
            <w:pPr>
              <w:pStyle w:val="ICFTableHeading"/>
            </w:pPr>
            <w:r w:rsidRPr="004C12C9">
              <w:t>Landfilled</w:t>
            </w:r>
          </w:p>
        </w:tc>
        <w:tc>
          <w:tcPr>
            <w:tcW w:w="2004" w:type="dxa"/>
            <w:shd w:val="clear" w:color="auto" w:fill="D9D9D9" w:themeFill="background1" w:themeFillShade="D9"/>
          </w:tcPr>
          <w:p w14:paraId="4137AB64" w14:textId="77777777" w:rsidR="0091153C" w:rsidRPr="004C12C9" w:rsidRDefault="0091153C" w:rsidP="003739BE">
            <w:pPr>
              <w:pStyle w:val="ICFTableHeading"/>
            </w:pPr>
            <w:r w:rsidRPr="004C12C9">
              <w:t>Combusted</w:t>
            </w:r>
          </w:p>
        </w:tc>
        <w:tc>
          <w:tcPr>
            <w:tcW w:w="2004" w:type="dxa"/>
            <w:shd w:val="clear" w:color="auto" w:fill="D9D9D9" w:themeFill="background1" w:themeFillShade="D9"/>
          </w:tcPr>
          <w:p w14:paraId="0FB6E73C" w14:textId="77777777" w:rsidR="0091153C" w:rsidRPr="004C12C9" w:rsidRDefault="0091153C" w:rsidP="003739BE">
            <w:pPr>
              <w:pStyle w:val="ICFTableHeading"/>
            </w:pPr>
            <w:r w:rsidRPr="004C12C9">
              <w:t>Landfilled</w:t>
            </w:r>
          </w:p>
        </w:tc>
        <w:tc>
          <w:tcPr>
            <w:tcW w:w="2004" w:type="dxa"/>
            <w:shd w:val="clear" w:color="auto" w:fill="D9D9D9" w:themeFill="background1" w:themeFillShade="D9"/>
          </w:tcPr>
          <w:p w14:paraId="76D19C58" w14:textId="77777777" w:rsidR="0091153C" w:rsidRPr="004C12C9" w:rsidRDefault="0091153C" w:rsidP="003739BE">
            <w:pPr>
              <w:pStyle w:val="ICFTableHeading"/>
            </w:pPr>
            <w:r w:rsidRPr="004C12C9">
              <w:t>Combusted</w:t>
            </w:r>
          </w:p>
        </w:tc>
      </w:tr>
      <w:tr w:rsidR="0091153C" w:rsidRPr="004C12C9" w14:paraId="34D188FB" w14:textId="77777777" w:rsidTr="009D3812">
        <w:trPr>
          <w:trHeight w:val="20"/>
        </w:trPr>
        <w:tc>
          <w:tcPr>
            <w:tcW w:w="2150" w:type="dxa"/>
            <w:noWrap/>
            <w:hideMark/>
          </w:tcPr>
          <w:p w14:paraId="454857CD" w14:textId="77777777" w:rsidR="0091153C" w:rsidRPr="004C12C9" w:rsidRDefault="0091153C" w:rsidP="003739BE">
            <w:pPr>
              <w:pStyle w:val="ICFTabletext"/>
            </w:pPr>
            <w:r w:rsidRPr="004C12C9">
              <w:t>Aitkin</w:t>
            </w:r>
          </w:p>
        </w:tc>
        <w:tc>
          <w:tcPr>
            <w:tcW w:w="2003" w:type="dxa"/>
            <w:noWrap/>
            <w:hideMark/>
          </w:tcPr>
          <w:p w14:paraId="035D290B" w14:textId="4CB61725" w:rsidR="0091153C" w:rsidRPr="004C12C9" w:rsidRDefault="0091153C" w:rsidP="003739BE">
            <w:pPr>
              <w:pStyle w:val="ICFTabletext"/>
              <w:jc w:val="center"/>
            </w:pPr>
            <w:r w:rsidRPr="004C12C9">
              <w:t>8,846</w:t>
            </w:r>
          </w:p>
        </w:tc>
        <w:tc>
          <w:tcPr>
            <w:tcW w:w="2004" w:type="dxa"/>
          </w:tcPr>
          <w:p w14:paraId="27FC4F1C" w14:textId="01499E37" w:rsidR="0091153C" w:rsidRPr="004C12C9" w:rsidRDefault="0091153C" w:rsidP="003739BE">
            <w:pPr>
              <w:pStyle w:val="ICFTabletext"/>
              <w:jc w:val="center"/>
            </w:pPr>
            <w:r w:rsidRPr="004C12C9">
              <w:t>-</w:t>
            </w:r>
          </w:p>
        </w:tc>
        <w:tc>
          <w:tcPr>
            <w:tcW w:w="2004" w:type="dxa"/>
          </w:tcPr>
          <w:p w14:paraId="15739CEC" w14:textId="77777777" w:rsidR="0091153C" w:rsidRPr="004C12C9" w:rsidRDefault="0091153C" w:rsidP="003739BE">
            <w:pPr>
              <w:pStyle w:val="ICFTabletext"/>
              <w:jc w:val="center"/>
            </w:pPr>
            <w:r w:rsidRPr="004C12C9">
              <w:t>100%</w:t>
            </w:r>
          </w:p>
        </w:tc>
        <w:tc>
          <w:tcPr>
            <w:tcW w:w="2004" w:type="dxa"/>
          </w:tcPr>
          <w:p w14:paraId="0F57C29C" w14:textId="77777777" w:rsidR="0091153C" w:rsidRPr="004C12C9" w:rsidRDefault="0091153C" w:rsidP="003739BE">
            <w:pPr>
              <w:pStyle w:val="ICFTabletext"/>
              <w:jc w:val="center"/>
            </w:pPr>
            <w:r w:rsidRPr="004C12C9">
              <w:t>0%</w:t>
            </w:r>
          </w:p>
        </w:tc>
      </w:tr>
      <w:tr w:rsidR="0091153C" w:rsidRPr="004C12C9" w14:paraId="0CEEFF4D" w14:textId="77777777" w:rsidTr="009D3812">
        <w:trPr>
          <w:trHeight w:val="20"/>
        </w:trPr>
        <w:tc>
          <w:tcPr>
            <w:tcW w:w="2150" w:type="dxa"/>
            <w:noWrap/>
          </w:tcPr>
          <w:p w14:paraId="6580C266" w14:textId="77777777" w:rsidR="0091153C" w:rsidRPr="004C12C9" w:rsidRDefault="0091153C" w:rsidP="003739BE">
            <w:pPr>
              <w:pStyle w:val="ICFTabletext"/>
            </w:pPr>
            <w:r w:rsidRPr="004C12C9">
              <w:t>Anoka</w:t>
            </w:r>
          </w:p>
        </w:tc>
        <w:tc>
          <w:tcPr>
            <w:tcW w:w="2003" w:type="dxa"/>
            <w:noWrap/>
          </w:tcPr>
          <w:p w14:paraId="17AEAC42" w14:textId="4E2F06F0" w:rsidR="0091153C" w:rsidRPr="004C12C9" w:rsidRDefault="0091153C" w:rsidP="003739BE">
            <w:pPr>
              <w:pStyle w:val="ICFTabletext"/>
              <w:jc w:val="center"/>
            </w:pPr>
            <w:r w:rsidRPr="004C12C9">
              <w:t>200,756</w:t>
            </w:r>
          </w:p>
        </w:tc>
        <w:tc>
          <w:tcPr>
            <w:tcW w:w="2004" w:type="dxa"/>
          </w:tcPr>
          <w:p w14:paraId="2313145B" w14:textId="516D0A83" w:rsidR="0091153C" w:rsidRPr="004C12C9" w:rsidRDefault="0091153C" w:rsidP="003739BE">
            <w:pPr>
              <w:pStyle w:val="ICFTabletext"/>
              <w:jc w:val="center"/>
            </w:pPr>
            <w:r w:rsidRPr="004C12C9">
              <w:t>19,548</w:t>
            </w:r>
          </w:p>
        </w:tc>
        <w:tc>
          <w:tcPr>
            <w:tcW w:w="2004" w:type="dxa"/>
          </w:tcPr>
          <w:p w14:paraId="2E009943" w14:textId="77777777" w:rsidR="0091153C" w:rsidRPr="004C12C9" w:rsidRDefault="0091153C" w:rsidP="003739BE">
            <w:pPr>
              <w:pStyle w:val="ICFTabletext"/>
              <w:jc w:val="center"/>
            </w:pPr>
            <w:r w:rsidRPr="004C12C9">
              <w:t>91%</w:t>
            </w:r>
          </w:p>
        </w:tc>
        <w:tc>
          <w:tcPr>
            <w:tcW w:w="2004" w:type="dxa"/>
          </w:tcPr>
          <w:p w14:paraId="68046DA3" w14:textId="77777777" w:rsidR="0091153C" w:rsidRPr="004C12C9" w:rsidRDefault="0091153C" w:rsidP="003739BE">
            <w:pPr>
              <w:pStyle w:val="ICFTabletext"/>
              <w:jc w:val="center"/>
            </w:pPr>
            <w:r w:rsidRPr="004C12C9">
              <w:t>9%</w:t>
            </w:r>
          </w:p>
        </w:tc>
      </w:tr>
      <w:tr w:rsidR="0091153C" w:rsidRPr="004C12C9" w14:paraId="11454A19" w14:textId="77777777" w:rsidTr="009D3812">
        <w:trPr>
          <w:trHeight w:val="20"/>
        </w:trPr>
        <w:tc>
          <w:tcPr>
            <w:tcW w:w="2150" w:type="dxa"/>
            <w:noWrap/>
          </w:tcPr>
          <w:p w14:paraId="47C4F4D4" w14:textId="77777777" w:rsidR="0091153C" w:rsidRPr="004C12C9" w:rsidRDefault="0091153C" w:rsidP="003739BE">
            <w:pPr>
              <w:pStyle w:val="ICFTabletext"/>
            </w:pPr>
            <w:r w:rsidRPr="004C12C9">
              <w:t>Becker</w:t>
            </w:r>
          </w:p>
        </w:tc>
        <w:tc>
          <w:tcPr>
            <w:tcW w:w="2003" w:type="dxa"/>
            <w:noWrap/>
          </w:tcPr>
          <w:p w14:paraId="69F14A45" w14:textId="2F97BAB3" w:rsidR="0091153C" w:rsidRPr="004C12C9" w:rsidRDefault="0091153C" w:rsidP="003739BE">
            <w:pPr>
              <w:pStyle w:val="ICFTabletext"/>
              <w:jc w:val="center"/>
            </w:pPr>
            <w:r w:rsidRPr="004C12C9">
              <w:t>9,362</w:t>
            </w:r>
          </w:p>
        </w:tc>
        <w:tc>
          <w:tcPr>
            <w:tcW w:w="2004" w:type="dxa"/>
          </w:tcPr>
          <w:p w14:paraId="68BB306D" w14:textId="03566A8D" w:rsidR="0091153C" w:rsidRPr="004C12C9" w:rsidRDefault="0091153C" w:rsidP="003739BE">
            <w:pPr>
              <w:pStyle w:val="ICFTabletext"/>
              <w:jc w:val="center"/>
            </w:pPr>
            <w:r w:rsidRPr="004C12C9">
              <w:t>11,834</w:t>
            </w:r>
          </w:p>
        </w:tc>
        <w:tc>
          <w:tcPr>
            <w:tcW w:w="2004" w:type="dxa"/>
          </w:tcPr>
          <w:p w14:paraId="703DACFF" w14:textId="77777777" w:rsidR="0091153C" w:rsidRPr="004C12C9" w:rsidRDefault="0091153C" w:rsidP="003739BE">
            <w:pPr>
              <w:pStyle w:val="ICFTabletext"/>
              <w:jc w:val="center"/>
            </w:pPr>
            <w:r w:rsidRPr="004C12C9">
              <w:t>44%</w:t>
            </w:r>
          </w:p>
        </w:tc>
        <w:tc>
          <w:tcPr>
            <w:tcW w:w="2004" w:type="dxa"/>
          </w:tcPr>
          <w:p w14:paraId="0922A5F4" w14:textId="77777777" w:rsidR="0091153C" w:rsidRPr="004C12C9" w:rsidRDefault="0091153C" w:rsidP="003739BE">
            <w:pPr>
              <w:pStyle w:val="ICFTabletext"/>
              <w:jc w:val="center"/>
            </w:pPr>
            <w:r w:rsidRPr="004C12C9">
              <w:t>56%</w:t>
            </w:r>
          </w:p>
        </w:tc>
      </w:tr>
      <w:tr w:rsidR="0091153C" w:rsidRPr="004C12C9" w14:paraId="3605C36D" w14:textId="77777777" w:rsidTr="009D3812">
        <w:trPr>
          <w:trHeight w:val="20"/>
        </w:trPr>
        <w:tc>
          <w:tcPr>
            <w:tcW w:w="2150" w:type="dxa"/>
            <w:noWrap/>
          </w:tcPr>
          <w:p w14:paraId="2A386D5C" w14:textId="77777777" w:rsidR="0091153C" w:rsidRPr="004C12C9" w:rsidRDefault="0091153C" w:rsidP="003739BE">
            <w:pPr>
              <w:pStyle w:val="ICFTabletext"/>
            </w:pPr>
            <w:r w:rsidRPr="004C12C9">
              <w:t>Beltrami</w:t>
            </w:r>
          </w:p>
        </w:tc>
        <w:tc>
          <w:tcPr>
            <w:tcW w:w="2003" w:type="dxa"/>
            <w:noWrap/>
          </w:tcPr>
          <w:p w14:paraId="51C838D0" w14:textId="7BE56FA1" w:rsidR="0091153C" w:rsidRPr="004C12C9" w:rsidRDefault="0091153C" w:rsidP="003739BE">
            <w:pPr>
              <w:pStyle w:val="ICFTabletext"/>
              <w:jc w:val="center"/>
            </w:pPr>
            <w:r w:rsidRPr="004C12C9">
              <w:t>11,857</w:t>
            </w:r>
          </w:p>
        </w:tc>
        <w:tc>
          <w:tcPr>
            <w:tcW w:w="2004" w:type="dxa"/>
          </w:tcPr>
          <w:p w14:paraId="09386DF7" w14:textId="73EE70E4" w:rsidR="0091153C" w:rsidRPr="004C12C9" w:rsidRDefault="0091153C" w:rsidP="003739BE">
            <w:pPr>
              <w:pStyle w:val="ICFTabletext"/>
              <w:jc w:val="center"/>
            </w:pPr>
            <w:r w:rsidRPr="004C12C9">
              <w:t>8,434</w:t>
            </w:r>
          </w:p>
        </w:tc>
        <w:tc>
          <w:tcPr>
            <w:tcW w:w="2004" w:type="dxa"/>
          </w:tcPr>
          <w:p w14:paraId="54DF4D82" w14:textId="77777777" w:rsidR="0091153C" w:rsidRPr="004C12C9" w:rsidRDefault="0091153C" w:rsidP="003739BE">
            <w:pPr>
              <w:pStyle w:val="ICFTabletext"/>
              <w:jc w:val="center"/>
            </w:pPr>
            <w:r w:rsidRPr="004C12C9">
              <w:t>58%</w:t>
            </w:r>
          </w:p>
        </w:tc>
        <w:tc>
          <w:tcPr>
            <w:tcW w:w="2004" w:type="dxa"/>
          </w:tcPr>
          <w:p w14:paraId="15AD5796" w14:textId="77777777" w:rsidR="0091153C" w:rsidRPr="004C12C9" w:rsidRDefault="0091153C" w:rsidP="003739BE">
            <w:pPr>
              <w:pStyle w:val="ICFTabletext"/>
              <w:jc w:val="center"/>
            </w:pPr>
            <w:r w:rsidRPr="004C12C9">
              <w:t>42%</w:t>
            </w:r>
          </w:p>
        </w:tc>
      </w:tr>
      <w:tr w:rsidR="0091153C" w:rsidRPr="004C12C9" w14:paraId="771270F6" w14:textId="77777777" w:rsidTr="009D3812">
        <w:trPr>
          <w:trHeight w:val="20"/>
        </w:trPr>
        <w:tc>
          <w:tcPr>
            <w:tcW w:w="2150" w:type="dxa"/>
            <w:noWrap/>
          </w:tcPr>
          <w:p w14:paraId="1626ED57" w14:textId="77777777" w:rsidR="0091153C" w:rsidRPr="004C12C9" w:rsidRDefault="0091153C" w:rsidP="003739BE">
            <w:pPr>
              <w:pStyle w:val="ICFTabletext"/>
            </w:pPr>
            <w:r w:rsidRPr="004C12C9">
              <w:t>Benton</w:t>
            </w:r>
          </w:p>
        </w:tc>
        <w:tc>
          <w:tcPr>
            <w:tcW w:w="2003" w:type="dxa"/>
            <w:noWrap/>
          </w:tcPr>
          <w:p w14:paraId="6E6BD3AE" w14:textId="1A6FF3F8" w:rsidR="0091153C" w:rsidRPr="004C12C9" w:rsidRDefault="0091153C" w:rsidP="003739BE">
            <w:pPr>
              <w:pStyle w:val="ICFTabletext"/>
              <w:jc w:val="center"/>
            </w:pPr>
            <w:r w:rsidRPr="004C12C9">
              <w:t>10,891</w:t>
            </w:r>
          </w:p>
        </w:tc>
        <w:tc>
          <w:tcPr>
            <w:tcW w:w="2004" w:type="dxa"/>
          </w:tcPr>
          <w:p w14:paraId="39A4B971" w14:textId="1A23D227" w:rsidR="0091153C" w:rsidRPr="004C12C9" w:rsidRDefault="0091153C" w:rsidP="003739BE">
            <w:pPr>
              <w:pStyle w:val="ICFTabletext"/>
              <w:jc w:val="center"/>
            </w:pPr>
            <w:r w:rsidRPr="004C12C9">
              <w:t>8,130</w:t>
            </w:r>
          </w:p>
        </w:tc>
        <w:tc>
          <w:tcPr>
            <w:tcW w:w="2004" w:type="dxa"/>
          </w:tcPr>
          <w:p w14:paraId="7F6AE802" w14:textId="77777777" w:rsidR="0091153C" w:rsidRPr="004C12C9" w:rsidRDefault="0091153C" w:rsidP="003739BE">
            <w:pPr>
              <w:pStyle w:val="ICFTabletext"/>
              <w:jc w:val="center"/>
            </w:pPr>
            <w:r w:rsidRPr="004C12C9">
              <w:t>57%</w:t>
            </w:r>
          </w:p>
        </w:tc>
        <w:tc>
          <w:tcPr>
            <w:tcW w:w="2004" w:type="dxa"/>
          </w:tcPr>
          <w:p w14:paraId="43538B43" w14:textId="77777777" w:rsidR="0091153C" w:rsidRPr="004C12C9" w:rsidRDefault="0091153C" w:rsidP="003739BE">
            <w:pPr>
              <w:pStyle w:val="ICFTabletext"/>
              <w:jc w:val="center"/>
            </w:pPr>
            <w:r w:rsidRPr="004C12C9">
              <w:t>43%</w:t>
            </w:r>
          </w:p>
        </w:tc>
      </w:tr>
      <w:tr w:rsidR="0091153C" w:rsidRPr="004C12C9" w14:paraId="7045E2E5" w14:textId="77777777" w:rsidTr="009D3812">
        <w:trPr>
          <w:trHeight w:val="20"/>
        </w:trPr>
        <w:tc>
          <w:tcPr>
            <w:tcW w:w="2150" w:type="dxa"/>
            <w:noWrap/>
          </w:tcPr>
          <w:p w14:paraId="19849597" w14:textId="77777777" w:rsidR="0091153C" w:rsidRPr="004C12C9" w:rsidRDefault="0091153C" w:rsidP="003739BE">
            <w:pPr>
              <w:pStyle w:val="ICFTabletext"/>
            </w:pPr>
            <w:r w:rsidRPr="004C12C9">
              <w:t>Big Stone</w:t>
            </w:r>
          </w:p>
        </w:tc>
        <w:tc>
          <w:tcPr>
            <w:tcW w:w="2003" w:type="dxa"/>
            <w:noWrap/>
          </w:tcPr>
          <w:p w14:paraId="0E6B7E07" w14:textId="5726D2B1" w:rsidR="0091153C" w:rsidRPr="004C12C9" w:rsidRDefault="0091153C" w:rsidP="003739BE">
            <w:pPr>
              <w:pStyle w:val="ICFTabletext"/>
              <w:jc w:val="center"/>
            </w:pPr>
            <w:r w:rsidRPr="004C12C9">
              <w:t>2,841</w:t>
            </w:r>
          </w:p>
        </w:tc>
        <w:tc>
          <w:tcPr>
            <w:tcW w:w="2004" w:type="dxa"/>
          </w:tcPr>
          <w:p w14:paraId="4CCE808C" w14:textId="155E762B" w:rsidR="0091153C" w:rsidRPr="004C12C9" w:rsidRDefault="0091153C" w:rsidP="003739BE">
            <w:pPr>
              <w:pStyle w:val="ICFTabletext"/>
              <w:jc w:val="center"/>
            </w:pPr>
            <w:r w:rsidRPr="004C12C9">
              <w:t>-</w:t>
            </w:r>
          </w:p>
        </w:tc>
        <w:tc>
          <w:tcPr>
            <w:tcW w:w="2004" w:type="dxa"/>
          </w:tcPr>
          <w:p w14:paraId="292668EE" w14:textId="77777777" w:rsidR="0091153C" w:rsidRPr="004C12C9" w:rsidRDefault="0091153C" w:rsidP="003739BE">
            <w:pPr>
              <w:pStyle w:val="ICFTabletext"/>
              <w:jc w:val="center"/>
            </w:pPr>
            <w:r w:rsidRPr="004C12C9">
              <w:t>100%</w:t>
            </w:r>
          </w:p>
        </w:tc>
        <w:tc>
          <w:tcPr>
            <w:tcW w:w="2004" w:type="dxa"/>
          </w:tcPr>
          <w:p w14:paraId="419445C8" w14:textId="77777777" w:rsidR="0091153C" w:rsidRPr="004C12C9" w:rsidRDefault="0091153C" w:rsidP="003739BE">
            <w:pPr>
              <w:pStyle w:val="ICFTabletext"/>
              <w:jc w:val="center"/>
            </w:pPr>
            <w:r w:rsidRPr="004C12C9">
              <w:t>0%</w:t>
            </w:r>
          </w:p>
        </w:tc>
      </w:tr>
      <w:tr w:rsidR="0091153C" w:rsidRPr="004C12C9" w14:paraId="0516FD06" w14:textId="77777777" w:rsidTr="009D3812">
        <w:trPr>
          <w:trHeight w:val="20"/>
        </w:trPr>
        <w:tc>
          <w:tcPr>
            <w:tcW w:w="2150" w:type="dxa"/>
            <w:noWrap/>
          </w:tcPr>
          <w:p w14:paraId="441E51D8" w14:textId="77777777" w:rsidR="0091153C" w:rsidRPr="004C12C9" w:rsidRDefault="0091153C" w:rsidP="003739BE">
            <w:pPr>
              <w:pStyle w:val="ICFTabletext"/>
            </w:pPr>
            <w:r w:rsidRPr="004C12C9">
              <w:t>Blue Earth</w:t>
            </w:r>
          </w:p>
        </w:tc>
        <w:tc>
          <w:tcPr>
            <w:tcW w:w="2003" w:type="dxa"/>
            <w:noWrap/>
          </w:tcPr>
          <w:p w14:paraId="5A369F9D" w14:textId="55DFF25C" w:rsidR="0091153C" w:rsidRPr="004C12C9" w:rsidRDefault="0091153C" w:rsidP="003739BE">
            <w:pPr>
              <w:pStyle w:val="ICFTabletext"/>
              <w:jc w:val="center"/>
            </w:pPr>
            <w:r w:rsidRPr="004C12C9">
              <w:t>33,314</w:t>
            </w:r>
          </w:p>
        </w:tc>
        <w:tc>
          <w:tcPr>
            <w:tcW w:w="2004" w:type="dxa"/>
          </w:tcPr>
          <w:p w14:paraId="7C962332" w14:textId="374A2276" w:rsidR="0091153C" w:rsidRPr="004C12C9" w:rsidRDefault="0091153C" w:rsidP="003739BE">
            <w:pPr>
              <w:pStyle w:val="ICFTabletext"/>
              <w:jc w:val="center"/>
            </w:pPr>
            <w:r w:rsidRPr="004C12C9">
              <w:t>24,020</w:t>
            </w:r>
          </w:p>
        </w:tc>
        <w:tc>
          <w:tcPr>
            <w:tcW w:w="2004" w:type="dxa"/>
          </w:tcPr>
          <w:p w14:paraId="26D13B36" w14:textId="77777777" w:rsidR="0091153C" w:rsidRPr="004C12C9" w:rsidRDefault="0091153C" w:rsidP="003739BE">
            <w:pPr>
              <w:pStyle w:val="ICFTabletext"/>
              <w:jc w:val="center"/>
            </w:pPr>
            <w:r w:rsidRPr="004C12C9">
              <w:t>58%</w:t>
            </w:r>
          </w:p>
        </w:tc>
        <w:tc>
          <w:tcPr>
            <w:tcW w:w="2004" w:type="dxa"/>
          </w:tcPr>
          <w:p w14:paraId="43D95ECF" w14:textId="77777777" w:rsidR="0091153C" w:rsidRPr="004C12C9" w:rsidRDefault="0091153C" w:rsidP="003739BE">
            <w:pPr>
              <w:pStyle w:val="ICFTabletext"/>
              <w:jc w:val="center"/>
            </w:pPr>
            <w:r w:rsidRPr="004C12C9">
              <w:t>42%</w:t>
            </w:r>
          </w:p>
        </w:tc>
      </w:tr>
      <w:tr w:rsidR="0091153C" w:rsidRPr="004C12C9" w14:paraId="03B055B3" w14:textId="77777777" w:rsidTr="009D3812">
        <w:trPr>
          <w:trHeight w:val="20"/>
        </w:trPr>
        <w:tc>
          <w:tcPr>
            <w:tcW w:w="2150" w:type="dxa"/>
            <w:noWrap/>
          </w:tcPr>
          <w:p w14:paraId="5DF59024" w14:textId="77777777" w:rsidR="0091153C" w:rsidRPr="004C12C9" w:rsidRDefault="0091153C" w:rsidP="003739BE">
            <w:pPr>
              <w:pStyle w:val="ICFTabletext"/>
            </w:pPr>
            <w:r w:rsidRPr="004C12C9">
              <w:t>Brown</w:t>
            </w:r>
          </w:p>
        </w:tc>
        <w:tc>
          <w:tcPr>
            <w:tcW w:w="2003" w:type="dxa"/>
            <w:noWrap/>
          </w:tcPr>
          <w:p w14:paraId="30A7A16D" w14:textId="00A9C0D3" w:rsidR="0091153C" w:rsidRPr="004C12C9" w:rsidRDefault="0091153C" w:rsidP="003739BE">
            <w:pPr>
              <w:pStyle w:val="ICFTabletext"/>
              <w:jc w:val="center"/>
            </w:pPr>
            <w:r w:rsidRPr="004C12C9">
              <w:t>23,251</w:t>
            </w:r>
          </w:p>
        </w:tc>
        <w:tc>
          <w:tcPr>
            <w:tcW w:w="2004" w:type="dxa"/>
          </w:tcPr>
          <w:p w14:paraId="29E89F1A" w14:textId="2767C1C4" w:rsidR="0091153C" w:rsidRPr="004C12C9" w:rsidRDefault="0091153C" w:rsidP="003739BE">
            <w:pPr>
              <w:pStyle w:val="ICFTabletext"/>
              <w:jc w:val="center"/>
            </w:pPr>
            <w:r w:rsidRPr="004C12C9">
              <w:t>3,055</w:t>
            </w:r>
          </w:p>
        </w:tc>
        <w:tc>
          <w:tcPr>
            <w:tcW w:w="2004" w:type="dxa"/>
          </w:tcPr>
          <w:p w14:paraId="5C2C6D61" w14:textId="77777777" w:rsidR="0091153C" w:rsidRPr="004C12C9" w:rsidRDefault="0091153C" w:rsidP="003739BE">
            <w:pPr>
              <w:pStyle w:val="ICFTabletext"/>
              <w:jc w:val="center"/>
            </w:pPr>
            <w:r w:rsidRPr="004C12C9">
              <w:t>88%</w:t>
            </w:r>
          </w:p>
        </w:tc>
        <w:tc>
          <w:tcPr>
            <w:tcW w:w="2004" w:type="dxa"/>
          </w:tcPr>
          <w:p w14:paraId="2F6D0046" w14:textId="77777777" w:rsidR="0091153C" w:rsidRPr="004C12C9" w:rsidRDefault="0091153C" w:rsidP="003739BE">
            <w:pPr>
              <w:pStyle w:val="ICFTabletext"/>
              <w:jc w:val="center"/>
            </w:pPr>
            <w:r w:rsidRPr="004C12C9">
              <w:t>12%</w:t>
            </w:r>
          </w:p>
        </w:tc>
      </w:tr>
      <w:tr w:rsidR="0091153C" w:rsidRPr="004C12C9" w14:paraId="0918DABE" w14:textId="77777777" w:rsidTr="009D3812">
        <w:trPr>
          <w:trHeight w:val="20"/>
        </w:trPr>
        <w:tc>
          <w:tcPr>
            <w:tcW w:w="2150" w:type="dxa"/>
            <w:noWrap/>
          </w:tcPr>
          <w:p w14:paraId="1ED46675" w14:textId="77777777" w:rsidR="0091153C" w:rsidRPr="004C12C9" w:rsidRDefault="0091153C" w:rsidP="003739BE">
            <w:pPr>
              <w:pStyle w:val="ICFTabletext"/>
            </w:pPr>
            <w:r w:rsidRPr="004C12C9">
              <w:t>Carlton</w:t>
            </w:r>
          </w:p>
        </w:tc>
        <w:tc>
          <w:tcPr>
            <w:tcW w:w="2003" w:type="dxa"/>
            <w:noWrap/>
          </w:tcPr>
          <w:p w14:paraId="556B5358" w14:textId="43636D0C" w:rsidR="0091153C" w:rsidRPr="004C12C9" w:rsidRDefault="0091153C" w:rsidP="003739BE">
            <w:pPr>
              <w:pStyle w:val="ICFTabletext"/>
              <w:jc w:val="center"/>
            </w:pPr>
            <w:r w:rsidRPr="004C12C9">
              <w:t>16,109</w:t>
            </w:r>
          </w:p>
        </w:tc>
        <w:tc>
          <w:tcPr>
            <w:tcW w:w="2004" w:type="dxa"/>
          </w:tcPr>
          <w:p w14:paraId="116943B1" w14:textId="40B6AC23" w:rsidR="0091153C" w:rsidRPr="004C12C9" w:rsidRDefault="0091153C" w:rsidP="003739BE">
            <w:pPr>
              <w:pStyle w:val="ICFTabletext"/>
              <w:jc w:val="center"/>
            </w:pPr>
            <w:r w:rsidRPr="004C12C9">
              <w:t>-</w:t>
            </w:r>
          </w:p>
        </w:tc>
        <w:tc>
          <w:tcPr>
            <w:tcW w:w="2004" w:type="dxa"/>
          </w:tcPr>
          <w:p w14:paraId="0E56A649" w14:textId="77777777" w:rsidR="0091153C" w:rsidRPr="004C12C9" w:rsidRDefault="0091153C" w:rsidP="003739BE">
            <w:pPr>
              <w:pStyle w:val="ICFTabletext"/>
              <w:jc w:val="center"/>
            </w:pPr>
            <w:r w:rsidRPr="004C12C9">
              <w:t>100%</w:t>
            </w:r>
          </w:p>
        </w:tc>
        <w:tc>
          <w:tcPr>
            <w:tcW w:w="2004" w:type="dxa"/>
          </w:tcPr>
          <w:p w14:paraId="2D35EEDA" w14:textId="77777777" w:rsidR="0091153C" w:rsidRPr="004C12C9" w:rsidRDefault="0091153C" w:rsidP="003739BE">
            <w:pPr>
              <w:pStyle w:val="ICFTabletext"/>
              <w:jc w:val="center"/>
            </w:pPr>
            <w:r w:rsidRPr="004C12C9">
              <w:t>0%</w:t>
            </w:r>
          </w:p>
        </w:tc>
      </w:tr>
      <w:tr w:rsidR="0091153C" w:rsidRPr="004C12C9" w14:paraId="3AF8598E" w14:textId="77777777" w:rsidTr="009D3812">
        <w:trPr>
          <w:trHeight w:val="20"/>
        </w:trPr>
        <w:tc>
          <w:tcPr>
            <w:tcW w:w="2150" w:type="dxa"/>
            <w:noWrap/>
          </w:tcPr>
          <w:p w14:paraId="198C71AF" w14:textId="77777777" w:rsidR="0091153C" w:rsidRPr="004C12C9" w:rsidRDefault="0091153C" w:rsidP="003739BE">
            <w:pPr>
              <w:pStyle w:val="ICFTabletext"/>
            </w:pPr>
            <w:r w:rsidRPr="004C12C9">
              <w:t>Carver</w:t>
            </w:r>
          </w:p>
        </w:tc>
        <w:tc>
          <w:tcPr>
            <w:tcW w:w="2003" w:type="dxa"/>
            <w:noWrap/>
          </w:tcPr>
          <w:p w14:paraId="3BF20511" w14:textId="2179F414" w:rsidR="0091153C" w:rsidRPr="004C12C9" w:rsidRDefault="0091153C" w:rsidP="003739BE">
            <w:pPr>
              <w:pStyle w:val="ICFTabletext"/>
              <w:jc w:val="center"/>
            </w:pPr>
            <w:r w:rsidRPr="004C12C9">
              <w:t>57,084</w:t>
            </w:r>
          </w:p>
        </w:tc>
        <w:tc>
          <w:tcPr>
            <w:tcW w:w="2004" w:type="dxa"/>
          </w:tcPr>
          <w:p w14:paraId="4EB92362" w14:textId="244150C6" w:rsidR="0091153C" w:rsidRPr="004C12C9" w:rsidRDefault="0091153C" w:rsidP="003739BE">
            <w:pPr>
              <w:pStyle w:val="ICFTabletext"/>
              <w:jc w:val="center"/>
            </w:pPr>
            <w:r w:rsidRPr="004C12C9">
              <w:t>7</w:t>
            </w:r>
          </w:p>
        </w:tc>
        <w:tc>
          <w:tcPr>
            <w:tcW w:w="2004" w:type="dxa"/>
          </w:tcPr>
          <w:p w14:paraId="2F8F4802" w14:textId="77777777" w:rsidR="0091153C" w:rsidRPr="004C12C9" w:rsidRDefault="0091153C" w:rsidP="003739BE">
            <w:pPr>
              <w:pStyle w:val="ICFTabletext"/>
              <w:jc w:val="center"/>
            </w:pPr>
            <w:r w:rsidRPr="004C12C9">
              <w:t>100%</w:t>
            </w:r>
          </w:p>
        </w:tc>
        <w:tc>
          <w:tcPr>
            <w:tcW w:w="2004" w:type="dxa"/>
          </w:tcPr>
          <w:p w14:paraId="26CA53AA" w14:textId="77777777" w:rsidR="0091153C" w:rsidRPr="004C12C9" w:rsidRDefault="0091153C" w:rsidP="003739BE">
            <w:pPr>
              <w:pStyle w:val="ICFTabletext"/>
              <w:jc w:val="center"/>
            </w:pPr>
            <w:r w:rsidRPr="004C12C9">
              <w:t>0%</w:t>
            </w:r>
          </w:p>
        </w:tc>
      </w:tr>
      <w:tr w:rsidR="0091153C" w:rsidRPr="004C12C9" w14:paraId="68714D12" w14:textId="77777777" w:rsidTr="009D3812">
        <w:trPr>
          <w:trHeight w:val="20"/>
        </w:trPr>
        <w:tc>
          <w:tcPr>
            <w:tcW w:w="2150" w:type="dxa"/>
            <w:noWrap/>
          </w:tcPr>
          <w:p w14:paraId="64906A49" w14:textId="77777777" w:rsidR="0091153C" w:rsidRPr="004C12C9" w:rsidRDefault="0091153C" w:rsidP="003739BE">
            <w:pPr>
              <w:pStyle w:val="ICFTabletext"/>
            </w:pPr>
            <w:r w:rsidRPr="004C12C9">
              <w:t>Cass</w:t>
            </w:r>
          </w:p>
        </w:tc>
        <w:tc>
          <w:tcPr>
            <w:tcW w:w="2003" w:type="dxa"/>
            <w:noWrap/>
          </w:tcPr>
          <w:p w14:paraId="134A5A39" w14:textId="239C52D3" w:rsidR="0091153C" w:rsidRPr="004C12C9" w:rsidRDefault="0091153C" w:rsidP="003739BE">
            <w:pPr>
              <w:pStyle w:val="ICFTabletext"/>
              <w:jc w:val="center"/>
            </w:pPr>
            <w:r w:rsidRPr="004C12C9">
              <w:t>19,512</w:t>
            </w:r>
          </w:p>
        </w:tc>
        <w:tc>
          <w:tcPr>
            <w:tcW w:w="2004" w:type="dxa"/>
          </w:tcPr>
          <w:p w14:paraId="2673FF2C" w14:textId="1E5E0478" w:rsidR="0091153C" w:rsidRPr="004C12C9" w:rsidRDefault="0091153C" w:rsidP="003739BE">
            <w:pPr>
              <w:pStyle w:val="ICFTabletext"/>
              <w:jc w:val="center"/>
            </w:pPr>
            <w:r w:rsidRPr="004C12C9">
              <w:t>-</w:t>
            </w:r>
          </w:p>
        </w:tc>
        <w:tc>
          <w:tcPr>
            <w:tcW w:w="2004" w:type="dxa"/>
          </w:tcPr>
          <w:p w14:paraId="4B10F2E1" w14:textId="77777777" w:rsidR="0091153C" w:rsidRPr="004C12C9" w:rsidRDefault="0091153C" w:rsidP="003739BE">
            <w:pPr>
              <w:pStyle w:val="ICFTabletext"/>
              <w:jc w:val="center"/>
            </w:pPr>
            <w:r w:rsidRPr="004C12C9">
              <w:t>100%</w:t>
            </w:r>
          </w:p>
        </w:tc>
        <w:tc>
          <w:tcPr>
            <w:tcW w:w="2004" w:type="dxa"/>
          </w:tcPr>
          <w:p w14:paraId="64428EE8" w14:textId="77777777" w:rsidR="0091153C" w:rsidRPr="004C12C9" w:rsidRDefault="0091153C" w:rsidP="003739BE">
            <w:pPr>
              <w:pStyle w:val="ICFTabletext"/>
              <w:jc w:val="center"/>
            </w:pPr>
            <w:r w:rsidRPr="004C12C9">
              <w:t>0%</w:t>
            </w:r>
          </w:p>
        </w:tc>
      </w:tr>
      <w:tr w:rsidR="0091153C" w:rsidRPr="004C12C9" w14:paraId="3B5342B5" w14:textId="77777777" w:rsidTr="009D3812">
        <w:trPr>
          <w:trHeight w:val="20"/>
        </w:trPr>
        <w:tc>
          <w:tcPr>
            <w:tcW w:w="2150" w:type="dxa"/>
            <w:noWrap/>
          </w:tcPr>
          <w:p w14:paraId="5DA68FDE" w14:textId="77777777" w:rsidR="0091153C" w:rsidRPr="004C12C9" w:rsidRDefault="0091153C" w:rsidP="003739BE">
            <w:pPr>
              <w:pStyle w:val="ICFTabletext"/>
            </w:pPr>
            <w:r w:rsidRPr="004C12C9">
              <w:t>Chippewa</w:t>
            </w:r>
          </w:p>
        </w:tc>
        <w:tc>
          <w:tcPr>
            <w:tcW w:w="2003" w:type="dxa"/>
            <w:noWrap/>
          </w:tcPr>
          <w:p w14:paraId="59EA19CE" w14:textId="409533F8" w:rsidR="0091153C" w:rsidRPr="004C12C9" w:rsidRDefault="0091153C" w:rsidP="003739BE">
            <w:pPr>
              <w:pStyle w:val="ICFTabletext"/>
              <w:jc w:val="center"/>
            </w:pPr>
            <w:r w:rsidRPr="004C12C9">
              <w:t>11,382</w:t>
            </w:r>
          </w:p>
        </w:tc>
        <w:tc>
          <w:tcPr>
            <w:tcW w:w="2004" w:type="dxa"/>
          </w:tcPr>
          <w:p w14:paraId="04ECCBBB" w14:textId="5171864E" w:rsidR="0091153C" w:rsidRPr="004C12C9" w:rsidRDefault="0091153C" w:rsidP="003739BE">
            <w:pPr>
              <w:pStyle w:val="ICFTabletext"/>
              <w:jc w:val="center"/>
            </w:pPr>
            <w:r w:rsidRPr="004C12C9">
              <w:t>-</w:t>
            </w:r>
          </w:p>
        </w:tc>
        <w:tc>
          <w:tcPr>
            <w:tcW w:w="2004" w:type="dxa"/>
          </w:tcPr>
          <w:p w14:paraId="0B507AE3" w14:textId="77777777" w:rsidR="0091153C" w:rsidRPr="004C12C9" w:rsidRDefault="0091153C" w:rsidP="003739BE">
            <w:pPr>
              <w:pStyle w:val="ICFTabletext"/>
              <w:jc w:val="center"/>
            </w:pPr>
            <w:r w:rsidRPr="004C12C9">
              <w:t>100%</w:t>
            </w:r>
          </w:p>
        </w:tc>
        <w:tc>
          <w:tcPr>
            <w:tcW w:w="2004" w:type="dxa"/>
          </w:tcPr>
          <w:p w14:paraId="2987018D" w14:textId="77777777" w:rsidR="0091153C" w:rsidRPr="004C12C9" w:rsidRDefault="0091153C" w:rsidP="003739BE">
            <w:pPr>
              <w:pStyle w:val="ICFTabletext"/>
              <w:jc w:val="center"/>
            </w:pPr>
            <w:r w:rsidRPr="004C12C9">
              <w:t>0%</w:t>
            </w:r>
          </w:p>
        </w:tc>
      </w:tr>
      <w:tr w:rsidR="0091153C" w:rsidRPr="004C12C9" w14:paraId="28B9B5CA" w14:textId="77777777" w:rsidTr="009D3812">
        <w:trPr>
          <w:trHeight w:val="20"/>
        </w:trPr>
        <w:tc>
          <w:tcPr>
            <w:tcW w:w="2150" w:type="dxa"/>
            <w:noWrap/>
          </w:tcPr>
          <w:p w14:paraId="0432F459" w14:textId="77777777" w:rsidR="0091153C" w:rsidRPr="004C12C9" w:rsidRDefault="0091153C" w:rsidP="003739BE">
            <w:pPr>
              <w:pStyle w:val="ICFTabletext"/>
            </w:pPr>
            <w:r w:rsidRPr="004C12C9">
              <w:t>Chisago</w:t>
            </w:r>
          </w:p>
        </w:tc>
        <w:tc>
          <w:tcPr>
            <w:tcW w:w="2003" w:type="dxa"/>
            <w:noWrap/>
          </w:tcPr>
          <w:p w14:paraId="31D49E99" w14:textId="565E476E" w:rsidR="0091153C" w:rsidRPr="004C12C9" w:rsidRDefault="0091153C" w:rsidP="003739BE">
            <w:pPr>
              <w:pStyle w:val="ICFTabletext"/>
              <w:jc w:val="center"/>
            </w:pPr>
            <w:r w:rsidRPr="004C12C9">
              <w:t>34,543</w:t>
            </w:r>
          </w:p>
        </w:tc>
        <w:tc>
          <w:tcPr>
            <w:tcW w:w="2004" w:type="dxa"/>
          </w:tcPr>
          <w:p w14:paraId="44D52A20" w14:textId="32696F94" w:rsidR="0091153C" w:rsidRPr="004C12C9" w:rsidRDefault="0091153C" w:rsidP="003739BE">
            <w:pPr>
              <w:pStyle w:val="ICFTabletext"/>
              <w:jc w:val="center"/>
            </w:pPr>
            <w:r w:rsidRPr="004C12C9">
              <w:t>-</w:t>
            </w:r>
          </w:p>
        </w:tc>
        <w:tc>
          <w:tcPr>
            <w:tcW w:w="2004" w:type="dxa"/>
          </w:tcPr>
          <w:p w14:paraId="40BDDF99" w14:textId="77777777" w:rsidR="0091153C" w:rsidRPr="004C12C9" w:rsidRDefault="0091153C" w:rsidP="003739BE">
            <w:pPr>
              <w:pStyle w:val="ICFTabletext"/>
              <w:jc w:val="center"/>
            </w:pPr>
            <w:r w:rsidRPr="004C12C9">
              <w:t>100%</w:t>
            </w:r>
          </w:p>
        </w:tc>
        <w:tc>
          <w:tcPr>
            <w:tcW w:w="2004" w:type="dxa"/>
          </w:tcPr>
          <w:p w14:paraId="4F37BF7B" w14:textId="77777777" w:rsidR="0091153C" w:rsidRPr="004C12C9" w:rsidRDefault="0091153C" w:rsidP="003739BE">
            <w:pPr>
              <w:pStyle w:val="ICFTabletext"/>
              <w:jc w:val="center"/>
            </w:pPr>
            <w:r w:rsidRPr="004C12C9">
              <w:t>0%</w:t>
            </w:r>
          </w:p>
        </w:tc>
      </w:tr>
      <w:tr w:rsidR="0091153C" w:rsidRPr="004C12C9" w14:paraId="38E987CA" w14:textId="77777777" w:rsidTr="009D3812">
        <w:trPr>
          <w:trHeight w:val="20"/>
        </w:trPr>
        <w:tc>
          <w:tcPr>
            <w:tcW w:w="2150" w:type="dxa"/>
            <w:noWrap/>
          </w:tcPr>
          <w:p w14:paraId="777FD3A1" w14:textId="77777777" w:rsidR="0091153C" w:rsidRPr="004C12C9" w:rsidRDefault="0091153C" w:rsidP="003739BE">
            <w:pPr>
              <w:pStyle w:val="ICFTabletext"/>
            </w:pPr>
            <w:r w:rsidRPr="004C12C9">
              <w:t>Clay</w:t>
            </w:r>
          </w:p>
        </w:tc>
        <w:tc>
          <w:tcPr>
            <w:tcW w:w="2003" w:type="dxa"/>
            <w:noWrap/>
          </w:tcPr>
          <w:p w14:paraId="7DE6D21A" w14:textId="63C2DF16" w:rsidR="0091153C" w:rsidRPr="004C12C9" w:rsidRDefault="0091153C" w:rsidP="003739BE">
            <w:pPr>
              <w:pStyle w:val="ICFTabletext"/>
              <w:jc w:val="center"/>
            </w:pPr>
            <w:r w:rsidRPr="004C12C9">
              <w:t>32,383</w:t>
            </w:r>
          </w:p>
        </w:tc>
        <w:tc>
          <w:tcPr>
            <w:tcW w:w="2004" w:type="dxa"/>
          </w:tcPr>
          <w:p w14:paraId="1B173126" w14:textId="6BFAE4B8" w:rsidR="0091153C" w:rsidRPr="004C12C9" w:rsidRDefault="0091153C" w:rsidP="003739BE">
            <w:pPr>
              <w:pStyle w:val="ICFTabletext"/>
              <w:jc w:val="center"/>
            </w:pPr>
            <w:r w:rsidRPr="004C12C9">
              <w:t>6,440</w:t>
            </w:r>
          </w:p>
        </w:tc>
        <w:tc>
          <w:tcPr>
            <w:tcW w:w="2004" w:type="dxa"/>
          </w:tcPr>
          <w:p w14:paraId="63C54277" w14:textId="77777777" w:rsidR="0091153C" w:rsidRPr="004C12C9" w:rsidRDefault="0091153C" w:rsidP="003739BE">
            <w:pPr>
              <w:pStyle w:val="ICFTabletext"/>
              <w:jc w:val="center"/>
            </w:pPr>
            <w:r w:rsidRPr="004C12C9">
              <w:t>83%</w:t>
            </w:r>
          </w:p>
        </w:tc>
        <w:tc>
          <w:tcPr>
            <w:tcW w:w="2004" w:type="dxa"/>
          </w:tcPr>
          <w:p w14:paraId="2193A9E5" w14:textId="77777777" w:rsidR="0091153C" w:rsidRPr="004C12C9" w:rsidRDefault="0091153C" w:rsidP="003739BE">
            <w:pPr>
              <w:pStyle w:val="ICFTabletext"/>
              <w:jc w:val="center"/>
            </w:pPr>
            <w:r w:rsidRPr="004C12C9">
              <w:t>17%</w:t>
            </w:r>
          </w:p>
        </w:tc>
      </w:tr>
      <w:tr w:rsidR="0091153C" w:rsidRPr="004C12C9" w14:paraId="54325850" w14:textId="77777777" w:rsidTr="009D3812">
        <w:trPr>
          <w:trHeight w:val="20"/>
        </w:trPr>
        <w:tc>
          <w:tcPr>
            <w:tcW w:w="2150" w:type="dxa"/>
            <w:noWrap/>
          </w:tcPr>
          <w:p w14:paraId="720B22CD" w14:textId="77777777" w:rsidR="0091153C" w:rsidRPr="004C12C9" w:rsidRDefault="0091153C" w:rsidP="003739BE">
            <w:pPr>
              <w:pStyle w:val="ICFTabletext"/>
            </w:pPr>
            <w:r w:rsidRPr="004C12C9">
              <w:t>Clearwater</w:t>
            </w:r>
          </w:p>
        </w:tc>
        <w:tc>
          <w:tcPr>
            <w:tcW w:w="2003" w:type="dxa"/>
            <w:noWrap/>
          </w:tcPr>
          <w:p w14:paraId="30430B2F" w14:textId="17F2C288" w:rsidR="0091153C" w:rsidRPr="004C12C9" w:rsidRDefault="0091153C" w:rsidP="003739BE">
            <w:pPr>
              <w:pStyle w:val="ICFTabletext"/>
              <w:jc w:val="center"/>
            </w:pPr>
            <w:r w:rsidRPr="004C12C9">
              <w:t>2,272</w:t>
            </w:r>
          </w:p>
        </w:tc>
        <w:tc>
          <w:tcPr>
            <w:tcW w:w="2004" w:type="dxa"/>
          </w:tcPr>
          <w:p w14:paraId="1710D588" w14:textId="2338EEB3" w:rsidR="0091153C" w:rsidRPr="004C12C9" w:rsidRDefault="0091153C" w:rsidP="003739BE">
            <w:pPr>
              <w:pStyle w:val="ICFTabletext"/>
              <w:jc w:val="center"/>
            </w:pPr>
            <w:r w:rsidRPr="004C12C9">
              <w:t>3,134</w:t>
            </w:r>
          </w:p>
        </w:tc>
        <w:tc>
          <w:tcPr>
            <w:tcW w:w="2004" w:type="dxa"/>
          </w:tcPr>
          <w:p w14:paraId="7BDC7282" w14:textId="77777777" w:rsidR="0091153C" w:rsidRPr="004C12C9" w:rsidRDefault="0091153C" w:rsidP="003739BE">
            <w:pPr>
              <w:pStyle w:val="ICFTabletext"/>
              <w:jc w:val="center"/>
            </w:pPr>
            <w:r w:rsidRPr="004C12C9">
              <w:t>42%</w:t>
            </w:r>
          </w:p>
        </w:tc>
        <w:tc>
          <w:tcPr>
            <w:tcW w:w="2004" w:type="dxa"/>
          </w:tcPr>
          <w:p w14:paraId="5321D698" w14:textId="77777777" w:rsidR="0091153C" w:rsidRPr="004C12C9" w:rsidRDefault="0091153C" w:rsidP="003739BE">
            <w:pPr>
              <w:pStyle w:val="ICFTabletext"/>
              <w:jc w:val="center"/>
            </w:pPr>
            <w:r w:rsidRPr="004C12C9">
              <w:t>58%</w:t>
            </w:r>
          </w:p>
        </w:tc>
      </w:tr>
      <w:tr w:rsidR="0091153C" w:rsidRPr="004C12C9" w14:paraId="6379F2CF" w14:textId="77777777" w:rsidTr="009D3812">
        <w:trPr>
          <w:trHeight w:val="20"/>
        </w:trPr>
        <w:tc>
          <w:tcPr>
            <w:tcW w:w="2150" w:type="dxa"/>
            <w:noWrap/>
          </w:tcPr>
          <w:p w14:paraId="2A72DFC3" w14:textId="77777777" w:rsidR="0091153C" w:rsidRPr="004C12C9" w:rsidRDefault="0091153C" w:rsidP="003739BE">
            <w:pPr>
              <w:pStyle w:val="ICFTabletext"/>
            </w:pPr>
            <w:r w:rsidRPr="004C12C9">
              <w:t>Cook</w:t>
            </w:r>
          </w:p>
        </w:tc>
        <w:tc>
          <w:tcPr>
            <w:tcW w:w="2003" w:type="dxa"/>
            <w:noWrap/>
          </w:tcPr>
          <w:p w14:paraId="13FF087F" w14:textId="1A15F807" w:rsidR="0091153C" w:rsidRPr="004C12C9" w:rsidRDefault="0091153C" w:rsidP="003739BE">
            <w:pPr>
              <w:pStyle w:val="ICFTabletext"/>
              <w:jc w:val="center"/>
            </w:pPr>
            <w:r w:rsidRPr="004C12C9">
              <w:t>3,180</w:t>
            </w:r>
          </w:p>
        </w:tc>
        <w:tc>
          <w:tcPr>
            <w:tcW w:w="2004" w:type="dxa"/>
          </w:tcPr>
          <w:p w14:paraId="39F59CA5" w14:textId="34B32BB0" w:rsidR="0091153C" w:rsidRPr="004C12C9" w:rsidRDefault="0091153C" w:rsidP="003739BE">
            <w:pPr>
              <w:pStyle w:val="ICFTabletext"/>
              <w:jc w:val="center"/>
            </w:pPr>
            <w:r w:rsidRPr="004C12C9">
              <w:t>-</w:t>
            </w:r>
          </w:p>
        </w:tc>
        <w:tc>
          <w:tcPr>
            <w:tcW w:w="2004" w:type="dxa"/>
          </w:tcPr>
          <w:p w14:paraId="1E873BBD" w14:textId="77777777" w:rsidR="0091153C" w:rsidRPr="004C12C9" w:rsidRDefault="0091153C" w:rsidP="003739BE">
            <w:pPr>
              <w:pStyle w:val="ICFTabletext"/>
              <w:jc w:val="center"/>
            </w:pPr>
            <w:r w:rsidRPr="004C12C9">
              <w:t>100%</w:t>
            </w:r>
          </w:p>
        </w:tc>
        <w:tc>
          <w:tcPr>
            <w:tcW w:w="2004" w:type="dxa"/>
          </w:tcPr>
          <w:p w14:paraId="450B7450" w14:textId="77777777" w:rsidR="0091153C" w:rsidRPr="004C12C9" w:rsidRDefault="0091153C" w:rsidP="003739BE">
            <w:pPr>
              <w:pStyle w:val="ICFTabletext"/>
              <w:jc w:val="center"/>
            </w:pPr>
            <w:r w:rsidRPr="004C12C9">
              <w:t>0%</w:t>
            </w:r>
          </w:p>
        </w:tc>
      </w:tr>
      <w:tr w:rsidR="0091153C" w:rsidRPr="004C12C9" w14:paraId="7FDA281F" w14:textId="77777777" w:rsidTr="009D3812">
        <w:trPr>
          <w:trHeight w:val="20"/>
        </w:trPr>
        <w:tc>
          <w:tcPr>
            <w:tcW w:w="2150" w:type="dxa"/>
            <w:noWrap/>
          </w:tcPr>
          <w:p w14:paraId="5864CF8E" w14:textId="77777777" w:rsidR="0091153C" w:rsidRPr="004C12C9" w:rsidRDefault="0091153C" w:rsidP="003739BE">
            <w:pPr>
              <w:pStyle w:val="ICFTabletext"/>
            </w:pPr>
            <w:r w:rsidRPr="004C12C9">
              <w:t>Cottonwood</w:t>
            </w:r>
          </w:p>
        </w:tc>
        <w:tc>
          <w:tcPr>
            <w:tcW w:w="2003" w:type="dxa"/>
            <w:noWrap/>
          </w:tcPr>
          <w:p w14:paraId="2E7B6B0E" w14:textId="063B0841" w:rsidR="0091153C" w:rsidRPr="004C12C9" w:rsidRDefault="0091153C" w:rsidP="003739BE">
            <w:pPr>
              <w:pStyle w:val="ICFTabletext"/>
              <w:jc w:val="center"/>
            </w:pPr>
            <w:r w:rsidRPr="004C12C9">
              <w:t>10,364</w:t>
            </w:r>
          </w:p>
        </w:tc>
        <w:tc>
          <w:tcPr>
            <w:tcW w:w="2004" w:type="dxa"/>
          </w:tcPr>
          <w:p w14:paraId="4FC6C436" w14:textId="395B2C3A" w:rsidR="0091153C" w:rsidRPr="004C12C9" w:rsidRDefault="0091153C" w:rsidP="003739BE">
            <w:pPr>
              <w:pStyle w:val="ICFTabletext"/>
              <w:jc w:val="center"/>
            </w:pPr>
            <w:r w:rsidRPr="004C12C9">
              <w:t>-</w:t>
            </w:r>
          </w:p>
        </w:tc>
        <w:tc>
          <w:tcPr>
            <w:tcW w:w="2004" w:type="dxa"/>
          </w:tcPr>
          <w:p w14:paraId="17623A70" w14:textId="77777777" w:rsidR="0091153C" w:rsidRPr="004C12C9" w:rsidRDefault="0091153C" w:rsidP="003739BE">
            <w:pPr>
              <w:pStyle w:val="ICFTabletext"/>
              <w:jc w:val="center"/>
            </w:pPr>
            <w:r w:rsidRPr="004C12C9">
              <w:t>100%</w:t>
            </w:r>
          </w:p>
        </w:tc>
        <w:tc>
          <w:tcPr>
            <w:tcW w:w="2004" w:type="dxa"/>
          </w:tcPr>
          <w:p w14:paraId="2E68A6F7" w14:textId="77777777" w:rsidR="0091153C" w:rsidRPr="004C12C9" w:rsidRDefault="0091153C" w:rsidP="003739BE">
            <w:pPr>
              <w:pStyle w:val="ICFTabletext"/>
              <w:jc w:val="center"/>
            </w:pPr>
            <w:r w:rsidRPr="004C12C9">
              <w:t>0%</w:t>
            </w:r>
          </w:p>
        </w:tc>
      </w:tr>
      <w:tr w:rsidR="0091153C" w:rsidRPr="004C12C9" w14:paraId="4BF97258" w14:textId="77777777" w:rsidTr="009D3812">
        <w:trPr>
          <w:trHeight w:val="20"/>
        </w:trPr>
        <w:tc>
          <w:tcPr>
            <w:tcW w:w="2150" w:type="dxa"/>
            <w:noWrap/>
          </w:tcPr>
          <w:p w14:paraId="6F4217A8" w14:textId="77777777" w:rsidR="0091153C" w:rsidRPr="004C12C9" w:rsidRDefault="0091153C" w:rsidP="003739BE">
            <w:pPr>
              <w:pStyle w:val="ICFTabletext"/>
            </w:pPr>
            <w:r w:rsidRPr="004C12C9">
              <w:t>Crow Wing</w:t>
            </w:r>
          </w:p>
        </w:tc>
        <w:tc>
          <w:tcPr>
            <w:tcW w:w="2003" w:type="dxa"/>
            <w:noWrap/>
          </w:tcPr>
          <w:p w14:paraId="55928589" w14:textId="4CD8F51F" w:rsidR="0091153C" w:rsidRPr="004C12C9" w:rsidRDefault="0091153C" w:rsidP="003739BE">
            <w:pPr>
              <w:pStyle w:val="ICFTabletext"/>
              <w:jc w:val="center"/>
            </w:pPr>
            <w:r w:rsidRPr="004C12C9">
              <w:t>45,646</w:t>
            </w:r>
          </w:p>
        </w:tc>
        <w:tc>
          <w:tcPr>
            <w:tcW w:w="2004" w:type="dxa"/>
          </w:tcPr>
          <w:p w14:paraId="7119BC32" w14:textId="5AA412E8" w:rsidR="0091153C" w:rsidRPr="004C12C9" w:rsidRDefault="0091153C" w:rsidP="003739BE">
            <w:pPr>
              <w:pStyle w:val="ICFTabletext"/>
              <w:jc w:val="center"/>
            </w:pPr>
            <w:r w:rsidRPr="004C12C9">
              <w:t>-</w:t>
            </w:r>
          </w:p>
        </w:tc>
        <w:tc>
          <w:tcPr>
            <w:tcW w:w="2004" w:type="dxa"/>
          </w:tcPr>
          <w:p w14:paraId="0355CBCB" w14:textId="77777777" w:rsidR="0091153C" w:rsidRPr="004C12C9" w:rsidRDefault="0091153C" w:rsidP="003739BE">
            <w:pPr>
              <w:pStyle w:val="ICFTabletext"/>
              <w:jc w:val="center"/>
            </w:pPr>
            <w:r w:rsidRPr="004C12C9">
              <w:t>100%</w:t>
            </w:r>
          </w:p>
        </w:tc>
        <w:tc>
          <w:tcPr>
            <w:tcW w:w="2004" w:type="dxa"/>
          </w:tcPr>
          <w:p w14:paraId="0D77E784" w14:textId="77777777" w:rsidR="0091153C" w:rsidRPr="004C12C9" w:rsidRDefault="0091153C" w:rsidP="003739BE">
            <w:pPr>
              <w:pStyle w:val="ICFTabletext"/>
              <w:jc w:val="center"/>
            </w:pPr>
            <w:r w:rsidRPr="004C12C9">
              <w:t>0%</w:t>
            </w:r>
          </w:p>
        </w:tc>
      </w:tr>
      <w:tr w:rsidR="0091153C" w:rsidRPr="004C12C9" w14:paraId="0B70C1A0" w14:textId="77777777" w:rsidTr="009D3812">
        <w:trPr>
          <w:trHeight w:val="20"/>
        </w:trPr>
        <w:tc>
          <w:tcPr>
            <w:tcW w:w="2150" w:type="dxa"/>
            <w:noWrap/>
          </w:tcPr>
          <w:p w14:paraId="3BA46712" w14:textId="77777777" w:rsidR="0091153C" w:rsidRPr="004C12C9" w:rsidRDefault="0091153C" w:rsidP="003739BE">
            <w:pPr>
              <w:pStyle w:val="ICFTabletext"/>
            </w:pPr>
            <w:r w:rsidRPr="004C12C9">
              <w:t>Dakota</w:t>
            </w:r>
          </w:p>
        </w:tc>
        <w:tc>
          <w:tcPr>
            <w:tcW w:w="2003" w:type="dxa"/>
            <w:noWrap/>
          </w:tcPr>
          <w:p w14:paraId="2D12F3DC" w14:textId="4669C4E2" w:rsidR="0091153C" w:rsidRPr="004C12C9" w:rsidRDefault="0091153C" w:rsidP="003739BE">
            <w:pPr>
              <w:pStyle w:val="ICFTabletext"/>
              <w:jc w:val="center"/>
            </w:pPr>
            <w:r w:rsidRPr="004C12C9">
              <w:t>229,565</w:t>
            </w:r>
          </w:p>
        </w:tc>
        <w:tc>
          <w:tcPr>
            <w:tcW w:w="2004" w:type="dxa"/>
          </w:tcPr>
          <w:p w14:paraId="4B21FBFD" w14:textId="04AAD2E2" w:rsidR="0091153C" w:rsidRPr="004C12C9" w:rsidRDefault="0091153C" w:rsidP="003739BE">
            <w:pPr>
              <w:pStyle w:val="ICFTabletext"/>
              <w:jc w:val="center"/>
            </w:pPr>
            <w:r w:rsidRPr="004C12C9">
              <w:t>11,697</w:t>
            </w:r>
          </w:p>
        </w:tc>
        <w:tc>
          <w:tcPr>
            <w:tcW w:w="2004" w:type="dxa"/>
          </w:tcPr>
          <w:p w14:paraId="71CCF42C" w14:textId="77777777" w:rsidR="0091153C" w:rsidRPr="004C12C9" w:rsidRDefault="0091153C" w:rsidP="003739BE">
            <w:pPr>
              <w:pStyle w:val="ICFTabletext"/>
              <w:jc w:val="center"/>
            </w:pPr>
            <w:r w:rsidRPr="004C12C9">
              <w:t>95%</w:t>
            </w:r>
          </w:p>
        </w:tc>
        <w:tc>
          <w:tcPr>
            <w:tcW w:w="2004" w:type="dxa"/>
          </w:tcPr>
          <w:p w14:paraId="5EC01EF7" w14:textId="77777777" w:rsidR="0091153C" w:rsidRPr="004C12C9" w:rsidRDefault="0091153C" w:rsidP="003739BE">
            <w:pPr>
              <w:pStyle w:val="ICFTabletext"/>
              <w:jc w:val="center"/>
            </w:pPr>
            <w:r w:rsidRPr="004C12C9">
              <w:t>5%</w:t>
            </w:r>
          </w:p>
        </w:tc>
      </w:tr>
      <w:tr w:rsidR="0091153C" w:rsidRPr="004C12C9" w14:paraId="5EC78DB0" w14:textId="77777777" w:rsidTr="009D3812">
        <w:trPr>
          <w:trHeight w:val="20"/>
        </w:trPr>
        <w:tc>
          <w:tcPr>
            <w:tcW w:w="2150" w:type="dxa"/>
            <w:noWrap/>
          </w:tcPr>
          <w:p w14:paraId="7FC0CD12" w14:textId="77777777" w:rsidR="0091153C" w:rsidRPr="004C12C9" w:rsidRDefault="0091153C" w:rsidP="003739BE">
            <w:pPr>
              <w:pStyle w:val="ICFTabletext"/>
            </w:pPr>
            <w:r w:rsidRPr="004C12C9">
              <w:t>Dodge</w:t>
            </w:r>
          </w:p>
        </w:tc>
        <w:tc>
          <w:tcPr>
            <w:tcW w:w="2003" w:type="dxa"/>
            <w:noWrap/>
          </w:tcPr>
          <w:p w14:paraId="2288235A" w14:textId="58E7D802" w:rsidR="0091153C" w:rsidRPr="004C12C9" w:rsidRDefault="0091153C" w:rsidP="003739BE">
            <w:pPr>
              <w:pStyle w:val="ICFTabletext"/>
              <w:jc w:val="center"/>
            </w:pPr>
            <w:r w:rsidRPr="004C12C9">
              <w:t>956</w:t>
            </w:r>
          </w:p>
        </w:tc>
        <w:tc>
          <w:tcPr>
            <w:tcW w:w="2004" w:type="dxa"/>
          </w:tcPr>
          <w:p w14:paraId="5BC0F841" w14:textId="02B1F67D" w:rsidR="0091153C" w:rsidRPr="004C12C9" w:rsidRDefault="0091153C" w:rsidP="003739BE">
            <w:pPr>
              <w:pStyle w:val="ICFTabletext"/>
              <w:jc w:val="center"/>
            </w:pPr>
            <w:r w:rsidRPr="004C12C9">
              <w:t>8,702</w:t>
            </w:r>
          </w:p>
        </w:tc>
        <w:tc>
          <w:tcPr>
            <w:tcW w:w="2004" w:type="dxa"/>
          </w:tcPr>
          <w:p w14:paraId="1500B72C" w14:textId="77777777" w:rsidR="0091153C" w:rsidRPr="004C12C9" w:rsidRDefault="0091153C" w:rsidP="003739BE">
            <w:pPr>
              <w:pStyle w:val="ICFTabletext"/>
              <w:jc w:val="center"/>
            </w:pPr>
            <w:r w:rsidRPr="004C12C9">
              <w:t>10%</w:t>
            </w:r>
          </w:p>
        </w:tc>
        <w:tc>
          <w:tcPr>
            <w:tcW w:w="2004" w:type="dxa"/>
          </w:tcPr>
          <w:p w14:paraId="577FD97E" w14:textId="77777777" w:rsidR="0091153C" w:rsidRPr="004C12C9" w:rsidRDefault="0091153C" w:rsidP="003739BE">
            <w:pPr>
              <w:pStyle w:val="ICFTabletext"/>
              <w:jc w:val="center"/>
            </w:pPr>
            <w:r w:rsidRPr="004C12C9">
              <w:t>90%</w:t>
            </w:r>
          </w:p>
        </w:tc>
      </w:tr>
      <w:tr w:rsidR="0091153C" w:rsidRPr="004C12C9" w14:paraId="1037718F" w14:textId="77777777" w:rsidTr="009D3812">
        <w:trPr>
          <w:trHeight w:val="20"/>
        </w:trPr>
        <w:tc>
          <w:tcPr>
            <w:tcW w:w="2150" w:type="dxa"/>
            <w:noWrap/>
          </w:tcPr>
          <w:p w14:paraId="28938DC1" w14:textId="77777777" w:rsidR="0091153C" w:rsidRPr="004C12C9" w:rsidRDefault="0091153C" w:rsidP="003739BE">
            <w:pPr>
              <w:pStyle w:val="ICFTabletext"/>
            </w:pPr>
            <w:r w:rsidRPr="004C12C9">
              <w:t>Faribault</w:t>
            </w:r>
          </w:p>
        </w:tc>
        <w:tc>
          <w:tcPr>
            <w:tcW w:w="2003" w:type="dxa"/>
            <w:noWrap/>
          </w:tcPr>
          <w:p w14:paraId="3FB1DF68" w14:textId="2CB895F3" w:rsidR="0091153C" w:rsidRPr="004C12C9" w:rsidRDefault="0091153C" w:rsidP="003739BE">
            <w:pPr>
              <w:pStyle w:val="ICFTabletext"/>
              <w:jc w:val="center"/>
            </w:pPr>
            <w:r w:rsidRPr="004C12C9">
              <w:t>1,337</w:t>
            </w:r>
          </w:p>
        </w:tc>
        <w:tc>
          <w:tcPr>
            <w:tcW w:w="2004" w:type="dxa"/>
          </w:tcPr>
          <w:p w14:paraId="25D47EC3" w14:textId="553721E9" w:rsidR="0091153C" w:rsidRPr="004C12C9" w:rsidRDefault="0091153C" w:rsidP="003739BE">
            <w:pPr>
              <w:pStyle w:val="ICFTabletext"/>
              <w:jc w:val="center"/>
            </w:pPr>
            <w:r w:rsidRPr="004C12C9">
              <w:t>5,928</w:t>
            </w:r>
          </w:p>
        </w:tc>
        <w:tc>
          <w:tcPr>
            <w:tcW w:w="2004" w:type="dxa"/>
          </w:tcPr>
          <w:p w14:paraId="640FBA7B" w14:textId="77777777" w:rsidR="0091153C" w:rsidRPr="004C12C9" w:rsidRDefault="0091153C" w:rsidP="003739BE">
            <w:pPr>
              <w:pStyle w:val="ICFTabletext"/>
              <w:jc w:val="center"/>
            </w:pPr>
            <w:r w:rsidRPr="004C12C9">
              <w:t>18%</w:t>
            </w:r>
          </w:p>
        </w:tc>
        <w:tc>
          <w:tcPr>
            <w:tcW w:w="2004" w:type="dxa"/>
          </w:tcPr>
          <w:p w14:paraId="4A71F100" w14:textId="77777777" w:rsidR="0091153C" w:rsidRPr="004C12C9" w:rsidRDefault="0091153C" w:rsidP="003739BE">
            <w:pPr>
              <w:pStyle w:val="ICFTabletext"/>
              <w:jc w:val="center"/>
            </w:pPr>
            <w:r w:rsidRPr="004C12C9">
              <w:t>82%</w:t>
            </w:r>
          </w:p>
        </w:tc>
      </w:tr>
      <w:tr w:rsidR="0091153C" w:rsidRPr="004C12C9" w14:paraId="355B8338" w14:textId="77777777" w:rsidTr="009D3812">
        <w:trPr>
          <w:trHeight w:val="20"/>
        </w:trPr>
        <w:tc>
          <w:tcPr>
            <w:tcW w:w="2150" w:type="dxa"/>
            <w:noWrap/>
          </w:tcPr>
          <w:p w14:paraId="3A0C2549" w14:textId="77777777" w:rsidR="0091153C" w:rsidRPr="004C12C9" w:rsidRDefault="0091153C" w:rsidP="003739BE">
            <w:pPr>
              <w:pStyle w:val="ICFTabletext"/>
            </w:pPr>
            <w:r w:rsidRPr="004C12C9">
              <w:t>Fillmore</w:t>
            </w:r>
          </w:p>
        </w:tc>
        <w:tc>
          <w:tcPr>
            <w:tcW w:w="2003" w:type="dxa"/>
            <w:noWrap/>
          </w:tcPr>
          <w:p w14:paraId="7EFF2D0B" w14:textId="4E84F4B7" w:rsidR="0091153C" w:rsidRPr="004C12C9" w:rsidRDefault="0091153C" w:rsidP="003739BE">
            <w:pPr>
              <w:pStyle w:val="ICFTabletext"/>
              <w:jc w:val="center"/>
            </w:pPr>
            <w:r w:rsidRPr="004C12C9">
              <w:t>6,182</w:t>
            </w:r>
          </w:p>
        </w:tc>
        <w:tc>
          <w:tcPr>
            <w:tcW w:w="2004" w:type="dxa"/>
          </w:tcPr>
          <w:p w14:paraId="1E7002CC" w14:textId="50AE3A8B" w:rsidR="0091153C" w:rsidRPr="004C12C9" w:rsidRDefault="0091153C" w:rsidP="003739BE">
            <w:pPr>
              <w:pStyle w:val="ICFTabletext"/>
              <w:jc w:val="center"/>
            </w:pPr>
            <w:r w:rsidRPr="004C12C9">
              <w:t>1,711</w:t>
            </w:r>
          </w:p>
        </w:tc>
        <w:tc>
          <w:tcPr>
            <w:tcW w:w="2004" w:type="dxa"/>
          </w:tcPr>
          <w:p w14:paraId="4A281311" w14:textId="77777777" w:rsidR="0091153C" w:rsidRPr="004C12C9" w:rsidRDefault="0091153C" w:rsidP="003739BE">
            <w:pPr>
              <w:pStyle w:val="ICFTabletext"/>
              <w:jc w:val="center"/>
            </w:pPr>
            <w:r w:rsidRPr="004C12C9">
              <w:t>78%</w:t>
            </w:r>
          </w:p>
        </w:tc>
        <w:tc>
          <w:tcPr>
            <w:tcW w:w="2004" w:type="dxa"/>
          </w:tcPr>
          <w:p w14:paraId="7E704D89" w14:textId="77777777" w:rsidR="0091153C" w:rsidRPr="004C12C9" w:rsidRDefault="0091153C" w:rsidP="003739BE">
            <w:pPr>
              <w:pStyle w:val="ICFTabletext"/>
              <w:jc w:val="center"/>
            </w:pPr>
            <w:r w:rsidRPr="004C12C9">
              <w:t>22%</w:t>
            </w:r>
          </w:p>
        </w:tc>
      </w:tr>
      <w:tr w:rsidR="0091153C" w:rsidRPr="004C12C9" w14:paraId="5CBEB81A" w14:textId="77777777" w:rsidTr="009D3812">
        <w:trPr>
          <w:trHeight w:val="20"/>
        </w:trPr>
        <w:tc>
          <w:tcPr>
            <w:tcW w:w="2150" w:type="dxa"/>
            <w:noWrap/>
          </w:tcPr>
          <w:p w14:paraId="12C5DE54" w14:textId="77777777" w:rsidR="0091153C" w:rsidRPr="004C12C9" w:rsidRDefault="0091153C" w:rsidP="003739BE">
            <w:pPr>
              <w:pStyle w:val="ICFTabletext"/>
            </w:pPr>
            <w:r w:rsidRPr="004C12C9">
              <w:t>Freeborn</w:t>
            </w:r>
          </w:p>
        </w:tc>
        <w:tc>
          <w:tcPr>
            <w:tcW w:w="2003" w:type="dxa"/>
            <w:noWrap/>
          </w:tcPr>
          <w:p w14:paraId="4BEEEDF8" w14:textId="35B075F3" w:rsidR="0091153C" w:rsidRPr="004C12C9" w:rsidRDefault="0091153C" w:rsidP="003739BE">
            <w:pPr>
              <w:pStyle w:val="ICFTabletext"/>
              <w:jc w:val="center"/>
            </w:pPr>
            <w:r w:rsidRPr="004C12C9">
              <w:t>22,000</w:t>
            </w:r>
          </w:p>
        </w:tc>
        <w:tc>
          <w:tcPr>
            <w:tcW w:w="2004" w:type="dxa"/>
          </w:tcPr>
          <w:p w14:paraId="282C1870" w14:textId="041BABA9" w:rsidR="0091153C" w:rsidRPr="004C12C9" w:rsidRDefault="0091153C" w:rsidP="003739BE">
            <w:pPr>
              <w:pStyle w:val="ICFTabletext"/>
              <w:jc w:val="center"/>
            </w:pPr>
            <w:r w:rsidRPr="004C12C9">
              <w:t>-</w:t>
            </w:r>
          </w:p>
        </w:tc>
        <w:tc>
          <w:tcPr>
            <w:tcW w:w="2004" w:type="dxa"/>
          </w:tcPr>
          <w:p w14:paraId="3EB25642" w14:textId="77777777" w:rsidR="0091153C" w:rsidRPr="004C12C9" w:rsidRDefault="0091153C" w:rsidP="003739BE">
            <w:pPr>
              <w:pStyle w:val="ICFTabletext"/>
              <w:jc w:val="center"/>
            </w:pPr>
            <w:r w:rsidRPr="004C12C9">
              <w:t>100%</w:t>
            </w:r>
          </w:p>
        </w:tc>
        <w:tc>
          <w:tcPr>
            <w:tcW w:w="2004" w:type="dxa"/>
          </w:tcPr>
          <w:p w14:paraId="5AA3E616" w14:textId="77777777" w:rsidR="0091153C" w:rsidRPr="004C12C9" w:rsidRDefault="0091153C" w:rsidP="003739BE">
            <w:pPr>
              <w:pStyle w:val="ICFTabletext"/>
              <w:jc w:val="center"/>
            </w:pPr>
            <w:r w:rsidRPr="004C12C9">
              <w:t>0%</w:t>
            </w:r>
          </w:p>
        </w:tc>
      </w:tr>
      <w:tr w:rsidR="0091153C" w:rsidRPr="004C12C9" w14:paraId="3DD770DA" w14:textId="77777777" w:rsidTr="009D3812">
        <w:trPr>
          <w:trHeight w:val="20"/>
        </w:trPr>
        <w:tc>
          <w:tcPr>
            <w:tcW w:w="2150" w:type="dxa"/>
            <w:noWrap/>
          </w:tcPr>
          <w:p w14:paraId="1BA99CAF" w14:textId="77777777" w:rsidR="0091153C" w:rsidRPr="004C12C9" w:rsidRDefault="0091153C" w:rsidP="003739BE">
            <w:pPr>
              <w:pStyle w:val="ICFTabletext"/>
            </w:pPr>
            <w:r w:rsidRPr="004C12C9">
              <w:t>Goodhue</w:t>
            </w:r>
          </w:p>
        </w:tc>
        <w:tc>
          <w:tcPr>
            <w:tcW w:w="2003" w:type="dxa"/>
            <w:noWrap/>
          </w:tcPr>
          <w:p w14:paraId="54EC93E1" w14:textId="5AF7155E" w:rsidR="0091153C" w:rsidRPr="004C12C9" w:rsidRDefault="0091153C" w:rsidP="003739BE">
            <w:pPr>
              <w:pStyle w:val="ICFTabletext"/>
              <w:jc w:val="center"/>
            </w:pPr>
            <w:r w:rsidRPr="004C12C9">
              <w:t>412</w:t>
            </w:r>
          </w:p>
        </w:tc>
        <w:tc>
          <w:tcPr>
            <w:tcW w:w="2004" w:type="dxa"/>
          </w:tcPr>
          <w:p w14:paraId="12F20252" w14:textId="79851713" w:rsidR="0091153C" w:rsidRPr="004C12C9" w:rsidRDefault="0091153C" w:rsidP="003739BE">
            <w:pPr>
              <w:pStyle w:val="ICFTabletext"/>
              <w:jc w:val="center"/>
            </w:pPr>
            <w:r w:rsidRPr="004C12C9">
              <w:t>20,727</w:t>
            </w:r>
          </w:p>
        </w:tc>
        <w:tc>
          <w:tcPr>
            <w:tcW w:w="2004" w:type="dxa"/>
          </w:tcPr>
          <w:p w14:paraId="694FC69F" w14:textId="77777777" w:rsidR="0091153C" w:rsidRPr="004C12C9" w:rsidRDefault="0091153C" w:rsidP="003739BE">
            <w:pPr>
              <w:pStyle w:val="ICFTabletext"/>
              <w:jc w:val="center"/>
            </w:pPr>
            <w:r w:rsidRPr="004C12C9">
              <w:t>2%</w:t>
            </w:r>
          </w:p>
        </w:tc>
        <w:tc>
          <w:tcPr>
            <w:tcW w:w="2004" w:type="dxa"/>
          </w:tcPr>
          <w:p w14:paraId="3483C2DD" w14:textId="77777777" w:rsidR="0091153C" w:rsidRPr="004C12C9" w:rsidRDefault="0091153C" w:rsidP="003739BE">
            <w:pPr>
              <w:pStyle w:val="ICFTabletext"/>
              <w:jc w:val="center"/>
            </w:pPr>
            <w:r w:rsidRPr="004C12C9">
              <w:t>98%</w:t>
            </w:r>
          </w:p>
        </w:tc>
      </w:tr>
      <w:tr w:rsidR="0091153C" w:rsidRPr="004C12C9" w14:paraId="60D66ABE" w14:textId="77777777" w:rsidTr="009D3812">
        <w:trPr>
          <w:trHeight w:val="20"/>
        </w:trPr>
        <w:tc>
          <w:tcPr>
            <w:tcW w:w="2150" w:type="dxa"/>
            <w:noWrap/>
          </w:tcPr>
          <w:p w14:paraId="0D112980" w14:textId="77777777" w:rsidR="0091153C" w:rsidRPr="004C12C9" w:rsidRDefault="0091153C" w:rsidP="003739BE">
            <w:pPr>
              <w:pStyle w:val="ICFTabletext"/>
            </w:pPr>
            <w:r w:rsidRPr="004C12C9">
              <w:t>Grant</w:t>
            </w:r>
          </w:p>
        </w:tc>
        <w:tc>
          <w:tcPr>
            <w:tcW w:w="2003" w:type="dxa"/>
            <w:noWrap/>
          </w:tcPr>
          <w:p w14:paraId="6671BFDB" w14:textId="1AEAEAF1" w:rsidR="0091153C" w:rsidRPr="004C12C9" w:rsidRDefault="0091153C" w:rsidP="003739BE">
            <w:pPr>
              <w:pStyle w:val="ICFTabletext"/>
              <w:jc w:val="center"/>
            </w:pPr>
            <w:r w:rsidRPr="004C12C9">
              <w:t>-</w:t>
            </w:r>
          </w:p>
        </w:tc>
        <w:tc>
          <w:tcPr>
            <w:tcW w:w="2004" w:type="dxa"/>
          </w:tcPr>
          <w:p w14:paraId="34DA22C7" w14:textId="65259822" w:rsidR="0091153C" w:rsidRPr="004C12C9" w:rsidRDefault="0091153C" w:rsidP="003739BE">
            <w:pPr>
              <w:pStyle w:val="ICFTabletext"/>
              <w:jc w:val="center"/>
            </w:pPr>
            <w:r w:rsidRPr="004C12C9">
              <w:t>2,648</w:t>
            </w:r>
          </w:p>
        </w:tc>
        <w:tc>
          <w:tcPr>
            <w:tcW w:w="2004" w:type="dxa"/>
          </w:tcPr>
          <w:p w14:paraId="2F750D8D" w14:textId="77777777" w:rsidR="0091153C" w:rsidRPr="004C12C9" w:rsidRDefault="0091153C" w:rsidP="003739BE">
            <w:pPr>
              <w:pStyle w:val="ICFTabletext"/>
              <w:jc w:val="center"/>
            </w:pPr>
            <w:r w:rsidRPr="004C12C9">
              <w:t>0%</w:t>
            </w:r>
          </w:p>
        </w:tc>
        <w:tc>
          <w:tcPr>
            <w:tcW w:w="2004" w:type="dxa"/>
          </w:tcPr>
          <w:p w14:paraId="3895AB39" w14:textId="77777777" w:rsidR="0091153C" w:rsidRPr="004C12C9" w:rsidRDefault="0091153C" w:rsidP="003739BE">
            <w:pPr>
              <w:pStyle w:val="ICFTabletext"/>
              <w:jc w:val="center"/>
            </w:pPr>
            <w:r w:rsidRPr="004C12C9">
              <w:t>100%</w:t>
            </w:r>
          </w:p>
        </w:tc>
      </w:tr>
      <w:tr w:rsidR="0091153C" w:rsidRPr="004C12C9" w14:paraId="2F8F2DCB" w14:textId="77777777" w:rsidTr="009D3812">
        <w:trPr>
          <w:trHeight w:val="20"/>
        </w:trPr>
        <w:tc>
          <w:tcPr>
            <w:tcW w:w="2150" w:type="dxa"/>
            <w:noWrap/>
          </w:tcPr>
          <w:p w14:paraId="1CC9EE57" w14:textId="77777777" w:rsidR="0091153C" w:rsidRPr="004C12C9" w:rsidRDefault="0091153C" w:rsidP="003739BE">
            <w:pPr>
              <w:pStyle w:val="ICFTabletext"/>
            </w:pPr>
            <w:r w:rsidRPr="004C12C9">
              <w:t>Hennepin</w:t>
            </w:r>
          </w:p>
        </w:tc>
        <w:tc>
          <w:tcPr>
            <w:tcW w:w="2003" w:type="dxa"/>
            <w:noWrap/>
          </w:tcPr>
          <w:p w14:paraId="09C947FD" w14:textId="32BF37BE" w:rsidR="0091153C" w:rsidRPr="004C12C9" w:rsidRDefault="0091153C" w:rsidP="003739BE">
            <w:pPr>
              <w:pStyle w:val="ICFTabletext"/>
              <w:jc w:val="center"/>
            </w:pPr>
            <w:r w:rsidRPr="004C12C9">
              <w:t>357,157</w:t>
            </w:r>
          </w:p>
        </w:tc>
        <w:tc>
          <w:tcPr>
            <w:tcW w:w="2004" w:type="dxa"/>
          </w:tcPr>
          <w:p w14:paraId="09DB7A39" w14:textId="283C6768" w:rsidR="0091153C" w:rsidRPr="004C12C9" w:rsidRDefault="0091153C" w:rsidP="003739BE">
            <w:pPr>
              <w:pStyle w:val="ICFTabletext"/>
              <w:jc w:val="center"/>
            </w:pPr>
            <w:r w:rsidRPr="004C12C9">
              <w:t>377,125</w:t>
            </w:r>
          </w:p>
        </w:tc>
        <w:tc>
          <w:tcPr>
            <w:tcW w:w="2004" w:type="dxa"/>
          </w:tcPr>
          <w:p w14:paraId="43EC90DB" w14:textId="77777777" w:rsidR="0091153C" w:rsidRPr="004C12C9" w:rsidRDefault="0091153C" w:rsidP="003739BE">
            <w:pPr>
              <w:pStyle w:val="ICFTabletext"/>
              <w:jc w:val="center"/>
            </w:pPr>
            <w:r w:rsidRPr="004C12C9">
              <w:t>49%</w:t>
            </w:r>
          </w:p>
        </w:tc>
        <w:tc>
          <w:tcPr>
            <w:tcW w:w="2004" w:type="dxa"/>
          </w:tcPr>
          <w:p w14:paraId="657E0B95" w14:textId="77777777" w:rsidR="0091153C" w:rsidRPr="004C12C9" w:rsidRDefault="0091153C" w:rsidP="003739BE">
            <w:pPr>
              <w:pStyle w:val="ICFTabletext"/>
              <w:jc w:val="center"/>
            </w:pPr>
            <w:r w:rsidRPr="004C12C9">
              <w:t>51%</w:t>
            </w:r>
          </w:p>
        </w:tc>
      </w:tr>
      <w:tr w:rsidR="0091153C" w:rsidRPr="004C12C9" w14:paraId="6C19EDE7" w14:textId="77777777" w:rsidTr="009D3812">
        <w:trPr>
          <w:trHeight w:val="20"/>
        </w:trPr>
        <w:tc>
          <w:tcPr>
            <w:tcW w:w="2150" w:type="dxa"/>
            <w:noWrap/>
          </w:tcPr>
          <w:p w14:paraId="22DC9658" w14:textId="77777777" w:rsidR="0091153C" w:rsidRPr="004C12C9" w:rsidRDefault="0091153C" w:rsidP="003739BE">
            <w:pPr>
              <w:pStyle w:val="ICFTabletext"/>
            </w:pPr>
            <w:r w:rsidRPr="004C12C9">
              <w:t>Houston</w:t>
            </w:r>
          </w:p>
        </w:tc>
        <w:tc>
          <w:tcPr>
            <w:tcW w:w="2003" w:type="dxa"/>
            <w:noWrap/>
          </w:tcPr>
          <w:p w14:paraId="03808065" w14:textId="33B5EB18" w:rsidR="0091153C" w:rsidRPr="004C12C9" w:rsidRDefault="0091153C" w:rsidP="003739BE">
            <w:pPr>
              <w:pStyle w:val="ICFTabletext"/>
              <w:jc w:val="center"/>
            </w:pPr>
            <w:r w:rsidRPr="004C12C9">
              <w:t>1,231</w:t>
            </w:r>
          </w:p>
        </w:tc>
        <w:tc>
          <w:tcPr>
            <w:tcW w:w="2004" w:type="dxa"/>
          </w:tcPr>
          <w:p w14:paraId="73CA4EAC" w14:textId="1A6E19E3" w:rsidR="0091153C" w:rsidRPr="004C12C9" w:rsidRDefault="0091153C" w:rsidP="003739BE">
            <w:pPr>
              <w:pStyle w:val="ICFTabletext"/>
              <w:jc w:val="center"/>
            </w:pPr>
            <w:r w:rsidRPr="004C12C9">
              <w:t>6,038</w:t>
            </w:r>
          </w:p>
        </w:tc>
        <w:tc>
          <w:tcPr>
            <w:tcW w:w="2004" w:type="dxa"/>
          </w:tcPr>
          <w:p w14:paraId="33390E3A" w14:textId="77777777" w:rsidR="0091153C" w:rsidRPr="004C12C9" w:rsidRDefault="0091153C" w:rsidP="003739BE">
            <w:pPr>
              <w:pStyle w:val="ICFTabletext"/>
              <w:jc w:val="center"/>
            </w:pPr>
            <w:r w:rsidRPr="004C12C9">
              <w:t>17%</w:t>
            </w:r>
          </w:p>
        </w:tc>
        <w:tc>
          <w:tcPr>
            <w:tcW w:w="2004" w:type="dxa"/>
          </w:tcPr>
          <w:p w14:paraId="2EE396B8" w14:textId="77777777" w:rsidR="0091153C" w:rsidRPr="004C12C9" w:rsidRDefault="0091153C" w:rsidP="003739BE">
            <w:pPr>
              <w:pStyle w:val="ICFTabletext"/>
              <w:jc w:val="center"/>
            </w:pPr>
            <w:r w:rsidRPr="004C12C9">
              <w:t>83%</w:t>
            </w:r>
          </w:p>
        </w:tc>
      </w:tr>
      <w:tr w:rsidR="0091153C" w:rsidRPr="004C12C9" w14:paraId="5D11417F" w14:textId="77777777" w:rsidTr="009D3812">
        <w:trPr>
          <w:trHeight w:val="20"/>
        </w:trPr>
        <w:tc>
          <w:tcPr>
            <w:tcW w:w="2150" w:type="dxa"/>
            <w:noWrap/>
          </w:tcPr>
          <w:p w14:paraId="39C8A7B0" w14:textId="77777777" w:rsidR="0091153C" w:rsidRPr="004C12C9" w:rsidRDefault="0091153C" w:rsidP="003739BE">
            <w:pPr>
              <w:pStyle w:val="ICFTabletext"/>
            </w:pPr>
            <w:r w:rsidRPr="004C12C9">
              <w:lastRenderedPageBreak/>
              <w:t>Hubbard</w:t>
            </w:r>
          </w:p>
        </w:tc>
        <w:tc>
          <w:tcPr>
            <w:tcW w:w="2003" w:type="dxa"/>
            <w:noWrap/>
          </w:tcPr>
          <w:p w14:paraId="61D5CCA6" w14:textId="1D98646D" w:rsidR="0091153C" w:rsidRPr="004C12C9" w:rsidRDefault="0091153C" w:rsidP="003739BE">
            <w:pPr>
              <w:pStyle w:val="ICFTabletext"/>
              <w:jc w:val="center"/>
            </w:pPr>
            <w:r w:rsidRPr="004C12C9">
              <w:t>10,989</w:t>
            </w:r>
          </w:p>
        </w:tc>
        <w:tc>
          <w:tcPr>
            <w:tcW w:w="2004" w:type="dxa"/>
          </w:tcPr>
          <w:p w14:paraId="6218E19B" w14:textId="22CD8124" w:rsidR="0091153C" w:rsidRPr="004C12C9" w:rsidRDefault="0091153C" w:rsidP="003739BE">
            <w:pPr>
              <w:pStyle w:val="ICFTabletext"/>
              <w:jc w:val="center"/>
            </w:pPr>
            <w:r w:rsidRPr="004C12C9">
              <w:t>5,518</w:t>
            </w:r>
          </w:p>
        </w:tc>
        <w:tc>
          <w:tcPr>
            <w:tcW w:w="2004" w:type="dxa"/>
          </w:tcPr>
          <w:p w14:paraId="6F93E753" w14:textId="77777777" w:rsidR="0091153C" w:rsidRPr="004C12C9" w:rsidRDefault="0091153C" w:rsidP="003739BE">
            <w:pPr>
              <w:pStyle w:val="ICFTabletext"/>
              <w:jc w:val="center"/>
            </w:pPr>
            <w:r w:rsidRPr="004C12C9">
              <w:t>67%</w:t>
            </w:r>
          </w:p>
        </w:tc>
        <w:tc>
          <w:tcPr>
            <w:tcW w:w="2004" w:type="dxa"/>
          </w:tcPr>
          <w:p w14:paraId="181E4A33" w14:textId="77777777" w:rsidR="0091153C" w:rsidRPr="004C12C9" w:rsidRDefault="0091153C" w:rsidP="003739BE">
            <w:pPr>
              <w:pStyle w:val="ICFTabletext"/>
              <w:jc w:val="center"/>
            </w:pPr>
            <w:r w:rsidRPr="004C12C9">
              <w:t>33%</w:t>
            </w:r>
          </w:p>
        </w:tc>
      </w:tr>
      <w:tr w:rsidR="0091153C" w:rsidRPr="004C12C9" w14:paraId="35D54BE2" w14:textId="77777777" w:rsidTr="009D3812">
        <w:trPr>
          <w:trHeight w:val="20"/>
        </w:trPr>
        <w:tc>
          <w:tcPr>
            <w:tcW w:w="2150" w:type="dxa"/>
            <w:noWrap/>
          </w:tcPr>
          <w:p w14:paraId="7A0A7D19" w14:textId="77777777" w:rsidR="0091153C" w:rsidRPr="004C12C9" w:rsidRDefault="0091153C" w:rsidP="003739BE">
            <w:pPr>
              <w:pStyle w:val="ICFTabletext"/>
            </w:pPr>
            <w:r w:rsidRPr="004C12C9">
              <w:t>Isanti</w:t>
            </w:r>
          </w:p>
        </w:tc>
        <w:tc>
          <w:tcPr>
            <w:tcW w:w="2003" w:type="dxa"/>
            <w:noWrap/>
          </w:tcPr>
          <w:p w14:paraId="7F6E31B9" w14:textId="6B66140C" w:rsidR="0091153C" w:rsidRPr="004C12C9" w:rsidRDefault="0091153C" w:rsidP="003739BE">
            <w:pPr>
              <w:pStyle w:val="ICFTabletext"/>
              <w:jc w:val="center"/>
            </w:pPr>
            <w:r w:rsidRPr="004C12C9">
              <w:t>32,430</w:t>
            </w:r>
          </w:p>
        </w:tc>
        <w:tc>
          <w:tcPr>
            <w:tcW w:w="2004" w:type="dxa"/>
          </w:tcPr>
          <w:p w14:paraId="417679F9" w14:textId="3CBD012F" w:rsidR="0091153C" w:rsidRPr="004C12C9" w:rsidRDefault="0091153C" w:rsidP="003739BE">
            <w:pPr>
              <w:pStyle w:val="ICFTabletext"/>
              <w:jc w:val="center"/>
            </w:pPr>
            <w:r w:rsidRPr="004C12C9">
              <w:t>-</w:t>
            </w:r>
          </w:p>
        </w:tc>
        <w:tc>
          <w:tcPr>
            <w:tcW w:w="2004" w:type="dxa"/>
          </w:tcPr>
          <w:p w14:paraId="7932115B" w14:textId="77777777" w:rsidR="0091153C" w:rsidRPr="004C12C9" w:rsidRDefault="0091153C" w:rsidP="003739BE">
            <w:pPr>
              <w:pStyle w:val="ICFTabletext"/>
              <w:jc w:val="center"/>
            </w:pPr>
            <w:r w:rsidRPr="004C12C9">
              <w:t>100%</w:t>
            </w:r>
          </w:p>
        </w:tc>
        <w:tc>
          <w:tcPr>
            <w:tcW w:w="2004" w:type="dxa"/>
          </w:tcPr>
          <w:p w14:paraId="10D0D057" w14:textId="77777777" w:rsidR="0091153C" w:rsidRPr="004C12C9" w:rsidRDefault="0091153C" w:rsidP="003739BE">
            <w:pPr>
              <w:pStyle w:val="ICFTabletext"/>
              <w:jc w:val="center"/>
            </w:pPr>
            <w:r w:rsidRPr="004C12C9">
              <w:t>0%</w:t>
            </w:r>
          </w:p>
        </w:tc>
      </w:tr>
      <w:tr w:rsidR="0091153C" w:rsidRPr="004C12C9" w14:paraId="52E59CD3" w14:textId="77777777" w:rsidTr="009D3812">
        <w:trPr>
          <w:trHeight w:val="20"/>
        </w:trPr>
        <w:tc>
          <w:tcPr>
            <w:tcW w:w="2150" w:type="dxa"/>
            <w:noWrap/>
          </w:tcPr>
          <w:p w14:paraId="52CCF25E" w14:textId="77777777" w:rsidR="0091153C" w:rsidRPr="004C12C9" w:rsidRDefault="0091153C" w:rsidP="003739BE">
            <w:pPr>
              <w:pStyle w:val="ICFTabletext"/>
            </w:pPr>
            <w:r w:rsidRPr="004C12C9">
              <w:t>Itasca</w:t>
            </w:r>
          </w:p>
        </w:tc>
        <w:tc>
          <w:tcPr>
            <w:tcW w:w="2003" w:type="dxa"/>
            <w:noWrap/>
          </w:tcPr>
          <w:p w14:paraId="1B7AF51D" w14:textId="5AFD86DD" w:rsidR="0091153C" w:rsidRPr="004C12C9" w:rsidRDefault="0091153C" w:rsidP="003739BE">
            <w:pPr>
              <w:pStyle w:val="ICFTabletext"/>
              <w:jc w:val="center"/>
            </w:pPr>
            <w:r w:rsidRPr="004C12C9">
              <w:t>28,422</w:t>
            </w:r>
          </w:p>
        </w:tc>
        <w:tc>
          <w:tcPr>
            <w:tcW w:w="2004" w:type="dxa"/>
          </w:tcPr>
          <w:p w14:paraId="571A21C4" w14:textId="67A767BB" w:rsidR="0091153C" w:rsidRPr="004C12C9" w:rsidRDefault="0091153C" w:rsidP="003739BE">
            <w:pPr>
              <w:pStyle w:val="ICFTabletext"/>
              <w:jc w:val="center"/>
            </w:pPr>
            <w:r w:rsidRPr="004C12C9">
              <w:t>-</w:t>
            </w:r>
          </w:p>
        </w:tc>
        <w:tc>
          <w:tcPr>
            <w:tcW w:w="2004" w:type="dxa"/>
          </w:tcPr>
          <w:p w14:paraId="208E39F1" w14:textId="77777777" w:rsidR="0091153C" w:rsidRPr="004C12C9" w:rsidRDefault="0091153C" w:rsidP="003739BE">
            <w:pPr>
              <w:pStyle w:val="ICFTabletext"/>
              <w:jc w:val="center"/>
            </w:pPr>
            <w:r w:rsidRPr="004C12C9">
              <w:t>100%</w:t>
            </w:r>
          </w:p>
        </w:tc>
        <w:tc>
          <w:tcPr>
            <w:tcW w:w="2004" w:type="dxa"/>
          </w:tcPr>
          <w:p w14:paraId="0B518EF2" w14:textId="77777777" w:rsidR="0091153C" w:rsidRPr="004C12C9" w:rsidRDefault="0091153C" w:rsidP="003739BE">
            <w:pPr>
              <w:pStyle w:val="ICFTabletext"/>
              <w:jc w:val="center"/>
            </w:pPr>
            <w:r w:rsidRPr="004C12C9">
              <w:t>0%</w:t>
            </w:r>
          </w:p>
        </w:tc>
      </w:tr>
      <w:tr w:rsidR="0091153C" w:rsidRPr="004C12C9" w14:paraId="76C5B6D4" w14:textId="77777777" w:rsidTr="009D3812">
        <w:trPr>
          <w:trHeight w:val="20"/>
        </w:trPr>
        <w:tc>
          <w:tcPr>
            <w:tcW w:w="2150" w:type="dxa"/>
            <w:noWrap/>
          </w:tcPr>
          <w:p w14:paraId="4DBE2C5C" w14:textId="77777777" w:rsidR="0091153C" w:rsidRPr="004C12C9" w:rsidRDefault="0091153C" w:rsidP="003739BE">
            <w:pPr>
              <w:pStyle w:val="ICFTabletext"/>
            </w:pPr>
            <w:r w:rsidRPr="004C12C9">
              <w:t>Jackson</w:t>
            </w:r>
          </w:p>
        </w:tc>
        <w:tc>
          <w:tcPr>
            <w:tcW w:w="2003" w:type="dxa"/>
            <w:noWrap/>
          </w:tcPr>
          <w:p w14:paraId="13B899DE" w14:textId="5F2AA1FC" w:rsidR="0091153C" w:rsidRPr="004C12C9" w:rsidRDefault="0091153C" w:rsidP="003739BE">
            <w:pPr>
              <w:pStyle w:val="ICFTabletext"/>
              <w:jc w:val="center"/>
            </w:pPr>
            <w:r w:rsidRPr="004C12C9">
              <w:t>4,319</w:t>
            </w:r>
          </w:p>
        </w:tc>
        <w:tc>
          <w:tcPr>
            <w:tcW w:w="2004" w:type="dxa"/>
          </w:tcPr>
          <w:p w14:paraId="2BF3A853" w14:textId="525E1FE6" w:rsidR="0091153C" w:rsidRPr="004C12C9" w:rsidRDefault="0091153C" w:rsidP="003739BE">
            <w:pPr>
              <w:pStyle w:val="ICFTabletext"/>
              <w:jc w:val="center"/>
            </w:pPr>
            <w:r w:rsidRPr="004C12C9">
              <w:t>3</w:t>
            </w:r>
          </w:p>
        </w:tc>
        <w:tc>
          <w:tcPr>
            <w:tcW w:w="2004" w:type="dxa"/>
          </w:tcPr>
          <w:p w14:paraId="3D8D475A" w14:textId="77777777" w:rsidR="0091153C" w:rsidRPr="004C12C9" w:rsidRDefault="0091153C" w:rsidP="003739BE">
            <w:pPr>
              <w:pStyle w:val="ICFTabletext"/>
              <w:jc w:val="center"/>
            </w:pPr>
            <w:r w:rsidRPr="004C12C9">
              <w:t>100%</w:t>
            </w:r>
          </w:p>
        </w:tc>
        <w:tc>
          <w:tcPr>
            <w:tcW w:w="2004" w:type="dxa"/>
          </w:tcPr>
          <w:p w14:paraId="6FF7214F" w14:textId="77777777" w:rsidR="0091153C" w:rsidRPr="004C12C9" w:rsidRDefault="0091153C" w:rsidP="003739BE">
            <w:pPr>
              <w:pStyle w:val="ICFTabletext"/>
              <w:jc w:val="center"/>
            </w:pPr>
            <w:r w:rsidRPr="004C12C9">
              <w:t>0%</w:t>
            </w:r>
          </w:p>
        </w:tc>
      </w:tr>
      <w:tr w:rsidR="0091153C" w:rsidRPr="004C12C9" w14:paraId="6FE74826" w14:textId="77777777" w:rsidTr="009D3812">
        <w:trPr>
          <w:trHeight w:val="20"/>
        </w:trPr>
        <w:tc>
          <w:tcPr>
            <w:tcW w:w="2150" w:type="dxa"/>
            <w:noWrap/>
          </w:tcPr>
          <w:p w14:paraId="1A03C8D9" w14:textId="77777777" w:rsidR="0091153C" w:rsidRPr="004C12C9" w:rsidRDefault="0091153C" w:rsidP="003739BE">
            <w:pPr>
              <w:pStyle w:val="ICFTabletext"/>
            </w:pPr>
            <w:r w:rsidRPr="004C12C9">
              <w:t>Kanabec</w:t>
            </w:r>
          </w:p>
        </w:tc>
        <w:tc>
          <w:tcPr>
            <w:tcW w:w="2003" w:type="dxa"/>
            <w:noWrap/>
          </w:tcPr>
          <w:p w14:paraId="1E3CDA9E" w14:textId="4E9F7B59" w:rsidR="0091153C" w:rsidRPr="004C12C9" w:rsidRDefault="0091153C" w:rsidP="003739BE">
            <w:pPr>
              <w:pStyle w:val="ICFTabletext"/>
              <w:jc w:val="center"/>
            </w:pPr>
            <w:r w:rsidRPr="004C12C9">
              <w:t>10,355</w:t>
            </w:r>
          </w:p>
        </w:tc>
        <w:tc>
          <w:tcPr>
            <w:tcW w:w="2004" w:type="dxa"/>
          </w:tcPr>
          <w:p w14:paraId="1F9B9234" w14:textId="15A36250" w:rsidR="0091153C" w:rsidRPr="004C12C9" w:rsidRDefault="0091153C" w:rsidP="003739BE">
            <w:pPr>
              <w:pStyle w:val="ICFTabletext"/>
              <w:jc w:val="center"/>
            </w:pPr>
            <w:r w:rsidRPr="004C12C9">
              <w:t>-</w:t>
            </w:r>
          </w:p>
        </w:tc>
        <w:tc>
          <w:tcPr>
            <w:tcW w:w="2004" w:type="dxa"/>
          </w:tcPr>
          <w:p w14:paraId="2E448E36" w14:textId="77777777" w:rsidR="0091153C" w:rsidRPr="004C12C9" w:rsidRDefault="0091153C" w:rsidP="003739BE">
            <w:pPr>
              <w:pStyle w:val="ICFTabletext"/>
              <w:jc w:val="center"/>
            </w:pPr>
            <w:r w:rsidRPr="004C12C9">
              <w:t>100%</w:t>
            </w:r>
          </w:p>
        </w:tc>
        <w:tc>
          <w:tcPr>
            <w:tcW w:w="2004" w:type="dxa"/>
          </w:tcPr>
          <w:p w14:paraId="171085BC" w14:textId="77777777" w:rsidR="0091153C" w:rsidRPr="004C12C9" w:rsidRDefault="0091153C" w:rsidP="003739BE">
            <w:pPr>
              <w:pStyle w:val="ICFTabletext"/>
              <w:jc w:val="center"/>
            </w:pPr>
            <w:r w:rsidRPr="004C12C9">
              <w:t>0%</w:t>
            </w:r>
          </w:p>
        </w:tc>
      </w:tr>
      <w:tr w:rsidR="0091153C" w:rsidRPr="004C12C9" w14:paraId="1E718A83" w14:textId="77777777" w:rsidTr="009D3812">
        <w:trPr>
          <w:trHeight w:val="20"/>
        </w:trPr>
        <w:tc>
          <w:tcPr>
            <w:tcW w:w="2150" w:type="dxa"/>
            <w:noWrap/>
          </w:tcPr>
          <w:p w14:paraId="16C7C541" w14:textId="77777777" w:rsidR="0091153C" w:rsidRPr="004C12C9" w:rsidRDefault="0091153C" w:rsidP="003739BE">
            <w:pPr>
              <w:pStyle w:val="ICFTabletext"/>
            </w:pPr>
            <w:r w:rsidRPr="004C12C9">
              <w:t>Kandiyohi</w:t>
            </w:r>
          </w:p>
        </w:tc>
        <w:tc>
          <w:tcPr>
            <w:tcW w:w="2003" w:type="dxa"/>
            <w:noWrap/>
          </w:tcPr>
          <w:p w14:paraId="08E71460" w14:textId="5A2007AE" w:rsidR="0091153C" w:rsidRPr="004C12C9" w:rsidRDefault="0091153C" w:rsidP="003739BE">
            <w:pPr>
              <w:pStyle w:val="ICFTabletext"/>
              <w:jc w:val="center"/>
            </w:pPr>
            <w:r w:rsidRPr="004C12C9">
              <w:t>34,158</w:t>
            </w:r>
          </w:p>
        </w:tc>
        <w:tc>
          <w:tcPr>
            <w:tcW w:w="2004" w:type="dxa"/>
          </w:tcPr>
          <w:p w14:paraId="24055E79" w14:textId="625AC941" w:rsidR="0091153C" w:rsidRPr="004C12C9" w:rsidRDefault="0091153C" w:rsidP="003739BE">
            <w:pPr>
              <w:pStyle w:val="ICFTabletext"/>
              <w:jc w:val="center"/>
            </w:pPr>
            <w:r w:rsidRPr="004C12C9">
              <w:t>-</w:t>
            </w:r>
          </w:p>
        </w:tc>
        <w:tc>
          <w:tcPr>
            <w:tcW w:w="2004" w:type="dxa"/>
          </w:tcPr>
          <w:p w14:paraId="7D061940" w14:textId="77777777" w:rsidR="0091153C" w:rsidRPr="004C12C9" w:rsidRDefault="0091153C" w:rsidP="003739BE">
            <w:pPr>
              <w:pStyle w:val="ICFTabletext"/>
              <w:jc w:val="center"/>
            </w:pPr>
            <w:r w:rsidRPr="004C12C9">
              <w:t>100%</w:t>
            </w:r>
          </w:p>
        </w:tc>
        <w:tc>
          <w:tcPr>
            <w:tcW w:w="2004" w:type="dxa"/>
          </w:tcPr>
          <w:p w14:paraId="6E03AF86" w14:textId="77777777" w:rsidR="0091153C" w:rsidRPr="004C12C9" w:rsidRDefault="0091153C" w:rsidP="003739BE">
            <w:pPr>
              <w:pStyle w:val="ICFTabletext"/>
              <w:jc w:val="center"/>
            </w:pPr>
            <w:r w:rsidRPr="004C12C9">
              <w:t>0%</w:t>
            </w:r>
          </w:p>
        </w:tc>
      </w:tr>
      <w:tr w:rsidR="0091153C" w:rsidRPr="004C12C9" w14:paraId="0CA47D92" w14:textId="77777777" w:rsidTr="009D3812">
        <w:trPr>
          <w:trHeight w:val="20"/>
        </w:trPr>
        <w:tc>
          <w:tcPr>
            <w:tcW w:w="2150" w:type="dxa"/>
            <w:noWrap/>
          </w:tcPr>
          <w:p w14:paraId="04DB8D8C" w14:textId="77777777" w:rsidR="0091153C" w:rsidRPr="004C12C9" w:rsidRDefault="0091153C" w:rsidP="003739BE">
            <w:pPr>
              <w:pStyle w:val="ICFTabletext"/>
            </w:pPr>
            <w:r w:rsidRPr="004C12C9">
              <w:t>Kittson</w:t>
            </w:r>
          </w:p>
        </w:tc>
        <w:tc>
          <w:tcPr>
            <w:tcW w:w="2003" w:type="dxa"/>
            <w:noWrap/>
          </w:tcPr>
          <w:p w14:paraId="75D1F20C" w14:textId="03EE19DE" w:rsidR="0091153C" w:rsidRPr="004C12C9" w:rsidRDefault="0091153C" w:rsidP="003739BE">
            <w:pPr>
              <w:pStyle w:val="ICFTabletext"/>
              <w:jc w:val="center"/>
            </w:pPr>
            <w:r w:rsidRPr="004C12C9">
              <w:t>2,185</w:t>
            </w:r>
          </w:p>
        </w:tc>
        <w:tc>
          <w:tcPr>
            <w:tcW w:w="2004" w:type="dxa"/>
          </w:tcPr>
          <w:p w14:paraId="123FAD6C" w14:textId="53405331" w:rsidR="0091153C" w:rsidRPr="004C12C9" w:rsidRDefault="0091153C" w:rsidP="003739BE">
            <w:pPr>
              <w:pStyle w:val="ICFTabletext"/>
              <w:jc w:val="center"/>
            </w:pPr>
            <w:r w:rsidRPr="004C12C9">
              <w:t>-</w:t>
            </w:r>
          </w:p>
        </w:tc>
        <w:tc>
          <w:tcPr>
            <w:tcW w:w="2004" w:type="dxa"/>
          </w:tcPr>
          <w:p w14:paraId="2FECD3D7" w14:textId="77777777" w:rsidR="0091153C" w:rsidRPr="004C12C9" w:rsidRDefault="0091153C" w:rsidP="003739BE">
            <w:pPr>
              <w:pStyle w:val="ICFTabletext"/>
              <w:jc w:val="center"/>
            </w:pPr>
            <w:r w:rsidRPr="004C12C9">
              <w:t>100%</w:t>
            </w:r>
          </w:p>
        </w:tc>
        <w:tc>
          <w:tcPr>
            <w:tcW w:w="2004" w:type="dxa"/>
          </w:tcPr>
          <w:p w14:paraId="2B879D26" w14:textId="77777777" w:rsidR="0091153C" w:rsidRPr="004C12C9" w:rsidRDefault="0091153C" w:rsidP="003739BE">
            <w:pPr>
              <w:pStyle w:val="ICFTabletext"/>
              <w:jc w:val="center"/>
            </w:pPr>
            <w:r w:rsidRPr="004C12C9">
              <w:t>0%</w:t>
            </w:r>
          </w:p>
        </w:tc>
      </w:tr>
      <w:tr w:rsidR="0091153C" w:rsidRPr="004C12C9" w14:paraId="41704CA8" w14:textId="77777777" w:rsidTr="009D3812">
        <w:trPr>
          <w:trHeight w:val="20"/>
        </w:trPr>
        <w:tc>
          <w:tcPr>
            <w:tcW w:w="2150" w:type="dxa"/>
            <w:noWrap/>
          </w:tcPr>
          <w:p w14:paraId="1D71F773" w14:textId="77777777" w:rsidR="0091153C" w:rsidRPr="004C12C9" w:rsidRDefault="0091153C" w:rsidP="003739BE">
            <w:pPr>
              <w:pStyle w:val="ICFTabletext"/>
            </w:pPr>
            <w:r w:rsidRPr="004C12C9">
              <w:t>Koochiching</w:t>
            </w:r>
          </w:p>
        </w:tc>
        <w:tc>
          <w:tcPr>
            <w:tcW w:w="2003" w:type="dxa"/>
            <w:noWrap/>
          </w:tcPr>
          <w:p w14:paraId="382EAD1A" w14:textId="3AE50218" w:rsidR="0091153C" w:rsidRPr="004C12C9" w:rsidRDefault="0091153C" w:rsidP="003739BE">
            <w:pPr>
              <w:pStyle w:val="ICFTabletext"/>
              <w:jc w:val="center"/>
            </w:pPr>
            <w:r w:rsidRPr="004C12C9">
              <w:t>8,372</w:t>
            </w:r>
          </w:p>
        </w:tc>
        <w:tc>
          <w:tcPr>
            <w:tcW w:w="2004" w:type="dxa"/>
          </w:tcPr>
          <w:p w14:paraId="71B38C5E" w14:textId="2C08E163" w:rsidR="0091153C" w:rsidRPr="004C12C9" w:rsidRDefault="0091153C" w:rsidP="003739BE">
            <w:pPr>
              <w:pStyle w:val="ICFTabletext"/>
              <w:jc w:val="center"/>
            </w:pPr>
            <w:r w:rsidRPr="004C12C9">
              <w:t>-</w:t>
            </w:r>
          </w:p>
        </w:tc>
        <w:tc>
          <w:tcPr>
            <w:tcW w:w="2004" w:type="dxa"/>
          </w:tcPr>
          <w:p w14:paraId="101CEEC2" w14:textId="77777777" w:rsidR="0091153C" w:rsidRPr="004C12C9" w:rsidRDefault="0091153C" w:rsidP="003739BE">
            <w:pPr>
              <w:pStyle w:val="ICFTabletext"/>
              <w:jc w:val="center"/>
            </w:pPr>
            <w:r w:rsidRPr="004C12C9">
              <w:t>100%</w:t>
            </w:r>
          </w:p>
        </w:tc>
        <w:tc>
          <w:tcPr>
            <w:tcW w:w="2004" w:type="dxa"/>
          </w:tcPr>
          <w:p w14:paraId="41003EA6" w14:textId="77777777" w:rsidR="0091153C" w:rsidRPr="004C12C9" w:rsidRDefault="0091153C" w:rsidP="003739BE">
            <w:pPr>
              <w:pStyle w:val="ICFTabletext"/>
              <w:jc w:val="center"/>
            </w:pPr>
            <w:r w:rsidRPr="004C12C9">
              <w:t>0%</w:t>
            </w:r>
          </w:p>
        </w:tc>
      </w:tr>
      <w:tr w:rsidR="0091153C" w:rsidRPr="004C12C9" w14:paraId="5DA9B5A7" w14:textId="77777777" w:rsidTr="009D3812">
        <w:trPr>
          <w:trHeight w:val="20"/>
        </w:trPr>
        <w:tc>
          <w:tcPr>
            <w:tcW w:w="2150" w:type="dxa"/>
            <w:noWrap/>
          </w:tcPr>
          <w:p w14:paraId="0C39A785" w14:textId="77777777" w:rsidR="0091153C" w:rsidRPr="004C12C9" w:rsidRDefault="0091153C" w:rsidP="003739BE">
            <w:pPr>
              <w:pStyle w:val="ICFTabletext"/>
            </w:pPr>
            <w:r w:rsidRPr="004C12C9">
              <w:t>Lac qui Parle</w:t>
            </w:r>
          </w:p>
        </w:tc>
        <w:tc>
          <w:tcPr>
            <w:tcW w:w="2003" w:type="dxa"/>
            <w:noWrap/>
          </w:tcPr>
          <w:p w14:paraId="1ADC4EAB" w14:textId="0C9B16EE" w:rsidR="0091153C" w:rsidRPr="004C12C9" w:rsidRDefault="0091153C" w:rsidP="003739BE">
            <w:pPr>
              <w:pStyle w:val="ICFTabletext"/>
              <w:jc w:val="center"/>
            </w:pPr>
            <w:r w:rsidRPr="004C12C9">
              <w:t>4,787</w:t>
            </w:r>
          </w:p>
        </w:tc>
        <w:tc>
          <w:tcPr>
            <w:tcW w:w="2004" w:type="dxa"/>
          </w:tcPr>
          <w:p w14:paraId="10C2B630" w14:textId="79E048DB" w:rsidR="0091153C" w:rsidRPr="004C12C9" w:rsidRDefault="0091153C" w:rsidP="003739BE">
            <w:pPr>
              <w:pStyle w:val="ICFTabletext"/>
              <w:jc w:val="center"/>
            </w:pPr>
            <w:r w:rsidRPr="004C12C9">
              <w:t>-</w:t>
            </w:r>
          </w:p>
        </w:tc>
        <w:tc>
          <w:tcPr>
            <w:tcW w:w="2004" w:type="dxa"/>
          </w:tcPr>
          <w:p w14:paraId="18D40E88" w14:textId="77777777" w:rsidR="0091153C" w:rsidRPr="004C12C9" w:rsidRDefault="0091153C" w:rsidP="003739BE">
            <w:pPr>
              <w:pStyle w:val="ICFTabletext"/>
              <w:jc w:val="center"/>
            </w:pPr>
            <w:r w:rsidRPr="004C12C9">
              <w:t>100%</w:t>
            </w:r>
          </w:p>
        </w:tc>
        <w:tc>
          <w:tcPr>
            <w:tcW w:w="2004" w:type="dxa"/>
          </w:tcPr>
          <w:p w14:paraId="1A3E28A3" w14:textId="77777777" w:rsidR="0091153C" w:rsidRPr="004C12C9" w:rsidRDefault="0091153C" w:rsidP="003739BE">
            <w:pPr>
              <w:pStyle w:val="ICFTabletext"/>
              <w:jc w:val="center"/>
            </w:pPr>
            <w:r w:rsidRPr="004C12C9">
              <w:t>0%</w:t>
            </w:r>
          </w:p>
        </w:tc>
      </w:tr>
      <w:tr w:rsidR="0091153C" w:rsidRPr="004C12C9" w14:paraId="75B59624" w14:textId="77777777" w:rsidTr="009D3812">
        <w:trPr>
          <w:trHeight w:val="20"/>
        </w:trPr>
        <w:tc>
          <w:tcPr>
            <w:tcW w:w="2150" w:type="dxa"/>
            <w:noWrap/>
          </w:tcPr>
          <w:p w14:paraId="52AAA999" w14:textId="77777777" w:rsidR="0091153C" w:rsidRPr="004C12C9" w:rsidRDefault="0091153C" w:rsidP="003739BE">
            <w:pPr>
              <w:pStyle w:val="ICFTabletext"/>
            </w:pPr>
            <w:r w:rsidRPr="004C12C9">
              <w:t>Lake</w:t>
            </w:r>
          </w:p>
        </w:tc>
        <w:tc>
          <w:tcPr>
            <w:tcW w:w="2003" w:type="dxa"/>
            <w:noWrap/>
          </w:tcPr>
          <w:p w14:paraId="78393BEE" w14:textId="435DDEE2" w:rsidR="0091153C" w:rsidRPr="004C12C9" w:rsidRDefault="0091153C" w:rsidP="003739BE">
            <w:pPr>
              <w:pStyle w:val="ICFTabletext"/>
              <w:jc w:val="center"/>
            </w:pPr>
            <w:r w:rsidRPr="004C12C9">
              <w:t>5,791</w:t>
            </w:r>
          </w:p>
        </w:tc>
        <w:tc>
          <w:tcPr>
            <w:tcW w:w="2004" w:type="dxa"/>
          </w:tcPr>
          <w:p w14:paraId="46BD0223" w14:textId="3EE10D3B" w:rsidR="0091153C" w:rsidRPr="004C12C9" w:rsidRDefault="0091153C" w:rsidP="003739BE">
            <w:pPr>
              <w:pStyle w:val="ICFTabletext"/>
              <w:jc w:val="center"/>
            </w:pPr>
            <w:r w:rsidRPr="004C12C9">
              <w:t>-</w:t>
            </w:r>
          </w:p>
        </w:tc>
        <w:tc>
          <w:tcPr>
            <w:tcW w:w="2004" w:type="dxa"/>
          </w:tcPr>
          <w:p w14:paraId="5C07C91D" w14:textId="77777777" w:rsidR="0091153C" w:rsidRPr="004C12C9" w:rsidRDefault="0091153C" w:rsidP="003739BE">
            <w:pPr>
              <w:pStyle w:val="ICFTabletext"/>
              <w:jc w:val="center"/>
            </w:pPr>
            <w:r w:rsidRPr="004C12C9">
              <w:t>100%</w:t>
            </w:r>
          </w:p>
        </w:tc>
        <w:tc>
          <w:tcPr>
            <w:tcW w:w="2004" w:type="dxa"/>
          </w:tcPr>
          <w:p w14:paraId="31BB338E" w14:textId="77777777" w:rsidR="0091153C" w:rsidRPr="004C12C9" w:rsidRDefault="0091153C" w:rsidP="003739BE">
            <w:pPr>
              <w:pStyle w:val="ICFTabletext"/>
              <w:jc w:val="center"/>
            </w:pPr>
            <w:r w:rsidRPr="004C12C9">
              <w:t>0%</w:t>
            </w:r>
          </w:p>
        </w:tc>
      </w:tr>
      <w:tr w:rsidR="0091153C" w:rsidRPr="004C12C9" w14:paraId="5D8493F0" w14:textId="77777777" w:rsidTr="009D3812">
        <w:trPr>
          <w:trHeight w:val="20"/>
        </w:trPr>
        <w:tc>
          <w:tcPr>
            <w:tcW w:w="2150" w:type="dxa"/>
            <w:noWrap/>
          </w:tcPr>
          <w:p w14:paraId="524DCED3" w14:textId="77777777" w:rsidR="0091153C" w:rsidRPr="004C12C9" w:rsidRDefault="0091153C" w:rsidP="003739BE">
            <w:pPr>
              <w:pStyle w:val="ICFTabletext"/>
            </w:pPr>
            <w:r w:rsidRPr="004C12C9">
              <w:t>Lake of the Woods</w:t>
            </w:r>
          </w:p>
        </w:tc>
        <w:tc>
          <w:tcPr>
            <w:tcW w:w="2003" w:type="dxa"/>
            <w:noWrap/>
          </w:tcPr>
          <w:p w14:paraId="0E04564A" w14:textId="61B9118B" w:rsidR="0091153C" w:rsidRPr="004C12C9" w:rsidRDefault="0091153C" w:rsidP="003739BE">
            <w:pPr>
              <w:pStyle w:val="ICFTabletext"/>
              <w:jc w:val="center"/>
            </w:pPr>
            <w:r w:rsidRPr="004C12C9">
              <w:t>3,422</w:t>
            </w:r>
          </w:p>
        </w:tc>
        <w:tc>
          <w:tcPr>
            <w:tcW w:w="2004" w:type="dxa"/>
          </w:tcPr>
          <w:p w14:paraId="576EFBFF" w14:textId="046F1C9A" w:rsidR="0091153C" w:rsidRPr="004C12C9" w:rsidRDefault="0091153C" w:rsidP="003739BE">
            <w:pPr>
              <w:pStyle w:val="ICFTabletext"/>
              <w:jc w:val="center"/>
            </w:pPr>
            <w:r w:rsidRPr="004C12C9">
              <w:t>-</w:t>
            </w:r>
          </w:p>
        </w:tc>
        <w:tc>
          <w:tcPr>
            <w:tcW w:w="2004" w:type="dxa"/>
          </w:tcPr>
          <w:p w14:paraId="57C6386E" w14:textId="77777777" w:rsidR="0091153C" w:rsidRPr="004C12C9" w:rsidRDefault="0091153C" w:rsidP="003739BE">
            <w:pPr>
              <w:pStyle w:val="ICFTabletext"/>
              <w:jc w:val="center"/>
            </w:pPr>
            <w:r w:rsidRPr="004C12C9">
              <w:t>100%</w:t>
            </w:r>
          </w:p>
        </w:tc>
        <w:tc>
          <w:tcPr>
            <w:tcW w:w="2004" w:type="dxa"/>
          </w:tcPr>
          <w:p w14:paraId="6A6FC926" w14:textId="77777777" w:rsidR="0091153C" w:rsidRPr="004C12C9" w:rsidRDefault="0091153C" w:rsidP="003739BE">
            <w:pPr>
              <w:pStyle w:val="ICFTabletext"/>
              <w:jc w:val="center"/>
            </w:pPr>
            <w:r w:rsidRPr="004C12C9">
              <w:t>0%</w:t>
            </w:r>
          </w:p>
        </w:tc>
      </w:tr>
      <w:tr w:rsidR="0091153C" w:rsidRPr="004C12C9" w14:paraId="4C953F28" w14:textId="77777777" w:rsidTr="009D3812">
        <w:trPr>
          <w:trHeight w:val="20"/>
        </w:trPr>
        <w:tc>
          <w:tcPr>
            <w:tcW w:w="2150" w:type="dxa"/>
            <w:noWrap/>
          </w:tcPr>
          <w:p w14:paraId="422C55EC" w14:textId="77777777" w:rsidR="0091153C" w:rsidRPr="004C12C9" w:rsidRDefault="0091153C" w:rsidP="003739BE">
            <w:pPr>
              <w:pStyle w:val="ICFTabletext"/>
            </w:pPr>
            <w:r w:rsidRPr="004C12C9">
              <w:t>Le Sueur</w:t>
            </w:r>
          </w:p>
        </w:tc>
        <w:tc>
          <w:tcPr>
            <w:tcW w:w="2003" w:type="dxa"/>
            <w:noWrap/>
          </w:tcPr>
          <w:p w14:paraId="39E9229D" w14:textId="2F77F1EC" w:rsidR="0091153C" w:rsidRPr="004C12C9" w:rsidRDefault="0091153C" w:rsidP="003739BE">
            <w:pPr>
              <w:pStyle w:val="ICFTabletext"/>
              <w:jc w:val="center"/>
            </w:pPr>
            <w:r w:rsidRPr="004C12C9">
              <w:t>10,614</w:t>
            </w:r>
          </w:p>
        </w:tc>
        <w:tc>
          <w:tcPr>
            <w:tcW w:w="2004" w:type="dxa"/>
          </w:tcPr>
          <w:p w14:paraId="3FE1BFBF" w14:textId="43579F2E" w:rsidR="0091153C" w:rsidRPr="004C12C9" w:rsidRDefault="0091153C" w:rsidP="003739BE">
            <w:pPr>
              <w:pStyle w:val="ICFTabletext"/>
              <w:jc w:val="center"/>
            </w:pPr>
            <w:r w:rsidRPr="004C12C9">
              <w:t>4,637</w:t>
            </w:r>
          </w:p>
        </w:tc>
        <w:tc>
          <w:tcPr>
            <w:tcW w:w="2004" w:type="dxa"/>
          </w:tcPr>
          <w:p w14:paraId="5285CCA4" w14:textId="77777777" w:rsidR="0091153C" w:rsidRPr="004C12C9" w:rsidRDefault="0091153C" w:rsidP="003739BE">
            <w:pPr>
              <w:pStyle w:val="ICFTabletext"/>
              <w:jc w:val="center"/>
            </w:pPr>
            <w:r w:rsidRPr="004C12C9">
              <w:t>70%</w:t>
            </w:r>
          </w:p>
        </w:tc>
        <w:tc>
          <w:tcPr>
            <w:tcW w:w="2004" w:type="dxa"/>
          </w:tcPr>
          <w:p w14:paraId="720889A4" w14:textId="77777777" w:rsidR="0091153C" w:rsidRPr="004C12C9" w:rsidRDefault="0091153C" w:rsidP="003739BE">
            <w:pPr>
              <w:pStyle w:val="ICFTabletext"/>
              <w:jc w:val="center"/>
            </w:pPr>
            <w:r w:rsidRPr="004C12C9">
              <w:t>30%</w:t>
            </w:r>
          </w:p>
        </w:tc>
      </w:tr>
      <w:tr w:rsidR="0091153C" w:rsidRPr="004C12C9" w14:paraId="5920C1DC" w14:textId="77777777" w:rsidTr="009D3812">
        <w:trPr>
          <w:trHeight w:val="20"/>
        </w:trPr>
        <w:tc>
          <w:tcPr>
            <w:tcW w:w="2150" w:type="dxa"/>
            <w:noWrap/>
          </w:tcPr>
          <w:p w14:paraId="14A4AEA3" w14:textId="77777777" w:rsidR="0091153C" w:rsidRPr="004C12C9" w:rsidRDefault="0091153C" w:rsidP="003739BE">
            <w:pPr>
              <w:pStyle w:val="ICFTabletext"/>
            </w:pPr>
            <w:r w:rsidRPr="004C12C9">
              <w:t>Lincoln</w:t>
            </w:r>
          </w:p>
        </w:tc>
        <w:tc>
          <w:tcPr>
            <w:tcW w:w="2003" w:type="dxa"/>
            <w:noWrap/>
          </w:tcPr>
          <w:p w14:paraId="0CCC532C" w14:textId="10D90E16" w:rsidR="0091153C" w:rsidRPr="004C12C9" w:rsidRDefault="0091153C" w:rsidP="003739BE">
            <w:pPr>
              <w:pStyle w:val="ICFTabletext"/>
              <w:jc w:val="center"/>
            </w:pPr>
            <w:r w:rsidRPr="004C12C9">
              <w:t>2,991</w:t>
            </w:r>
          </w:p>
        </w:tc>
        <w:tc>
          <w:tcPr>
            <w:tcW w:w="2004" w:type="dxa"/>
          </w:tcPr>
          <w:p w14:paraId="159F7C0E" w14:textId="3E534E31" w:rsidR="0091153C" w:rsidRPr="004C12C9" w:rsidRDefault="0091153C" w:rsidP="003739BE">
            <w:pPr>
              <w:pStyle w:val="ICFTabletext"/>
              <w:jc w:val="center"/>
            </w:pPr>
            <w:r w:rsidRPr="004C12C9">
              <w:t>-</w:t>
            </w:r>
          </w:p>
        </w:tc>
        <w:tc>
          <w:tcPr>
            <w:tcW w:w="2004" w:type="dxa"/>
          </w:tcPr>
          <w:p w14:paraId="2266D9FD" w14:textId="77777777" w:rsidR="0091153C" w:rsidRPr="004C12C9" w:rsidRDefault="0091153C" w:rsidP="003739BE">
            <w:pPr>
              <w:pStyle w:val="ICFTabletext"/>
              <w:jc w:val="center"/>
            </w:pPr>
            <w:r w:rsidRPr="004C12C9">
              <w:t>100%</w:t>
            </w:r>
          </w:p>
        </w:tc>
        <w:tc>
          <w:tcPr>
            <w:tcW w:w="2004" w:type="dxa"/>
          </w:tcPr>
          <w:p w14:paraId="5EC57B87" w14:textId="77777777" w:rsidR="0091153C" w:rsidRPr="004C12C9" w:rsidRDefault="0091153C" w:rsidP="003739BE">
            <w:pPr>
              <w:pStyle w:val="ICFTabletext"/>
              <w:jc w:val="center"/>
            </w:pPr>
            <w:r w:rsidRPr="004C12C9">
              <w:t>0%</w:t>
            </w:r>
          </w:p>
        </w:tc>
      </w:tr>
      <w:tr w:rsidR="0091153C" w:rsidRPr="004C12C9" w14:paraId="4EADEF09" w14:textId="77777777" w:rsidTr="009D3812">
        <w:trPr>
          <w:trHeight w:val="20"/>
        </w:trPr>
        <w:tc>
          <w:tcPr>
            <w:tcW w:w="2150" w:type="dxa"/>
            <w:noWrap/>
          </w:tcPr>
          <w:p w14:paraId="58B9EA44" w14:textId="77777777" w:rsidR="0091153C" w:rsidRPr="004C12C9" w:rsidRDefault="0091153C" w:rsidP="003739BE">
            <w:pPr>
              <w:pStyle w:val="ICFTabletext"/>
            </w:pPr>
            <w:r w:rsidRPr="004C12C9">
              <w:t>Lyon</w:t>
            </w:r>
          </w:p>
        </w:tc>
        <w:tc>
          <w:tcPr>
            <w:tcW w:w="2003" w:type="dxa"/>
            <w:noWrap/>
          </w:tcPr>
          <w:p w14:paraId="6F5D0845" w14:textId="14C4D8F9" w:rsidR="0091153C" w:rsidRPr="004C12C9" w:rsidRDefault="0091153C" w:rsidP="003739BE">
            <w:pPr>
              <w:pStyle w:val="ICFTabletext"/>
              <w:jc w:val="center"/>
            </w:pPr>
            <w:r w:rsidRPr="004C12C9">
              <w:t>21,507</w:t>
            </w:r>
          </w:p>
        </w:tc>
        <w:tc>
          <w:tcPr>
            <w:tcW w:w="2004" w:type="dxa"/>
          </w:tcPr>
          <w:p w14:paraId="5F13298A" w14:textId="3693664D" w:rsidR="0091153C" w:rsidRPr="004C12C9" w:rsidRDefault="0091153C" w:rsidP="003739BE">
            <w:pPr>
              <w:pStyle w:val="ICFTabletext"/>
              <w:jc w:val="center"/>
            </w:pPr>
            <w:r w:rsidRPr="004C12C9">
              <w:t>-</w:t>
            </w:r>
          </w:p>
        </w:tc>
        <w:tc>
          <w:tcPr>
            <w:tcW w:w="2004" w:type="dxa"/>
          </w:tcPr>
          <w:p w14:paraId="7D2D7150" w14:textId="77777777" w:rsidR="0091153C" w:rsidRPr="004C12C9" w:rsidRDefault="0091153C" w:rsidP="003739BE">
            <w:pPr>
              <w:pStyle w:val="ICFTabletext"/>
              <w:jc w:val="center"/>
            </w:pPr>
            <w:r w:rsidRPr="004C12C9">
              <w:t>100%</w:t>
            </w:r>
          </w:p>
        </w:tc>
        <w:tc>
          <w:tcPr>
            <w:tcW w:w="2004" w:type="dxa"/>
          </w:tcPr>
          <w:p w14:paraId="536116A1" w14:textId="77777777" w:rsidR="0091153C" w:rsidRPr="004C12C9" w:rsidRDefault="0091153C" w:rsidP="003739BE">
            <w:pPr>
              <w:pStyle w:val="ICFTabletext"/>
              <w:jc w:val="center"/>
            </w:pPr>
            <w:r w:rsidRPr="004C12C9">
              <w:t>0%</w:t>
            </w:r>
          </w:p>
        </w:tc>
      </w:tr>
      <w:tr w:rsidR="0091153C" w:rsidRPr="004C12C9" w14:paraId="3AD2908B" w14:textId="77777777" w:rsidTr="009D3812">
        <w:trPr>
          <w:trHeight w:val="20"/>
        </w:trPr>
        <w:tc>
          <w:tcPr>
            <w:tcW w:w="2150" w:type="dxa"/>
            <w:noWrap/>
          </w:tcPr>
          <w:p w14:paraId="01B8103A" w14:textId="77777777" w:rsidR="0091153C" w:rsidRPr="004C12C9" w:rsidRDefault="0091153C" w:rsidP="003739BE">
            <w:pPr>
              <w:pStyle w:val="ICFTabletext"/>
            </w:pPr>
            <w:r w:rsidRPr="004C12C9">
              <w:t xml:space="preserve">Mahnomen </w:t>
            </w:r>
          </w:p>
        </w:tc>
        <w:tc>
          <w:tcPr>
            <w:tcW w:w="2003" w:type="dxa"/>
            <w:noWrap/>
          </w:tcPr>
          <w:p w14:paraId="0D534063" w14:textId="586402FE" w:rsidR="0091153C" w:rsidRPr="004C12C9" w:rsidRDefault="0091153C" w:rsidP="003739BE">
            <w:pPr>
              <w:pStyle w:val="ICFTabletext"/>
              <w:jc w:val="center"/>
            </w:pPr>
            <w:r w:rsidRPr="004C12C9">
              <w:t>25</w:t>
            </w:r>
          </w:p>
        </w:tc>
        <w:tc>
          <w:tcPr>
            <w:tcW w:w="2004" w:type="dxa"/>
          </w:tcPr>
          <w:p w14:paraId="4DD9DC19" w14:textId="45238004" w:rsidR="0091153C" w:rsidRPr="004C12C9" w:rsidRDefault="0091153C" w:rsidP="003739BE">
            <w:pPr>
              <w:pStyle w:val="ICFTabletext"/>
              <w:jc w:val="center"/>
            </w:pPr>
            <w:r w:rsidRPr="004C12C9">
              <w:t>1,649</w:t>
            </w:r>
          </w:p>
        </w:tc>
        <w:tc>
          <w:tcPr>
            <w:tcW w:w="2004" w:type="dxa"/>
          </w:tcPr>
          <w:p w14:paraId="39DD9C84" w14:textId="77777777" w:rsidR="0091153C" w:rsidRPr="004C12C9" w:rsidRDefault="0091153C" w:rsidP="003739BE">
            <w:pPr>
              <w:pStyle w:val="ICFTabletext"/>
              <w:jc w:val="center"/>
            </w:pPr>
            <w:r w:rsidRPr="004C12C9">
              <w:t>1%</w:t>
            </w:r>
          </w:p>
        </w:tc>
        <w:tc>
          <w:tcPr>
            <w:tcW w:w="2004" w:type="dxa"/>
          </w:tcPr>
          <w:p w14:paraId="05CA3EA9" w14:textId="77777777" w:rsidR="0091153C" w:rsidRPr="004C12C9" w:rsidRDefault="0091153C" w:rsidP="003739BE">
            <w:pPr>
              <w:pStyle w:val="ICFTabletext"/>
              <w:jc w:val="center"/>
            </w:pPr>
            <w:r w:rsidRPr="004C12C9">
              <w:t>99%</w:t>
            </w:r>
          </w:p>
        </w:tc>
      </w:tr>
      <w:tr w:rsidR="0091153C" w:rsidRPr="004C12C9" w14:paraId="6FABC197" w14:textId="77777777" w:rsidTr="009D3812">
        <w:trPr>
          <w:trHeight w:val="20"/>
        </w:trPr>
        <w:tc>
          <w:tcPr>
            <w:tcW w:w="2150" w:type="dxa"/>
            <w:noWrap/>
          </w:tcPr>
          <w:p w14:paraId="3AFFF259" w14:textId="77777777" w:rsidR="0091153C" w:rsidRPr="004C12C9" w:rsidRDefault="0091153C" w:rsidP="003739BE">
            <w:pPr>
              <w:pStyle w:val="ICFTabletext"/>
            </w:pPr>
            <w:r w:rsidRPr="004C12C9">
              <w:t xml:space="preserve">Marshall </w:t>
            </w:r>
          </w:p>
        </w:tc>
        <w:tc>
          <w:tcPr>
            <w:tcW w:w="2003" w:type="dxa"/>
            <w:noWrap/>
          </w:tcPr>
          <w:p w14:paraId="08010F9C" w14:textId="6F40B553" w:rsidR="0091153C" w:rsidRPr="004C12C9" w:rsidRDefault="0091153C" w:rsidP="003739BE">
            <w:pPr>
              <w:pStyle w:val="ICFTabletext"/>
              <w:jc w:val="center"/>
            </w:pPr>
            <w:r w:rsidRPr="004C12C9">
              <w:t>5,066</w:t>
            </w:r>
          </w:p>
        </w:tc>
        <w:tc>
          <w:tcPr>
            <w:tcW w:w="2004" w:type="dxa"/>
          </w:tcPr>
          <w:p w14:paraId="2BC08DE5" w14:textId="63F446FA" w:rsidR="0091153C" w:rsidRPr="004C12C9" w:rsidRDefault="0091153C" w:rsidP="003739BE">
            <w:pPr>
              <w:pStyle w:val="ICFTabletext"/>
              <w:jc w:val="center"/>
            </w:pPr>
            <w:r w:rsidRPr="004C12C9">
              <w:t>-</w:t>
            </w:r>
          </w:p>
        </w:tc>
        <w:tc>
          <w:tcPr>
            <w:tcW w:w="2004" w:type="dxa"/>
          </w:tcPr>
          <w:p w14:paraId="151042D7" w14:textId="77777777" w:rsidR="0091153C" w:rsidRPr="004C12C9" w:rsidRDefault="0091153C" w:rsidP="003739BE">
            <w:pPr>
              <w:pStyle w:val="ICFTabletext"/>
              <w:jc w:val="center"/>
            </w:pPr>
            <w:r w:rsidRPr="004C12C9">
              <w:t>100%</w:t>
            </w:r>
          </w:p>
        </w:tc>
        <w:tc>
          <w:tcPr>
            <w:tcW w:w="2004" w:type="dxa"/>
          </w:tcPr>
          <w:p w14:paraId="2BE0F1DF" w14:textId="77777777" w:rsidR="0091153C" w:rsidRPr="004C12C9" w:rsidRDefault="0091153C" w:rsidP="003739BE">
            <w:pPr>
              <w:pStyle w:val="ICFTabletext"/>
              <w:jc w:val="center"/>
            </w:pPr>
            <w:r w:rsidRPr="004C12C9">
              <w:t>0%</w:t>
            </w:r>
          </w:p>
        </w:tc>
      </w:tr>
      <w:tr w:rsidR="0091153C" w:rsidRPr="004C12C9" w14:paraId="1E679C64" w14:textId="77777777" w:rsidTr="009D3812">
        <w:trPr>
          <w:trHeight w:val="20"/>
        </w:trPr>
        <w:tc>
          <w:tcPr>
            <w:tcW w:w="2150" w:type="dxa"/>
            <w:noWrap/>
          </w:tcPr>
          <w:p w14:paraId="2B2EA5EF" w14:textId="77777777" w:rsidR="0091153C" w:rsidRPr="004C12C9" w:rsidRDefault="0091153C" w:rsidP="003739BE">
            <w:pPr>
              <w:pStyle w:val="ICFTabletext"/>
            </w:pPr>
            <w:r w:rsidRPr="004C12C9">
              <w:t xml:space="preserve">Martin </w:t>
            </w:r>
          </w:p>
        </w:tc>
        <w:tc>
          <w:tcPr>
            <w:tcW w:w="2003" w:type="dxa"/>
            <w:noWrap/>
          </w:tcPr>
          <w:p w14:paraId="37A080D7" w14:textId="03752C29" w:rsidR="0091153C" w:rsidRPr="004C12C9" w:rsidRDefault="0091153C" w:rsidP="003739BE">
            <w:pPr>
              <w:pStyle w:val="ICFTabletext"/>
              <w:jc w:val="center"/>
            </w:pPr>
            <w:r w:rsidRPr="004C12C9">
              <w:t>3,260</w:t>
            </w:r>
          </w:p>
        </w:tc>
        <w:tc>
          <w:tcPr>
            <w:tcW w:w="2004" w:type="dxa"/>
          </w:tcPr>
          <w:p w14:paraId="237B88BB" w14:textId="4B4DDD5D" w:rsidR="0091153C" w:rsidRPr="004C12C9" w:rsidRDefault="0091153C" w:rsidP="003739BE">
            <w:pPr>
              <w:pStyle w:val="ICFTabletext"/>
              <w:jc w:val="center"/>
            </w:pPr>
            <w:r w:rsidRPr="004C12C9">
              <w:t>8,530</w:t>
            </w:r>
          </w:p>
        </w:tc>
        <w:tc>
          <w:tcPr>
            <w:tcW w:w="2004" w:type="dxa"/>
          </w:tcPr>
          <w:p w14:paraId="5539327E" w14:textId="77777777" w:rsidR="0091153C" w:rsidRPr="004C12C9" w:rsidRDefault="0091153C" w:rsidP="003739BE">
            <w:pPr>
              <w:pStyle w:val="ICFTabletext"/>
              <w:jc w:val="center"/>
            </w:pPr>
            <w:r w:rsidRPr="004C12C9">
              <w:t>28%</w:t>
            </w:r>
          </w:p>
        </w:tc>
        <w:tc>
          <w:tcPr>
            <w:tcW w:w="2004" w:type="dxa"/>
          </w:tcPr>
          <w:p w14:paraId="0E52ED55" w14:textId="77777777" w:rsidR="0091153C" w:rsidRPr="004C12C9" w:rsidRDefault="0091153C" w:rsidP="003739BE">
            <w:pPr>
              <w:pStyle w:val="ICFTabletext"/>
              <w:jc w:val="center"/>
            </w:pPr>
            <w:r w:rsidRPr="004C12C9">
              <w:t>72%</w:t>
            </w:r>
          </w:p>
        </w:tc>
      </w:tr>
      <w:tr w:rsidR="0091153C" w:rsidRPr="004C12C9" w14:paraId="4267095D" w14:textId="77777777" w:rsidTr="009D3812">
        <w:trPr>
          <w:trHeight w:val="20"/>
        </w:trPr>
        <w:tc>
          <w:tcPr>
            <w:tcW w:w="2150" w:type="dxa"/>
            <w:noWrap/>
          </w:tcPr>
          <w:p w14:paraId="07E758E3" w14:textId="77777777" w:rsidR="0091153C" w:rsidRPr="004C12C9" w:rsidRDefault="0091153C" w:rsidP="003739BE">
            <w:pPr>
              <w:pStyle w:val="ICFTabletext"/>
            </w:pPr>
            <w:r w:rsidRPr="004C12C9">
              <w:t xml:space="preserve">McLeod </w:t>
            </w:r>
          </w:p>
        </w:tc>
        <w:tc>
          <w:tcPr>
            <w:tcW w:w="2003" w:type="dxa"/>
            <w:noWrap/>
          </w:tcPr>
          <w:p w14:paraId="5149A48D" w14:textId="6B3E0A19" w:rsidR="0091153C" w:rsidRPr="004C12C9" w:rsidRDefault="0091153C" w:rsidP="003739BE">
            <w:pPr>
              <w:pStyle w:val="ICFTabletext"/>
              <w:jc w:val="center"/>
            </w:pPr>
            <w:r w:rsidRPr="004C12C9">
              <w:t>21,599</w:t>
            </w:r>
          </w:p>
        </w:tc>
        <w:tc>
          <w:tcPr>
            <w:tcW w:w="2004" w:type="dxa"/>
          </w:tcPr>
          <w:p w14:paraId="113A95E2" w14:textId="62C768E4" w:rsidR="0091153C" w:rsidRPr="004C12C9" w:rsidRDefault="0091153C" w:rsidP="003739BE">
            <w:pPr>
              <w:pStyle w:val="ICFTabletext"/>
              <w:jc w:val="center"/>
            </w:pPr>
            <w:r w:rsidRPr="004C12C9">
              <w:t>-</w:t>
            </w:r>
          </w:p>
        </w:tc>
        <w:tc>
          <w:tcPr>
            <w:tcW w:w="2004" w:type="dxa"/>
          </w:tcPr>
          <w:p w14:paraId="0F94BEB8" w14:textId="77777777" w:rsidR="0091153C" w:rsidRPr="004C12C9" w:rsidRDefault="0091153C" w:rsidP="003739BE">
            <w:pPr>
              <w:pStyle w:val="ICFTabletext"/>
              <w:jc w:val="center"/>
            </w:pPr>
            <w:r w:rsidRPr="004C12C9">
              <w:t>100%</w:t>
            </w:r>
          </w:p>
        </w:tc>
        <w:tc>
          <w:tcPr>
            <w:tcW w:w="2004" w:type="dxa"/>
          </w:tcPr>
          <w:p w14:paraId="5865547C" w14:textId="77777777" w:rsidR="0091153C" w:rsidRPr="004C12C9" w:rsidRDefault="0091153C" w:rsidP="003739BE">
            <w:pPr>
              <w:pStyle w:val="ICFTabletext"/>
              <w:jc w:val="center"/>
            </w:pPr>
            <w:r w:rsidRPr="004C12C9">
              <w:t>0%</w:t>
            </w:r>
          </w:p>
        </w:tc>
      </w:tr>
      <w:tr w:rsidR="0091153C" w:rsidRPr="004C12C9" w14:paraId="1D795EC1" w14:textId="77777777" w:rsidTr="009D3812">
        <w:trPr>
          <w:trHeight w:val="20"/>
        </w:trPr>
        <w:tc>
          <w:tcPr>
            <w:tcW w:w="2150" w:type="dxa"/>
            <w:noWrap/>
          </w:tcPr>
          <w:p w14:paraId="05DF1958" w14:textId="77777777" w:rsidR="0091153C" w:rsidRPr="004C12C9" w:rsidRDefault="0091153C" w:rsidP="003739BE">
            <w:pPr>
              <w:pStyle w:val="ICFTabletext"/>
            </w:pPr>
            <w:r w:rsidRPr="004C12C9">
              <w:t xml:space="preserve">Meeker </w:t>
            </w:r>
          </w:p>
        </w:tc>
        <w:tc>
          <w:tcPr>
            <w:tcW w:w="2003" w:type="dxa"/>
            <w:noWrap/>
          </w:tcPr>
          <w:p w14:paraId="5ADBEF4D" w14:textId="546DAAD1" w:rsidR="0091153C" w:rsidRPr="004C12C9" w:rsidRDefault="0091153C" w:rsidP="003739BE">
            <w:pPr>
              <w:pStyle w:val="ICFTabletext"/>
              <w:jc w:val="center"/>
            </w:pPr>
            <w:r w:rsidRPr="004C12C9">
              <w:t>8,523</w:t>
            </w:r>
          </w:p>
        </w:tc>
        <w:tc>
          <w:tcPr>
            <w:tcW w:w="2004" w:type="dxa"/>
          </w:tcPr>
          <w:p w14:paraId="42784EDD" w14:textId="222E079B" w:rsidR="0091153C" w:rsidRPr="004C12C9" w:rsidRDefault="0091153C" w:rsidP="003739BE">
            <w:pPr>
              <w:pStyle w:val="ICFTabletext"/>
              <w:jc w:val="center"/>
            </w:pPr>
            <w:r w:rsidRPr="004C12C9">
              <w:t>-</w:t>
            </w:r>
          </w:p>
        </w:tc>
        <w:tc>
          <w:tcPr>
            <w:tcW w:w="2004" w:type="dxa"/>
          </w:tcPr>
          <w:p w14:paraId="1C7651B9" w14:textId="77777777" w:rsidR="0091153C" w:rsidRPr="004C12C9" w:rsidRDefault="0091153C" w:rsidP="003739BE">
            <w:pPr>
              <w:pStyle w:val="ICFTabletext"/>
              <w:jc w:val="center"/>
            </w:pPr>
            <w:r w:rsidRPr="004C12C9">
              <w:t>100%</w:t>
            </w:r>
          </w:p>
        </w:tc>
        <w:tc>
          <w:tcPr>
            <w:tcW w:w="2004" w:type="dxa"/>
          </w:tcPr>
          <w:p w14:paraId="0229ED18" w14:textId="77777777" w:rsidR="0091153C" w:rsidRPr="004C12C9" w:rsidRDefault="0091153C" w:rsidP="003739BE">
            <w:pPr>
              <w:pStyle w:val="ICFTabletext"/>
              <w:jc w:val="center"/>
            </w:pPr>
            <w:r w:rsidRPr="004C12C9">
              <w:t>0%</w:t>
            </w:r>
          </w:p>
        </w:tc>
      </w:tr>
      <w:tr w:rsidR="0091153C" w:rsidRPr="004C12C9" w14:paraId="33CA4334" w14:textId="77777777" w:rsidTr="009D3812">
        <w:trPr>
          <w:trHeight w:val="20"/>
        </w:trPr>
        <w:tc>
          <w:tcPr>
            <w:tcW w:w="2150" w:type="dxa"/>
            <w:noWrap/>
          </w:tcPr>
          <w:p w14:paraId="5434CBF6" w14:textId="77777777" w:rsidR="0091153C" w:rsidRPr="004C12C9" w:rsidRDefault="0091153C" w:rsidP="003739BE">
            <w:pPr>
              <w:pStyle w:val="ICFTabletext"/>
            </w:pPr>
            <w:r w:rsidRPr="004C12C9">
              <w:t xml:space="preserve">Mille Lacs </w:t>
            </w:r>
          </w:p>
        </w:tc>
        <w:tc>
          <w:tcPr>
            <w:tcW w:w="2003" w:type="dxa"/>
            <w:noWrap/>
          </w:tcPr>
          <w:p w14:paraId="08816F8B" w14:textId="59B40629" w:rsidR="0091153C" w:rsidRPr="004C12C9" w:rsidRDefault="0091153C" w:rsidP="003739BE">
            <w:pPr>
              <w:pStyle w:val="ICFTabletext"/>
              <w:jc w:val="center"/>
            </w:pPr>
            <w:r w:rsidRPr="004C12C9">
              <w:t>16,752</w:t>
            </w:r>
          </w:p>
        </w:tc>
        <w:tc>
          <w:tcPr>
            <w:tcW w:w="2004" w:type="dxa"/>
          </w:tcPr>
          <w:p w14:paraId="68A0CC6F" w14:textId="154D45AB" w:rsidR="0091153C" w:rsidRPr="004C12C9" w:rsidRDefault="0091153C" w:rsidP="003739BE">
            <w:pPr>
              <w:pStyle w:val="ICFTabletext"/>
              <w:jc w:val="center"/>
            </w:pPr>
            <w:r w:rsidRPr="004C12C9">
              <w:t>-</w:t>
            </w:r>
          </w:p>
        </w:tc>
        <w:tc>
          <w:tcPr>
            <w:tcW w:w="2004" w:type="dxa"/>
          </w:tcPr>
          <w:p w14:paraId="7BCFAD37" w14:textId="77777777" w:rsidR="0091153C" w:rsidRPr="004C12C9" w:rsidRDefault="0091153C" w:rsidP="003739BE">
            <w:pPr>
              <w:pStyle w:val="ICFTabletext"/>
              <w:jc w:val="center"/>
            </w:pPr>
            <w:r w:rsidRPr="004C12C9">
              <w:t>100%</w:t>
            </w:r>
          </w:p>
        </w:tc>
        <w:tc>
          <w:tcPr>
            <w:tcW w:w="2004" w:type="dxa"/>
          </w:tcPr>
          <w:p w14:paraId="69351096" w14:textId="77777777" w:rsidR="0091153C" w:rsidRPr="004C12C9" w:rsidRDefault="0091153C" w:rsidP="003739BE">
            <w:pPr>
              <w:pStyle w:val="ICFTabletext"/>
              <w:jc w:val="center"/>
            </w:pPr>
            <w:r w:rsidRPr="004C12C9">
              <w:t>0%</w:t>
            </w:r>
          </w:p>
        </w:tc>
      </w:tr>
      <w:tr w:rsidR="0091153C" w:rsidRPr="004C12C9" w14:paraId="1B36B548" w14:textId="77777777" w:rsidTr="009D3812">
        <w:trPr>
          <w:trHeight w:val="20"/>
        </w:trPr>
        <w:tc>
          <w:tcPr>
            <w:tcW w:w="2150" w:type="dxa"/>
            <w:noWrap/>
          </w:tcPr>
          <w:p w14:paraId="7180ED44" w14:textId="77777777" w:rsidR="0091153C" w:rsidRPr="004C12C9" w:rsidRDefault="0091153C" w:rsidP="003739BE">
            <w:pPr>
              <w:pStyle w:val="ICFTabletext"/>
            </w:pPr>
            <w:r w:rsidRPr="004C12C9">
              <w:t xml:space="preserve">Morrison </w:t>
            </w:r>
          </w:p>
        </w:tc>
        <w:tc>
          <w:tcPr>
            <w:tcW w:w="2003" w:type="dxa"/>
            <w:noWrap/>
          </w:tcPr>
          <w:p w14:paraId="7A1B3F90" w14:textId="69B32B1B" w:rsidR="0091153C" w:rsidRPr="004C12C9" w:rsidRDefault="0091153C" w:rsidP="003739BE">
            <w:pPr>
              <w:pStyle w:val="ICFTabletext"/>
              <w:jc w:val="center"/>
            </w:pPr>
            <w:r w:rsidRPr="004C12C9">
              <w:t>23,478</w:t>
            </w:r>
          </w:p>
        </w:tc>
        <w:tc>
          <w:tcPr>
            <w:tcW w:w="2004" w:type="dxa"/>
          </w:tcPr>
          <w:p w14:paraId="02626CE1" w14:textId="4CF7775D" w:rsidR="0091153C" w:rsidRPr="004C12C9" w:rsidRDefault="0091153C" w:rsidP="003739BE">
            <w:pPr>
              <w:pStyle w:val="ICFTabletext"/>
              <w:jc w:val="center"/>
            </w:pPr>
            <w:r w:rsidRPr="004C12C9">
              <w:t>-</w:t>
            </w:r>
          </w:p>
        </w:tc>
        <w:tc>
          <w:tcPr>
            <w:tcW w:w="2004" w:type="dxa"/>
          </w:tcPr>
          <w:p w14:paraId="14F7A711" w14:textId="77777777" w:rsidR="0091153C" w:rsidRPr="004C12C9" w:rsidRDefault="0091153C" w:rsidP="003739BE">
            <w:pPr>
              <w:pStyle w:val="ICFTabletext"/>
              <w:jc w:val="center"/>
            </w:pPr>
            <w:r w:rsidRPr="004C12C9">
              <w:t>100%</w:t>
            </w:r>
          </w:p>
        </w:tc>
        <w:tc>
          <w:tcPr>
            <w:tcW w:w="2004" w:type="dxa"/>
          </w:tcPr>
          <w:p w14:paraId="7BD0FAE9" w14:textId="77777777" w:rsidR="0091153C" w:rsidRPr="004C12C9" w:rsidRDefault="0091153C" w:rsidP="003739BE">
            <w:pPr>
              <w:pStyle w:val="ICFTabletext"/>
              <w:jc w:val="center"/>
            </w:pPr>
            <w:r w:rsidRPr="004C12C9">
              <w:t>0%</w:t>
            </w:r>
          </w:p>
        </w:tc>
      </w:tr>
      <w:tr w:rsidR="0091153C" w:rsidRPr="004C12C9" w14:paraId="57F57FA6" w14:textId="77777777" w:rsidTr="009D3812">
        <w:trPr>
          <w:trHeight w:val="20"/>
        </w:trPr>
        <w:tc>
          <w:tcPr>
            <w:tcW w:w="2150" w:type="dxa"/>
            <w:noWrap/>
          </w:tcPr>
          <w:p w14:paraId="1CD54FB8" w14:textId="77777777" w:rsidR="0091153C" w:rsidRPr="004C12C9" w:rsidRDefault="0091153C" w:rsidP="003739BE">
            <w:pPr>
              <w:pStyle w:val="ICFTabletext"/>
            </w:pPr>
            <w:r w:rsidRPr="004C12C9">
              <w:t xml:space="preserve">Mower </w:t>
            </w:r>
          </w:p>
        </w:tc>
        <w:tc>
          <w:tcPr>
            <w:tcW w:w="2003" w:type="dxa"/>
            <w:noWrap/>
          </w:tcPr>
          <w:p w14:paraId="3E60010A" w14:textId="56FFE9C1" w:rsidR="0091153C" w:rsidRPr="004C12C9" w:rsidRDefault="0091153C" w:rsidP="003739BE">
            <w:pPr>
              <w:pStyle w:val="ICFTabletext"/>
              <w:jc w:val="center"/>
            </w:pPr>
            <w:r w:rsidRPr="004C12C9">
              <w:t>24,736</w:t>
            </w:r>
          </w:p>
        </w:tc>
        <w:tc>
          <w:tcPr>
            <w:tcW w:w="2004" w:type="dxa"/>
          </w:tcPr>
          <w:p w14:paraId="0414A325" w14:textId="430D331D" w:rsidR="0091153C" w:rsidRPr="004C12C9" w:rsidRDefault="0091153C" w:rsidP="003739BE">
            <w:pPr>
              <w:pStyle w:val="ICFTabletext"/>
              <w:jc w:val="center"/>
            </w:pPr>
            <w:r w:rsidRPr="004C12C9">
              <w:t>3</w:t>
            </w:r>
          </w:p>
        </w:tc>
        <w:tc>
          <w:tcPr>
            <w:tcW w:w="2004" w:type="dxa"/>
          </w:tcPr>
          <w:p w14:paraId="26C372FF" w14:textId="77777777" w:rsidR="0091153C" w:rsidRPr="004C12C9" w:rsidRDefault="0091153C" w:rsidP="003739BE">
            <w:pPr>
              <w:pStyle w:val="ICFTabletext"/>
              <w:jc w:val="center"/>
            </w:pPr>
            <w:r w:rsidRPr="004C12C9">
              <w:t>100%</w:t>
            </w:r>
          </w:p>
        </w:tc>
        <w:tc>
          <w:tcPr>
            <w:tcW w:w="2004" w:type="dxa"/>
          </w:tcPr>
          <w:p w14:paraId="331F6F16" w14:textId="77777777" w:rsidR="0091153C" w:rsidRPr="004C12C9" w:rsidRDefault="0091153C" w:rsidP="003739BE">
            <w:pPr>
              <w:pStyle w:val="ICFTabletext"/>
              <w:jc w:val="center"/>
            </w:pPr>
            <w:r w:rsidRPr="004C12C9">
              <w:t>0%</w:t>
            </w:r>
          </w:p>
        </w:tc>
      </w:tr>
      <w:tr w:rsidR="0091153C" w:rsidRPr="004C12C9" w14:paraId="2CD19E1C" w14:textId="77777777" w:rsidTr="009D3812">
        <w:trPr>
          <w:trHeight w:val="20"/>
        </w:trPr>
        <w:tc>
          <w:tcPr>
            <w:tcW w:w="2150" w:type="dxa"/>
            <w:noWrap/>
          </w:tcPr>
          <w:p w14:paraId="002EE949" w14:textId="77777777" w:rsidR="0091153C" w:rsidRPr="004C12C9" w:rsidRDefault="0091153C" w:rsidP="003739BE">
            <w:pPr>
              <w:pStyle w:val="ICFTabletext"/>
            </w:pPr>
            <w:r w:rsidRPr="004C12C9">
              <w:t xml:space="preserve">Murray </w:t>
            </w:r>
          </w:p>
        </w:tc>
        <w:tc>
          <w:tcPr>
            <w:tcW w:w="2003" w:type="dxa"/>
            <w:noWrap/>
          </w:tcPr>
          <w:p w14:paraId="22B8512A" w14:textId="6D129D55" w:rsidR="0091153C" w:rsidRPr="004C12C9" w:rsidRDefault="0091153C" w:rsidP="003739BE">
            <w:pPr>
              <w:pStyle w:val="ICFTabletext"/>
              <w:jc w:val="center"/>
            </w:pPr>
            <w:r w:rsidRPr="004C12C9">
              <w:t>4,491</w:t>
            </w:r>
          </w:p>
        </w:tc>
        <w:tc>
          <w:tcPr>
            <w:tcW w:w="2004" w:type="dxa"/>
          </w:tcPr>
          <w:p w14:paraId="140E8237" w14:textId="46B0CB66" w:rsidR="0091153C" w:rsidRPr="004C12C9" w:rsidRDefault="0091153C" w:rsidP="003739BE">
            <w:pPr>
              <w:pStyle w:val="ICFTabletext"/>
              <w:jc w:val="center"/>
            </w:pPr>
            <w:r w:rsidRPr="004C12C9">
              <w:t>-</w:t>
            </w:r>
          </w:p>
        </w:tc>
        <w:tc>
          <w:tcPr>
            <w:tcW w:w="2004" w:type="dxa"/>
          </w:tcPr>
          <w:p w14:paraId="0BA64490" w14:textId="77777777" w:rsidR="0091153C" w:rsidRPr="004C12C9" w:rsidRDefault="0091153C" w:rsidP="003739BE">
            <w:pPr>
              <w:pStyle w:val="ICFTabletext"/>
              <w:jc w:val="center"/>
            </w:pPr>
            <w:r w:rsidRPr="004C12C9">
              <w:t>100%</w:t>
            </w:r>
          </w:p>
        </w:tc>
        <w:tc>
          <w:tcPr>
            <w:tcW w:w="2004" w:type="dxa"/>
          </w:tcPr>
          <w:p w14:paraId="04A0EDDB" w14:textId="77777777" w:rsidR="0091153C" w:rsidRPr="004C12C9" w:rsidRDefault="0091153C" w:rsidP="003739BE">
            <w:pPr>
              <w:pStyle w:val="ICFTabletext"/>
              <w:jc w:val="center"/>
            </w:pPr>
            <w:r w:rsidRPr="004C12C9">
              <w:t>0%</w:t>
            </w:r>
          </w:p>
        </w:tc>
      </w:tr>
      <w:tr w:rsidR="0091153C" w:rsidRPr="004C12C9" w14:paraId="0689D08E" w14:textId="77777777" w:rsidTr="009D3812">
        <w:trPr>
          <w:trHeight w:val="20"/>
        </w:trPr>
        <w:tc>
          <w:tcPr>
            <w:tcW w:w="2150" w:type="dxa"/>
            <w:noWrap/>
          </w:tcPr>
          <w:p w14:paraId="00AB70D1" w14:textId="77777777" w:rsidR="0091153C" w:rsidRPr="004C12C9" w:rsidRDefault="0091153C" w:rsidP="003739BE">
            <w:pPr>
              <w:pStyle w:val="ICFTabletext"/>
            </w:pPr>
            <w:r w:rsidRPr="004C12C9">
              <w:t xml:space="preserve">Nicollet </w:t>
            </w:r>
          </w:p>
        </w:tc>
        <w:tc>
          <w:tcPr>
            <w:tcW w:w="2003" w:type="dxa"/>
            <w:noWrap/>
          </w:tcPr>
          <w:p w14:paraId="4C13B0D5" w14:textId="1BB7B029" w:rsidR="0091153C" w:rsidRPr="004C12C9" w:rsidRDefault="0091153C" w:rsidP="003739BE">
            <w:pPr>
              <w:pStyle w:val="ICFTabletext"/>
              <w:jc w:val="center"/>
            </w:pPr>
            <w:r w:rsidRPr="004C12C9">
              <w:t>55,129</w:t>
            </w:r>
          </w:p>
        </w:tc>
        <w:tc>
          <w:tcPr>
            <w:tcW w:w="2004" w:type="dxa"/>
          </w:tcPr>
          <w:p w14:paraId="2A73A9FB" w14:textId="702F1386" w:rsidR="0091153C" w:rsidRPr="004C12C9" w:rsidRDefault="0091153C" w:rsidP="003739BE">
            <w:pPr>
              <w:pStyle w:val="ICFTabletext"/>
              <w:jc w:val="center"/>
            </w:pPr>
            <w:r w:rsidRPr="004C12C9">
              <w:t>8,555</w:t>
            </w:r>
          </w:p>
        </w:tc>
        <w:tc>
          <w:tcPr>
            <w:tcW w:w="2004" w:type="dxa"/>
          </w:tcPr>
          <w:p w14:paraId="324CD5E1" w14:textId="77777777" w:rsidR="0091153C" w:rsidRPr="004C12C9" w:rsidRDefault="0091153C" w:rsidP="003739BE">
            <w:pPr>
              <w:pStyle w:val="ICFTabletext"/>
              <w:jc w:val="center"/>
            </w:pPr>
            <w:r w:rsidRPr="004C12C9">
              <w:t>87%</w:t>
            </w:r>
          </w:p>
        </w:tc>
        <w:tc>
          <w:tcPr>
            <w:tcW w:w="2004" w:type="dxa"/>
          </w:tcPr>
          <w:p w14:paraId="48B5EE75" w14:textId="77777777" w:rsidR="0091153C" w:rsidRPr="004C12C9" w:rsidRDefault="0091153C" w:rsidP="003739BE">
            <w:pPr>
              <w:pStyle w:val="ICFTabletext"/>
              <w:jc w:val="center"/>
            </w:pPr>
            <w:r w:rsidRPr="004C12C9">
              <w:t>13%</w:t>
            </w:r>
          </w:p>
        </w:tc>
      </w:tr>
      <w:tr w:rsidR="0091153C" w:rsidRPr="004C12C9" w14:paraId="57A6E8FA" w14:textId="77777777" w:rsidTr="009D3812">
        <w:trPr>
          <w:trHeight w:val="20"/>
        </w:trPr>
        <w:tc>
          <w:tcPr>
            <w:tcW w:w="2150" w:type="dxa"/>
            <w:noWrap/>
          </w:tcPr>
          <w:p w14:paraId="70128716" w14:textId="77777777" w:rsidR="0091153C" w:rsidRPr="004C12C9" w:rsidRDefault="0091153C" w:rsidP="003739BE">
            <w:pPr>
              <w:pStyle w:val="ICFTabletext"/>
            </w:pPr>
            <w:r w:rsidRPr="004C12C9">
              <w:t xml:space="preserve">Nobles </w:t>
            </w:r>
          </w:p>
        </w:tc>
        <w:tc>
          <w:tcPr>
            <w:tcW w:w="2003" w:type="dxa"/>
            <w:noWrap/>
          </w:tcPr>
          <w:p w14:paraId="11D55D57" w14:textId="5D93139D" w:rsidR="0091153C" w:rsidRPr="004C12C9" w:rsidRDefault="0091153C" w:rsidP="003739BE">
            <w:pPr>
              <w:pStyle w:val="ICFTabletext"/>
              <w:jc w:val="center"/>
            </w:pPr>
            <w:r w:rsidRPr="004C12C9">
              <w:t>10,687</w:t>
            </w:r>
          </w:p>
        </w:tc>
        <w:tc>
          <w:tcPr>
            <w:tcW w:w="2004" w:type="dxa"/>
          </w:tcPr>
          <w:p w14:paraId="416AA04E" w14:textId="18234E2E" w:rsidR="0091153C" w:rsidRPr="004C12C9" w:rsidRDefault="0091153C" w:rsidP="003739BE">
            <w:pPr>
              <w:pStyle w:val="ICFTabletext"/>
              <w:jc w:val="center"/>
            </w:pPr>
            <w:r w:rsidRPr="004C12C9">
              <w:t>-</w:t>
            </w:r>
          </w:p>
        </w:tc>
        <w:tc>
          <w:tcPr>
            <w:tcW w:w="2004" w:type="dxa"/>
          </w:tcPr>
          <w:p w14:paraId="3294B80A" w14:textId="77777777" w:rsidR="0091153C" w:rsidRPr="004C12C9" w:rsidRDefault="0091153C" w:rsidP="003739BE">
            <w:pPr>
              <w:pStyle w:val="ICFTabletext"/>
              <w:jc w:val="center"/>
            </w:pPr>
            <w:r w:rsidRPr="004C12C9">
              <w:t>100%</w:t>
            </w:r>
          </w:p>
        </w:tc>
        <w:tc>
          <w:tcPr>
            <w:tcW w:w="2004" w:type="dxa"/>
          </w:tcPr>
          <w:p w14:paraId="0E651A19" w14:textId="77777777" w:rsidR="0091153C" w:rsidRPr="004C12C9" w:rsidRDefault="0091153C" w:rsidP="003739BE">
            <w:pPr>
              <w:pStyle w:val="ICFTabletext"/>
              <w:jc w:val="center"/>
            </w:pPr>
            <w:r w:rsidRPr="004C12C9">
              <w:t>0%</w:t>
            </w:r>
          </w:p>
        </w:tc>
      </w:tr>
      <w:tr w:rsidR="0091153C" w:rsidRPr="004C12C9" w14:paraId="64E6D352" w14:textId="77777777" w:rsidTr="009D3812">
        <w:trPr>
          <w:trHeight w:val="20"/>
        </w:trPr>
        <w:tc>
          <w:tcPr>
            <w:tcW w:w="2150" w:type="dxa"/>
            <w:noWrap/>
          </w:tcPr>
          <w:p w14:paraId="3944ABFE" w14:textId="77777777" w:rsidR="0091153C" w:rsidRPr="004C12C9" w:rsidRDefault="0091153C" w:rsidP="003739BE">
            <w:pPr>
              <w:pStyle w:val="ICFTabletext"/>
            </w:pPr>
            <w:r w:rsidRPr="004C12C9">
              <w:t xml:space="preserve">Norman </w:t>
            </w:r>
          </w:p>
        </w:tc>
        <w:tc>
          <w:tcPr>
            <w:tcW w:w="2003" w:type="dxa"/>
            <w:noWrap/>
          </w:tcPr>
          <w:p w14:paraId="1A86FBB4" w14:textId="10A032A5" w:rsidR="0091153C" w:rsidRPr="004C12C9" w:rsidRDefault="0091153C" w:rsidP="003739BE">
            <w:pPr>
              <w:pStyle w:val="ICFTabletext"/>
              <w:jc w:val="center"/>
            </w:pPr>
            <w:r w:rsidRPr="004C12C9">
              <w:t>692</w:t>
            </w:r>
          </w:p>
        </w:tc>
        <w:tc>
          <w:tcPr>
            <w:tcW w:w="2004" w:type="dxa"/>
          </w:tcPr>
          <w:p w14:paraId="4772E65B" w14:textId="2A210CAD" w:rsidR="0091153C" w:rsidRPr="004C12C9" w:rsidRDefault="0091153C" w:rsidP="003739BE">
            <w:pPr>
              <w:pStyle w:val="ICFTabletext"/>
              <w:jc w:val="center"/>
            </w:pPr>
            <w:r w:rsidRPr="004C12C9">
              <w:t>3,007</w:t>
            </w:r>
          </w:p>
        </w:tc>
        <w:tc>
          <w:tcPr>
            <w:tcW w:w="2004" w:type="dxa"/>
          </w:tcPr>
          <w:p w14:paraId="1DFC1338" w14:textId="77777777" w:rsidR="0091153C" w:rsidRPr="004C12C9" w:rsidRDefault="0091153C" w:rsidP="003739BE">
            <w:pPr>
              <w:pStyle w:val="ICFTabletext"/>
              <w:jc w:val="center"/>
            </w:pPr>
            <w:r w:rsidRPr="004C12C9">
              <w:t>19%</w:t>
            </w:r>
          </w:p>
        </w:tc>
        <w:tc>
          <w:tcPr>
            <w:tcW w:w="2004" w:type="dxa"/>
          </w:tcPr>
          <w:p w14:paraId="6A79FCDE" w14:textId="77777777" w:rsidR="0091153C" w:rsidRPr="004C12C9" w:rsidRDefault="0091153C" w:rsidP="003739BE">
            <w:pPr>
              <w:pStyle w:val="ICFTabletext"/>
              <w:jc w:val="center"/>
            </w:pPr>
            <w:r w:rsidRPr="004C12C9">
              <w:t>81%</w:t>
            </w:r>
          </w:p>
        </w:tc>
      </w:tr>
      <w:tr w:rsidR="0091153C" w:rsidRPr="004C12C9" w14:paraId="26FD52A2" w14:textId="77777777" w:rsidTr="009D3812">
        <w:trPr>
          <w:trHeight w:val="20"/>
        </w:trPr>
        <w:tc>
          <w:tcPr>
            <w:tcW w:w="2150" w:type="dxa"/>
            <w:noWrap/>
          </w:tcPr>
          <w:p w14:paraId="0645E89A" w14:textId="77777777" w:rsidR="0091153C" w:rsidRPr="004C12C9" w:rsidRDefault="0091153C" w:rsidP="003739BE">
            <w:pPr>
              <w:pStyle w:val="ICFTabletext"/>
            </w:pPr>
            <w:r w:rsidRPr="004C12C9">
              <w:t xml:space="preserve">Olmsted </w:t>
            </w:r>
          </w:p>
        </w:tc>
        <w:tc>
          <w:tcPr>
            <w:tcW w:w="2003" w:type="dxa"/>
            <w:noWrap/>
          </w:tcPr>
          <w:p w14:paraId="42F9206E" w14:textId="27B48882" w:rsidR="0091153C" w:rsidRPr="004C12C9" w:rsidRDefault="0091153C" w:rsidP="003739BE">
            <w:pPr>
              <w:pStyle w:val="ICFTabletext"/>
              <w:jc w:val="center"/>
            </w:pPr>
            <w:r w:rsidRPr="004C12C9">
              <w:t>2,923</w:t>
            </w:r>
          </w:p>
        </w:tc>
        <w:tc>
          <w:tcPr>
            <w:tcW w:w="2004" w:type="dxa"/>
          </w:tcPr>
          <w:p w14:paraId="6A5DF68C" w14:textId="2C2EEDE8" w:rsidR="0091153C" w:rsidRPr="004C12C9" w:rsidRDefault="0091153C" w:rsidP="003739BE">
            <w:pPr>
              <w:pStyle w:val="ICFTabletext"/>
              <w:jc w:val="center"/>
            </w:pPr>
            <w:r w:rsidRPr="004C12C9">
              <w:t>100,767</w:t>
            </w:r>
          </w:p>
        </w:tc>
        <w:tc>
          <w:tcPr>
            <w:tcW w:w="2004" w:type="dxa"/>
          </w:tcPr>
          <w:p w14:paraId="31C849DA" w14:textId="77777777" w:rsidR="0091153C" w:rsidRPr="004C12C9" w:rsidRDefault="0091153C" w:rsidP="003739BE">
            <w:pPr>
              <w:pStyle w:val="ICFTabletext"/>
              <w:jc w:val="center"/>
            </w:pPr>
            <w:r w:rsidRPr="004C12C9">
              <w:t>3%</w:t>
            </w:r>
          </w:p>
        </w:tc>
        <w:tc>
          <w:tcPr>
            <w:tcW w:w="2004" w:type="dxa"/>
          </w:tcPr>
          <w:p w14:paraId="6BC606BC" w14:textId="77777777" w:rsidR="0091153C" w:rsidRPr="004C12C9" w:rsidRDefault="0091153C" w:rsidP="003739BE">
            <w:pPr>
              <w:pStyle w:val="ICFTabletext"/>
              <w:jc w:val="center"/>
            </w:pPr>
            <w:r w:rsidRPr="004C12C9">
              <w:t>97%</w:t>
            </w:r>
          </w:p>
        </w:tc>
      </w:tr>
      <w:tr w:rsidR="0091153C" w:rsidRPr="004C12C9" w14:paraId="6DE29457" w14:textId="77777777" w:rsidTr="009D3812">
        <w:trPr>
          <w:trHeight w:val="20"/>
        </w:trPr>
        <w:tc>
          <w:tcPr>
            <w:tcW w:w="2150" w:type="dxa"/>
            <w:noWrap/>
          </w:tcPr>
          <w:p w14:paraId="5F57DFE6" w14:textId="77777777" w:rsidR="0091153C" w:rsidRPr="004C12C9" w:rsidRDefault="0091153C" w:rsidP="003739BE">
            <w:pPr>
              <w:pStyle w:val="ICFTabletext"/>
            </w:pPr>
            <w:r w:rsidRPr="004C12C9">
              <w:t xml:space="preserve">Otter Tail </w:t>
            </w:r>
          </w:p>
        </w:tc>
        <w:tc>
          <w:tcPr>
            <w:tcW w:w="2003" w:type="dxa"/>
            <w:noWrap/>
          </w:tcPr>
          <w:p w14:paraId="49356C98" w14:textId="325B97B3" w:rsidR="0091153C" w:rsidRPr="004C12C9" w:rsidRDefault="0091153C" w:rsidP="003739BE">
            <w:pPr>
              <w:pStyle w:val="ICFTabletext"/>
              <w:jc w:val="center"/>
            </w:pPr>
            <w:r w:rsidRPr="004C12C9">
              <w:t>10,888</w:t>
            </w:r>
          </w:p>
        </w:tc>
        <w:tc>
          <w:tcPr>
            <w:tcW w:w="2004" w:type="dxa"/>
          </w:tcPr>
          <w:p w14:paraId="2193EE98" w14:textId="29CF8C00" w:rsidR="0091153C" w:rsidRPr="004C12C9" w:rsidRDefault="0091153C" w:rsidP="003739BE">
            <w:pPr>
              <w:pStyle w:val="ICFTabletext"/>
              <w:jc w:val="center"/>
            </w:pPr>
            <w:r w:rsidRPr="004C12C9">
              <w:t>21,816</w:t>
            </w:r>
          </w:p>
        </w:tc>
        <w:tc>
          <w:tcPr>
            <w:tcW w:w="2004" w:type="dxa"/>
          </w:tcPr>
          <w:p w14:paraId="4334FBDC" w14:textId="77777777" w:rsidR="0091153C" w:rsidRPr="004C12C9" w:rsidRDefault="0091153C" w:rsidP="003739BE">
            <w:pPr>
              <w:pStyle w:val="ICFTabletext"/>
              <w:jc w:val="center"/>
            </w:pPr>
            <w:r w:rsidRPr="004C12C9">
              <w:t>33%</w:t>
            </w:r>
          </w:p>
        </w:tc>
        <w:tc>
          <w:tcPr>
            <w:tcW w:w="2004" w:type="dxa"/>
          </w:tcPr>
          <w:p w14:paraId="62AEFB11" w14:textId="77777777" w:rsidR="0091153C" w:rsidRPr="004C12C9" w:rsidRDefault="0091153C" w:rsidP="003739BE">
            <w:pPr>
              <w:pStyle w:val="ICFTabletext"/>
              <w:jc w:val="center"/>
            </w:pPr>
            <w:r w:rsidRPr="004C12C9">
              <w:t>67%</w:t>
            </w:r>
          </w:p>
        </w:tc>
      </w:tr>
      <w:tr w:rsidR="0091153C" w:rsidRPr="004C12C9" w14:paraId="4E00EB9D" w14:textId="77777777" w:rsidTr="009D3812">
        <w:trPr>
          <w:trHeight w:val="20"/>
        </w:trPr>
        <w:tc>
          <w:tcPr>
            <w:tcW w:w="2150" w:type="dxa"/>
            <w:noWrap/>
          </w:tcPr>
          <w:p w14:paraId="2861AD4A" w14:textId="77777777" w:rsidR="0091153C" w:rsidRPr="004C12C9" w:rsidRDefault="0091153C" w:rsidP="003739BE">
            <w:pPr>
              <w:pStyle w:val="ICFTabletext"/>
            </w:pPr>
            <w:r w:rsidRPr="004C12C9">
              <w:t xml:space="preserve">Pennington </w:t>
            </w:r>
          </w:p>
        </w:tc>
        <w:tc>
          <w:tcPr>
            <w:tcW w:w="2003" w:type="dxa"/>
            <w:noWrap/>
          </w:tcPr>
          <w:p w14:paraId="4641C813" w14:textId="5622F006" w:rsidR="0091153C" w:rsidRPr="004C12C9" w:rsidRDefault="0091153C" w:rsidP="003739BE">
            <w:pPr>
              <w:pStyle w:val="ICFTabletext"/>
              <w:jc w:val="center"/>
            </w:pPr>
            <w:r w:rsidRPr="004C12C9">
              <w:t>9,299</w:t>
            </w:r>
          </w:p>
        </w:tc>
        <w:tc>
          <w:tcPr>
            <w:tcW w:w="2004" w:type="dxa"/>
          </w:tcPr>
          <w:p w14:paraId="64A552B9" w14:textId="75BD8666" w:rsidR="0091153C" w:rsidRPr="004C12C9" w:rsidRDefault="0091153C" w:rsidP="003739BE">
            <w:pPr>
              <w:pStyle w:val="ICFTabletext"/>
              <w:jc w:val="center"/>
            </w:pPr>
            <w:r w:rsidRPr="004C12C9">
              <w:t>-</w:t>
            </w:r>
          </w:p>
        </w:tc>
        <w:tc>
          <w:tcPr>
            <w:tcW w:w="2004" w:type="dxa"/>
          </w:tcPr>
          <w:p w14:paraId="35636A89" w14:textId="77777777" w:rsidR="0091153C" w:rsidRPr="004C12C9" w:rsidRDefault="0091153C" w:rsidP="003739BE">
            <w:pPr>
              <w:pStyle w:val="ICFTabletext"/>
              <w:jc w:val="center"/>
            </w:pPr>
            <w:r w:rsidRPr="004C12C9">
              <w:t>100%</w:t>
            </w:r>
          </w:p>
        </w:tc>
        <w:tc>
          <w:tcPr>
            <w:tcW w:w="2004" w:type="dxa"/>
          </w:tcPr>
          <w:p w14:paraId="41FACFC1" w14:textId="77777777" w:rsidR="0091153C" w:rsidRPr="004C12C9" w:rsidRDefault="0091153C" w:rsidP="003739BE">
            <w:pPr>
              <w:pStyle w:val="ICFTabletext"/>
              <w:jc w:val="center"/>
            </w:pPr>
            <w:r w:rsidRPr="004C12C9">
              <w:t>0%</w:t>
            </w:r>
          </w:p>
        </w:tc>
      </w:tr>
      <w:tr w:rsidR="0091153C" w:rsidRPr="004C12C9" w14:paraId="468ADC73" w14:textId="77777777" w:rsidTr="009D3812">
        <w:trPr>
          <w:trHeight w:val="20"/>
        </w:trPr>
        <w:tc>
          <w:tcPr>
            <w:tcW w:w="2150" w:type="dxa"/>
            <w:noWrap/>
          </w:tcPr>
          <w:p w14:paraId="145BD156" w14:textId="77777777" w:rsidR="0091153C" w:rsidRPr="004C12C9" w:rsidRDefault="0091153C" w:rsidP="003739BE">
            <w:pPr>
              <w:pStyle w:val="ICFTabletext"/>
            </w:pPr>
            <w:r w:rsidRPr="004C12C9">
              <w:lastRenderedPageBreak/>
              <w:t xml:space="preserve">Pine </w:t>
            </w:r>
          </w:p>
        </w:tc>
        <w:tc>
          <w:tcPr>
            <w:tcW w:w="2003" w:type="dxa"/>
            <w:noWrap/>
          </w:tcPr>
          <w:p w14:paraId="217A87EB" w14:textId="7F56EC10" w:rsidR="0091153C" w:rsidRPr="004C12C9" w:rsidRDefault="0091153C" w:rsidP="003739BE">
            <w:pPr>
              <w:pStyle w:val="ICFTabletext"/>
              <w:jc w:val="center"/>
            </w:pPr>
            <w:r w:rsidRPr="004C12C9">
              <w:t>21,960</w:t>
            </w:r>
          </w:p>
        </w:tc>
        <w:tc>
          <w:tcPr>
            <w:tcW w:w="2004" w:type="dxa"/>
          </w:tcPr>
          <w:p w14:paraId="74BCF445" w14:textId="76026828" w:rsidR="0091153C" w:rsidRPr="004C12C9" w:rsidRDefault="0091153C" w:rsidP="003739BE">
            <w:pPr>
              <w:pStyle w:val="ICFTabletext"/>
              <w:jc w:val="center"/>
            </w:pPr>
            <w:r w:rsidRPr="004C12C9">
              <w:t>-</w:t>
            </w:r>
          </w:p>
        </w:tc>
        <w:tc>
          <w:tcPr>
            <w:tcW w:w="2004" w:type="dxa"/>
          </w:tcPr>
          <w:p w14:paraId="0FF3FA39" w14:textId="77777777" w:rsidR="0091153C" w:rsidRPr="004C12C9" w:rsidRDefault="0091153C" w:rsidP="003739BE">
            <w:pPr>
              <w:pStyle w:val="ICFTabletext"/>
              <w:jc w:val="center"/>
            </w:pPr>
            <w:r w:rsidRPr="004C12C9">
              <w:t>100%</w:t>
            </w:r>
          </w:p>
        </w:tc>
        <w:tc>
          <w:tcPr>
            <w:tcW w:w="2004" w:type="dxa"/>
          </w:tcPr>
          <w:p w14:paraId="1DD319A0" w14:textId="77777777" w:rsidR="0091153C" w:rsidRPr="004C12C9" w:rsidRDefault="0091153C" w:rsidP="003739BE">
            <w:pPr>
              <w:pStyle w:val="ICFTabletext"/>
              <w:jc w:val="center"/>
            </w:pPr>
            <w:r w:rsidRPr="004C12C9">
              <w:t>0%</w:t>
            </w:r>
          </w:p>
        </w:tc>
      </w:tr>
      <w:tr w:rsidR="0091153C" w:rsidRPr="004C12C9" w14:paraId="6CBC8876" w14:textId="77777777" w:rsidTr="009D3812">
        <w:trPr>
          <w:trHeight w:val="20"/>
        </w:trPr>
        <w:tc>
          <w:tcPr>
            <w:tcW w:w="2150" w:type="dxa"/>
            <w:noWrap/>
          </w:tcPr>
          <w:p w14:paraId="58381300" w14:textId="77777777" w:rsidR="0091153C" w:rsidRPr="004C12C9" w:rsidRDefault="0091153C" w:rsidP="003739BE">
            <w:pPr>
              <w:pStyle w:val="ICFTabletext"/>
            </w:pPr>
            <w:r w:rsidRPr="004C12C9">
              <w:t xml:space="preserve">Pipestone </w:t>
            </w:r>
          </w:p>
        </w:tc>
        <w:tc>
          <w:tcPr>
            <w:tcW w:w="2003" w:type="dxa"/>
            <w:noWrap/>
          </w:tcPr>
          <w:p w14:paraId="7A3DBE10" w14:textId="454FFB6E" w:rsidR="0091153C" w:rsidRPr="004C12C9" w:rsidRDefault="0091153C" w:rsidP="003739BE">
            <w:pPr>
              <w:pStyle w:val="ICFTabletext"/>
              <w:jc w:val="center"/>
            </w:pPr>
            <w:r w:rsidRPr="004C12C9">
              <w:t>6,272</w:t>
            </w:r>
          </w:p>
        </w:tc>
        <w:tc>
          <w:tcPr>
            <w:tcW w:w="2004" w:type="dxa"/>
          </w:tcPr>
          <w:p w14:paraId="2DB16E90" w14:textId="0EEB02DC" w:rsidR="0091153C" w:rsidRPr="004C12C9" w:rsidRDefault="0091153C" w:rsidP="003739BE">
            <w:pPr>
              <w:pStyle w:val="ICFTabletext"/>
              <w:jc w:val="center"/>
            </w:pPr>
            <w:r w:rsidRPr="004C12C9">
              <w:t>-</w:t>
            </w:r>
          </w:p>
        </w:tc>
        <w:tc>
          <w:tcPr>
            <w:tcW w:w="2004" w:type="dxa"/>
          </w:tcPr>
          <w:p w14:paraId="0AEB62CE" w14:textId="77777777" w:rsidR="0091153C" w:rsidRPr="004C12C9" w:rsidRDefault="0091153C" w:rsidP="003739BE">
            <w:pPr>
              <w:pStyle w:val="ICFTabletext"/>
              <w:jc w:val="center"/>
            </w:pPr>
            <w:r w:rsidRPr="004C12C9">
              <w:t>100%</w:t>
            </w:r>
          </w:p>
        </w:tc>
        <w:tc>
          <w:tcPr>
            <w:tcW w:w="2004" w:type="dxa"/>
          </w:tcPr>
          <w:p w14:paraId="033A402C" w14:textId="77777777" w:rsidR="0091153C" w:rsidRPr="004C12C9" w:rsidRDefault="0091153C" w:rsidP="003739BE">
            <w:pPr>
              <w:pStyle w:val="ICFTabletext"/>
              <w:jc w:val="center"/>
            </w:pPr>
            <w:r w:rsidRPr="004C12C9">
              <w:t>0%</w:t>
            </w:r>
          </w:p>
        </w:tc>
      </w:tr>
      <w:tr w:rsidR="0091153C" w:rsidRPr="004C12C9" w14:paraId="361F9E3E" w14:textId="77777777" w:rsidTr="009D3812">
        <w:trPr>
          <w:trHeight w:val="20"/>
        </w:trPr>
        <w:tc>
          <w:tcPr>
            <w:tcW w:w="2150" w:type="dxa"/>
            <w:noWrap/>
          </w:tcPr>
          <w:p w14:paraId="17CC04B8" w14:textId="77777777" w:rsidR="0091153C" w:rsidRPr="004C12C9" w:rsidRDefault="0091153C" w:rsidP="003739BE">
            <w:pPr>
              <w:pStyle w:val="ICFTabletext"/>
            </w:pPr>
            <w:r w:rsidRPr="004C12C9">
              <w:t xml:space="preserve">Polk </w:t>
            </w:r>
          </w:p>
        </w:tc>
        <w:tc>
          <w:tcPr>
            <w:tcW w:w="2003" w:type="dxa"/>
            <w:noWrap/>
          </w:tcPr>
          <w:p w14:paraId="08DDB5FA" w14:textId="78EE1662" w:rsidR="0091153C" w:rsidRPr="004C12C9" w:rsidRDefault="0091153C" w:rsidP="003739BE">
            <w:pPr>
              <w:pStyle w:val="ICFTabletext"/>
              <w:jc w:val="center"/>
            </w:pPr>
            <w:r w:rsidRPr="004C12C9">
              <w:t>15,316</w:t>
            </w:r>
          </w:p>
        </w:tc>
        <w:tc>
          <w:tcPr>
            <w:tcW w:w="2004" w:type="dxa"/>
          </w:tcPr>
          <w:p w14:paraId="3C9AF4F6" w14:textId="34E59833" w:rsidR="0091153C" w:rsidRPr="004C12C9" w:rsidRDefault="0091153C" w:rsidP="003739BE">
            <w:pPr>
              <w:pStyle w:val="ICFTabletext"/>
              <w:jc w:val="center"/>
            </w:pPr>
            <w:r w:rsidRPr="004C12C9">
              <w:t>8,106</w:t>
            </w:r>
          </w:p>
        </w:tc>
        <w:tc>
          <w:tcPr>
            <w:tcW w:w="2004" w:type="dxa"/>
          </w:tcPr>
          <w:p w14:paraId="1FB4639A" w14:textId="77777777" w:rsidR="0091153C" w:rsidRPr="004C12C9" w:rsidRDefault="0091153C" w:rsidP="003739BE">
            <w:pPr>
              <w:pStyle w:val="ICFTabletext"/>
              <w:jc w:val="center"/>
            </w:pPr>
            <w:r w:rsidRPr="004C12C9">
              <w:t>65%</w:t>
            </w:r>
          </w:p>
        </w:tc>
        <w:tc>
          <w:tcPr>
            <w:tcW w:w="2004" w:type="dxa"/>
          </w:tcPr>
          <w:p w14:paraId="665DC370" w14:textId="77777777" w:rsidR="0091153C" w:rsidRPr="004C12C9" w:rsidRDefault="0091153C" w:rsidP="003739BE">
            <w:pPr>
              <w:pStyle w:val="ICFTabletext"/>
              <w:jc w:val="center"/>
            </w:pPr>
            <w:r w:rsidRPr="004C12C9">
              <w:t>35%</w:t>
            </w:r>
          </w:p>
        </w:tc>
      </w:tr>
      <w:tr w:rsidR="0091153C" w:rsidRPr="004C12C9" w14:paraId="46111C35" w14:textId="77777777" w:rsidTr="009D3812">
        <w:trPr>
          <w:trHeight w:val="20"/>
        </w:trPr>
        <w:tc>
          <w:tcPr>
            <w:tcW w:w="2150" w:type="dxa"/>
            <w:noWrap/>
          </w:tcPr>
          <w:p w14:paraId="76068258" w14:textId="77777777" w:rsidR="0091153C" w:rsidRPr="004C12C9" w:rsidRDefault="0091153C" w:rsidP="003739BE">
            <w:pPr>
              <w:pStyle w:val="ICFTabletext"/>
            </w:pPr>
            <w:r w:rsidRPr="004C12C9">
              <w:t xml:space="preserve">Pope/Douglas </w:t>
            </w:r>
          </w:p>
        </w:tc>
        <w:tc>
          <w:tcPr>
            <w:tcW w:w="2003" w:type="dxa"/>
            <w:noWrap/>
          </w:tcPr>
          <w:p w14:paraId="72C3514B" w14:textId="6CDFAFC7" w:rsidR="0091153C" w:rsidRPr="004C12C9" w:rsidRDefault="0091153C" w:rsidP="003739BE">
            <w:pPr>
              <w:pStyle w:val="ICFTabletext"/>
              <w:jc w:val="center"/>
            </w:pPr>
            <w:r w:rsidRPr="004C12C9">
              <w:t>7,543</w:t>
            </w:r>
          </w:p>
        </w:tc>
        <w:tc>
          <w:tcPr>
            <w:tcW w:w="2004" w:type="dxa"/>
          </w:tcPr>
          <w:p w14:paraId="4A1296AB" w14:textId="016C1BD4" w:rsidR="0091153C" w:rsidRPr="004C12C9" w:rsidRDefault="0091153C" w:rsidP="003739BE">
            <w:pPr>
              <w:pStyle w:val="ICFTabletext"/>
              <w:jc w:val="center"/>
            </w:pPr>
            <w:r w:rsidRPr="004C12C9">
              <w:t>27,248</w:t>
            </w:r>
          </w:p>
        </w:tc>
        <w:tc>
          <w:tcPr>
            <w:tcW w:w="2004" w:type="dxa"/>
          </w:tcPr>
          <w:p w14:paraId="462AF1AB" w14:textId="77777777" w:rsidR="0091153C" w:rsidRPr="004C12C9" w:rsidRDefault="0091153C" w:rsidP="003739BE">
            <w:pPr>
              <w:pStyle w:val="ICFTabletext"/>
              <w:jc w:val="center"/>
            </w:pPr>
            <w:r w:rsidRPr="004C12C9">
              <w:t>22%</w:t>
            </w:r>
          </w:p>
        </w:tc>
        <w:tc>
          <w:tcPr>
            <w:tcW w:w="2004" w:type="dxa"/>
          </w:tcPr>
          <w:p w14:paraId="7885F4E6" w14:textId="77777777" w:rsidR="0091153C" w:rsidRPr="004C12C9" w:rsidRDefault="0091153C" w:rsidP="003739BE">
            <w:pPr>
              <w:pStyle w:val="ICFTabletext"/>
              <w:jc w:val="center"/>
            </w:pPr>
            <w:r w:rsidRPr="004C12C9">
              <w:t>78%</w:t>
            </w:r>
          </w:p>
        </w:tc>
      </w:tr>
      <w:tr w:rsidR="0091153C" w:rsidRPr="004C12C9" w14:paraId="18B9221A" w14:textId="77777777" w:rsidTr="009D3812">
        <w:trPr>
          <w:trHeight w:val="20"/>
        </w:trPr>
        <w:tc>
          <w:tcPr>
            <w:tcW w:w="2150" w:type="dxa"/>
            <w:noWrap/>
          </w:tcPr>
          <w:p w14:paraId="1973F273" w14:textId="77777777" w:rsidR="0091153C" w:rsidRPr="004C12C9" w:rsidRDefault="0091153C" w:rsidP="003739BE">
            <w:pPr>
              <w:pStyle w:val="ICFTabletext"/>
            </w:pPr>
            <w:r w:rsidRPr="004C12C9">
              <w:t xml:space="preserve">Ramsey </w:t>
            </w:r>
          </w:p>
        </w:tc>
        <w:tc>
          <w:tcPr>
            <w:tcW w:w="2003" w:type="dxa"/>
            <w:noWrap/>
          </w:tcPr>
          <w:p w14:paraId="1028ED69" w14:textId="252FB23C" w:rsidR="0091153C" w:rsidRPr="004C12C9" w:rsidRDefault="0091153C" w:rsidP="003739BE">
            <w:pPr>
              <w:pStyle w:val="ICFTabletext"/>
              <w:jc w:val="center"/>
            </w:pPr>
            <w:r w:rsidRPr="004C12C9">
              <w:t>68,570</w:t>
            </w:r>
          </w:p>
        </w:tc>
        <w:tc>
          <w:tcPr>
            <w:tcW w:w="2004" w:type="dxa"/>
          </w:tcPr>
          <w:p w14:paraId="0D28A180" w14:textId="65445E2F" w:rsidR="0091153C" w:rsidRPr="004C12C9" w:rsidRDefault="0091153C" w:rsidP="003739BE">
            <w:pPr>
              <w:pStyle w:val="ICFTabletext"/>
              <w:jc w:val="center"/>
            </w:pPr>
            <w:r w:rsidRPr="004C12C9">
              <w:t>238,772</w:t>
            </w:r>
          </w:p>
        </w:tc>
        <w:tc>
          <w:tcPr>
            <w:tcW w:w="2004" w:type="dxa"/>
          </w:tcPr>
          <w:p w14:paraId="6AC8627F" w14:textId="77777777" w:rsidR="0091153C" w:rsidRPr="004C12C9" w:rsidRDefault="0091153C" w:rsidP="003739BE">
            <w:pPr>
              <w:pStyle w:val="ICFTabletext"/>
              <w:jc w:val="center"/>
            </w:pPr>
            <w:r w:rsidRPr="004C12C9">
              <w:t>22%</w:t>
            </w:r>
          </w:p>
        </w:tc>
        <w:tc>
          <w:tcPr>
            <w:tcW w:w="2004" w:type="dxa"/>
          </w:tcPr>
          <w:p w14:paraId="2477886A" w14:textId="77777777" w:rsidR="0091153C" w:rsidRPr="004C12C9" w:rsidRDefault="0091153C" w:rsidP="003739BE">
            <w:pPr>
              <w:pStyle w:val="ICFTabletext"/>
              <w:jc w:val="center"/>
            </w:pPr>
            <w:r w:rsidRPr="004C12C9">
              <w:t>78%</w:t>
            </w:r>
          </w:p>
        </w:tc>
      </w:tr>
      <w:tr w:rsidR="0091153C" w:rsidRPr="004C12C9" w14:paraId="653E604D" w14:textId="77777777" w:rsidTr="009D3812">
        <w:trPr>
          <w:trHeight w:val="20"/>
        </w:trPr>
        <w:tc>
          <w:tcPr>
            <w:tcW w:w="2150" w:type="dxa"/>
            <w:noWrap/>
          </w:tcPr>
          <w:p w14:paraId="115DFFE3" w14:textId="77777777" w:rsidR="0091153C" w:rsidRPr="004C12C9" w:rsidRDefault="0091153C" w:rsidP="003739BE">
            <w:pPr>
              <w:pStyle w:val="ICFTabletext"/>
            </w:pPr>
            <w:r w:rsidRPr="004C12C9">
              <w:t xml:space="preserve">Red Lake </w:t>
            </w:r>
          </w:p>
        </w:tc>
        <w:tc>
          <w:tcPr>
            <w:tcW w:w="2003" w:type="dxa"/>
            <w:noWrap/>
          </w:tcPr>
          <w:p w14:paraId="5E2E6308" w14:textId="074AC70F" w:rsidR="0091153C" w:rsidRPr="004C12C9" w:rsidRDefault="0091153C" w:rsidP="003739BE">
            <w:pPr>
              <w:pStyle w:val="ICFTabletext"/>
              <w:jc w:val="center"/>
            </w:pPr>
            <w:r w:rsidRPr="004C12C9">
              <w:t>1,694</w:t>
            </w:r>
          </w:p>
        </w:tc>
        <w:tc>
          <w:tcPr>
            <w:tcW w:w="2004" w:type="dxa"/>
          </w:tcPr>
          <w:p w14:paraId="349A1342" w14:textId="0F597CB4" w:rsidR="0091153C" w:rsidRPr="004C12C9" w:rsidRDefault="0091153C" w:rsidP="003739BE">
            <w:pPr>
              <w:pStyle w:val="ICFTabletext"/>
              <w:jc w:val="center"/>
            </w:pPr>
            <w:r w:rsidRPr="004C12C9">
              <w:t>-</w:t>
            </w:r>
          </w:p>
        </w:tc>
        <w:tc>
          <w:tcPr>
            <w:tcW w:w="2004" w:type="dxa"/>
          </w:tcPr>
          <w:p w14:paraId="15E18D4A" w14:textId="77777777" w:rsidR="0091153C" w:rsidRPr="004C12C9" w:rsidRDefault="0091153C" w:rsidP="003739BE">
            <w:pPr>
              <w:pStyle w:val="ICFTabletext"/>
              <w:jc w:val="center"/>
            </w:pPr>
            <w:r w:rsidRPr="004C12C9">
              <w:t>100%</w:t>
            </w:r>
          </w:p>
        </w:tc>
        <w:tc>
          <w:tcPr>
            <w:tcW w:w="2004" w:type="dxa"/>
          </w:tcPr>
          <w:p w14:paraId="08F62036" w14:textId="77777777" w:rsidR="0091153C" w:rsidRPr="004C12C9" w:rsidRDefault="0091153C" w:rsidP="003739BE">
            <w:pPr>
              <w:pStyle w:val="ICFTabletext"/>
              <w:jc w:val="center"/>
            </w:pPr>
            <w:r w:rsidRPr="004C12C9">
              <w:t>0%</w:t>
            </w:r>
          </w:p>
        </w:tc>
      </w:tr>
      <w:tr w:rsidR="0091153C" w:rsidRPr="004C12C9" w14:paraId="4DBAE759" w14:textId="77777777" w:rsidTr="009D3812">
        <w:trPr>
          <w:trHeight w:val="20"/>
        </w:trPr>
        <w:tc>
          <w:tcPr>
            <w:tcW w:w="2150" w:type="dxa"/>
            <w:noWrap/>
          </w:tcPr>
          <w:p w14:paraId="25015C04" w14:textId="77777777" w:rsidR="0091153C" w:rsidRPr="004C12C9" w:rsidRDefault="0091153C" w:rsidP="003739BE">
            <w:pPr>
              <w:pStyle w:val="ICFTabletext"/>
            </w:pPr>
            <w:r w:rsidRPr="004C12C9">
              <w:t xml:space="preserve">Redwood/Renville </w:t>
            </w:r>
          </w:p>
        </w:tc>
        <w:tc>
          <w:tcPr>
            <w:tcW w:w="2003" w:type="dxa"/>
            <w:noWrap/>
          </w:tcPr>
          <w:p w14:paraId="4033CA76" w14:textId="7F7A9C78" w:rsidR="0091153C" w:rsidRPr="004C12C9" w:rsidRDefault="0091153C" w:rsidP="003739BE">
            <w:pPr>
              <w:pStyle w:val="ICFTabletext"/>
              <w:jc w:val="center"/>
            </w:pPr>
            <w:r w:rsidRPr="004C12C9">
              <w:t>15,040</w:t>
            </w:r>
          </w:p>
        </w:tc>
        <w:tc>
          <w:tcPr>
            <w:tcW w:w="2004" w:type="dxa"/>
          </w:tcPr>
          <w:p w14:paraId="1DEAF5DF" w14:textId="101083FF" w:rsidR="0091153C" w:rsidRPr="004C12C9" w:rsidRDefault="0091153C" w:rsidP="003739BE">
            <w:pPr>
              <w:pStyle w:val="ICFTabletext"/>
              <w:jc w:val="center"/>
            </w:pPr>
            <w:r w:rsidRPr="004C12C9">
              <w:t>-</w:t>
            </w:r>
          </w:p>
        </w:tc>
        <w:tc>
          <w:tcPr>
            <w:tcW w:w="2004" w:type="dxa"/>
          </w:tcPr>
          <w:p w14:paraId="59E74028" w14:textId="77777777" w:rsidR="0091153C" w:rsidRPr="004C12C9" w:rsidRDefault="0091153C" w:rsidP="003739BE">
            <w:pPr>
              <w:pStyle w:val="ICFTabletext"/>
              <w:jc w:val="center"/>
            </w:pPr>
            <w:r w:rsidRPr="004C12C9">
              <w:t>100%</w:t>
            </w:r>
          </w:p>
        </w:tc>
        <w:tc>
          <w:tcPr>
            <w:tcW w:w="2004" w:type="dxa"/>
          </w:tcPr>
          <w:p w14:paraId="179517B3" w14:textId="77777777" w:rsidR="0091153C" w:rsidRPr="004C12C9" w:rsidRDefault="0091153C" w:rsidP="003739BE">
            <w:pPr>
              <w:pStyle w:val="ICFTabletext"/>
              <w:jc w:val="center"/>
            </w:pPr>
            <w:r w:rsidRPr="004C12C9">
              <w:t>0%</w:t>
            </w:r>
          </w:p>
        </w:tc>
      </w:tr>
      <w:tr w:rsidR="0091153C" w:rsidRPr="004C12C9" w14:paraId="0EA369E5" w14:textId="77777777" w:rsidTr="009D3812">
        <w:trPr>
          <w:trHeight w:val="20"/>
        </w:trPr>
        <w:tc>
          <w:tcPr>
            <w:tcW w:w="2150" w:type="dxa"/>
            <w:noWrap/>
          </w:tcPr>
          <w:p w14:paraId="164A1973" w14:textId="77777777" w:rsidR="0091153C" w:rsidRPr="004C12C9" w:rsidRDefault="0091153C" w:rsidP="003739BE">
            <w:pPr>
              <w:pStyle w:val="ICFTabletext"/>
            </w:pPr>
            <w:r w:rsidRPr="004C12C9">
              <w:t xml:space="preserve">Rice </w:t>
            </w:r>
          </w:p>
        </w:tc>
        <w:tc>
          <w:tcPr>
            <w:tcW w:w="2003" w:type="dxa"/>
            <w:noWrap/>
          </w:tcPr>
          <w:p w14:paraId="33BF1BA2" w14:textId="16D19D83" w:rsidR="0091153C" w:rsidRPr="004C12C9" w:rsidRDefault="0091153C" w:rsidP="003739BE">
            <w:pPr>
              <w:pStyle w:val="ICFTabletext"/>
              <w:jc w:val="center"/>
            </w:pPr>
            <w:r w:rsidRPr="004C12C9">
              <w:t>45,129</w:t>
            </w:r>
          </w:p>
        </w:tc>
        <w:tc>
          <w:tcPr>
            <w:tcW w:w="2004" w:type="dxa"/>
          </w:tcPr>
          <w:p w14:paraId="4593DAEF" w14:textId="1084E861" w:rsidR="0091153C" w:rsidRPr="004C12C9" w:rsidRDefault="0091153C" w:rsidP="003739BE">
            <w:pPr>
              <w:pStyle w:val="ICFTabletext"/>
              <w:jc w:val="center"/>
            </w:pPr>
            <w:r w:rsidRPr="004C12C9">
              <w:t>1,300</w:t>
            </w:r>
          </w:p>
        </w:tc>
        <w:tc>
          <w:tcPr>
            <w:tcW w:w="2004" w:type="dxa"/>
          </w:tcPr>
          <w:p w14:paraId="5442EECC" w14:textId="77777777" w:rsidR="0091153C" w:rsidRPr="004C12C9" w:rsidRDefault="0091153C" w:rsidP="003739BE">
            <w:pPr>
              <w:pStyle w:val="ICFTabletext"/>
              <w:jc w:val="center"/>
            </w:pPr>
            <w:r w:rsidRPr="004C12C9">
              <w:t>97%</w:t>
            </w:r>
          </w:p>
        </w:tc>
        <w:tc>
          <w:tcPr>
            <w:tcW w:w="2004" w:type="dxa"/>
          </w:tcPr>
          <w:p w14:paraId="26CFD822" w14:textId="77777777" w:rsidR="0091153C" w:rsidRPr="004C12C9" w:rsidRDefault="0091153C" w:rsidP="003739BE">
            <w:pPr>
              <w:pStyle w:val="ICFTabletext"/>
              <w:jc w:val="center"/>
            </w:pPr>
            <w:r w:rsidRPr="004C12C9">
              <w:t>3%</w:t>
            </w:r>
          </w:p>
        </w:tc>
      </w:tr>
      <w:tr w:rsidR="0091153C" w:rsidRPr="004C12C9" w14:paraId="2B32366A" w14:textId="77777777" w:rsidTr="009D3812">
        <w:trPr>
          <w:trHeight w:val="20"/>
        </w:trPr>
        <w:tc>
          <w:tcPr>
            <w:tcW w:w="2150" w:type="dxa"/>
            <w:noWrap/>
          </w:tcPr>
          <w:p w14:paraId="2E222BFE" w14:textId="77777777" w:rsidR="0091153C" w:rsidRPr="004C12C9" w:rsidRDefault="0091153C" w:rsidP="003739BE">
            <w:pPr>
              <w:pStyle w:val="ICFTabletext"/>
            </w:pPr>
            <w:r w:rsidRPr="004C12C9">
              <w:t xml:space="preserve">Rock </w:t>
            </w:r>
          </w:p>
        </w:tc>
        <w:tc>
          <w:tcPr>
            <w:tcW w:w="2003" w:type="dxa"/>
            <w:noWrap/>
          </w:tcPr>
          <w:p w14:paraId="6FFE72C8" w14:textId="2D2479D7" w:rsidR="0091153C" w:rsidRPr="004C12C9" w:rsidRDefault="0091153C" w:rsidP="003739BE">
            <w:pPr>
              <w:pStyle w:val="ICFTabletext"/>
              <w:jc w:val="center"/>
            </w:pPr>
            <w:r w:rsidRPr="004C12C9">
              <w:t>4,531</w:t>
            </w:r>
          </w:p>
        </w:tc>
        <w:tc>
          <w:tcPr>
            <w:tcW w:w="2004" w:type="dxa"/>
          </w:tcPr>
          <w:p w14:paraId="0F8655C0" w14:textId="4ECF5D73" w:rsidR="0091153C" w:rsidRPr="004C12C9" w:rsidRDefault="0091153C" w:rsidP="003739BE">
            <w:pPr>
              <w:pStyle w:val="ICFTabletext"/>
              <w:jc w:val="center"/>
            </w:pPr>
            <w:r w:rsidRPr="004C12C9">
              <w:t>-</w:t>
            </w:r>
          </w:p>
        </w:tc>
        <w:tc>
          <w:tcPr>
            <w:tcW w:w="2004" w:type="dxa"/>
          </w:tcPr>
          <w:p w14:paraId="2F945A3A" w14:textId="77777777" w:rsidR="0091153C" w:rsidRPr="004C12C9" w:rsidRDefault="0091153C" w:rsidP="003739BE">
            <w:pPr>
              <w:pStyle w:val="ICFTabletext"/>
              <w:jc w:val="center"/>
            </w:pPr>
            <w:r w:rsidRPr="004C12C9">
              <w:t>100%</w:t>
            </w:r>
          </w:p>
        </w:tc>
        <w:tc>
          <w:tcPr>
            <w:tcW w:w="2004" w:type="dxa"/>
          </w:tcPr>
          <w:p w14:paraId="695634BD" w14:textId="77777777" w:rsidR="0091153C" w:rsidRPr="004C12C9" w:rsidRDefault="0091153C" w:rsidP="003739BE">
            <w:pPr>
              <w:pStyle w:val="ICFTabletext"/>
              <w:jc w:val="center"/>
            </w:pPr>
            <w:r w:rsidRPr="004C12C9">
              <w:t>0%</w:t>
            </w:r>
          </w:p>
        </w:tc>
      </w:tr>
      <w:tr w:rsidR="0091153C" w:rsidRPr="004C12C9" w14:paraId="472F46D5" w14:textId="77777777" w:rsidTr="009D3812">
        <w:trPr>
          <w:trHeight w:val="20"/>
        </w:trPr>
        <w:tc>
          <w:tcPr>
            <w:tcW w:w="2150" w:type="dxa"/>
            <w:noWrap/>
          </w:tcPr>
          <w:p w14:paraId="405E4EBC" w14:textId="77777777" w:rsidR="0091153C" w:rsidRPr="004C12C9" w:rsidRDefault="0091153C" w:rsidP="003739BE">
            <w:pPr>
              <w:pStyle w:val="ICFTabletext"/>
            </w:pPr>
            <w:r w:rsidRPr="004C12C9">
              <w:t xml:space="preserve">Roseau </w:t>
            </w:r>
          </w:p>
        </w:tc>
        <w:tc>
          <w:tcPr>
            <w:tcW w:w="2003" w:type="dxa"/>
            <w:noWrap/>
          </w:tcPr>
          <w:p w14:paraId="7CFF4E0C" w14:textId="4A668584" w:rsidR="0091153C" w:rsidRPr="004C12C9" w:rsidRDefault="0091153C" w:rsidP="003739BE">
            <w:pPr>
              <w:pStyle w:val="ICFTabletext"/>
              <w:jc w:val="center"/>
            </w:pPr>
            <w:r w:rsidRPr="004C12C9">
              <w:t>10,690</w:t>
            </w:r>
          </w:p>
        </w:tc>
        <w:tc>
          <w:tcPr>
            <w:tcW w:w="2004" w:type="dxa"/>
          </w:tcPr>
          <w:p w14:paraId="696214B3" w14:textId="2253762A" w:rsidR="0091153C" w:rsidRPr="004C12C9" w:rsidRDefault="0091153C" w:rsidP="003739BE">
            <w:pPr>
              <w:pStyle w:val="ICFTabletext"/>
              <w:jc w:val="center"/>
            </w:pPr>
            <w:r w:rsidRPr="004C12C9">
              <w:t>-</w:t>
            </w:r>
          </w:p>
        </w:tc>
        <w:tc>
          <w:tcPr>
            <w:tcW w:w="2004" w:type="dxa"/>
          </w:tcPr>
          <w:p w14:paraId="72C0F80F" w14:textId="77777777" w:rsidR="0091153C" w:rsidRPr="004C12C9" w:rsidRDefault="0091153C" w:rsidP="003739BE">
            <w:pPr>
              <w:pStyle w:val="ICFTabletext"/>
              <w:jc w:val="center"/>
            </w:pPr>
            <w:r w:rsidRPr="004C12C9">
              <w:t>100%</w:t>
            </w:r>
          </w:p>
        </w:tc>
        <w:tc>
          <w:tcPr>
            <w:tcW w:w="2004" w:type="dxa"/>
          </w:tcPr>
          <w:p w14:paraId="6FF939E7" w14:textId="77777777" w:rsidR="0091153C" w:rsidRPr="004C12C9" w:rsidRDefault="0091153C" w:rsidP="003739BE">
            <w:pPr>
              <w:pStyle w:val="ICFTabletext"/>
              <w:jc w:val="center"/>
            </w:pPr>
            <w:r w:rsidRPr="004C12C9">
              <w:t>0%</w:t>
            </w:r>
          </w:p>
        </w:tc>
      </w:tr>
      <w:tr w:rsidR="0091153C" w:rsidRPr="004C12C9" w14:paraId="6BCFDFFE" w14:textId="77777777" w:rsidTr="009D3812">
        <w:trPr>
          <w:trHeight w:val="20"/>
        </w:trPr>
        <w:tc>
          <w:tcPr>
            <w:tcW w:w="2150" w:type="dxa"/>
            <w:noWrap/>
          </w:tcPr>
          <w:p w14:paraId="7BBD3337" w14:textId="77777777" w:rsidR="0091153C" w:rsidRPr="004C12C9" w:rsidRDefault="0091153C" w:rsidP="003739BE">
            <w:pPr>
              <w:pStyle w:val="ICFTabletext"/>
            </w:pPr>
            <w:r w:rsidRPr="004C12C9">
              <w:t xml:space="preserve">Scott </w:t>
            </w:r>
          </w:p>
        </w:tc>
        <w:tc>
          <w:tcPr>
            <w:tcW w:w="2003" w:type="dxa"/>
            <w:noWrap/>
          </w:tcPr>
          <w:p w14:paraId="2462BD05" w14:textId="5FC1DA73" w:rsidR="0091153C" w:rsidRPr="004C12C9" w:rsidRDefault="0091153C" w:rsidP="003739BE">
            <w:pPr>
              <w:pStyle w:val="ICFTabletext"/>
              <w:jc w:val="center"/>
            </w:pPr>
            <w:r w:rsidRPr="004C12C9">
              <w:t>72,448</w:t>
            </w:r>
          </w:p>
        </w:tc>
        <w:tc>
          <w:tcPr>
            <w:tcW w:w="2004" w:type="dxa"/>
          </w:tcPr>
          <w:p w14:paraId="7AFA1BFD" w14:textId="5FEBC358" w:rsidR="0091153C" w:rsidRPr="004C12C9" w:rsidRDefault="0091153C" w:rsidP="003739BE">
            <w:pPr>
              <w:pStyle w:val="ICFTabletext"/>
              <w:jc w:val="center"/>
            </w:pPr>
            <w:r w:rsidRPr="004C12C9">
              <w:t>-</w:t>
            </w:r>
          </w:p>
        </w:tc>
        <w:tc>
          <w:tcPr>
            <w:tcW w:w="2004" w:type="dxa"/>
          </w:tcPr>
          <w:p w14:paraId="6810BB6F" w14:textId="77777777" w:rsidR="0091153C" w:rsidRPr="004C12C9" w:rsidRDefault="0091153C" w:rsidP="003739BE">
            <w:pPr>
              <w:pStyle w:val="ICFTabletext"/>
              <w:jc w:val="center"/>
            </w:pPr>
            <w:r w:rsidRPr="004C12C9">
              <w:t>100%</w:t>
            </w:r>
          </w:p>
        </w:tc>
        <w:tc>
          <w:tcPr>
            <w:tcW w:w="2004" w:type="dxa"/>
          </w:tcPr>
          <w:p w14:paraId="64F37B59" w14:textId="77777777" w:rsidR="0091153C" w:rsidRPr="004C12C9" w:rsidRDefault="0091153C" w:rsidP="003739BE">
            <w:pPr>
              <w:pStyle w:val="ICFTabletext"/>
              <w:jc w:val="center"/>
            </w:pPr>
            <w:r w:rsidRPr="004C12C9">
              <w:t>0%</w:t>
            </w:r>
          </w:p>
        </w:tc>
      </w:tr>
      <w:tr w:rsidR="0091153C" w:rsidRPr="004C12C9" w14:paraId="6AD78C7B" w14:textId="77777777" w:rsidTr="009D3812">
        <w:trPr>
          <w:trHeight w:val="20"/>
        </w:trPr>
        <w:tc>
          <w:tcPr>
            <w:tcW w:w="2150" w:type="dxa"/>
            <w:noWrap/>
          </w:tcPr>
          <w:p w14:paraId="20D10B3C" w14:textId="77777777" w:rsidR="0091153C" w:rsidRPr="004C12C9" w:rsidRDefault="0091153C" w:rsidP="003739BE">
            <w:pPr>
              <w:pStyle w:val="ICFTabletext"/>
            </w:pPr>
            <w:r w:rsidRPr="004C12C9">
              <w:t xml:space="preserve">Sherburne </w:t>
            </w:r>
          </w:p>
        </w:tc>
        <w:tc>
          <w:tcPr>
            <w:tcW w:w="2003" w:type="dxa"/>
            <w:noWrap/>
          </w:tcPr>
          <w:p w14:paraId="0EA8CF4C" w14:textId="2F5A5C3B" w:rsidR="0091153C" w:rsidRPr="004C12C9" w:rsidRDefault="0091153C" w:rsidP="003739BE">
            <w:pPr>
              <w:pStyle w:val="ICFTabletext"/>
              <w:jc w:val="center"/>
            </w:pPr>
            <w:r w:rsidRPr="004C12C9">
              <w:t>41,698</w:t>
            </w:r>
          </w:p>
        </w:tc>
        <w:tc>
          <w:tcPr>
            <w:tcW w:w="2004" w:type="dxa"/>
          </w:tcPr>
          <w:p w14:paraId="7D25498F" w14:textId="314DE16A" w:rsidR="0091153C" w:rsidRPr="004C12C9" w:rsidRDefault="0091153C" w:rsidP="003739BE">
            <w:pPr>
              <w:pStyle w:val="ICFTabletext"/>
              <w:jc w:val="center"/>
            </w:pPr>
            <w:r w:rsidRPr="004C12C9">
              <w:t>5,314</w:t>
            </w:r>
          </w:p>
        </w:tc>
        <w:tc>
          <w:tcPr>
            <w:tcW w:w="2004" w:type="dxa"/>
          </w:tcPr>
          <w:p w14:paraId="1A83E092" w14:textId="77777777" w:rsidR="0091153C" w:rsidRPr="004C12C9" w:rsidRDefault="0091153C" w:rsidP="003739BE">
            <w:pPr>
              <w:pStyle w:val="ICFTabletext"/>
              <w:jc w:val="center"/>
            </w:pPr>
            <w:r w:rsidRPr="004C12C9">
              <w:t>89%</w:t>
            </w:r>
          </w:p>
        </w:tc>
        <w:tc>
          <w:tcPr>
            <w:tcW w:w="2004" w:type="dxa"/>
          </w:tcPr>
          <w:p w14:paraId="504B10FD" w14:textId="77777777" w:rsidR="0091153C" w:rsidRPr="004C12C9" w:rsidRDefault="0091153C" w:rsidP="003739BE">
            <w:pPr>
              <w:pStyle w:val="ICFTabletext"/>
              <w:jc w:val="center"/>
            </w:pPr>
            <w:r w:rsidRPr="004C12C9">
              <w:t>11%</w:t>
            </w:r>
          </w:p>
        </w:tc>
      </w:tr>
      <w:tr w:rsidR="0091153C" w:rsidRPr="004C12C9" w14:paraId="69707E61" w14:textId="77777777" w:rsidTr="009D3812">
        <w:trPr>
          <w:trHeight w:val="20"/>
        </w:trPr>
        <w:tc>
          <w:tcPr>
            <w:tcW w:w="2150" w:type="dxa"/>
            <w:noWrap/>
          </w:tcPr>
          <w:p w14:paraId="6A352AF7" w14:textId="77777777" w:rsidR="0091153C" w:rsidRPr="004C12C9" w:rsidRDefault="0091153C" w:rsidP="003739BE">
            <w:pPr>
              <w:pStyle w:val="ICFTabletext"/>
            </w:pPr>
            <w:r w:rsidRPr="004C12C9">
              <w:t xml:space="preserve">Sibley </w:t>
            </w:r>
          </w:p>
        </w:tc>
        <w:tc>
          <w:tcPr>
            <w:tcW w:w="2003" w:type="dxa"/>
            <w:noWrap/>
          </w:tcPr>
          <w:p w14:paraId="14BE2F4F" w14:textId="4B1CEF5E" w:rsidR="0091153C" w:rsidRPr="004C12C9" w:rsidRDefault="0091153C" w:rsidP="003739BE">
            <w:pPr>
              <w:pStyle w:val="ICFTabletext"/>
              <w:jc w:val="center"/>
            </w:pPr>
            <w:r w:rsidRPr="004C12C9">
              <w:t>5,977</w:t>
            </w:r>
          </w:p>
        </w:tc>
        <w:tc>
          <w:tcPr>
            <w:tcW w:w="2004" w:type="dxa"/>
          </w:tcPr>
          <w:p w14:paraId="5F299A8D" w14:textId="1C04A58C" w:rsidR="0091153C" w:rsidRPr="004C12C9" w:rsidRDefault="0091153C" w:rsidP="003739BE">
            <w:pPr>
              <w:pStyle w:val="ICFTabletext"/>
              <w:jc w:val="center"/>
            </w:pPr>
            <w:r w:rsidRPr="004C12C9">
              <w:t>1,497</w:t>
            </w:r>
          </w:p>
        </w:tc>
        <w:tc>
          <w:tcPr>
            <w:tcW w:w="2004" w:type="dxa"/>
          </w:tcPr>
          <w:p w14:paraId="5A1AFD8B" w14:textId="77777777" w:rsidR="0091153C" w:rsidRPr="004C12C9" w:rsidRDefault="0091153C" w:rsidP="003739BE">
            <w:pPr>
              <w:pStyle w:val="ICFTabletext"/>
              <w:jc w:val="center"/>
            </w:pPr>
            <w:r w:rsidRPr="004C12C9">
              <w:t>80%</w:t>
            </w:r>
          </w:p>
        </w:tc>
        <w:tc>
          <w:tcPr>
            <w:tcW w:w="2004" w:type="dxa"/>
          </w:tcPr>
          <w:p w14:paraId="587DB408" w14:textId="77777777" w:rsidR="0091153C" w:rsidRPr="004C12C9" w:rsidRDefault="0091153C" w:rsidP="003739BE">
            <w:pPr>
              <w:pStyle w:val="ICFTabletext"/>
              <w:jc w:val="center"/>
            </w:pPr>
            <w:r w:rsidRPr="004C12C9">
              <w:t>20%</w:t>
            </w:r>
          </w:p>
        </w:tc>
      </w:tr>
      <w:tr w:rsidR="0091153C" w:rsidRPr="004C12C9" w14:paraId="1B67B6E2" w14:textId="77777777" w:rsidTr="009D3812">
        <w:trPr>
          <w:trHeight w:val="20"/>
        </w:trPr>
        <w:tc>
          <w:tcPr>
            <w:tcW w:w="2150" w:type="dxa"/>
            <w:noWrap/>
          </w:tcPr>
          <w:p w14:paraId="1BAD4986" w14:textId="77777777" w:rsidR="0091153C" w:rsidRPr="004C12C9" w:rsidRDefault="0091153C" w:rsidP="003739BE">
            <w:pPr>
              <w:pStyle w:val="ICFTabletext"/>
            </w:pPr>
            <w:r w:rsidRPr="004C12C9">
              <w:t>St. Louis - partial</w:t>
            </w:r>
          </w:p>
        </w:tc>
        <w:tc>
          <w:tcPr>
            <w:tcW w:w="2003" w:type="dxa"/>
            <w:noWrap/>
          </w:tcPr>
          <w:p w14:paraId="61EA5DF0" w14:textId="02778BB0" w:rsidR="0091153C" w:rsidRPr="004C12C9" w:rsidRDefault="0091153C" w:rsidP="003739BE">
            <w:pPr>
              <w:pStyle w:val="ICFTabletext"/>
              <w:jc w:val="center"/>
            </w:pPr>
            <w:r w:rsidRPr="004C12C9">
              <w:t>53,672</w:t>
            </w:r>
          </w:p>
        </w:tc>
        <w:tc>
          <w:tcPr>
            <w:tcW w:w="2004" w:type="dxa"/>
          </w:tcPr>
          <w:p w14:paraId="7722AC3B" w14:textId="2D0BADA1" w:rsidR="0091153C" w:rsidRPr="004C12C9" w:rsidRDefault="0091153C" w:rsidP="003739BE">
            <w:pPr>
              <w:pStyle w:val="ICFTabletext"/>
              <w:jc w:val="center"/>
            </w:pPr>
            <w:r w:rsidRPr="004C12C9">
              <w:t>-</w:t>
            </w:r>
          </w:p>
        </w:tc>
        <w:tc>
          <w:tcPr>
            <w:tcW w:w="2004" w:type="dxa"/>
          </w:tcPr>
          <w:p w14:paraId="083650CB" w14:textId="77777777" w:rsidR="0091153C" w:rsidRPr="004C12C9" w:rsidRDefault="0091153C" w:rsidP="003739BE">
            <w:pPr>
              <w:pStyle w:val="ICFTabletext"/>
              <w:jc w:val="center"/>
            </w:pPr>
            <w:r w:rsidRPr="004C12C9">
              <w:t>100%</w:t>
            </w:r>
          </w:p>
        </w:tc>
        <w:tc>
          <w:tcPr>
            <w:tcW w:w="2004" w:type="dxa"/>
          </w:tcPr>
          <w:p w14:paraId="26C62AE1" w14:textId="77777777" w:rsidR="0091153C" w:rsidRPr="004C12C9" w:rsidRDefault="0091153C" w:rsidP="003739BE">
            <w:pPr>
              <w:pStyle w:val="ICFTabletext"/>
              <w:jc w:val="center"/>
            </w:pPr>
            <w:r w:rsidRPr="004C12C9">
              <w:t>0%</w:t>
            </w:r>
          </w:p>
        </w:tc>
      </w:tr>
      <w:tr w:rsidR="0091153C" w:rsidRPr="004C12C9" w14:paraId="73501705" w14:textId="77777777" w:rsidTr="009D3812">
        <w:trPr>
          <w:trHeight w:val="20"/>
        </w:trPr>
        <w:tc>
          <w:tcPr>
            <w:tcW w:w="2150" w:type="dxa"/>
            <w:noWrap/>
          </w:tcPr>
          <w:p w14:paraId="74DFB7F7" w14:textId="77777777" w:rsidR="0091153C" w:rsidRPr="004C12C9" w:rsidRDefault="0091153C" w:rsidP="003739BE">
            <w:pPr>
              <w:pStyle w:val="ICFTabletext"/>
            </w:pPr>
            <w:r w:rsidRPr="004C12C9">
              <w:t xml:space="preserve">Stearns </w:t>
            </w:r>
          </w:p>
        </w:tc>
        <w:tc>
          <w:tcPr>
            <w:tcW w:w="2003" w:type="dxa"/>
            <w:noWrap/>
          </w:tcPr>
          <w:p w14:paraId="45A183F4" w14:textId="039979ED" w:rsidR="0091153C" w:rsidRPr="004C12C9" w:rsidRDefault="0091153C" w:rsidP="003739BE">
            <w:pPr>
              <w:pStyle w:val="ICFTabletext"/>
              <w:jc w:val="center"/>
            </w:pPr>
            <w:r w:rsidRPr="004C12C9">
              <w:t>42,832</w:t>
            </w:r>
          </w:p>
        </w:tc>
        <w:tc>
          <w:tcPr>
            <w:tcW w:w="2004" w:type="dxa"/>
          </w:tcPr>
          <w:p w14:paraId="604FFFFB" w14:textId="0C18FB6A" w:rsidR="0091153C" w:rsidRPr="004C12C9" w:rsidRDefault="0091153C" w:rsidP="003739BE">
            <w:pPr>
              <w:pStyle w:val="ICFTabletext"/>
              <w:jc w:val="center"/>
            </w:pPr>
            <w:r w:rsidRPr="004C12C9">
              <w:t>31,948</w:t>
            </w:r>
          </w:p>
        </w:tc>
        <w:tc>
          <w:tcPr>
            <w:tcW w:w="2004" w:type="dxa"/>
          </w:tcPr>
          <w:p w14:paraId="781C1FF0" w14:textId="77777777" w:rsidR="0091153C" w:rsidRPr="004C12C9" w:rsidRDefault="0091153C" w:rsidP="003739BE">
            <w:pPr>
              <w:pStyle w:val="ICFTabletext"/>
              <w:jc w:val="center"/>
            </w:pPr>
            <w:r w:rsidRPr="004C12C9">
              <w:t>57%</w:t>
            </w:r>
          </w:p>
        </w:tc>
        <w:tc>
          <w:tcPr>
            <w:tcW w:w="2004" w:type="dxa"/>
          </w:tcPr>
          <w:p w14:paraId="6A023FA2" w14:textId="77777777" w:rsidR="0091153C" w:rsidRPr="004C12C9" w:rsidRDefault="0091153C" w:rsidP="003739BE">
            <w:pPr>
              <w:pStyle w:val="ICFTabletext"/>
              <w:jc w:val="center"/>
            </w:pPr>
            <w:r w:rsidRPr="004C12C9">
              <w:t>43%</w:t>
            </w:r>
          </w:p>
        </w:tc>
      </w:tr>
      <w:tr w:rsidR="0091153C" w:rsidRPr="004C12C9" w14:paraId="7381DC61" w14:textId="77777777" w:rsidTr="009D3812">
        <w:trPr>
          <w:trHeight w:val="20"/>
        </w:trPr>
        <w:tc>
          <w:tcPr>
            <w:tcW w:w="2150" w:type="dxa"/>
            <w:noWrap/>
          </w:tcPr>
          <w:p w14:paraId="62900D9B" w14:textId="77777777" w:rsidR="0091153C" w:rsidRPr="004C12C9" w:rsidRDefault="0091153C" w:rsidP="003739BE">
            <w:pPr>
              <w:pStyle w:val="ICFTabletext"/>
            </w:pPr>
            <w:r w:rsidRPr="004C12C9">
              <w:t xml:space="preserve">Steele </w:t>
            </w:r>
          </w:p>
        </w:tc>
        <w:tc>
          <w:tcPr>
            <w:tcW w:w="2003" w:type="dxa"/>
            <w:noWrap/>
          </w:tcPr>
          <w:p w14:paraId="4B66D7A3" w14:textId="6A119889" w:rsidR="0091153C" w:rsidRPr="004C12C9" w:rsidRDefault="0091153C" w:rsidP="003739BE">
            <w:pPr>
              <w:pStyle w:val="ICFTabletext"/>
              <w:jc w:val="center"/>
            </w:pPr>
            <w:r w:rsidRPr="004C12C9">
              <w:t>35,313</w:t>
            </w:r>
          </w:p>
        </w:tc>
        <w:tc>
          <w:tcPr>
            <w:tcW w:w="2004" w:type="dxa"/>
          </w:tcPr>
          <w:p w14:paraId="436B6A5F" w14:textId="18735EAE" w:rsidR="0091153C" w:rsidRPr="004C12C9" w:rsidRDefault="0091153C" w:rsidP="003739BE">
            <w:pPr>
              <w:pStyle w:val="ICFTabletext"/>
              <w:jc w:val="center"/>
            </w:pPr>
            <w:r w:rsidRPr="004C12C9">
              <w:t>-</w:t>
            </w:r>
          </w:p>
        </w:tc>
        <w:tc>
          <w:tcPr>
            <w:tcW w:w="2004" w:type="dxa"/>
          </w:tcPr>
          <w:p w14:paraId="0ADC9668" w14:textId="77777777" w:rsidR="0091153C" w:rsidRPr="004C12C9" w:rsidRDefault="0091153C" w:rsidP="003739BE">
            <w:pPr>
              <w:pStyle w:val="ICFTabletext"/>
              <w:jc w:val="center"/>
            </w:pPr>
            <w:r w:rsidRPr="004C12C9">
              <w:t>100%</w:t>
            </w:r>
          </w:p>
        </w:tc>
        <w:tc>
          <w:tcPr>
            <w:tcW w:w="2004" w:type="dxa"/>
          </w:tcPr>
          <w:p w14:paraId="4B82C9BB" w14:textId="77777777" w:rsidR="0091153C" w:rsidRPr="004C12C9" w:rsidRDefault="0091153C" w:rsidP="003739BE">
            <w:pPr>
              <w:pStyle w:val="ICFTabletext"/>
              <w:jc w:val="center"/>
            </w:pPr>
            <w:r w:rsidRPr="004C12C9">
              <w:t>0%</w:t>
            </w:r>
          </w:p>
        </w:tc>
      </w:tr>
      <w:tr w:rsidR="0091153C" w:rsidRPr="004C12C9" w14:paraId="5471BCE4" w14:textId="77777777" w:rsidTr="009D3812">
        <w:trPr>
          <w:trHeight w:val="20"/>
        </w:trPr>
        <w:tc>
          <w:tcPr>
            <w:tcW w:w="2150" w:type="dxa"/>
            <w:noWrap/>
          </w:tcPr>
          <w:p w14:paraId="57F06016" w14:textId="77777777" w:rsidR="0091153C" w:rsidRPr="004C12C9" w:rsidRDefault="0091153C" w:rsidP="003739BE">
            <w:pPr>
              <w:pStyle w:val="ICFTabletext"/>
            </w:pPr>
            <w:r w:rsidRPr="004C12C9">
              <w:t xml:space="preserve">Stevens </w:t>
            </w:r>
          </w:p>
        </w:tc>
        <w:tc>
          <w:tcPr>
            <w:tcW w:w="2003" w:type="dxa"/>
            <w:noWrap/>
          </w:tcPr>
          <w:p w14:paraId="3BA306BB" w14:textId="3F28193C" w:rsidR="0091153C" w:rsidRPr="004C12C9" w:rsidRDefault="0091153C" w:rsidP="003739BE">
            <w:pPr>
              <w:pStyle w:val="ICFTabletext"/>
              <w:jc w:val="center"/>
            </w:pPr>
            <w:r w:rsidRPr="004C12C9">
              <w:t>4,401</w:t>
            </w:r>
          </w:p>
        </w:tc>
        <w:tc>
          <w:tcPr>
            <w:tcW w:w="2004" w:type="dxa"/>
          </w:tcPr>
          <w:p w14:paraId="78460C7F" w14:textId="04F53D29" w:rsidR="0091153C" w:rsidRPr="004C12C9" w:rsidRDefault="0091153C" w:rsidP="003739BE">
            <w:pPr>
              <w:pStyle w:val="ICFTabletext"/>
              <w:jc w:val="center"/>
            </w:pPr>
            <w:r w:rsidRPr="004C12C9">
              <w:t>1,988</w:t>
            </w:r>
          </w:p>
        </w:tc>
        <w:tc>
          <w:tcPr>
            <w:tcW w:w="2004" w:type="dxa"/>
          </w:tcPr>
          <w:p w14:paraId="325A58CD" w14:textId="77777777" w:rsidR="0091153C" w:rsidRPr="004C12C9" w:rsidRDefault="0091153C" w:rsidP="003739BE">
            <w:pPr>
              <w:pStyle w:val="ICFTabletext"/>
              <w:jc w:val="center"/>
            </w:pPr>
            <w:r w:rsidRPr="004C12C9">
              <w:t>69%</w:t>
            </w:r>
          </w:p>
        </w:tc>
        <w:tc>
          <w:tcPr>
            <w:tcW w:w="2004" w:type="dxa"/>
          </w:tcPr>
          <w:p w14:paraId="4F0D8345" w14:textId="77777777" w:rsidR="0091153C" w:rsidRPr="004C12C9" w:rsidRDefault="0091153C" w:rsidP="003739BE">
            <w:pPr>
              <w:pStyle w:val="ICFTabletext"/>
              <w:jc w:val="center"/>
            </w:pPr>
            <w:r w:rsidRPr="004C12C9">
              <w:t>31%</w:t>
            </w:r>
          </w:p>
        </w:tc>
      </w:tr>
      <w:tr w:rsidR="0091153C" w:rsidRPr="004C12C9" w14:paraId="5A402116" w14:textId="77777777" w:rsidTr="009D3812">
        <w:trPr>
          <w:trHeight w:val="20"/>
        </w:trPr>
        <w:tc>
          <w:tcPr>
            <w:tcW w:w="2150" w:type="dxa"/>
            <w:noWrap/>
          </w:tcPr>
          <w:p w14:paraId="2A6853F7" w14:textId="77777777" w:rsidR="0091153C" w:rsidRPr="004C12C9" w:rsidRDefault="0091153C" w:rsidP="003739BE">
            <w:pPr>
              <w:pStyle w:val="ICFTabletext"/>
            </w:pPr>
            <w:r w:rsidRPr="004C12C9">
              <w:t xml:space="preserve">Swift </w:t>
            </w:r>
          </w:p>
        </w:tc>
        <w:tc>
          <w:tcPr>
            <w:tcW w:w="2003" w:type="dxa"/>
            <w:noWrap/>
          </w:tcPr>
          <w:p w14:paraId="7F69FC19" w14:textId="35373B6C" w:rsidR="0091153C" w:rsidRPr="004C12C9" w:rsidRDefault="0091153C" w:rsidP="003739BE">
            <w:pPr>
              <w:pStyle w:val="ICFTabletext"/>
              <w:jc w:val="center"/>
            </w:pPr>
            <w:r w:rsidRPr="004C12C9">
              <w:t>7,405</w:t>
            </w:r>
          </w:p>
        </w:tc>
        <w:tc>
          <w:tcPr>
            <w:tcW w:w="2004" w:type="dxa"/>
          </w:tcPr>
          <w:p w14:paraId="1FF95554" w14:textId="593CF2CC" w:rsidR="0091153C" w:rsidRPr="004C12C9" w:rsidRDefault="0091153C" w:rsidP="003739BE">
            <w:pPr>
              <w:pStyle w:val="ICFTabletext"/>
              <w:jc w:val="center"/>
            </w:pPr>
            <w:r w:rsidRPr="004C12C9">
              <w:t>-</w:t>
            </w:r>
          </w:p>
        </w:tc>
        <w:tc>
          <w:tcPr>
            <w:tcW w:w="2004" w:type="dxa"/>
          </w:tcPr>
          <w:p w14:paraId="3B4B2FF0" w14:textId="77777777" w:rsidR="0091153C" w:rsidRPr="004C12C9" w:rsidRDefault="0091153C" w:rsidP="003739BE">
            <w:pPr>
              <w:pStyle w:val="ICFTabletext"/>
              <w:jc w:val="center"/>
            </w:pPr>
            <w:r w:rsidRPr="004C12C9">
              <w:t>100%</w:t>
            </w:r>
          </w:p>
        </w:tc>
        <w:tc>
          <w:tcPr>
            <w:tcW w:w="2004" w:type="dxa"/>
          </w:tcPr>
          <w:p w14:paraId="4E7ADB69" w14:textId="77777777" w:rsidR="0091153C" w:rsidRPr="004C12C9" w:rsidRDefault="0091153C" w:rsidP="003739BE">
            <w:pPr>
              <w:pStyle w:val="ICFTabletext"/>
              <w:jc w:val="center"/>
            </w:pPr>
            <w:r w:rsidRPr="004C12C9">
              <w:t>0%</w:t>
            </w:r>
          </w:p>
        </w:tc>
      </w:tr>
      <w:tr w:rsidR="0091153C" w:rsidRPr="004C12C9" w14:paraId="20D85CD4" w14:textId="77777777" w:rsidTr="009D3812">
        <w:trPr>
          <w:trHeight w:val="20"/>
        </w:trPr>
        <w:tc>
          <w:tcPr>
            <w:tcW w:w="2150" w:type="dxa"/>
            <w:noWrap/>
          </w:tcPr>
          <w:p w14:paraId="69422FF1" w14:textId="77777777" w:rsidR="0091153C" w:rsidRPr="004C12C9" w:rsidRDefault="0091153C" w:rsidP="003739BE">
            <w:pPr>
              <w:pStyle w:val="ICFTabletext"/>
            </w:pPr>
            <w:r w:rsidRPr="004C12C9">
              <w:t xml:space="preserve">Todd </w:t>
            </w:r>
          </w:p>
        </w:tc>
        <w:tc>
          <w:tcPr>
            <w:tcW w:w="2003" w:type="dxa"/>
            <w:noWrap/>
          </w:tcPr>
          <w:p w14:paraId="2B36206C" w14:textId="08B0A4B6" w:rsidR="0091153C" w:rsidRPr="004C12C9" w:rsidRDefault="0091153C" w:rsidP="003739BE">
            <w:pPr>
              <w:pStyle w:val="ICFTabletext"/>
              <w:jc w:val="center"/>
            </w:pPr>
            <w:r w:rsidRPr="004C12C9">
              <w:t>5,879</w:t>
            </w:r>
          </w:p>
        </w:tc>
        <w:tc>
          <w:tcPr>
            <w:tcW w:w="2004" w:type="dxa"/>
          </w:tcPr>
          <w:p w14:paraId="568689FA" w14:textId="01E1F52F" w:rsidR="0091153C" w:rsidRPr="004C12C9" w:rsidRDefault="0091153C" w:rsidP="003739BE">
            <w:pPr>
              <w:pStyle w:val="ICFTabletext"/>
              <w:jc w:val="center"/>
            </w:pPr>
            <w:r w:rsidRPr="004C12C9">
              <w:t>7,105</w:t>
            </w:r>
          </w:p>
        </w:tc>
        <w:tc>
          <w:tcPr>
            <w:tcW w:w="2004" w:type="dxa"/>
          </w:tcPr>
          <w:p w14:paraId="02682540" w14:textId="77777777" w:rsidR="0091153C" w:rsidRPr="004C12C9" w:rsidRDefault="0091153C" w:rsidP="003739BE">
            <w:pPr>
              <w:pStyle w:val="ICFTabletext"/>
              <w:jc w:val="center"/>
            </w:pPr>
            <w:r w:rsidRPr="004C12C9">
              <w:t>45%</w:t>
            </w:r>
          </w:p>
        </w:tc>
        <w:tc>
          <w:tcPr>
            <w:tcW w:w="2004" w:type="dxa"/>
          </w:tcPr>
          <w:p w14:paraId="7069AB2A" w14:textId="77777777" w:rsidR="0091153C" w:rsidRPr="004C12C9" w:rsidRDefault="0091153C" w:rsidP="003739BE">
            <w:pPr>
              <w:pStyle w:val="ICFTabletext"/>
              <w:jc w:val="center"/>
            </w:pPr>
            <w:r w:rsidRPr="004C12C9">
              <w:t>55%</w:t>
            </w:r>
          </w:p>
        </w:tc>
      </w:tr>
      <w:tr w:rsidR="0091153C" w:rsidRPr="004C12C9" w14:paraId="60A4EDEF" w14:textId="77777777" w:rsidTr="009D3812">
        <w:trPr>
          <w:trHeight w:val="20"/>
        </w:trPr>
        <w:tc>
          <w:tcPr>
            <w:tcW w:w="2150" w:type="dxa"/>
            <w:noWrap/>
          </w:tcPr>
          <w:p w14:paraId="276DF115" w14:textId="77777777" w:rsidR="0091153C" w:rsidRPr="004C12C9" w:rsidRDefault="0091153C" w:rsidP="003739BE">
            <w:pPr>
              <w:pStyle w:val="ICFTabletext"/>
            </w:pPr>
            <w:r w:rsidRPr="004C12C9">
              <w:t xml:space="preserve">Traverse </w:t>
            </w:r>
          </w:p>
        </w:tc>
        <w:tc>
          <w:tcPr>
            <w:tcW w:w="2003" w:type="dxa"/>
            <w:noWrap/>
          </w:tcPr>
          <w:p w14:paraId="3FC671B8" w14:textId="779B4C95" w:rsidR="0091153C" w:rsidRPr="004C12C9" w:rsidRDefault="0091153C" w:rsidP="003739BE">
            <w:pPr>
              <w:pStyle w:val="ICFTabletext"/>
              <w:jc w:val="center"/>
            </w:pPr>
            <w:r w:rsidRPr="004C12C9">
              <w:t>1,101</w:t>
            </w:r>
          </w:p>
        </w:tc>
        <w:tc>
          <w:tcPr>
            <w:tcW w:w="2004" w:type="dxa"/>
          </w:tcPr>
          <w:p w14:paraId="3B057770" w14:textId="789A283F" w:rsidR="0091153C" w:rsidRPr="004C12C9" w:rsidRDefault="0091153C" w:rsidP="003739BE">
            <w:pPr>
              <w:pStyle w:val="ICFTabletext"/>
              <w:jc w:val="center"/>
            </w:pPr>
            <w:r w:rsidRPr="004C12C9">
              <w:t>-</w:t>
            </w:r>
          </w:p>
        </w:tc>
        <w:tc>
          <w:tcPr>
            <w:tcW w:w="2004" w:type="dxa"/>
          </w:tcPr>
          <w:p w14:paraId="5BC3C420" w14:textId="77777777" w:rsidR="0091153C" w:rsidRPr="004C12C9" w:rsidRDefault="0091153C" w:rsidP="003739BE">
            <w:pPr>
              <w:pStyle w:val="ICFTabletext"/>
              <w:jc w:val="center"/>
            </w:pPr>
            <w:r w:rsidRPr="004C12C9">
              <w:t>100%</w:t>
            </w:r>
          </w:p>
        </w:tc>
        <w:tc>
          <w:tcPr>
            <w:tcW w:w="2004" w:type="dxa"/>
          </w:tcPr>
          <w:p w14:paraId="0047E18F" w14:textId="77777777" w:rsidR="0091153C" w:rsidRPr="004C12C9" w:rsidRDefault="0091153C" w:rsidP="003739BE">
            <w:pPr>
              <w:pStyle w:val="ICFTabletext"/>
              <w:jc w:val="center"/>
            </w:pPr>
            <w:r w:rsidRPr="004C12C9">
              <w:t>0%</w:t>
            </w:r>
          </w:p>
        </w:tc>
      </w:tr>
      <w:tr w:rsidR="0091153C" w:rsidRPr="004C12C9" w14:paraId="79AF37B5" w14:textId="77777777" w:rsidTr="009D3812">
        <w:trPr>
          <w:trHeight w:val="20"/>
        </w:trPr>
        <w:tc>
          <w:tcPr>
            <w:tcW w:w="2150" w:type="dxa"/>
            <w:noWrap/>
          </w:tcPr>
          <w:p w14:paraId="3248D280" w14:textId="77777777" w:rsidR="0091153C" w:rsidRPr="004C12C9" w:rsidRDefault="0091153C" w:rsidP="003739BE">
            <w:pPr>
              <w:pStyle w:val="ICFTabletext"/>
            </w:pPr>
            <w:r w:rsidRPr="004C12C9">
              <w:t xml:space="preserve">Wabasha </w:t>
            </w:r>
          </w:p>
        </w:tc>
        <w:tc>
          <w:tcPr>
            <w:tcW w:w="2003" w:type="dxa"/>
            <w:noWrap/>
          </w:tcPr>
          <w:p w14:paraId="2EC05736" w14:textId="1FD0D634" w:rsidR="0091153C" w:rsidRPr="004C12C9" w:rsidRDefault="0091153C" w:rsidP="003739BE">
            <w:pPr>
              <w:pStyle w:val="ICFTabletext"/>
              <w:jc w:val="center"/>
            </w:pPr>
            <w:r w:rsidRPr="004C12C9">
              <w:t>2,048</w:t>
            </w:r>
          </w:p>
        </w:tc>
        <w:tc>
          <w:tcPr>
            <w:tcW w:w="2004" w:type="dxa"/>
          </w:tcPr>
          <w:p w14:paraId="23DE7CE0" w14:textId="5447197E" w:rsidR="0091153C" w:rsidRPr="004C12C9" w:rsidRDefault="0091153C" w:rsidP="003739BE">
            <w:pPr>
              <w:pStyle w:val="ICFTabletext"/>
              <w:jc w:val="center"/>
            </w:pPr>
            <w:r w:rsidRPr="004C12C9">
              <w:t>3,915</w:t>
            </w:r>
          </w:p>
        </w:tc>
        <w:tc>
          <w:tcPr>
            <w:tcW w:w="2004" w:type="dxa"/>
          </w:tcPr>
          <w:p w14:paraId="29695114" w14:textId="77777777" w:rsidR="0091153C" w:rsidRPr="004C12C9" w:rsidRDefault="0091153C" w:rsidP="003739BE">
            <w:pPr>
              <w:pStyle w:val="ICFTabletext"/>
              <w:jc w:val="center"/>
            </w:pPr>
            <w:r w:rsidRPr="004C12C9">
              <w:t>34%</w:t>
            </w:r>
          </w:p>
        </w:tc>
        <w:tc>
          <w:tcPr>
            <w:tcW w:w="2004" w:type="dxa"/>
          </w:tcPr>
          <w:p w14:paraId="48582C7B" w14:textId="77777777" w:rsidR="0091153C" w:rsidRPr="004C12C9" w:rsidRDefault="0091153C" w:rsidP="003739BE">
            <w:pPr>
              <w:pStyle w:val="ICFTabletext"/>
              <w:jc w:val="center"/>
            </w:pPr>
            <w:r w:rsidRPr="004C12C9">
              <w:t>66%</w:t>
            </w:r>
          </w:p>
        </w:tc>
      </w:tr>
      <w:tr w:rsidR="0091153C" w:rsidRPr="004C12C9" w14:paraId="2700164A" w14:textId="77777777" w:rsidTr="009D3812">
        <w:trPr>
          <w:trHeight w:val="20"/>
        </w:trPr>
        <w:tc>
          <w:tcPr>
            <w:tcW w:w="2150" w:type="dxa"/>
            <w:noWrap/>
          </w:tcPr>
          <w:p w14:paraId="51F91077" w14:textId="77777777" w:rsidR="0091153C" w:rsidRPr="004C12C9" w:rsidRDefault="0091153C" w:rsidP="003739BE">
            <w:pPr>
              <w:pStyle w:val="ICFTabletext"/>
            </w:pPr>
            <w:r w:rsidRPr="004C12C9">
              <w:t xml:space="preserve">Wadena </w:t>
            </w:r>
          </w:p>
        </w:tc>
        <w:tc>
          <w:tcPr>
            <w:tcW w:w="2003" w:type="dxa"/>
            <w:noWrap/>
          </w:tcPr>
          <w:p w14:paraId="5AF98CDB" w14:textId="7ED124E1" w:rsidR="0091153C" w:rsidRPr="004C12C9" w:rsidRDefault="0091153C" w:rsidP="003739BE">
            <w:pPr>
              <w:pStyle w:val="ICFTabletext"/>
              <w:jc w:val="center"/>
            </w:pPr>
            <w:r w:rsidRPr="004C12C9">
              <w:t>1,421</w:t>
            </w:r>
          </w:p>
        </w:tc>
        <w:tc>
          <w:tcPr>
            <w:tcW w:w="2004" w:type="dxa"/>
          </w:tcPr>
          <w:p w14:paraId="329D8F6B" w14:textId="4172BEFC" w:rsidR="0091153C" w:rsidRPr="004C12C9" w:rsidRDefault="0091153C" w:rsidP="003739BE">
            <w:pPr>
              <w:pStyle w:val="ICFTabletext"/>
              <w:jc w:val="center"/>
            </w:pPr>
            <w:r w:rsidRPr="004C12C9">
              <w:t>4,910</w:t>
            </w:r>
          </w:p>
        </w:tc>
        <w:tc>
          <w:tcPr>
            <w:tcW w:w="2004" w:type="dxa"/>
          </w:tcPr>
          <w:p w14:paraId="6193B7E3" w14:textId="77777777" w:rsidR="0091153C" w:rsidRPr="004C12C9" w:rsidRDefault="0091153C" w:rsidP="003739BE">
            <w:pPr>
              <w:pStyle w:val="ICFTabletext"/>
              <w:jc w:val="center"/>
            </w:pPr>
            <w:r w:rsidRPr="004C12C9">
              <w:t>22%</w:t>
            </w:r>
          </w:p>
        </w:tc>
        <w:tc>
          <w:tcPr>
            <w:tcW w:w="2004" w:type="dxa"/>
          </w:tcPr>
          <w:p w14:paraId="7B026C42" w14:textId="77777777" w:rsidR="0091153C" w:rsidRPr="004C12C9" w:rsidRDefault="0091153C" w:rsidP="003739BE">
            <w:pPr>
              <w:pStyle w:val="ICFTabletext"/>
              <w:jc w:val="center"/>
            </w:pPr>
            <w:r w:rsidRPr="004C12C9">
              <w:t>78%</w:t>
            </w:r>
          </w:p>
        </w:tc>
      </w:tr>
      <w:tr w:rsidR="0091153C" w:rsidRPr="004C12C9" w14:paraId="4694BB41" w14:textId="77777777" w:rsidTr="009D3812">
        <w:trPr>
          <w:trHeight w:val="20"/>
        </w:trPr>
        <w:tc>
          <w:tcPr>
            <w:tcW w:w="2150" w:type="dxa"/>
            <w:noWrap/>
          </w:tcPr>
          <w:p w14:paraId="4963E787" w14:textId="77777777" w:rsidR="0091153C" w:rsidRPr="004C12C9" w:rsidRDefault="0091153C" w:rsidP="003739BE">
            <w:pPr>
              <w:pStyle w:val="ICFTabletext"/>
            </w:pPr>
            <w:r w:rsidRPr="004C12C9">
              <w:t xml:space="preserve">Waseca </w:t>
            </w:r>
          </w:p>
        </w:tc>
        <w:tc>
          <w:tcPr>
            <w:tcW w:w="2003" w:type="dxa"/>
            <w:noWrap/>
          </w:tcPr>
          <w:p w14:paraId="18B60D4C" w14:textId="58AE9B37" w:rsidR="0091153C" w:rsidRPr="004C12C9" w:rsidRDefault="0091153C" w:rsidP="003739BE">
            <w:pPr>
              <w:pStyle w:val="ICFTabletext"/>
              <w:jc w:val="center"/>
            </w:pPr>
            <w:r w:rsidRPr="004C12C9">
              <w:t>4,505</w:t>
            </w:r>
          </w:p>
        </w:tc>
        <w:tc>
          <w:tcPr>
            <w:tcW w:w="2004" w:type="dxa"/>
          </w:tcPr>
          <w:p w14:paraId="1B28DBA0" w14:textId="45F687B9" w:rsidR="0091153C" w:rsidRPr="004C12C9" w:rsidRDefault="0091153C" w:rsidP="003739BE">
            <w:pPr>
              <w:pStyle w:val="ICFTabletext"/>
              <w:jc w:val="center"/>
            </w:pPr>
            <w:r w:rsidRPr="004C12C9">
              <w:t>-</w:t>
            </w:r>
          </w:p>
        </w:tc>
        <w:tc>
          <w:tcPr>
            <w:tcW w:w="2004" w:type="dxa"/>
          </w:tcPr>
          <w:p w14:paraId="097E59C0" w14:textId="77777777" w:rsidR="0091153C" w:rsidRPr="004C12C9" w:rsidRDefault="0091153C" w:rsidP="003739BE">
            <w:pPr>
              <w:pStyle w:val="ICFTabletext"/>
              <w:jc w:val="center"/>
            </w:pPr>
            <w:r w:rsidRPr="004C12C9">
              <w:t>100%</w:t>
            </w:r>
          </w:p>
        </w:tc>
        <w:tc>
          <w:tcPr>
            <w:tcW w:w="2004" w:type="dxa"/>
          </w:tcPr>
          <w:p w14:paraId="4F45DF4F" w14:textId="77777777" w:rsidR="0091153C" w:rsidRPr="004C12C9" w:rsidRDefault="0091153C" w:rsidP="003739BE">
            <w:pPr>
              <w:pStyle w:val="ICFTabletext"/>
              <w:jc w:val="center"/>
            </w:pPr>
            <w:r w:rsidRPr="004C12C9">
              <w:t>0%</w:t>
            </w:r>
          </w:p>
        </w:tc>
      </w:tr>
      <w:tr w:rsidR="0091153C" w:rsidRPr="004C12C9" w14:paraId="264400A2" w14:textId="77777777" w:rsidTr="009D3812">
        <w:trPr>
          <w:trHeight w:val="20"/>
        </w:trPr>
        <w:tc>
          <w:tcPr>
            <w:tcW w:w="2150" w:type="dxa"/>
            <w:noWrap/>
          </w:tcPr>
          <w:p w14:paraId="52E0997C" w14:textId="77777777" w:rsidR="0091153C" w:rsidRPr="004C12C9" w:rsidRDefault="0091153C" w:rsidP="003739BE">
            <w:pPr>
              <w:pStyle w:val="ICFTabletext"/>
            </w:pPr>
            <w:r w:rsidRPr="004C12C9">
              <w:t xml:space="preserve">Washington </w:t>
            </w:r>
          </w:p>
        </w:tc>
        <w:tc>
          <w:tcPr>
            <w:tcW w:w="2003" w:type="dxa"/>
            <w:noWrap/>
          </w:tcPr>
          <w:p w14:paraId="0D6D00F8" w14:textId="27632956" w:rsidR="0091153C" w:rsidRPr="004C12C9" w:rsidRDefault="0091153C" w:rsidP="003739BE">
            <w:pPr>
              <w:pStyle w:val="ICFTabletext"/>
              <w:jc w:val="center"/>
            </w:pPr>
            <w:r w:rsidRPr="004C12C9">
              <w:t>25,479</w:t>
            </w:r>
          </w:p>
        </w:tc>
        <w:tc>
          <w:tcPr>
            <w:tcW w:w="2004" w:type="dxa"/>
          </w:tcPr>
          <w:p w14:paraId="29CAD22F" w14:textId="7B19D985" w:rsidR="0091153C" w:rsidRPr="004C12C9" w:rsidRDefault="0091153C" w:rsidP="003739BE">
            <w:pPr>
              <w:pStyle w:val="ICFTabletext"/>
              <w:jc w:val="center"/>
            </w:pPr>
            <w:r w:rsidRPr="004C12C9">
              <w:t>97,332</w:t>
            </w:r>
          </w:p>
        </w:tc>
        <w:tc>
          <w:tcPr>
            <w:tcW w:w="2004" w:type="dxa"/>
          </w:tcPr>
          <w:p w14:paraId="64EE0F5E" w14:textId="77777777" w:rsidR="0091153C" w:rsidRPr="004C12C9" w:rsidRDefault="0091153C" w:rsidP="003739BE">
            <w:pPr>
              <w:pStyle w:val="ICFTabletext"/>
              <w:jc w:val="center"/>
            </w:pPr>
            <w:r w:rsidRPr="004C12C9">
              <w:t>21%</w:t>
            </w:r>
          </w:p>
        </w:tc>
        <w:tc>
          <w:tcPr>
            <w:tcW w:w="2004" w:type="dxa"/>
          </w:tcPr>
          <w:p w14:paraId="1BD06F21" w14:textId="77777777" w:rsidR="0091153C" w:rsidRPr="004C12C9" w:rsidRDefault="0091153C" w:rsidP="003739BE">
            <w:pPr>
              <w:pStyle w:val="ICFTabletext"/>
              <w:jc w:val="center"/>
            </w:pPr>
            <w:r w:rsidRPr="004C12C9">
              <w:t>79%</w:t>
            </w:r>
          </w:p>
        </w:tc>
      </w:tr>
      <w:tr w:rsidR="0091153C" w:rsidRPr="004C12C9" w14:paraId="73FFCCC6" w14:textId="77777777" w:rsidTr="009D3812">
        <w:trPr>
          <w:trHeight w:val="20"/>
        </w:trPr>
        <w:tc>
          <w:tcPr>
            <w:tcW w:w="2150" w:type="dxa"/>
            <w:noWrap/>
          </w:tcPr>
          <w:p w14:paraId="19D910CF" w14:textId="77777777" w:rsidR="0091153C" w:rsidRPr="004C12C9" w:rsidRDefault="0091153C" w:rsidP="003739BE">
            <w:pPr>
              <w:pStyle w:val="ICFTabletext"/>
            </w:pPr>
            <w:r w:rsidRPr="004C12C9">
              <w:t xml:space="preserve">Watonwan </w:t>
            </w:r>
          </w:p>
        </w:tc>
        <w:tc>
          <w:tcPr>
            <w:tcW w:w="2003" w:type="dxa"/>
            <w:noWrap/>
          </w:tcPr>
          <w:p w14:paraId="37669364" w14:textId="79735F19" w:rsidR="0091153C" w:rsidRPr="004C12C9" w:rsidRDefault="0091153C" w:rsidP="003739BE">
            <w:pPr>
              <w:pStyle w:val="ICFTabletext"/>
              <w:jc w:val="center"/>
            </w:pPr>
            <w:r w:rsidRPr="004C12C9">
              <w:t>6,543</w:t>
            </w:r>
          </w:p>
        </w:tc>
        <w:tc>
          <w:tcPr>
            <w:tcW w:w="2004" w:type="dxa"/>
          </w:tcPr>
          <w:p w14:paraId="75313406" w14:textId="53A1FA79" w:rsidR="0091153C" w:rsidRPr="004C12C9" w:rsidRDefault="0091153C" w:rsidP="003739BE">
            <w:pPr>
              <w:pStyle w:val="ICFTabletext"/>
              <w:jc w:val="center"/>
            </w:pPr>
            <w:r w:rsidRPr="004C12C9">
              <w:t>-</w:t>
            </w:r>
          </w:p>
        </w:tc>
        <w:tc>
          <w:tcPr>
            <w:tcW w:w="2004" w:type="dxa"/>
          </w:tcPr>
          <w:p w14:paraId="7BA5BC11" w14:textId="77777777" w:rsidR="0091153C" w:rsidRPr="004C12C9" w:rsidRDefault="0091153C" w:rsidP="003739BE">
            <w:pPr>
              <w:pStyle w:val="ICFTabletext"/>
              <w:jc w:val="center"/>
            </w:pPr>
            <w:r w:rsidRPr="004C12C9">
              <w:t>100%</w:t>
            </w:r>
          </w:p>
        </w:tc>
        <w:tc>
          <w:tcPr>
            <w:tcW w:w="2004" w:type="dxa"/>
          </w:tcPr>
          <w:p w14:paraId="202CDBFA" w14:textId="77777777" w:rsidR="0091153C" w:rsidRPr="004C12C9" w:rsidRDefault="0091153C" w:rsidP="003739BE">
            <w:pPr>
              <w:pStyle w:val="ICFTabletext"/>
              <w:jc w:val="center"/>
            </w:pPr>
            <w:r w:rsidRPr="004C12C9">
              <w:t>0%</w:t>
            </w:r>
          </w:p>
        </w:tc>
      </w:tr>
      <w:tr w:rsidR="0091153C" w:rsidRPr="004C12C9" w14:paraId="05B78B59" w14:textId="77777777" w:rsidTr="009D3812">
        <w:trPr>
          <w:trHeight w:val="20"/>
        </w:trPr>
        <w:tc>
          <w:tcPr>
            <w:tcW w:w="2150" w:type="dxa"/>
            <w:noWrap/>
          </w:tcPr>
          <w:p w14:paraId="375FC8A8" w14:textId="77777777" w:rsidR="0091153C" w:rsidRPr="004C12C9" w:rsidRDefault="0091153C" w:rsidP="003739BE">
            <w:pPr>
              <w:pStyle w:val="ICFTabletext"/>
            </w:pPr>
            <w:r w:rsidRPr="004C12C9">
              <w:t xml:space="preserve">Wilkin </w:t>
            </w:r>
          </w:p>
        </w:tc>
        <w:tc>
          <w:tcPr>
            <w:tcW w:w="2003" w:type="dxa"/>
            <w:noWrap/>
          </w:tcPr>
          <w:p w14:paraId="70A1B144" w14:textId="569E6390" w:rsidR="0091153C" w:rsidRPr="004C12C9" w:rsidRDefault="0091153C" w:rsidP="003739BE">
            <w:pPr>
              <w:pStyle w:val="ICFTabletext"/>
              <w:jc w:val="center"/>
            </w:pPr>
            <w:r w:rsidRPr="004C12C9">
              <w:t>2,464</w:t>
            </w:r>
          </w:p>
        </w:tc>
        <w:tc>
          <w:tcPr>
            <w:tcW w:w="2004" w:type="dxa"/>
          </w:tcPr>
          <w:p w14:paraId="061A6E8D" w14:textId="6197B81F" w:rsidR="0091153C" w:rsidRPr="004C12C9" w:rsidRDefault="0091153C" w:rsidP="003739BE">
            <w:pPr>
              <w:pStyle w:val="ICFTabletext"/>
              <w:jc w:val="center"/>
            </w:pPr>
            <w:r w:rsidRPr="004C12C9">
              <w:t>-</w:t>
            </w:r>
          </w:p>
        </w:tc>
        <w:tc>
          <w:tcPr>
            <w:tcW w:w="2004" w:type="dxa"/>
          </w:tcPr>
          <w:p w14:paraId="3F0FB99D" w14:textId="77777777" w:rsidR="0091153C" w:rsidRPr="004C12C9" w:rsidRDefault="0091153C" w:rsidP="003739BE">
            <w:pPr>
              <w:pStyle w:val="ICFTabletext"/>
              <w:jc w:val="center"/>
            </w:pPr>
            <w:r w:rsidRPr="004C12C9">
              <w:t>100%</w:t>
            </w:r>
          </w:p>
        </w:tc>
        <w:tc>
          <w:tcPr>
            <w:tcW w:w="2004" w:type="dxa"/>
          </w:tcPr>
          <w:p w14:paraId="5950A42F" w14:textId="77777777" w:rsidR="0091153C" w:rsidRPr="004C12C9" w:rsidRDefault="0091153C" w:rsidP="003739BE">
            <w:pPr>
              <w:pStyle w:val="ICFTabletext"/>
              <w:jc w:val="center"/>
            </w:pPr>
            <w:r w:rsidRPr="004C12C9">
              <w:t>0%</w:t>
            </w:r>
          </w:p>
        </w:tc>
      </w:tr>
      <w:tr w:rsidR="0091153C" w:rsidRPr="004C12C9" w14:paraId="5FCAED5F" w14:textId="77777777" w:rsidTr="009D3812">
        <w:trPr>
          <w:trHeight w:val="20"/>
        </w:trPr>
        <w:tc>
          <w:tcPr>
            <w:tcW w:w="2150" w:type="dxa"/>
            <w:noWrap/>
          </w:tcPr>
          <w:p w14:paraId="6D699ADD" w14:textId="77777777" w:rsidR="0091153C" w:rsidRPr="004C12C9" w:rsidRDefault="0091153C" w:rsidP="003739BE">
            <w:pPr>
              <w:pStyle w:val="ICFTabletext"/>
            </w:pPr>
            <w:r w:rsidRPr="004C12C9">
              <w:t xml:space="preserve">Winona </w:t>
            </w:r>
          </w:p>
        </w:tc>
        <w:tc>
          <w:tcPr>
            <w:tcW w:w="2003" w:type="dxa"/>
            <w:noWrap/>
          </w:tcPr>
          <w:p w14:paraId="0766FFB5" w14:textId="7873419E" w:rsidR="0091153C" w:rsidRPr="004C12C9" w:rsidRDefault="0091153C" w:rsidP="003739BE">
            <w:pPr>
              <w:pStyle w:val="ICFTabletext"/>
              <w:jc w:val="center"/>
            </w:pPr>
            <w:r w:rsidRPr="004C12C9">
              <w:t>20,390</w:t>
            </w:r>
          </w:p>
        </w:tc>
        <w:tc>
          <w:tcPr>
            <w:tcW w:w="2004" w:type="dxa"/>
          </w:tcPr>
          <w:p w14:paraId="156C7A21" w14:textId="0FEDBB26" w:rsidR="0091153C" w:rsidRPr="004C12C9" w:rsidRDefault="0091153C" w:rsidP="003739BE">
            <w:pPr>
              <w:pStyle w:val="ICFTabletext"/>
              <w:jc w:val="center"/>
            </w:pPr>
            <w:r w:rsidRPr="004C12C9">
              <w:t>1,949</w:t>
            </w:r>
          </w:p>
        </w:tc>
        <w:tc>
          <w:tcPr>
            <w:tcW w:w="2004" w:type="dxa"/>
          </w:tcPr>
          <w:p w14:paraId="7D960061" w14:textId="77777777" w:rsidR="0091153C" w:rsidRPr="004C12C9" w:rsidRDefault="0091153C" w:rsidP="003739BE">
            <w:pPr>
              <w:pStyle w:val="ICFTabletext"/>
              <w:jc w:val="center"/>
            </w:pPr>
            <w:r w:rsidRPr="004C12C9">
              <w:t>91%</w:t>
            </w:r>
          </w:p>
        </w:tc>
        <w:tc>
          <w:tcPr>
            <w:tcW w:w="2004" w:type="dxa"/>
          </w:tcPr>
          <w:p w14:paraId="7E997282" w14:textId="77777777" w:rsidR="0091153C" w:rsidRPr="004C12C9" w:rsidRDefault="0091153C" w:rsidP="003739BE">
            <w:pPr>
              <w:pStyle w:val="ICFTabletext"/>
              <w:jc w:val="center"/>
            </w:pPr>
            <w:r w:rsidRPr="004C12C9">
              <w:t>9%</w:t>
            </w:r>
          </w:p>
        </w:tc>
      </w:tr>
      <w:tr w:rsidR="0091153C" w:rsidRPr="004C12C9" w14:paraId="7A30A357" w14:textId="77777777" w:rsidTr="009D3812">
        <w:trPr>
          <w:trHeight w:val="20"/>
        </w:trPr>
        <w:tc>
          <w:tcPr>
            <w:tcW w:w="2150" w:type="dxa"/>
            <w:noWrap/>
          </w:tcPr>
          <w:p w14:paraId="07013101" w14:textId="77777777" w:rsidR="0091153C" w:rsidRPr="004C12C9" w:rsidRDefault="0091153C" w:rsidP="003739BE">
            <w:pPr>
              <w:pStyle w:val="ICFTabletext"/>
            </w:pPr>
            <w:r w:rsidRPr="004C12C9">
              <w:t>WLSSD</w:t>
            </w:r>
          </w:p>
        </w:tc>
        <w:tc>
          <w:tcPr>
            <w:tcW w:w="2003" w:type="dxa"/>
            <w:noWrap/>
          </w:tcPr>
          <w:p w14:paraId="53C19E85" w14:textId="36B191DD" w:rsidR="0091153C" w:rsidRPr="004C12C9" w:rsidRDefault="0091153C" w:rsidP="003739BE">
            <w:pPr>
              <w:pStyle w:val="ICFTabletext"/>
              <w:jc w:val="center"/>
            </w:pPr>
            <w:r w:rsidRPr="004C12C9">
              <w:t>56,314</w:t>
            </w:r>
          </w:p>
        </w:tc>
        <w:tc>
          <w:tcPr>
            <w:tcW w:w="2004" w:type="dxa"/>
          </w:tcPr>
          <w:p w14:paraId="45EB4622" w14:textId="0285F6E9" w:rsidR="0091153C" w:rsidRPr="004C12C9" w:rsidRDefault="0091153C" w:rsidP="003739BE">
            <w:pPr>
              <w:pStyle w:val="ICFTabletext"/>
              <w:jc w:val="center"/>
            </w:pPr>
            <w:r w:rsidRPr="004C12C9">
              <w:t>-</w:t>
            </w:r>
          </w:p>
        </w:tc>
        <w:tc>
          <w:tcPr>
            <w:tcW w:w="2004" w:type="dxa"/>
          </w:tcPr>
          <w:p w14:paraId="6DEE5CD1" w14:textId="77777777" w:rsidR="0091153C" w:rsidRPr="004C12C9" w:rsidRDefault="0091153C" w:rsidP="003739BE">
            <w:pPr>
              <w:pStyle w:val="ICFTabletext"/>
              <w:jc w:val="center"/>
            </w:pPr>
            <w:r w:rsidRPr="004C12C9">
              <w:t>100%</w:t>
            </w:r>
          </w:p>
        </w:tc>
        <w:tc>
          <w:tcPr>
            <w:tcW w:w="2004" w:type="dxa"/>
          </w:tcPr>
          <w:p w14:paraId="6C6BAF4A" w14:textId="77777777" w:rsidR="0091153C" w:rsidRPr="004C12C9" w:rsidRDefault="0091153C" w:rsidP="003739BE">
            <w:pPr>
              <w:pStyle w:val="ICFTabletext"/>
              <w:jc w:val="center"/>
            </w:pPr>
            <w:r w:rsidRPr="004C12C9">
              <w:t>0%</w:t>
            </w:r>
          </w:p>
        </w:tc>
      </w:tr>
      <w:tr w:rsidR="0091153C" w:rsidRPr="004C12C9" w14:paraId="13EF10EC" w14:textId="77777777" w:rsidTr="009D3812">
        <w:trPr>
          <w:trHeight w:val="20"/>
        </w:trPr>
        <w:tc>
          <w:tcPr>
            <w:tcW w:w="2150" w:type="dxa"/>
            <w:noWrap/>
          </w:tcPr>
          <w:p w14:paraId="36F72B61" w14:textId="77777777" w:rsidR="0091153C" w:rsidRPr="004C12C9" w:rsidRDefault="0091153C" w:rsidP="003739BE">
            <w:pPr>
              <w:pStyle w:val="ICFTabletext"/>
            </w:pPr>
            <w:r w:rsidRPr="004C12C9">
              <w:t xml:space="preserve">Wright </w:t>
            </w:r>
          </w:p>
        </w:tc>
        <w:tc>
          <w:tcPr>
            <w:tcW w:w="2003" w:type="dxa"/>
            <w:noWrap/>
          </w:tcPr>
          <w:p w14:paraId="4347FBEF" w14:textId="7700158E" w:rsidR="0091153C" w:rsidRPr="004C12C9" w:rsidRDefault="0091153C" w:rsidP="003739BE">
            <w:pPr>
              <w:pStyle w:val="ICFTabletext"/>
              <w:jc w:val="center"/>
            </w:pPr>
            <w:r w:rsidRPr="004C12C9">
              <w:t>91,149</w:t>
            </w:r>
          </w:p>
        </w:tc>
        <w:tc>
          <w:tcPr>
            <w:tcW w:w="2004" w:type="dxa"/>
          </w:tcPr>
          <w:p w14:paraId="3B98D58B" w14:textId="370DBB4E" w:rsidR="0091153C" w:rsidRPr="004C12C9" w:rsidRDefault="0091153C" w:rsidP="003739BE">
            <w:pPr>
              <w:pStyle w:val="ICFTabletext"/>
              <w:jc w:val="center"/>
            </w:pPr>
            <w:r w:rsidRPr="004C12C9">
              <w:t>-</w:t>
            </w:r>
          </w:p>
        </w:tc>
        <w:tc>
          <w:tcPr>
            <w:tcW w:w="2004" w:type="dxa"/>
          </w:tcPr>
          <w:p w14:paraId="7145078A" w14:textId="77777777" w:rsidR="0091153C" w:rsidRPr="004C12C9" w:rsidRDefault="0091153C" w:rsidP="003739BE">
            <w:pPr>
              <w:pStyle w:val="ICFTabletext"/>
              <w:jc w:val="center"/>
            </w:pPr>
            <w:r w:rsidRPr="004C12C9">
              <w:t>100%</w:t>
            </w:r>
          </w:p>
        </w:tc>
        <w:tc>
          <w:tcPr>
            <w:tcW w:w="2004" w:type="dxa"/>
          </w:tcPr>
          <w:p w14:paraId="003F355E" w14:textId="77777777" w:rsidR="0091153C" w:rsidRPr="004C12C9" w:rsidRDefault="0091153C" w:rsidP="003739BE">
            <w:pPr>
              <w:pStyle w:val="ICFTabletext"/>
              <w:jc w:val="center"/>
            </w:pPr>
            <w:r w:rsidRPr="004C12C9">
              <w:t>0%</w:t>
            </w:r>
          </w:p>
        </w:tc>
      </w:tr>
      <w:tr w:rsidR="0091153C" w:rsidRPr="004C12C9" w14:paraId="168883FA" w14:textId="77777777" w:rsidTr="009D3812">
        <w:trPr>
          <w:trHeight w:val="20"/>
        </w:trPr>
        <w:tc>
          <w:tcPr>
            <w:tcW w:w="2150" w:type="dxa"/>
            <w:noWrap/>
          </w:tcPr>
          <w:p w14:paraId="5568E2EF" w14:textId="77777777" w:rsidR="0091153C" w:rsidRPr="004C12C9" w:rsidRDefault="0091153C" w:rsidP="003739BE">
            <w:pPr>
              <w:pStyle w:val="ICFTabletext"/>
            </w:pPr>
            <w:r w:rsidRPr="004C12C9">
              <w:lastRenderedPageBreak/>
              <w:t xml:space="preserve">Yellow Medicine </w:t>
            </w:r>
          </w:p>
        </w:tc>
        <w:tc>
          <w:tcPr>
            <w:tcW w:w="2003" w:type="dxa"/>
            <w:noWrap/>
          </w:tcPr>
          <w:p w14:paraId="33D6D1AF" w14:textId="7895AD6C" w:rsidR="0091153C" w:rsidRPr="004C12C9" w:rsidRDefault="0091153C" w:rsidP="003739BE">
            <w:pPr>
              <w:pStyle w:val="ICFTabletext"/>
              <w:jc w:val="center"/>
            </w:pPr>
            <w:r w:rsidRPr="004C12C9">
              <w:t>4,719</w:t>
            </w:r>
          </w:p>
        </w:tc>
        <w:tc>
          <w:tcPr>
            <w:tcW w:w="2004" w:type="dxa"/>
          </w:tcPr>
          <w:p w14:paraId="5336F0FA" w14:textId="0AC4644E" w:rsidR="0091153C" w:rsidRPr="004C12C9" w:rsidRDefault="0091153C" w:rsidP="003739BE">
            <w:pPr>
              <w:pStyle w:val="ICFTabletext"/>
              <w:jc w:val="center"/>
            </w:pPr>
            <w:r w:rsidRPr="004C12C9">
              <w:t>-</w:t>
            </w:r>
          </w:p>
        </w:tc>
        <w:tc>
          <w:tcPr>
            <w:tcW w:w="2004" w:type="dxa"/>
          </w:tcPr>
          <w:p w14:paraId="7DC78ED1" w14:textId="77777777" w:rsidR="0091153C" w:rsidRPr="004C12C9" w:rsidRDefault="0091153C" w:rsidP="003739BE">
            <w:pPr>
              <w:pStyle w:val="ICFTabletext"/>
              <w:jc w:val="center"/>
            </w:pPr>
            <w:r w:rsidRPr="004C12C9">
              <w:t>100%</w:t>
            </w:r>
          </w:p>
        </w:tc>
        <w:tc>
          <w:tcPr>
            <w:tcW w:w="2004" w:type="dxa"/>
          </w:tcPr>
          <w:p w14:paraId="6BBEEC9F" w14:textId="77777777" w:rsidR="0091153C" w:rsidRPr="004C12C9" w:rsidRDefault="0091153C" w:rsidP="003739BE">
            <w:pPr>
              <w:pStyle w:val="ICFTabletext"/>
              <w:jc w:val="center"/>
            </w:pPr>
            <w:r w:rsidRPr="004C12C9">
              <w:t>0%</w:t>
            </w:r>
          </w:p>
        </w:tc>
      </w:tr>
    </w:tbl>
    <w:p w14:paraId="3374820A" w14:textId="77777777" w:rsidR="00B91BF4" w:rsidRPr="004C12C9" w:rsidRDefault="00B91BF4" w:rsidP="00E31E37">
      <w:pPr>
        <w:pStyle w:val="Heading4"/>
      </w:pPr>
      <w:r w:rsidRPr="004C12C9">
        <w:t>Emission Factors</w:t>
      </w:r>
    </w:p>
    <w:p w14:paraId="66F67483" w14:textId="613398D4" w:rsidR="00132A71" w:rsidRPr="004C12C9" w:rsidRDefault="00132A71" w:rsidP="00972CF9">
      <w:r w:rsidRPr="004C12C9">
        <w:t xml:space="preserve">Emission factors associated with different treatment practices were acquired from EPA’s </w:t>
      </w:r>
      <w:r w:rsidR="002D51AE" w:rsidRPr="004C12C9">
        <w:t xml:space="preserve">GHG </w:t>
      </w:r>
      <w:r w:rsidRPr="004C12C9">
        <w:t>Emission Factors Hub</w:t>
      </w:r>
      <w:r w:rsidR="0023196C" w:rsidRPr="004C12C9">
        <w:t xml:space="preserve"> and are shown in</w:t>
      </w:r>
      <w:r w:rsidR="00D17BDA">
        <w:t xml:space="preserve"> </w:t>
      </w:r>
      <w:r w:rsidR="00D17BDA">
        <w:fldChar w:fldCharType="begin"/>
      </w:r>
      <w:r w:rsidR="00D17BDA">
        <w:instrText xml:space="preserve"> REF _Ref219842009 \h </w:instrText>
      </w:r>
      <w:r w:rsidR="00D17BDA">
        <w:fldChar w:fldCharType="separate"/>
      </w:r>
      <w:r w:rsidR="00D17BDA" w:rsidRPr="004C12C9">
        <w:t xml:space="preserve">Table </w:t>
      </w:r>
      <w:r w:rsidR="00D17BDA">
        <w:rPr>
          <w:noProof/>
        </w:rPr>
        <w:t>3</w:t>
      </w:r>
      <w:r w:rsidR="00D17BDA">
        <w:noBreakHyphen/>
      </w:r>
      <w:r w:rsidR="00D17BDA">
        <w:rPr>
          <w:noProof/>
        </w:rPr>
        <w:t>30</w:t>
      </w:r>
      <w:r w:rsidR="00D17BDA">
        <w:fldChar w:fldCharType="end"/>
      </w:r>
      <w:r w:rsidRPr="004C12C9">
        <w:t>.</w:t>
      </w:r>
      <w:r w:rsidRPr="004C12C9">
        <w:rPr>
          <w:rStyle w:val="FootnoteReference"/>
        </w:rPr>
        <w:footnoteReference w:id="122"/>
      </w:r>
      <w:r w:rsidRPr="004C12C9">
        <w:t xml:space="preserve"> These emission factors include emissions from the decomposition and combustion of waste as well as the transportation of waste to the waste treatment facility</w:t>
      </w:r>
      <w:r w:rsidR="002D51AE" w:rsidRPr="004C12C9">
        <w:t>.</w:t>
      </w:r>
      <w:r w:rsidR="002D51AE" w:rsidRPr="004C12C9">
        <w:rPr>
          <w:rStyle w:val="FootnoteReference"/>
        </w:rPr>
        <w:footnoteReference w:id="123"/>
      </w:r>
    </w:p>
    <w:p w14:paraId="17E0A99F" w14:textId="4F6922A4" w:rsidR="00132A71" w:rsidRPr="004C12C9" w:rsidRDefault="00132A71" w:rsidP="00972CF9">
      <w:pPr>
        <w:pStyle w:val="Caption"/>
      </w:pPr>
      <w:bookmarkStart w:id="228" w:name="_Ref219842009"/>
      <w:bookmarkStart w:id="229" w:name="_Ref195609227"/>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30</w:t>
      </w:r>
      <w:r w:rsidR="00F72B41">
        <w:fldChar w:fldCharType="end"/>
      </w:r>
      <w:bookmarkEnd w:id="228"/>
      <w:bookmarkEnd w:id="229"/>
      <w:r w:rsidR="00D8199B" w:rsidRPr="004C12C9">
        <w:t>.</w:t>
      </w:r>
      <w:r w:rsidRPr="004C12C9">
        <w:t xml:space="preserve"> Emission factors by </w:t>
      </w:r>
      <w:r w:rsidR="00D8199B" w:rsidRPr="004C12C9">
        <w:t>T</w:t>
      </w:r>
      <w:r w:rsidRPr="004C12C9">
        <w:t xml:space="preserve">reatment </w:t>
      </w:r>
      <w:r w:rsidR="00D8199B" w:rsidRPr="004C12C9">
        <w:t>P</w:t>
      </w:r>
      <w:r w:rsidRPr="004C12C9">
        <w:t>ractice</w:t>
      </w:r>
    </w:p>
    <w:tbl>
      <w:tblPr>
        <w:tblW w:w="66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0"/>
        <w:gridCol w:w="4055"/>
      </w:tblGrid>
      <w:tr w:rsidR="00132A71" w:rsidRPr="004C12C9" w14:paraId="2E7BE11E" w14:textId="77777777" w:rsidTr="00E8226A">
        <w:trPr>
          <w:trHeight w:val="300"/>
        </w:trPr>
        <w:tc>
          <w:tcPr>
            <w:tcW w:w="2600" w:type="dxa"/>
            <w:shd w:val="clear" w:color="auto" w:fill="D9D9D9" w:themeFill="background1" w:themeFillShade="D9"/>
            <w:noWrap/>
            <w:vAlign w:val="center"/>
            <w:hideMark/>
          </w:tcPr>
          <w:p w14:paraId="20D7FF0C" w14:textId="77777777" w:rsidR="00132A71" w:rsidRPr="004C12C9" w:rsidRDefault="00132A71" w:rsidP="006D145D">
            <w:pPr>
              <w:pStyle w:val="ICFTableHeading"/>
              <w:rPr>
                <w:b w:val="0"/>
                <w:color w:val="FFFFFF" w:themeColor="background1"/>
                <w:sz w:val="20"/>
              </w:rPr>
            </w:pPr>
            <w:r w:rsidRPr="004C12C9">
              <w:t>Treatment Practice</w:t>
            </w:r>
          </w:p>
        </w:tc>
        <w:tc>
          <w:tcPr>
            <w:tcW w:w="4055" w:type="dxa"/>
            <w:shd w:val="clear" w:color="auto" w:fill="D9D9D9" w:themeFill="background1" w:themeFillShade="D9"/>
            <w:vAlign w:val="center"/>
            <w:hideMark/>
          </w:tcPr>
          <w:p w14:paraId="1A52E454" w14:textId="05C8DCF2" w:rsidR="00132A71" w:rsidRPr="004C12C9" w:rsidRDefault="00132A71" w:rsidP="006D145D">
            <w:pPr>
              <w:pStyle w:val="ICFTableHeading"/>
              <w:rPr>
                <w:b w:val="0"/>
                <w:color w:val="FFFFFF" w:themeColor="background1"/>
                <w:sz w:val="20"/>
              </w:rPr>
            </w:pPr>
            <w:r w:rsidRPr="004C12C9">
              <w:t>Emission Factor (MTCO</w:t>
            </w:r>
            <w:r w:rsidRPr="004C12C9">
              <w:rPr>
                <w:vertAlign w:val="subscript"/>
              </w:rPr>
              <w:t>2</w:t>
            </w:r>
            <w:r w:rsidRPr="004C12C9">
              <w:t>e/short ton)</w:t>
            </w:r>
          </w:p>
        </w:tc>
      </w:tr>
      <w:tr w:rsidR="00132A71" w:rsidRPr="004C12C9" w14:paraId="330CBE73" w14:textId="77777777" w:rsidTr="00E8226A">
        <w:trPr>
          <w:trHeight w:val="300"/>
        </w:trPr>
        <w:tc>
          <w:tcPr>
            <w:tcW w:w="2600" w:type="dxa"/>
            <w:noWrap/>
            <w:vAlign w:val="center"/>
          </w:tcPr>
          <w:p w14:paraId="61780F24" w14:textId="77777777" w:rsidR="00132A71" w:rsidRPr="004C12C9" w:rsidRDefault="00132A71" w:rsidP="006D145D">
            <w:pPr>
              <w:pStyle w:val="ICFTabletext"/>
            </w:pPr>
            <w:r w:rsidRPr="004C12C9">
              <w:t>Landfilled</w:t>
            </w:r>
          </w:p>
        </w:tc>
        <w:tc>
          <w:tcPr>
            <w:tcW w:w="4055" w:type="dxa"/>
            <w:noWrap/>
            <w:vAlign w:val="center"/>
          </w:tcPr>
          <w:p w14:paraId="55E9D0B6" w14:textId="77777777" w:rsidR="00132A71" w:rsidRPr="004C12C9" w:rsidRDefault="00132A71" w:rsidP="006D145D">
            <w:pPr>
              <w:pStyle w:val="ICFTabletext"/>
              <w:jc w:val="center"/>
            </w:pPr>
            <w:r w:rsidRPr="004C12C9">
              <w:t>0.58</w:t>
            </w:r>
          </w:p>
        </w:tc>
      </w:tr>
      <w:tr w:rsidR="00132A71" w:rsidRPr="004C12C9" w14:paraId="3D9BD7AD" w14:textId="77777777" w:rsidTr="00E8226A">
        <w:trPr>
          <w:trHeight w:val="300"/>
        </w:trPr>
        <w:tc>
          <w:tcPr>
            <w:tcW w:w="2600" w:type="dxa"/>
            <w:noWrap/>
            <w:vAlign w:val="center"/>
          </w:tcPr>
          <w:p w14:paraId="0AF31088" w14:textId="77777777" w:rsidR="00132A71" w:rsidRPr="004C12C9" w:rsidRDefault="00132A71" w:rsidP="006D145D">
            <w:pPr>
              <w:pStyle w:val="ICFTabletext"/>
            </w:pPr>
            <w:r w:rsidRPr="004C12C9">
              <w:t>Recycling</w:t>
            </w:r>
          </w:p>
        </w:tc>
        <w:tc>
          <w:tcPr>
            <w:tcW w:w="4055" w:type="dxa"/>
            <w:noWrap/>
            <w:vAlign w:val="center"/>
          </w:tcPr>
          <w:p w14:paraId="29CDE136" w14:textId="77777777" w:rsidR="00132A71" w:rsidRPr="004C12C9" w:rsidRDefault="00132A71" w:rsidP="006D145D">
            <w:pPr>
              <w:pStyle w:val="ICFTabletext"/>
              <w:jc w:val="center"/>
            </w:pPr>
            <w:r w:rsidRPr="004C12C9">
              <w:t>0.09</w:t>
            </w:r>
          </w:p>
        </w:tc>
      </w:tr>
      <w:tr w:rsidR="00132A71" w:rsidRPr="004C12C9" w14:paraId="7D573ABE" w14:textId="77777777" w:rsidTr="00E8226A">
        <w:trPr>
          <w:trHeight w:val="300"/>
        </w:trPr>
        <w:tc>
          <w:tcPr>
            <w:tcW w:w="2600" w:type="dxa"/>
            <w:noWrap/>
            <w:vAlign w:val="center"/>
          </w:tcPr>
          <w:p w14:paraId="1EADEA15" w14:textId="77777777" w:rsidR="00132A71" w:rsidRPr="004C12C9" w:rsidRDefault="00132A71" w:rsidP="006D145D">
            <w:pPr>
              <w:pStyle w:val="ICFTabletext"/>
            </w:pPr>
            <w:r w:rsidRPr="004C12C9">
              <w:t>Composted</w:t>
            </w:r>
          </w:p>
        </w:tc>
        <w:tc>
          <w:tcPr>
            <w:tcW w:w="4055" w:type="dxa"/>
            <w:noWrap/>
            <w:vAlign w:val="center"/>
          </w:tcPr>
          <w:p w14:paraId="10F9E021" w14:textId="77777777" w:rsidR="00132A71" w:rsidRPr="004C12C9" w:rsidRDefault="00132A71" w:rsidP="006D145D">
            <w:pPr>
              <w:pStyle w:val="ICFTabletext"/>
              <w:jc w:val="center"/>
            </w:pPr>
            <w:r w:rsidRPr="004C12C9">
              <w:t>0.13</w:t>
            </w:r>
          </w:p>
        </w:tc>
      </w:tr>
      <w:tr w:rsidR="00132A71" w:rsidRPr="004C12C9" w14:paraId="53FB121F" w14:textId="77777777" w:rsidTr="00E8226A">
        <w:trPr>
          <w:trHeight w:val="300"/>
        </w:trPr>
        <w:tc>
          <w:tcPr>
            <w:tcW w:w="2600" w:type="dxa"/>
            <w:noWrap/>
            <w:vAlign w:val="center"/>
          </w:tcPr>
          <w:p w14:paraId="167598B7" w14:textId="77777777" w:rsidR="00132A71" w:rsidRPr="004C12C9" w:rsidRDefault="00132A71" w:rsidP="006D145D">
            <w:pPr>
              <w:pStyle w:val="ICFTabletext"/>
            </w:pPr>
            <w:r w:rsidRPr="004C12C9">
              <w:t>Combusted</w:t>
            </w:r>
          </w:p>
        </w:tc>
        <w:tc>
          <w:tcPr>
            <w:tcW w:w="4055" w:type="dxa"/>
            <w:noWrap/>
            <w:vAlign w:val="center"/>
          </w:tcPr>
          <w:p w14:paraId="38706A8A" w14:textId="77777777" w:rsidR="00132A71" w:rsidRPr="004C12C9" w:rsidRDefault="00132A71" w:rsidP="006D145D">
            <w:pPr>
              <w:pStyle w:val="ICFTabletext"/>
              <w:jc w:val="center"/>
            </w:pPr>
            <w:r w:rsidRPr="004C12C9">
              <w:t>0.43</w:t>
            </w:r>
          </w:p>
        </w:tc>
      </w:tr>
    </w:tbl>
    <w:p w14:paraId="1013DFD2" w14:textId="591F7F3D" w:rsidR="005D38F1" w:rsidRPr="004C12C9" w:rsidRDefault="00132A71" w:rsidP="00E31E37">
      <w:pPr>
        <w:pStyle w:val="Heading4"/>
      </w:pPr>
      <w:r w:rsidRPr="004C12C9">
        <w:t>Limitations</w:t>
      </w:r>
    </w:p>
    <w:p w14:paraId="2C7B2A5E" w14:textId="78FDC75F" w:rsidR="00CE7BE7" w:rsidRPr="004C12C9" w:rsidRDefault="00CE7BE7" w:rsidP="00CE7BE7">
      <w:r w:rsidRPr="004C12C9">
        <w:t>Key limitations of the methodology used to quantify emissions from the treatment of waste off-site include:</w:t>
      </w:r>
    </w:p>
    <w:p w14:paraId="40ACDFF6" w14:textId="3809CF3D" w:rsidR="00EF0CA8" w:rsidRPr="004C12C9" w:rsidRDefault="00EF0CA8" w:rsidP="003B5F7F">
      <w:pPr>
        <w:pStyle w:val="ListParagraph"/>
        <w:numPr>
          <w:ilvl w:val="0"/>
          <w:numId w:val="45"/>
        </w:numPr>
      </w:pPr>
      <w:r w:rsidRPr="004C12C9">
        <w:t xml:space="preserve">The </w:t>
      </w:r>
      <w:r w:rsidR="00CF78CD" w:rsidRPr="004C12C9">
        <w:t>default</w:t>
      </w:r>
      <w:r w:rsidRPr="004C12C9">
        <w:t xml:space="preserve"> waste generation rates </w:t>
      </w:r>
      <w:r w:rsidR="00521536" w:rsidRPr="004C12C9">
        <w:t xml:space="preserve">are </w:t>
      </w:r>
      <w:r w:rsidR="000B02B6" w:rsidRPr="004C12C9">
        <w:t xml:space="preserve">based on </w:t>
      </w:r>
      <w:r w:rsidR="001F446B" w:rsidRPr="004C12C9">
        <w:t xml:space="preserve">sources </w:t>
      </w:r>
      <w:r w:rsidR="00952A1B" w:rsidRPr="004C12C9">
        <w:t xml:space="preserve">that </w:t>
      </w:r>
      <w:r w:rsidR="001F446B" w:rsidRPr="004C12C9">
        <w:t xml:space="preserve">are </w:t>
      </w:r>
      <w:r w:rsidR="00F45855" w:rsidRPr="004C12C9">
        <w:t>dated</w:t>
      </w:r>
      <w:r w:rsidR="003D3C37" w:rsidRPr="004C12C9">
        <w:t xml:space="preserve"> and</w:t>
      </w:r>
      <w:r w:rsidR="00952A1B" w:rsidRPr="004C12C9">
        <w:t>/or</w:t>
      </w:r>
      <w:r w:rsidR="003D3C37" w:rsidRPr="004C12C9">
        <w:t xml:space="preserve"> may not </w:t>
      </w:r>
      <w:r w:rsidR="007662AE" w:rsidRPr="004C12C9">
        <w:t xml:space="preserve">accurately </w:t>
      </w:r>
      <w:r w:rsidR="003D3C37" w:rsidRPr="004C12C9">
        <w:t>represent</w:t>
      </w:r>
      <w:r w:rsidR="006D632F" w:rsidRPr="004C12C9">
        <w:t xml:space="preserve"> </w:t>
      </w:r>
      <w:r w:rsidR="00CD0E19" w:rsidRPr="004C12C9">
        <w:t>generation rates for the proposed project.</w:t>
      </w:r>
    </w:p>
    <w:p w14:paraId="2470DCA9" w14:textId="2A03350F" w:rsidR="00632F99" w:rsidRPr="004C12C9" w:rsidRDefault="00632F99" w:rsidP="003B5F7F">
      <w:pPr>
        <w:pStyle w:val="ListParagraph"/>
        <w:numPr>
          <w:ilvl w:val="0"/>
          <w:numId w:val="45"/>
        </w:numPr>
        <w:rPr>
          <w:rFonts w:eastAsiaTheme="majorEastAsia"/>
        </w:rPr>
      </w:pPr>
      <w:r w:rsidRPr="004C12C9">
        <w:t>Emissions from the transportation of waste that are accounted for in the emission factors are based on a default assumption regarding the distance traveled from the project site to the waste management facility, which may vary from the actual distance traveled for a specific project.</w:t>
      </w:r>
    </w:p>
    <w:p w14:paraId="4D1FBDBE" w14:textId="6BA989AA" w:rsidR="00632F99" w:rsidRPr="004C12C9" w:rsidRDefault="00632F99" w:rsidP="003B5F7F">
      <w:pPr>
        <w:pStyle w:val="ListParagraph"/>
        <w:numPr>
          <w:ilvl w:val="0"/>
          <w:numId w:val="45"/>
        </w:numPr>
      </w:pPr>
      <w:r w:rsidRPr="004C12C9">
        <w:t>The landfill emission factors are based on typical landfill gas collection practices</w:t>
      </w:r>
      <w:r w:rsidR="000A0BB9" w:rsidRPr="004C12C9">
        <w:t xml:space="preserve"> and </w:t>
      </w:r>
      <w:r w:rsidRPr="004C12C9">
        <w:t>average landfill moisture conditions. Actual emissions will vary based on the characteristics of the landfill where the waste is treated.</w:t>
      </w:r>
    </w:p>
    <w:p w14:paraId="136450A7" w14:textId="1858ED6C" w:rsidR="00E8226A" w:rsidRPr="004C12C9" w:rsidRDefault="00F450BB" w:rsidP="003B5F7F">
      <w:pPr>
        <w:pStyle w:val="ListParagraph"/>
        <w:numPr>
          <w:ilvl w:val="0"/>
          <w:numId w:val="23"/>
        </w:numPr>
      </w:pPr>
      <w:r w:rsidRPr="004C12C9">
        <w:t>The</w:t>
      </w:r>
      <w:r w:rsidR="005D38F1" w:rsidRPr="004C12C9">
        <w:t xml:space="preserve"> emission factors reflect assumptions regarding the typical composition of municipal solid waste and organic waste.</w:t>
      </w:r>
      <w:r w:rsidR="009669E1" w:rsidRPr="004C12C9">
        <w:t xml:space="preserve"> </w:t>
      </w:r>
      <w:r w:rsidR="0074726C" w:rsidRPr="004C12C9">
        <w:t xml:space="preserve">Actual </w:t>
      </w:r>
      <w:r w:rsidR="00A841B3" w:rsidRPr="004C12C9">
        <w:t>e</w:t>
      </w:r>
      <w:r w:rsidR="00007454" w:rsidRPr="004C12C9">
        <w:t xml:space="preserve">missions </w:t>
      </w:r>
      <w:r w:rsidR="0074726C" w:rsidRPr="004C12C9">
        <w:t xml:space="preserve">will vary </w:t>
      </w:r>
      <w:r w:rsidR="00332979" w:rsidRPr="004C12C9">
        <w:t xml:space="preserve">based on the composition of </w:t>
      </w:r>
      <w:r w:rsidR="00F92BE6" w:rsidRPr="004C12C9">
        <w:t>the waste</w:t>
      </w:r>
      <w:r w:rsidR="00332979" w:rsidRPr="004C12C9">
        <w:t xml:space="preserve"> genera</w:t>
      </w:r>
      <w:r w:rsidR="00F92BE6" w:rsidRPr="004C12C9">
        <w:t>ted</w:t>
      </w:r>
      <w:r w:rsidR="00332979" w:rsidRPr="004C12C9">
        <w:t xml:space="preserve"> by the project. </w:t>
      </w:r>
      <w:r w:rsidR="00E8226A" w:rsidRPr="004C12C9">
        <w:t>Defaults associated with the treatment of hazardous waste are not included.</w:t>
      </w:r>
    </w:p>
    <w:p w14:paraId="7E819959" w14:textId="77777777" w:rsidR="00712817" w:rsidRPr="004C12C9" w:rsidRDefault="00FC5F6E" w:rsidP="001640B0">
      <w:pPr>
        <w:pStyle w:val="Heading3"/>
      </w:pPr>
      <w:bookmarkStart w:id="230" w:name="_Ref195458843"/>
      <w:bookmarkStart w:id="231" w:name="_Toc219887783"/>
      <w:r w:rsidRPr="004C12C9">
        <w:lastRenderedPageBreak/>
        <w:t>Enteric Fermentation</w:t>
      </w:r>
      <w:bookmarkEnd w:id="230"/>
      <w:bookmarkEnd w:id="231"/>
      <w:r w:rsidRPr="004C12C9">
        <w:tab/>
      </w:r>
    </w:p>
    <w:p w14:paraId="630E917A" w14:textId="7AB3064D" w:rsidR="004C5B65" w:rsidRPr="004C12C9" w:rsidRDefault="004C5B65" w:rsidP="00972CF9">
      <w:r w:rsidRPr="004C12C9">
        <w:t xml:space="preserve">Methane emissions result from enteric fermentation, the digestive process of </w:t>
      </w:r>
      <w:r w:rsidR="00435EA9" w:rsidRPr="004C12C9">
        <w:t xml:space="preserve">ruminant livestock during feedlot operation. </w:t>
      </w:r>
      <w:r w:rsidR="003116BA" w:rsidRPr="004C12C9">
        <w:t xml:space="preserve">The </w:t>
      </w:r>
      <w:r w:rsidR="008107B2" w:rsidRPr="004C12C9">
        <w:t xml:space="preserve">calculator </w:t>
      </w:r>
      <w:r w:rsidR="003116BA" w:rsidRPr="004C12C9">
        <w:t xml:space="preserve">quantifies </w:t>
      </w:r>
      <w:r w:rsidR="00C34022" w:rsidRPr="004C12C9">
        <w:t xml:space="preserve">annual </w:t>
      </w:r>
      <w:r w:rsidR="003116BA" w:rsidRPr="004C12C9">
        <w:t xml:space="preserve">emissions from enteric fermentation based on </w:t>
      </w:r>
      <w:r w:rsidR="00082092" w:rsidRPr="004C12C9">
        <w:t>the annual livestock population</w:t>
      </w:r>
      <w:r w:rsidR="00C34022" w:rsidRPr="004C12C9">
        <w:t xml:space="preserve"> and </w:t>
      </w:r>
      <w:r w:rsidR="00507740" w:rsidRPr="004C12C9">
        <w:t>animal-specific emission factors</w:t>
      </w:r>
      <w:r w:rsidR="003116BA" w:rsidRPr="004C12C9">
        <w:t>, as shown in</w:t>
      </w:r>
      <w:r w:rsidR="00D17BDA">
        <w:t xml:space="preserve"> </w:t>
      </w:r>
      <w:r w:rsidR="00D17BDA">
        <w:fldChar w:fldCharType="begin"/>
      </w:r>
      <w:r w:rsidR="00D17BDA">
        <w:instrText xml:space="preserve"> REF _Ref195427221 \h </w:instrText>
      </w:r>
      <w:r w:rsidR="00D17BDA">
        <w:fldChar w:fldCharType="separate"/>
      </w:r>
      <w:r w:rsidR="00D17BDA" w:rsidRPr="004C12C9">
        <w:t xml:space="preserve">Equation </w:t>
      </w:r>
      <w:r w:rsidR="00D17BDA">
        <w:rPr>
          <w:noProof/>
        </w:rPr>
        <w:t>33</w:t>
      </w:r>
      <w:r w:rsidR="00D17BDA">
        <w:fldChar w:fldCharType="end"/>
      </w:r>
      <w:r w:rsidR="003116BA" w:rsidRPr="004C12C9">
        <w:t>.</w:t>
      </w:r>
    </w:p>
    <w:p w14:paraId="4F493EEE" w14:textId="52CD466C" w:rsidR="004237E2" w:rsidRPr="004C12C9" w:rsidRDefault="004237E2" w:rsidP="00972CF9">
      <w:pPr>
        <w:pStyle w:val="Caption"/>
      </w:pPr>
      <w:bookmarkStart w:id="232" w:name="_Ref195427221"/>
      <w:r w:rsidRPr="004C12C9">
        <w:t xml:space="preserve">Equation </w:t>
      </w:r>
      <w:r w:rsidR="00127094">
        <w:fldChar w:fldCharType="begin"/>
      </w:r>
      <w:r w:rsidR="00127094">
        <w:instrText xml:space="preserve"> SEQ Equation \* ARABIC </w:instrText>
      </w:r>
      <w:r w:rsidR="00127094">
        <w:fldChar w:fldCharType="separate"/>
      </w:r>
      <w:r w:rsidR="00C47624">
        <w:rPr>
          <w:noProof/>
        </w:rPr>
        <w:t>33</w:t>
      </w:r>
      <w:r w:rsidR="00127094">
        <w:fldChar w:fldCharType="end"/>
      </w:r>
      <w:bookmarkEnd w:id="232"/>
      <w:r w:rsidRPr="004C12C9">
        <w:t xml:space="preserve">. Annual GHG </w:t>
      </w:r>
      <w:r w:rsidR="00507740" w:rsidRPr="004C12C9">
        <w:t>E</w:t>
      </w:r>
      <w:r w:rsidRPr="004C12C9">
        <w:t xml:space="preserve">missions from </w:t>
      </w:r>
      <w:r w:rsidR="00507740" w:rsidRPr="004C12C9">
        <w:t>E</w:t>
      </w:r>
      <w:r w:rsidRPr="004C12C9">
        <w:t xml:space="preserve">nteric </w:t>
      </w:r>
      <w:r w:rsidR="00507740" w:rsidRPr="004C12C9">
        <w:t>F</w:t>
      </w:r>
      <w:r w:rsidRPr="004C12C9">
        <w:t>ermentation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507740" w:rsidRPr="004C12C9" w14:paraId="765C7258" w14:textId="77777777">
        <w:tc>
          <w:tcPr>
            <w:tcW w:w="10070" w:type="dxa"/>
            <w:gridSpan w:val="2"/>
            <w:shd w:val="clear" w:color="auto" w:fill="F2F2F2" w:themeFill="background1" w:themeFillShade="F2"/>
          </w:tcPr>
          <w:p w14:paraId="78D52875" w14:textId="77777777" w:rsidR="00507740" w:rsidRPr="004C12C9" w:rsidRDefault="00000000" w:rsidP="00507740">
            <w:pPr>
              <w:pStyle w:val="Equation"/>
              <w:rPr>
                <w:rFonts w:eastAsiaTheme="minorEastAsia" w:cstheme="minorBidi"/>
                <w:b/>
                <w:noProof w:val="0"/>
              </w:rPr>
            </w:pPr>
            <m:oMathPara>
              <m:oMath>
                <m:sSub>
                  <m:sSubPr>
                    <m:ctrlPr>
                      <w:rPr>
                        <w:noProof w:val="0"/>
                      </w:rPr>
                    </m:ctrlPr>
                  </m:sSubPr>
                  <m:e>
                    <m:r>
                      <w:rPr>
                        <w:noProof w:val="0"/>
                      </w:rPr>
                      <m:t>annual GHG emissions</m:t>
                    </m:r>
                  </m:e>
                  <m:sub>
                    <m:r>
                      <w:rPr>
                        <w:noProof w:val="0"/>
                      </w:rPr>
                      <m:t>t</m:t>
                    </m:r>
                  </m:sub>
                </m:sSub>
                <m:r>
                  <w:rPr>
                    <w:noProof w:val="0"/>
                  </w:rPr>
                  <m:t>=</m:t>
                </m:r>
                <m:sSub>
                  <m:sSubPr>
                    <m:ctrlPr>
                      <w:rPr>
                        <w:noProof w:val="0"/>
                      </w:rPr>
                    </m:ctrlPr>
                  </m:sSubPr>
                  <m:e>
                    <m:r>
                      <w:rPr>
                        <w:noProof w:val="0"/>
                      </w:rPr>
                      <m:t>livestock</m:t>
                    </m:r>
                  </m:e>
                  <m:sub>
                    <m:r>
                      <w:rPr>
                        <w:noProof w:val="0"/>
                      </w:rPr>
                      <m:t>t</m:t>
                    </m:r>
                  </m:sub>
                </m:sSub>
                <m:r>
                  <w:rPr>
                    <w:noProof w:val="0"/>
                  </w:rPr>
                  <m:t xml:space="preserve">× </m:t>
                </m:r>
                <m:sSub>
                  <m:sSubPr>
                    <m:ctrlPr>
                      <w:rPr>
                        <w:noProof w:val="0"/>
                      </w:rPr>
                    </m:ctrlPr>
                  </m:sSubPr>
                  <m:e>
                    <m:r>
                      <w:rPr>
                        <w:noProof w:val="0"/>
                      </w:rPr>
                      <m:t>emission factor</m:t>
                    </m:r>
                  </m:e>
                  <m:sub>
                    <m:r>
                      <w:rPr>
                        <w:noProof w:val="0"/>
                      </w:rPr>
                      <m:t>t</m:t>
                    </m:r>
                  </m:sub>
                </m:sSub>
                <m:r>
                  <w:rPr>
                    <w:noProof w:val="0"/>
                  </w:rPr>
                  <m:t xml:space="preserve"> × </m:t>
                </m:r>
                <m:sSub>
                  <m:sSubPr>
                    <m:ctrlPr>
                      <w:rPr>
                        <w:noProof w:val="0"/>
                      </w:rPr>
                    </m:ctrlPr>
                  </m:sSubPr>
                  <m:e>
                    <m:r>
                      <w:rPr>
                        <w:noProof w:val="0"/>
                      </w:rPr>
                      <m:t>GWP</m:t>
                    </m:r>
                  </m:e>
                  <m:sub>
                    <m:r>
                      <w:rPr>
                        <w:noProof w:val="0"/>
                      </w:rPr>
                      <m:t>CH4</m:t>
                    </m:r>
                  </m:sub>
                </m:sSub>
              </m:oMath>
            </m:oMathPara>
          </w:p>
          <w:p w14:paraId="0F1010AD" w14:textId="77777777" w:rsidR="00507740" w:rsidRPr="004C12C9" w:rsidRDefault="00507740">
            <w:pPr>
              <w:rPr>
                <w:i/>
                <w:iCs/>
              </w:rPr>
            </w:pPr>
            <w:r w:rsidRPr="004C12C9">
              <w:rPr>
                <w:i/>
                <w:iCs/>
                <w:sz w:val="20"/>
                <w:szCs w:val="20"/>
              </w:rPr>
              <w:t xml:space="preserve">where, </w:t>
            </w:r>
          </w:p>
        </w:tc>
      </w:tr>
      <w:tr w:rsidR="00507740" w:rsidRPr="004C12C9" w14:paraId="03AF6D53" w14:textId="77777777">
        <w:tc>
          <w:tcPr>
            <w:tcW w:w="1800" w:type="dxa"/>
            <w:shd w:val="clear" w:color="auto" w:fill="F2F2F2" w:themeFill="background1" w:themeFillShade="F2"/>
          </w:tcPr>
          <w:p w14:paraId="2CD48231" w14:textId="77777777" w:rsidR="00507740" w:rsidRPr="004C12C9" w:rsidRDefault="0050774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Livestock</w:t>
            </w:r>
          </w:p>
          <w:p w14:paraId="3DB8B2A6" w14:textId="6B60380A" w:rsidR="00507740" w:rsidRPr="004C12C9" w:rsidRDefault="0050774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p w14:paraId="2F349A91" w14:textId="0A7774EA" w:rsidR="00507740" w:rsidRPr="004C12C9" w:rsidRDefault="0050774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CH4</w:t>
            </w:r>
          </w:p>
        </w:tc>
        <w:tc>
          <w:tcPr>
            <w:tcW w:w="8270" w:type="dxa"/>
            <w:shd w:val="clear" w:color="auto" w:fill="F2F2F2" w:themeFill="background1" w:themeFillShade="F2"/>
          </w:tcPr>
          <w:p w14:paraId="101A8851" w14:textId="037CFFDA" w:rsidR="00507740" w:rsidRPr="004C12C9" w:rsidRDefault="0050774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animal population by livestock type and age/production class, t</w:t>
            </w:r>
          </w:p>
          <w:p w14:paraId="570D8BE4" w14:textId="471F1D2B" w:rsidR="00507740" w:rsidRPr="004C12C9" w:rsidRDefault="00507740">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enteric fermentation emissions per animal by livestock typ</w:t>
            </w:r>
            <w:r w:rsidR="006D145D" w:rsidRPr="004C12C9">
              <w:rPr>
                <w:rFonts w:ascii="Calibri" w:eastAsia="Arial" w:hAnsi="Calibri"/>
                <w:bCs w:val="0"/>
                <w:i w:val="0"/>
                <w:noProof w:val="0"/>
                <w:color w:val="auto"/>
                <w:sz w:val="20"/>
                <w:szCs w:val="20"/>
              </w:rPr>
              <w:t>e</w:t>
            </w:r>
            <w:r w:rsidRPr="004C12C9">
              <w:rPr>
                <w:rFonts w:ascii="Calibri" w:eastAsia="Arial" w:hAnsi="Calibri"/>
                <w:bCs w:val="0"/>
                <w:i w:val="0"/>
                <w:noProof w:val="0"/>
                <w:color w:val="auto"/>
                <w:sz w:val="20"/>
                <w:szCs w:val="20"/>
              </w:rPr>
              <w:t>, t (kgCH</w:t>
            </w:r>
            <w:r w:rsidRPr="004C12C9">
              <w:rPr>
                <w:rFonts w:ascii="Calibri" w:eastAsia="Arial" w:hAnsi="Calibri"/>
                <w:bCs w:val="0"/>
                <w:i w:val="0"/>
                <w:noProof w:val="0"/>
                <w:color w:val="auto"/>
                <w:sz w:val="20"/>
                <w:szCs w:val="20"/>
                <w:vertAlign w:val="subscript"/>
              </w:rPr>
              <w:t>4</w:t>
            </w:r>
            <w:r w:rsidRPr="004C12C9">
              <w:rPr>
                <w:rFonts w:ascii="Calibri" w:eastAsia="Arial" w:hAnsi="Calibri"/>
                <w:bCs w:val="0"/>
                <w:i w:val="0"/>
                <w:noProof w:val="0"/>
                <w:color w:val="auto"/>
                <w:sz w:val="20"/>
                <w:szCs w:val="20"/>
              </w:rPr>
              <w:t>/head/year)</w:t>
            </w:r>
          </w:p>
          <w:p w14:paraId="223CFE4B" w14:textId="6552D283" w:rsidR="00507740" w:rsidRPr="004C12C9" w:rsidRDefault="0050774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w:t>
            </w:r>
            <w:r w:rsidR="006D145D"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 xml:space="preserve">The </w:t>
            </w:r>
            <w:r w:rsidR="00BF0188"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rPr>
              <w:t xml:space="preserve"> for converting methane</w:t>
            </w:r>
          </w:p>
          <w:p w14:paraId="3DBC810C" w14:textId="0435BF40" w:rsidR="00507740" w:rsidRPr="004C12C9" w:rsidRDefault="00507740">
            <w:pPr>
              <w:pStyle w:val="Equation"/>
              <w:spacing w:before="0" w:after="0"/>
              <w:jc w:val="left"/>
              <w:rPr>
                <w:rFonts w:ascii="Calibri" w:eastAsia="Arial" w:hAnsi="Calibri"/>
                <w:bCs w:val="0"/>
                <w:i w:val="0"/>
                <w:noProof w:val="0"/>
                <w:color w:val="auto"/>
                <w:sz w:val="20"/>
                <w:szCs w:val="20"/>
              </w:rPr>
            </w:pPr>
          </w:p>
        </w:tc>
      </w:tr>
    </w:tbl>
    <w:p w14:paraId="190A6D12" w14:textId="3562E799" w:rsidR="005B10B9" w:rsidRPr="004C12C9" w:rsidRDefault="005B10B9" w:rsidP="00E31E37">
      <w:pPr>
        <w:pStyle w:val="Heading4"/>
      </w:pPr>
      <w:r w:rsidRPr="004C12C9">
        <w:t>Livestock Population</w:t>
      </w:r>
    </w:p>
    <w:p w14:paraId="4888C4F0" w14:textId="2E5BA3A9" w:rsidR="00AE4DD5" w:rsidRPr="004C12C9" w:rsidRDefault="00CA10F9" w:rsidP="00AE4DD5">
      <w:r w:rsidRPr="004C12C9">
        <w:t xml:space="preserve">The annual </w:t>
      </w:r>
      <w:r w:rsidR="00E225C3" w:rsidRPr="004C12C9">
        <w:t xml:space="preserve">average </w:t>
      </w:r>
      <w:r w:rsidRPr="004C12C9">
        <w:t xml:space="preserve">animal population by livestock type and age/production class are provided by users. </w:t>
      </w:r>
      <w:r w:rsidR="00AE4DD5" w:rsidRPr="004C12C9">
        <w:t xml:space="preserve">The </w:t>
      </w:r>
      <w:r w:rsidR="00A60E6A" w:rsidRPr="004C12C9">
        <w:t xml:space="preserve">livestock </w:t>
      </w:r>
      <w:r w:rsidR="00AE4DD5" w:rsidRPr="004C12C9">
        <w:t xml:space="preserve">types for which users may provide data </w:t>
      </w:r>
      <w:r w:rsidR="00945AF4" w:rsidRPr="004C12C9">
        <w:t>include</w:t>
      </w:r>
      <w:r w:rsidR="00564D03" w:rsidRPr="004C12C9">
        <w:t>:</w:t>
      </w:r>
    </w:p>
    <w:p w14:paraId="099851FA" w14:textId="77777777" w:rsidR="00EC194A" w:rsidRPr="004C12C9" w:rsidRDefault="00EC194A" w:rsidP="003B5F7F">
      <w:pPr>
        <w:pStyle w:val="ListParagraph"/>
        <w:numPr>
          <w:ilvl w:val="0"/>
          <w:numId w:val="32"/>
        </w:numPr>
      </w:pPr>
      <w:r w:rsidRPr="004C12C9">
        <w:t>Bulls</w:t>
      </w:r>
    </w:p>
    <w:p w14:paraId="338D937A" w14:textId="77777777" w:rsidR="00EC194A" w:rsidRPr="004C12C9" w:rsidRDefault="00EC194A" w:rsidP="003B5F7F">
      <w:pPr>
        <w:pStyle w:val="ListParagraph"/>
        <w:numPr>
          <w:ilvl w:val="0"/>
          <w:numId w:val="32"/>
        </w:numPr>
      </w:pPr>
      <w:r w:rsidRPr="004C12C9">
        <w:t>Beef cows</w:t>
      </w:r>
    </w:p>
    <w:p w14:paraId="595F76E0" w14:textId="77777777" w:rsidR="00EC194A" w:rsidRPr="004C12C9" w:rsidRDefault="00EC194A" w:rsidP="003B5F7F">
      <w:pPr>
        <w:pStyle w:val="ListParagraph"/>
        <w:numPr>
          <w:ilvl w:val="0"/>
          <w:numId w:val="32"/>
        </w:numPr>
      </w:pPr>
      <w:r w:rsidRPr="004C12C9">
        <w:t>Beef heifers</w:t>
      </w:r>
    </w:p>
    <w:p w14:paraId="3E605B1F" w14:textId="77777777" w:rsidR="00EC194A" w:rsidRPr="004C12C9" w:rsidRDefault="00EC194A" w:rsidP="003B5F7F">
      <w:pPr>
        <w:pStyle w:val="ListParagraph"/>
        <w:numPr>
          <w:ilvl w:val="0"/>
          <w:numId w:val="32"/>
        </w:numPr>
      </w:pPr>
      <w:r w:rsidRPr="004C12C9">
        <w:t>Steer stockers</w:t>
      </w:r>
    </w:p>
    <w:p w14:paraId="119495BF" w14:textId="77777777" w:rsidR="00EC194A" w:rsidRPr="004C12C9" w:rsidRDefault="00EC194A" w:rsidP="003B5F7F">
      <w:pPr>
        <w:pStyle w:val="ListParagraph"/>
        <w:numPr>
          <w:ilvl w:val="0"/>
          <w:numId w:val="32"/>
        </w:numPr>
      </w:pPr>
      <w:r w:rsidRPr="004C12C9">
        <w:t>Heifer stockers</w:t>
      </w:r>
    </w:p>
    <w:p w14:paraId="0C417FEE" w14:textId="0CA26463" w:rsidR="00EC194A" w:rsidRPr="004C12C9" w:rsidRDefault="00EC194A" w:rsidP="003B5F7F">
      <w:pPr>
        <w:pStyle w:val="ListParagraph"/>
        <w:numPr>
          <w:ilvl w:val="0"/>
          <w:numId w:val="32"/>
        </w:numPr>
      </w:pPr>
      <w:r w:rsidRPr="004C12C9">
        <w:t>Feedlot beef</w:t>
      </w:r>
    </w:p>
    <w:p w14:paraId="47D58223" w14:textId="4CF1E336" w:rsidR="00EC194A" w:rsidRPr="004C12C9" w:rsidRDefault="00EC194A" w:rsidP="003B5F7F">
      <w:pPr>
        <w:pStyle w:val="ListParagraph"/>
        <w:numPr>
          <w:ilvl w:val="0"/>
          <w:numId w:val="32"/>
        </w:numPr>
      </w:pPr>
      <w:r w:rsidRPr="004C12C9">
        <w:t>Beef calves</w:t>
      </w:r>
    </w:p>
    <w:p w14:paraId="64EE46CA" w14:textId="77777777" w:rsidR="00EC194A" w:rsidRPr="004C12C9" w:rsidRDefault="00EC194A" w:rsidP="003B5F7F">
      <w:pPr>
        <w:pStyle w:val="ListParagraph"/>
        <w:numPr>
          <w:ilvl w:val="0"/>
          <w:numId w:val="32"/>
        </w:numPr>
      </w:pPr>
      <w:r w:rsidRPr="004C12C9">
        <w:t>Dairy heifers</w:t>
      </w:r>
    </w:p>
    <w:p w14:paraId="241E9790" w14:textId="77777777" w:rsidR="00EC194A" w:rsidRPr="004C12C9" w:rsidRDefault="00EC194A" w:rsidP="003B5F7F">
      <w:pPr>
        <w:pStyle w:val="ListParagraph"/>
        <w:numPr>
          <w:ilvl w:val="0"/>
          <w:numId w:val="32"/>
        </w:numPr>
      </w:pPr>
      <w:r w:rsidRPr="004C12C9">
        <w:t>Dairy cows</w:t>
      </w:r>
    </w:p>
    <w:p w14:paraId="0951F9E6" w14:textId="77777777" w:rsidR="00B963CB" w:rsidRPr="004C12C9" w:rsidRDefault="00EC194A" w:rsidP="003B5F7F">
      <w:pPr>
        <w:pStyle w:val="ListParagraph"/>
        <w:numPr>
          <w:ilvl w:val="0"/>
          <w:numId w:val="32"/>
        </w:numPr>
      </w:pPr>
      <w:r w:rsidRPr="004C12C9">
        <w:t>Dairy calves</w:t>
      </w:r>
    </w:p>
    <w:p w14:paraId="2C90988A" w14:textId="63CEA30C" w:rsidR="00EC194A" w:rsidRPr="004C12C9" w:rsidRDefault="00EC194A" w:rsidP="003B5F7F">
      <w:pPr>
        <w:pStyle w:val="ListParagraph"/>
        <w:numPr>
          <w:ilvl w:val="0"/>
          <w:numId w:val="32"/>
        </w:numPr>
      </w:pPr>
      <w:r w:rsidRPr="004C12C9">
        <w:t>Swine, &gt;55 lbs</w:t>
      </w:r>
      <w:r w:rsidR="00611B1E" w:rsidRPr="004C12C9">
        <w:rPr>
          <w:rStyle w:val="FootnoteReference"/>
        </w:rPr>
        <w:footnoteReference w:id="124"/>
      </w:r>
    </w:p>
    <w:p w14:paraId="4238C1B2" w14:textId="67B4B12D" w:rsidR="00EC194A" w:rsidRPr="004C12C9" w:rsidRDefault="00EC194A" w:rsidP="003B5F7F">
      <w:pPr>
        <w:pStyle w:val="ListParagraph"/>
        <w:numPr>
          <w:ilvl w:val="0"/>
          <w:numId w:val="32"/>
        </w:numPr>
      </w:pPr>
      <w:r w:rsidRPr="004C12C9">
        <w:t>Swine</w:t>
      </w:r>
      <w:r w:rsidR="00C7586E" w:rsidRPr="004C12C9">
        <w:t>,</w:t>
      </w:r>
      <w:r w:rsidRPr="004C12C9">
        <w:t xml:space="preserve"> 55-330 lbs</w:t>
      </w:r>
    </w:p>
    <w:p w14:paraId="166BA228" w14:textId="426F9526" w:rsidR="00EC194A" w:rsidRPr="004C12C9" w:rsidRDefault="00EC194A" w:rsidP="003B5F7F">
      <w:pPr>
        <w:pStyle w:val="ListParagraph"/>
        <w:numPr>
          <w:ilvl w:val="0"/>
          <w:numId w:val="32"/>
        </w:numPr>
      </w:pPr>
      <w:r w:rsidRPr="004C12C9">
        <w:t>Swine</w:t>
      </w:r>
      <w:r w:rsidR="00C7586E" w:rsidRPr="004C12C9">
        <w:t>,</w:t>
      </w:r>
      <w:r w:rsidRPr="004C12C9">
        <w:t xml:space="preserve"> 330+ lbs</w:t>
      </w:r>
    </w:p>
    <w:p w14:paraId="1AE2F2BD" w14:textId="19FDF693" w:rsidR="004237E2" w:rsidRPr="004C12C9" w:rsidRDefault="00012F89" w:rsidP="00E31E37">
      <w:pPr>
        <w:pStyle w:val="Heading4"/>
      </w:pPr>
      <w:r w:rsidRPr="004C12C9">
        <w:lastRenderedPageBreak/>
        <w:t>Emission Factors</w:t>
      </w:r>
    </w:p>
    <w:p w14:paraId="41CCA26C" w14:textId="2E0D5A60" w:rsidR="00046ABF" w:rsidRPr="004C12C9" w:rsidRDefault="00046ABF" w:rsidP="00972CF9">
      <w:r w:rsidRPr="004C12C9">
        <w:t xml:space="preserve">Emission factors for enteric fermentation, as summarized in </w:t>
      </w:r>
      <w:r w:rsidR="00D17BDA">
        <w:fldChar w:fldCharType="begin"/>
      </w:r>
      <w:r w:rsidR="00D17BDA">
        <w:instrText xml:space="preserve"> REF _Ref219842023 \h </w:instrText>
      </w:r>
      <w:r w:rsidR="00D17BDA">
        <w:fldChar w:fldCharType="separate"/>
      </w:r>
      <w:r w:rsidR="00D17BDA" w:rsidRPr="004C12C9">
        <w:t xml:space="preserve">Table </w:t>
      </w:r>
      <w:r w:rsidR="00D17BDA">
        <w:rPr>
          <w:noProof/>
        </w:rPr>
        <w:t>3</w:t>
      </w:r>
      <w:r w:rsidR="00D17BDA">
        <w:noBreakHyphen/>
      </w:r>
      <w:r w:rsidR="00D17BDA">
        <w:rPr>
          <w:noProof/>
        </w:rPr>
        <w:t>31</w:t>
      </w:r>
      <w:r w:rsidR="00D17BDA">
        <w:fldChar w:fldCharType="end"/>
      </w:r>
      <w:r w:rsidRPr="004C12C9">
        <w:fldChar w:fldCharType="begin" w:fldLock="1"/>
      </w:r>
      <w:r w:rsidRPr="004C12C9">
        <w:instrText xml:space="preserve"> REF _Ref184740866 \h </w:instrText>
      </w:r>
      <w:r w:rsidRPr="004C12C9">
        <w:fldChar w:fldCharType="separate"/>
      </w:r>
      <w:r w:rsidRPr="004C12C9">
        <w:fldChar w:fldCharType="end"/>
      </w:r>
      <w:r w:rsidRPr="004C12C9">
        <w:t>, were obtained from the 1990-2022 U.S. GHG Inventory.</w:t>
      </w:r>
      <w:r w:rsidRPr="004C12C9">
        <w:rPr>
          <w:rStyle w:val="FootnoteReference"/>
        </w:rPr>
        <w:footnoteReference w:id="125"/>
      </w:r>
      <w:r w:rsidRPr="004C12C9">
        <w:t xml:space="preserve"> Specifically, emission factors for all cattle categories were obtained from Table A-144 for the state of Minnesota. All other livestock emissions factors were obtained from Table A-148.</w:t>
      </w:r>
    </w:p>
    <w:p w14:paraId="48BD8362" w14:textId="5A38B6D6" w:rsidR="009024DD" w:rsidRPr="004C12C9" w:rsidRDefault="009024DD" w:rsidP="00972CF9">
      <w:pPr>
        <w:pStyle w:val="Caption"/>
      </w:pPr>
      <w:bookmarkStart w:id="233" w:name="_Ref219842023"/>
      <w:bookmarkStart w:id="234" w:name="_Ref184740866"/>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31</w:t>
      </w:r>
      <w:r w:rsidR="00F72B41">
        <w:fldChar w:fldCharType="end"/>
      </w:r>
      <w:bookmarkEnd w:id="233"/>
      <w:bookmarkEnd w:id="234"/>
      <w:r w:rsidRPr="004C12C9">
        <w:t>. Emission Factors for Enteric Fermentation</w:t>
      </w:r>
    </w:p>
    <w:tbl>
      <w:tblPr>
        <w:tblW w:w="77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5"/>
        <w:gridCol w:w="3960"/>
      </w:tblGrid>
      <w:tr w:rsidR="009024DD" w:rsidRPr="004C12C9" w14:paraId="5FC583D1" w14:textId="77777777" w:rsidTr="00423479">
        <w:trPr>
          <w:trHeight w:val="197"/>
          <w:tblHeader/>
        </w:trPr>
        <w:tc>
          <w:tcPr>
            <w:tcW w:w="3775" w:type="dxa"/>
            <w:shd w:val="clear" w:color="auto" w:fill="D9D9D9" w:themeFill="background1" w:themeFillShade="D9"/>
            <w:noWrap/>
            <w:vAlign w:val="center"/>
            <w:hideMark/>
          </w:tcPr>
          <w:p w14:paraId="29662B88" w14:textId="77777777" w:rsidR="009024DD" w:rsidRPr="004C12C9" w:rsidRDefault="009024DD" w:rsidP="006D145D">
            <w:pPr>
              <w:pStyle w:val="ICFTableHeading"/>
            </w:pPr>
            <w:r w:rsidRPr="004C12C9">
              <w:t>Livestock Type</w:t>
            </w:r>
          </w:p>
        </w:tc>
        <w:tc>
          <w:tcPr>
            <w:tcW w:w="3960" w:type="dxa"/>
            <w:shd w:val="clear" w:color="auto" w:fill="D9D9D9" w:themeFill="background1" w:themeFillShade="D9"/>
            <w:vAlign w:val="center"/>
          </w:tcPr>
          <w:p w14:paraId="66FBAA6A" w14:textId="746C1329" w:rsidR="009024DD" w:rsidRPr="004C12C9" w:rsidRDefault="009024DD" w:rsidP="00AE4DD5">
            <w:pPr>
              <w:pStyle w:val="ICFTableHeading"/>
            </w:pPr>
            <w:r w:rsidRPr="004C12C9">
              <w:t>Emission Factor (kgCH</w:t>
            </w:r>
            <w:r w:rsidRPr="004C12C9">
              <w:rPr>
                <w:vertAlign w:val="subscript"/>
              </w:rPr>
              <w:t>4</w:t>
            </w:r>
            <w:r w:rsidRPr="004C12C9">
              <w:t>/head/year)</w:t>
            </w:r>
          </w:p>
        </w:tc>
      </w:tr>
      <w:tr w:rsidR="009024DD" w:rsidRPr="004C12C9" w14:paraId="3FDC1A24" w14:textId="77777777" w:rsidTr="00423479">
        <w:trPr>
          <w:trHeight w:val="350"/>
        </w:trPr>
        <w:tc>
          <w:tcPr>
            <w:tcW w:w="3775" w:type="dxa"/>
            <w:noWrap/>
            <w:vAlign w:val="center"/>
          </w:tcPr>
          <w:p w14:paraId="375EC490" w14:textId="77777777" w:rsidR="009024DD" w:rsidRPr="004C12C9" w:rsidRDefault="009024DD" w:rsidP="006D145D">
            <w:pPr>
              <w:pStyle w:val="ICFTabletext"/>
            </w:pPr>
            <w:r w:rsidRPr="004C12C9">
              <w:t>Bulls</w:t>
            </w:r>
          </w:p>
        </w:tc>
        <w:tc>
          <w:tcPr>
            <w:tcW w:w="3960" w:type="dxa"/>
            <w:vAlign w:val="center"/>
          </w:tcPr>
          <w:p w14:paraId="49A7A7C5" w14:textId="5063B5B4" w:rsidR="009024DD" w:rsidRPr="004C12C9" w:rsidRDefault="009024DD" w:rsidP="006D145D">
            <w:pPr>
              <w:pStyle w:val="ICFTabletext"/>
              <w:jc w:val="center"/>
            </w:pPr>
            <w:r w:rsidRPr="004C12C9">
              <w:t>95</w:t>
            </w:r>
            <w:r w:rsidR="00A63629" w:rsidRPr="004C12C9">
              <w:t>.0</w:t>
            </w:r>
          </w:p>
        </w:tc>
      </w:tr>
      <w:tr w:rsidR="009024DD" w:rsidRPr="004C12C9" w14:paraId="25EC7A4A" w14:textId="77777777" w:rsidTr="00423479">
        <w:trPr>
          <w:trHeight w:val="144"/>
        </w:trPr>
        <w:tc>
          <w:tcPr>
            <w:tcW w:w="3775" w:type="dxa"/>
            <w:noWrap/>
            <w:vAlign w:val="center"/>
          </w:tcPr>
          <w:p w14:paraId="79E3AE4B" w14:textId="77777777" w:rsidR="009024DD" w:rsidRPr="004C12C9" w:rsidRDefault="009024DD" w:rsidP="006D145D">
            <w:pPr>
              <w:pStyle w:val="ICFTabletext"/>
            </w:pPr>
            <w:r w:rsidRPr="004C12C9">
              <w:t>Beef cows</w:t>
            </w:r>
          </w:p>
        </w:tc>
        <w:tc>
          <w:tcPr>
            <w:tcW w:w="3960" w:type="dxa"/>
            <w:vAlign w:val="center"/>
          </w:tcPr>
          <w:p w14:paraId="2EA25D92" w14:textId="28BDC21D" w:rsidR="009024DD" w:rsidRPr="004C12C9" w:rsidRDefault="009024DD" w:rsidP="006D145D">
            <w:pPr>
              <w:pStyle w:val="ICFTabletext"/>
              <w:jc w:val="center"/>
            </w:pPr>
            <w:r w:rsidRPr="004C12C9">
              <w:t>92</w:t>
            </w:r>
            <w:r w:rsidR="00A63629" w:rsidRPr="004C12C9">
              <w:t>.0</w:t>
            </w:r>
          </w:p>
        </w:tc>
      </w:tr>
      <w:tr w:rsidR="009024DD" w:rsidRPr="004C12C9" w14:paraId="731E7D1D" w14:textId="77777777" w:rsidTr="00423479">
        <w:trPr>
          <w:trHeight w:val="144"/>
        </w:trPr>
        <w:tc>
          <w:tcPr>
            <w:tcW w:w="3775" w:type="dxa"/>
            <w:noWrap/>
            <w:vAlign w:val="center"/>
          </w:tcPr>
          <w:p w14:paraId="7C1C30F6" w14:textId="77777777" w:rsidR="009024DD" w:rsidRPr="004C12C9" w:rsidRDefault="009024DD" w:rsidP="006D145D">
            <w:pPr>
              <w:pStyle w:val="ICFTabletext"/>
            </w:pPr>
            <w:r w:rsidRPr="004C12C9">
              <w:t>Beef heifers*</w:t>
            </w:r>
          </w:p>
        </w:tc>
        <w:tc>
          <w:tcPr>
            <w:tcW w:w="3960" w:type="dxa"/>
            <w:vAlign w:val="center"/>
          </w:tcPr>
          <w:p w14:paraId="608F4387" w14:textId="502BD9FD" w:rsidR="009024DD" w:rsidRPr="004C12C9" w:rsidRDefault="009024DD" w:rsidP="006D145D">
            <w:pPr>
              <w:pStyle w:val="ICFTabletext"/>
              <w:jc w:val="center"/>
            </w:pPr>
            <w:r w:rsidRPr="004C12C9">
              <w:t>63</w:t>
            </w:r>
            <w:r w:rsidR="00A63629" w:rsidRPr="004C12C9">
              <w:t>.0</w:t>
            </w:r>
          </w:p>
        </w:tc>
      </w:tr>
      <w:tr w:rsidR="009024DD" w:rsidRPr="004C12C9" w14:paraId="53E3F5B9" w14:textId="77777777" w:rsidTr="00423479">
        <w:trPr>
          <w:trHeight w:val="144"/>
        </w:trPr>
        <w:tc>
          <w:tcPr>
            <w:tcW w:w="3775" w:type="dxa"/>
            <w:noWrap/>
            <w:vAlign w:val="center"/>
          </w:tcPr>
          <w:p w14:paraId="73B2B107" w14:textId="77777777" w:rsidR="009024DD" w:rsidRPr="004C12C9" w:rsidRDefault="009024DD" w:rsidP="006D145D">
            <w:pPr>
              <w:pStyle w:val="ICFTabletext"/>
            </w:pPr>
            <w:r w:rsidRPr="004C12C9">
              <w:t>Steer stockers</w:t>
            </w:r>
          </w:p>
        </w:tc>
        <w:tc>
          <w:tcPr>
            <w:tcW w:w="3960" w:type="dxa"/>
            <w:vAlign w:val="center"/>
          </w:tcPr>
          <w:p w14:paraId="293E3E2C" w14:textId="3D34BAAC" w:rsidR="009024DD" w:rsidRPr="004C12C9" w:rsidRDefault="009024DD" w:rsidP="006D145D">
            <w:pPr>
              <w:pStyle w:val="ICFTabletext"/>
              <w:jc w:val="center"/>
            </w:pPr>
            <w:r w:rsidRPr="004C12C9">
              <w:t>56</w:t>
            </w:r>
            <w:r w:rsidR="00A63629" w:rsidRPr="004C12C9">
              <w:t>.0</w:t>
            </w:r>
          </w:p>
        </w:tc>
      </w:tr>
      <w:tr w:rsidR="009024DD" w:rsidRPr="004C12C9" w14:paraId="5DCE251E" w14:textId="77777777" w:rsidTr="00423479">
        <w:trPr>
          <w:trHeight w:val="144"/>
        </w:trPr>
        <w:tc>
          <w:tcPr>
            <w:tcW w:w="3775" w:type="dxa"/>
            <w:noWrap/>
            <w:vAlign w:val="center"/>
          </w:tcPr>
          <w:p w14:paraId="6B56AEF1" w14:textId="77777777" w:rsidR="009024DD" w:rsidRPr="004C12C9" w:rsidRDefault="009024DD" w:rsidP="006D145D">
            <w:pPr>
              <w:pStyle w:val="ICFTabletext"/>
            </w:pPr>
            <w:r w:rsidRPr="004C12C9">
              <w:t>Heifer stockers</w:t>
            </w:r>
          </w:p>
        </w:tc>
        <w:tc>
          <w:tcPr>
            <w:tcW w:w="3960" w:type="dxa"/>
            <w:vAlign w:val="center"/>
          </w:tcPr>
          <w:p w14:paraId="7782539A" w14:textId="7784F5B5" w:rsidR="009024DD" w:rsidRPr="004C12C9" w:rsidRDefault="009024DD" w:rsidP="006D145D">
            <w:pPr>
              <w:pStyle w:val="ICFTabletext"/>
              <w:jc w:val="center"/>
            </w:pPr>
            <w:r w:rsidRPr="004C12C9">
              <w:t>58</w:t>
            </w:r>
            <w:r w:rsidR="00A63629" w:rsidRPr="004C12C9">
              <w:t>.0</w:t>
            </w:r>
          </w:p>
        </w:tc>
      </w:tr>
      <w:tr w:rsidR="009024DD" w:rsidRPr="004C12C9" w14:paraId="765E619E" w14:textId="77777777" w:rsidTr="00423479">
        <w:trPr>
          <w:trHeight w:val="144"/>
        </w:trPr>
        <w:tc>
          <w:tcPr>
            <w:tcW w:w="3775" w:type="dxa"/>
            <w:noWrap/>
            <w:vAlign w:val="center"/>
          </w:tcPr>
          <w:p w14:paraId="4872D893" w14:textId="77777777" w:rsidR="009024DD" w:rsidRPr="004C12C9" w:rsidRDefault="009024DD" w:rsidP="006D145D">
            <w:pPr>
              <w:pStyle w:val="ICFTabletext"/>
            </w:pPr>
            <w:r w:rsidRPr="004C12C9">
              <w:t xml:space="preserve">Feedlot beef </w:t>
            </w:r>
          </w:p>
        </w:tc>
        <w:tc>
          <w:tcPr>
            <w:tcW w:w="3960" w:type="dxa"/>
            <w:vAlign w:val="center"/>
          </w:tcPr>
          <w:p w14:paraId="78EB4FB9" w14:textId="3673A1E5" w:rsidR="009024DD" w:rsidRPr="004C12C9" w:rsidRDefault="009024DD" w:rsidP="006D145D">
            <w:pPr>
              <w:pStyle w:val="ICFTabletext"/>
              <w:jc w:val="center"/>
            </w:pPr>
            <w:r w:rsidRPr="004C12C9">
              <w:t>33</w:t>
            </w:r>
            <w:r w:rsidR="00A63629" w:rsidRPr="004C12C9">
              <w:t>.0</w:t>
            </w:r>
          </w:p>
        </w:tc>
      </w:tr>
      <w:tr w:rsidR="009024DD" w:rsidRPr="004C12C9" w14:paraId="449E8E37" w14:textId="77777777" w:rsidTr="00423479">
        <w:trPr>
          <w:trHeight w:val="144"/>
        </w:trPr>
        <w:tc>
          <w:tcPr>
            <w:tcW w:w="3775" w:type="dxa"/>
            <w:noWrap/>
            <w:vAlign w:val="center"/>
          </w:tcPr>
          <w:p w14:paraId="1DD3DC84" w14:textId="77777777" w:rsidR="009024DD" w:rsidRPr="004C12C9" w:rsidRDefault="009024DD" w:rsidP="006D145D">
            <w:pPr>
              <w:pStyle w:val="ICFTabletext"/>
            </w:pPr>
            <w:r w:rsidRPr="004C12C9">
              <w:t xml:space="preserve">Beef calves </w:t>
            </w:r>
          </w:p>
        </w:tc>
        <w:tc>
          <w:tcPr>
            <w:tcW w:w="3960" w:type="dxa"/>
            <w:vAlign w:val="center"/>
          </w:tcPr>
          <w:p w14:paraId="63BF8001" w14:textId="38DA30D9" w:rsidR="009024DD" w:rsidRPr="004C12C9" w:rsidRDefault="009024DD" w:rsidP="006D145D">
            <w:pPr>
              <w:pStyle w:val="ICFTabletext"/>
              <w:jc w:val="center"/>
            </w:pPr>
            <w:r w:rsidRPr="004C12C9">
              <w:t>10</w:t>
            </w:r>
            <w:r w:rsidR="00A63629" w:rsidRPr="004C12C9">
              <w:t>.0</w:t>
            </w:r>
          </w:p>
        </w:tc>
      </w:tr>
      <w:tr w:rsidR="009024DD" w:rsidRPr="004C12C9" w14:paraId="0508F289" w14:textId="77777777" w:rsidTr="00423479">
        <w:trPr>
          <w:trHeight w:val="144"/>
        </w:trPr>
        <w:tc>
          <w:tcPr>
            <w:tcW w:w="3775" w:type="dxa"/>
            <w:noWrap/>
            <w:vAlign w:val="center"/>
          </w:tcPr>
          <w:p w14:paraId="11C2A462" w14:textId="77777777" w:rsidR="009024DD" w:rsidRPr="004C12C9" w:rsidRDefault="009024DD" w:rsidP="006D145D">
            <w:pPr>
              <w:pStyle w:val="ICFTabletext"/>
            </w:pPr>
            <w:r w:rsidRPr="004C12C9">
              <w:t>Dairy heifers*</w:t>
            </w:r>
          </w:p>
        </w:tc>
        <w:tc>
          <w:tcPr>
            <w:tcW w:w="3960" w:type="dxa"/>
            <w:vAlign w:val="center"/>
          </w:tcPr>
          <w:p w14:paraId="7328F341" w14:textId="3CA66D11" w:rsidR="009024DD" w:rsidRPr="004C12C9" w:rsidRDefault="009024DD" w:rsidP="006D145D">
            <w:pPr>
              <w:pStyle w:val="ICFTabletext"/>
              <w:jc w:val="center"/>
            </w:pPr>
            <w:r w:rsidRPr="004C12C9">
              <w:t>54</w:t>
            </w:r>
            <w:r w:rsidR="00A63629" w:rsidRPr="004C12C9">
              <w:t>.0</w:t>
            </w:r>
          </w:p>
        </w:tc>
      </w:tr>
      <w:tr w:rsidR="009024DD" w:rsidRPr="004C12C9" w14:paraId="08EA941A" w14:textId="77777777" w:rsidTr="00423479">
        <w:trPr>
          <w:trHeight w:val="144"/>
        </w:trPr>
        <w:tc>
          <w:tcPr>
            <w:tcW w:w="3775" w:type="dxa"/>
            <w:noWrap/>
            <w:vAlign w:val="center"/>
          </w:tcPr>
          <w:p w14:paraId="434D373A" w14:textId="77777777" w:rsidR="009024DD" w:rsidRPr="004C12C9" w:rsidRDefault="009024DD" w:rsidP="006D145D">
            <w:pPr>
              <w:pStyle w:val="ICFTabletext"/>
            </w:pPr>
            <w:r w:rsidRPr="004C12C9">
              <w:t>Dairy cows</w:t>
            </w:r>
          </w:p>
        </w:tc>
        <w:tc>
          <w:tcPr>
            <w:tcW w:w="3960" w:type="dxa"/>
            <w:vAlign w:val="center"/>
          </w:tcPr>
          <w:p w14:paraId="044C9486" w14:textId="06FCC481" w:rsidR="009024DD" w:rsidRPr="004C12C9" w:rsidRDefault="009024DD" w:rsidP="006D145D">
            <w:pPr>
              <w:pStyle w:val="ICFTabletext"/>
              <w:jc w:val="center"/>
            </w:pPr>
            <w:r w:rsidRPr="004C12C9">
              <w:t>140</w:t>
            </w:r>
            <w:r w:rsidR="00A63629" w:rsidRPr="004C12C9">
              <w:t>.0</w:t>
            </w:r>
          </w:p>
        </w:tc>
      </w:tr>
      <w:tr w:rsidR="009024DD" w:rsidRPr="004C12C9" w14:paraId="02D26DE1" w14:textId="77777777" w:rsidTr="00423479">
        <w:trPr>
          <w:trHeight w:val="144"/>
        </w:trPr>
        <w:tc>
          <w:tcPr>
            <w:tcW w:w="3775" w:type="dxa"/>
            <w:noWrap/>
            <w:vAlign w:val="center"/>
          </w:tcPr>
          <w:p w14:paraId="2A405E7F" w14:textId="77777777" w:rsidR="009024DD" w:rsidRPr="004C12C9" w:rsidRDefault="009024DD" w:rsidP="006D145D">
            <w:pPr>
              <w:pStyle w:val="ICFTabletext"/>
            </w:pPr>
            <w:r w:rsidRPr="004C12C9">
              <w:t xml:space="preserve">Dairy calves </w:t>
            </w:r>
          </w:p>
        </w:tc>
        <w:tc>
          <w:tcPr>
            <w:tcW w:w="3960" w:type="dxa"/>
            <w:vAlign w:val="center"/>
          </w:tcPr>
          <w:p w14:paraId="0275F8B2" w14:textId="09A1239A" w:rsidR="009024DD" w:rsidRPr="004C12C9" w:rsidRDefault="009024DD" w:rsidP="006D145D">
            <w:pPr>
              <w:pStyle w:val="ICFTabletext"/>
              <w:jc w:val="center"/>
            </w:pPr>
            <w:r w:rsidRPr="004C12C9">
              <w:t>12</w:t>
            </w:r>
            <w:r w:rsidR="00A63629" w:rsidRPr="004C12C9">
              <w:t>.0</w:t>
            </w:r>
          </w:p>
        </w:tc>
      </w:tr>
      <w:tr w:rsidR="009024DD" w:rsidRPr="004C12C9" w14:paraId="476D12D1" w14:textId="77777777" w:rsidTr="00423479">
        <w:trPr>
          <w:trHeight w:val="144"/>
        </w:trPr>
        <w:tc>
          <w:tcPr>
            <w:tcW w:w="3775" w:type="dxa"/>
            <w:noWrap/>
            <w:vAlign w:val="center"/>
          </w:tcPr>
          <w:p w14:paraId="5DCE0078" w14:textId="77777777" w:rsidR="009024DD" w:rsidRPr="004C12C9" w:rsidRDefault="009024DD" w:rsidP="006D145D">
            <w:pPr>
              <w:pStyle w:val="ICFTabletext"/>
            </w:pPr>
            <w:r w:rsidRPr="004C12C9">
              <w:t>Swine, &gt;55 lbs</w:t>
            </w:r>
          </w:p>
        </w:tc>
        <w:tc>
          <w:tcPr>
            <w:tcW w:w="3960" w:type="dxa"/>
            <w:vAlign w:val="center"/>
          </w:tcPr>
          <w:p w14:paraId="42F4E11E" w14:textId="45A936C8" w:rsidR="009024DD" w:rsidRPr="004C12C9" w:rsidRDefault="009024DD" w:rsidP="006D145D">
            <w:pPr>
              <w:pStyle w:val="ICFTabletext"/>
              <w:jc w:val="center"/>
            </w:pPr>
            <w:r w:rsidRPr="004C12C9">
              <w:t>1.5</w:t>
            </w:r>
          </w:p>
        </w:tc>
      </w:tr>
      <w:tr w:rsidR="009024DD" w:rsidRPr="004C12C9" w14:paraId="3A711862" w14:textId="77777777" w:rsidTr="00423479">
        <w:trPr>
          <w:trHeight w:val="144"/>
        </w:trPr>
        <w:tc>
          <w:tcPr>
            <w:tcW w:w="3775" w:type="dxa"/>
            <w:noWrap/>
            <w:vAlign w:val="center"/>
          </w:tcPr>
          <w:p w14:paraId="3E77AA60" w14:textId="613FA8A4" w:rsidR="009024DD" w:rsidRPr="004C12C9" w:rsidRDefault="009024DD" w:rsidP="006D145D">
            <w:pPr>
              <w:pStyle w:val="ICFTabletext"/>
            </w:pPr>
            <w:r w:rsidRPr="004C12C9">
              <w:t>Swine</w:t>
            </w:r>
            <w:r w:rsidR="00900480" w:rsidRPr="004C12C9">
              <w:t>,</w:t>
            </w:r>
            <w:r w:rsidRPr="004C12C9">
              <w:t xml:space="preserve"> 55-330 lbs </w:t>
            </w:r>
          </w:p>
        </w:tc>
        <w:tc>
          <w:tcPr>
            <w:tcW w:w="3960" w:type="dxa"/>
            <w:vAlign w:val="center"/>
          </w:tcPr>
          <w:p w14:paraId="0FD00589" w14:textId="77777777" w:rsidR="009024DD" w:rsidRPr="004C12C9" w:rsidRDefault="009024DD" w:rsidP="006D145D">
            <w:pPr>
              <w:pStyle w:val="ICFTabletext"/>
              <w:jc w:val="center"/>
            </w:pPr>
            <w:r w:rsidRPr="004C12C9">
              <w:t>1.5</w:t>
            </w:r>
          </w:p>
        </w:tc>
      </w:tr>
      <w:tr w:rsidR="009024DD" w:rsidRPr="004C12C9" w14:paraId="6E2B71AD" w14:textId="77777777" w:rsidTr="00423479">
        <w:trPr>
          <w:trHeight w:val="144"/>
        </w:trPr>
        <w:tc>
          <w:tcPr>
            <w:tcW w:w="3775" w:type="dxa"/>
            <w:noWrap/>
            <w:vAlign w:val="center"/>
          </w:tcPr>
          <w:p w14:paraId="1FC1499C" w14:textId="623594A9" w:rsidR="009024DD" w:rsidRPr="004C12C9" w:rsidRDefault="009024DD" w:rsidP="006D145D">
            <w:pPr>
              <w:pStyle w:val="ICFTabletext"/>
            </w:pPr>
            <w:r w:rsidRPr="004C12C9">
              <w:t>Swine</w:t>
            </w:r>
            <w:r w:rsidR="00900480" w:rsidRPr="004C12C9">
              <w:t>,</w:t>
            </w:r>
            <w:r w:rsidRPr="004C12C9">
              <w:t xml:space="preserve"> 330+ lbs</w:t>
            </w:r>
          </w:p>
        </w:tc>
        <w:tc>
          <w:tcPr>
            <w:tcW w:w="3960" w:type="dxa"/>
            <w:vAlign w:val="center"/>
          </w:tcPr>
          <w:p w14:paraId="5531AFA0" w14:textId="77777777" w:rsidR="009024DD" w:rsidRPr="004C12C9" w:rsidRDefault="009024DD" w:rsidP="006D145D">
            <w:pPr>
              <w:pStyle w:val="ICFTabletext"/>
              <w:jc w:val="center"/>
            </w:pPr>
            <w:r w:rsidRPr="004C12C9">
              <w:t>1.5</w:t>
            </w:r>
          </w:p>
        </w:tc>
      </w:tr>
    </w:tbl>
    <w:p w14:paraId="13B4F0E9" w14:textId="77777777" w:rsidR="009024DD" w:rsidRPr="004C12C9" w:rsidRDefault="009024DD" w:rsidP="006D145D">
      <w:pPr>
        <w:pStyle w:val="TableFooter"/>
      </w:pPr>
      <w:r w:rsidRPr="004C12C9">
        <w:t>*Derived by developing a weighted average by population for the emission factors for the following categories: Replacement Heifers 7-11 Months and Replacement Heifers 12-23 Months.</w:t>
      </w:r>
    </w:p>
    <w:p w14:paraId="496C0ABA" w14:textId="7363DDC7" w:rsidR="00B20609" w:rsidRPr="004C12C9" w:rsidRDefault="00BA0984" w:rsidP="00B11EC0">
      <w:pPr>
        <w:pStyle w:val="Heading4"/>
      </w:pPr>
      <w:r w:rsidRPr="004C12C9">
        <w:t>Limitations</w:t>
      </w:r>
    </w:p>
    <w:p w14:paraId="2F939CAA" w14:textId="0B3F88DB" w:rsidR="006165D7" w:rsidRPr="004C12C9" w:rsidRDefault="006165D7" w:rsidP="000F1BEA">
      <w:pPr>
        <w:keepNext/>
      </w:pPr>
      <w:r w:rsidRPr="004C12C9">
        <w:t>Key limitations of the methodology used to quantify emissions from enteric fermentation include:</w:t>
      </w:r>
    </w:p>
    <w:p w14:paraId="00852972" w14:textId="179162E8" w:rsidR="00311CB9" w:rsidRPr="004C12C9" w:rsidRDefault="00311CB9" w:rsidP="003B5F7F">
      <w:pPr>
        <w:pStyle w:val="ListParagraph"/>
        <w:numPr>
          <w:ilvl w:val="0"/>
          <w:numId w:val="18"/>
        </w:numPr>
      </w:pPr>
      <w:r w:rsidRPr="004C12C9">
        <w:t xml:space="preserve">Although the number of animals may change from year to year, users are required to provide the average annual number of livestock over the lifespan of the project. The </w:t>
      </w:r>
      <w:r w:rsidR="008107B2" w:rsidRPr="004C12C9">
        <w:t xml:space="preserve">calculator </w:t>
      </w:r>
      <w:r w:rsidRPr="004C12C9">
        <w:t xml:space="preserve">also does not adjust for lifetimes under </w:t>
      </w:r>
      <w:r w:rsidR="00286601" w:rsidRPr="004C12C9">
        <w:t>one</w:t>
      </w:r>
      <w:r w:rsidRPr="004C12C9">
        <w:t xml:space="preserve"> year or any standard annual losses to stock.</w:t>
      </w:r>
    </w:p>
    <w:p w14:paraId="608F078A" w14:textId="3F8C1727" w:rsidR="002C1E14" w:rsidRPr="004C12C9" w:rsidRDefault="006165D7" w:rsidP="003B5F7F">
      <w:pPr>
        <w:pStyle w:val="ListParagraph"/>
        <w:numPr>
          <w:ilvl w:val="0"/>
          <w:numId w:val="18"/>
        </w:numPr>
      </w:pPr>
      <w:r w:rsidRPr="004C12C9">
        <w:t>E</w:t>
      </w:r>
      <w:r w:rsidR="002C1E14" w:rsidRPr="004C12C9">
        <w:t>mission factors for enteric fermentation are derived from state averages for Minnesota</w:t>
      </w:r>
      <w:r w:rsidR="00286601" w:rsidRPr="004C12C9">
        <w:t>,</w:t>
      </w:r>
      <w:r w:rsidR="002C1E14" w:rsidRPr="004C12C9">
        <w:t xml:space="preserve"> as reported in the U</w:t>
      </w:r>
      <w:r w:rsidR="00286601" w:rsidRPr="004C12C9">
        <w:t>.</w:t>
      </w:r>
      <w:r w:rsidR="002C1E14" w:rsidRPr="004C12C9">
        <w:t>S</w:t>
      </w:r>
      <w:r w:rsidR="00286601" w:rsidRPr="004C12C9">
        <w:t>.</w:t>
      </w:r>
      <w:r w:rsidR="002C1E14" w:rsidRPr="004C12C9">
        <w:t xml:space="preserve"> </w:t>
      </w:r>
      <w:r w:rsidR="000D5251" w:rsidRPr="004C12C9">
        <w:t>GHG</w:t>
      </w:r>
      <w:r w:rsidR="002C1E14" w:rsidRPr="004C12C9">
        <w:t xml:space="preserve"> Inventory. Emissions from enteric fermentation can vary significantly among individual animals due to differences in breed, size, and age. </w:t>
      </w:r>
      <w:r w:rsidR="00286601" w:rsidRPr="004C12C9">
        <w:t>Multiple</w:t>
      </w:r>
      <w:r w:rsidR="002C1E14" w:rsidRPr="004C12C9">
        <w:t xml:space="preserve"> management decisions also influence </w:t>
      </w:r>
      <w:r w:rsidR="002C1E14" w:rsidRPr="004C12C9">
        <w:lastRenderedPageBreak/>
        <w:t>emissions from enteric fermentation, including feed quality, composition, and feeding practices.</w:t>
      </w:r>
      <w:r w:rsidR="008703C7" w:rsidRPr="004C12C9">
        <w:t xml:space="preserve"> This </w:t>
      </w:r>
      <w:r w:rsidR="008107B2" w:rsidRPr="004C12C9">
        <w:t xml:space="preserve">calculator </w:t>
      </w:r>
      <w:r w:rsidR="008703C7" w:rsidRPr="004C12C9">
        <w:t>does not account for these factors.</w:t>
      </w:r>
    </w:p>
    <w:p w14:paraId="53E56721" w14:textId="7C6107D5" w:rsidR="00DA09FA" w:rsidRPr="004C12C9" w:rsidRDefault="00DA09FA" w:rsidP="003B5F7F">
      <w:pPr>
        <w:pStyle w:val="ListParagraph"/>
        <w:numPr>
          <w:ilvl w:val="0"/>
          <w:numId w:val="18"/>
        </w:numPr>
      </w:pPr>
      <w:r w:rsidRPr="004C12C9">
        <w:t xml:space="preserve">The method included in this </w:t>
      </w:r>
      <w:r w:rsidR="008107B2" w:rsidRPr="004C12C9">
        <w:t xml:space="preserve">calculator </w:t>
      </w:r>
      <w:r w:rsidRPr="004C12C9">
        <w:t>evaluates emissions based solely on the number of livestock in feedlot operations. It does not account for variations in animal productivity or feed efficiency, which can significantly impact emissions intensity (emissions per unit of product). This limitation may lead to over- or under-estimation of emissions for operations with particularly high or low productivity.</w:t>
      </w:r>
    </w:p>
    <w:p w14:paraId="51093D49" w14:textId="7DF56592" w:rsidR="00FC5F6E" w:rsidRPr="004C12C9" w:rsidRDefault="00F26CCF" w:rsidP="003B5F7F">
      <w:pPr>
        <w:pStyle w:val="ListParagraph"/>
        <w:numPr>
          <w:ilvl w:val="0"/>
          <w:numId w:val="18"/>
        </w:numPr>
      </w:pPr>
      <w:r w:rsidRPr="004C12C9">
        <w:t xml:space="preserve">Climate conditions, particularly ambient temperature and humidity, can impact enteric fermentation rates. The use of state-average emission factors may not fully capture these effects, especially in years with extreme weather events or as climate patterns shift due to </w:t>
      </w:r>
      <w:r w:rsidR="005A5922" w:rsidRPr="004C12C9">
        <w:t>climate change</w:t>
      </w:r>
      <w:r w:rsidRPr="004C12C9">
        <w:t xml:space="preserve">. As a result, the accuracy of these factors may diminish over time, potentially leading to </w:t>
      </w:r>
      <w:r w:rsidR="00C709C1" w:rsidRPr="004C12C9">
        <w:t>under- or over-estimation</w:t>
      </w:r>
      <w:r w:rsidRPr="004C12C9">
        <w:t xml:space="preserve"> of enteric fermentation emissions.</w:t>
      </w:r>
      <w:r w:rsidR="00FC5F6E" w:rsidRPr="004C12C9">
        <w:tab/>
      </w:r>
      <w:r w:rsidR="00FC5F6E" w:rsidRPr="004C12C9">
        <w:tab/>
      </w:r>
    </w:p>
    <w:p w14:paraId="0D952B74" w14:textId="77777777" w:rsidR="00FA415F" w:rsidRPr="004C12C9" w:rsidRDefault="00FC5F6E" w:rsidP="001640B0">
      <w:pPr>
        <w:pStyle w:val="Heading3"/>
      </w:pPr>
      <w:bookmarkStart w:id="235" w:name="_Toc219887784"/>
      <w:r w:rsidRPr="004C12C9">
        <w:t>Manure Management</w:t>
      </w:r>
      <w:bookmarkEnd w:id="235"/>
      <w:r w:rsidRPr="004C12C9">
        <w:tab/>
      </w:r>
      <w:r w:rsidRPr="004C12C9">
        <w:tab/>
      </w:r>
    </w:p>
    <w:p w14:paraId="4ECBDBA2" w14:textId="642738DB" w:rsidR="005965B3" w:rsidRPr="004C12C9" w:rsidRDefault="00255AA3" w:rsidP="00972CF9">
      <w:r w:rsidRPr="004C12C9">
        <w:t>E</w:t>
      </w:r>
      <w:r w:rsidR="00FA415F" w:rsidRPr="004C12C9">
        <w:t>missions result from the process of managing livestock manure in solid or liquid systems during project operation</w:t>
      </w:r>
      <w:r w:rsidR="00876CBD" w:rsidRPr="004C12C9">
        <w:t xml:space="preserve">, including </w:t>
      </w:r>
      <w:r w:rsidR="00E215DF" w:rsidRPr="004C12C9">
        <w:t>direct and indirect emissions from managed manure and pasture and manure land application.</w:t>
      </w:r>
      <w:r w:rsidR="00FA415F" w:rsidRPr="004C12C9">
        <w:t xml:space="preserve"> </w:t>
      </w:r>
      <w:r w:rsidR="006624E6" w:rsidRPr="004C12C9">
        <w:t xml:space="preserve">The </w:t>
      </w:r>
      <w:r w:rsidR="008107B2" w:rsidRPr="004C12C9">
        <w:t xml:space="preserve">calculator </w:t>
      </w:r>
      <w:r w:rsidR="006624E6" w:rsidRPr="004C12C9">
        <w:t xml:space="preserve">quantifies annual emissions from </w:t>
      </w:r>
      <w:r w:rsidR="00FA415F" w:rsidRPr="004C12C9">
        <w:t xml:space="preserve">manure management </w:t>
      </w:r>
      <w:r w:rsidR="006624E6" w:rsidRPr="004C12C9">
        <w:t>based on</w:t>
      </w:r>
      <w:r w:rsidR="005965B3">
        <w:t xml:space="preserve"> annual values for</w:t>
      </w:r>
      <w:r w:rsidR="006624E6" w:rsidRPr="004C12C9">
        <w:t xml:space="preserve"> the livestock population</w:t>
      </w:r>
      <w:r w:rsidR="00C72164" w:rsidRPr="004C12C9">
        <w:t xml:space="preserve">, </w:t>
      </w:r>
      <w:r w:rsidR="005965B3">
        <w:t xml:space="preserve">typical </w:t>
      </w:r>
      <w:r w:rsidR="00C72164" w:rsidRPr="004C12C9">
        <w:t>animal mass</w:t>
      </w:r>
      <w:r w:rsidR="00917F59" w:rsidRPr="004C12C9">
        <w:t xml:space="preserve">, </w:t>
      </w:r>
      <w:r w:rsidR="00F14610" w:rsidRPr="004C12C9">
        <w:t xml:space="preserve">volatile solids, </w:t>
      </w:r>
      <w:r w:rsidR="005965B3">
        <w:t xml:space="preserve">maximum </w:t>
      </w:r>
      <w:r w:rsidR="00F14610" w:rsidRPr="004C12C9">
        <w:t>methane production</w:t>
      </w:r>
      <w:r w:rsidR="005965B3">
        <w:t xml:space="preserve"> capacity</w:t>
      </w:r>
      <w:r w:rsidR="00F14610" w:rsidRPr="004C12C9">
        <w:t xml:space="preserve">, </w:t>
      </w:r>
      <w:r w:rsidR="00D47680">
        <w:t xml:space="preserve">methane conversion factors, </w:t>
      </w:r>
      <w:r w:rsidR="00917F59" w:rsidRPr="004C12C9">
        <w:t>nitrogen excretion</w:t>
      </w:r>
      <w:r w:rsidR="00CA1239" w:rsidRPr="004C12C9">
        <w:t>, volatilization</w:t>
      </w:r>
      <w:r w:rsidR="00166CFC" w:rsidRPr="004C12C9">
        <w:t xml:space="preserve">, runoff and leaching </w:t>
      </w:r>
      <w:r w:rsidR="005965B3">
        <w:t>fractions</w:t>
      </w:r>
      <w:r w:rsidR="00166CFC" w:rsidRPr="004C12C9">
        <w:t xml:space="preserve">, </w:t>
      </w:r>
      <w:r w:rsidR="00547FE0" w:rsidRPr="004C12C9">
        <w:t>system</w:t>
      </w:r>
      <w:r w:rsidR="006624E6" w:rsidRPr="004C12C9">
        <w:t xml:space="preserve">-specific emission factors, </w:t>
      </w:r>
      <w:r w:rsidR="00AD023A" w:rsidRPr="004C12C9">
        <w:t xml:space="preserve">and </w:t>
      </w:r>
      <w:r w:rsidR="00876CBD" w:rsidRPr="004C12C9">
        <w:t>the portion of manure</w:t>
      </w:r>
      <w:r w:rsidR="005965B3">
        <w:t xml:space="preserve"> managed in each</w:t>
      </w:r>
      <w:r w:rsidR="00F05A02">
        <w:t xml:space="preserve"> system and</w:t>
      </w:r>
      <w:r w:rsidR="00876CBD" w:rsidRPr="004C12C9">
        <w:t xml:space="preserve"> applied to land as a fertilizer, </w:t>
      </w:r>
      <w:r w:rsidR="006624E6" w:rsidRPr="004C12C9">
        <w:t xml:space="preserve">as shown in </w:t>
      </w:r>
      <w:r w:rsidR="00F65CE7" w:rsidRPr="004C12C9">
        <w:t>the equations below</w:t>
      </w:r>
      <w:r w:rsidR="006624E6" w:rsidRPr="004C12C9">
        <w:t>.</w:t>
      </w:r>
    </w:p>
    <w:p w14:paraId="5D69CBE3" w14:textId="4CCB1DA9" w:rsidR="00FA415F" w:rsidRPr="004C12C9" w:rsidRDefault="00FA415F" w:rsidP="00B84B9D">
      <w:pPr>
        <w:pStyle w:val="Caption"/>
      </w:pPr>
      <w:r w:rsidRPr="004C12C9">
        <w:t xml:space="preserve">Equation </w:t>
      </w:r>
      <w:r w:rsidR="00127094">
        <w:fldChar w:fldCharType="begin"/>
      </w:r>
      <w:r w:rsidR="00127094">
        <w:instrText xml:space="preserve"> SEQ Equation \* ARABIC </w:instrText>
      </w:r>
      <w:r w:rsidR="00127094">
        <w:fldChar w:fldCharType="separate"/>
      </w:r>
      <w:r w:rsidR="00C47624">
        <w:rPr>
          <w:noProof/>
        </w:rPr>
        <w:t>34</w:t>
      </w:r>
      <w:r w:rsidR="00127094">
        <w:fldChar w:fldCharType="end"/>
      </w:r>
      <w:r w:rsidR="00F05039" w:rsidRPr="004C12C9">
        <w:t xml:space="preserve">. </w:t>
      </w:r>
      <w:r w:rsidRPr="004C12C9">
        <w:t xml:space="preserve">Annual GHG </w:t>
      </w:r>
      <w:r w:rsidR="006F3A02" w:rsidRPr="004C12C9">
        <w:t>E</w:t>
      </w:r>
      <w:r w:rsidRPr="004C12C9">
        <w:t xml:space="preserve">missions from </w:t>
      </w:r>
      <w:r w:rsidR="006F3A02" w:rsidRPr="004C12C9">
        <w:t>M</w:t>
      </w:r>
      <w:r w:rsidRPr="004C12C9">
        <w:t xml:space="preserve">anure </w:t>
      </w:r>
      <w:r w:rsidR="006F3A02" w:rsidRPr="004C12C9">
        <w:t>M</w:t>
      </w:r>
      <w:r w:rsidRPr="004C12C9">
        <w:t>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50"/>
        <w:gridCol w:w="7820"/>
      </w:tblGrid>
      <w:tr w:rsidR="00052420" w:rsidRPr="004C12C9" w14:paraId="5F8B3B2D" w14:textId="77777777">
        <w:tc>
          <w:tcPr>
            <w:tcW w:w="10070" w:type="dxa"/>
            <w:gridSpan w:val="2"/>
            <w:shd w:val="clear" w:color="auto" w:fill="F2F2F2" w:themeFill="background1" w:themeFillShade="F2"/>
          </w:tcPr>
          <w:p w14:paraId="2D6D77E8" w14:textId="50880C2F" w:rsidR="00052420" w:rsidRPr="004C12C9" w:rsidRDefault="00182B5A" w:rsidP="009009C2">
            <w:pPr>
              <w:pStyle w:val="Equation"/>
              <w:keepNext/>
              <w:spacing w:after="160"/>
              <w:rPr>
                <w:bCs w:val="0"/>
                <w:noProof w:val="0"/>
              </w:rPr>
            </w:pPr>
            <m:oMathPara>
              <m:oMath>
                <m:r>
                  <w:rPr>
                    <w:noProof w:val="0"/>
                  </w:rPr>
                  <m:t>annual GHG emissions=</m:t>
                </m:r>
                <m:d>
                  <m:dPr>
                    <m:ctrlPr>
                      <w:rPr>
                        <w:bCs w:val="0"/>
                        <w:noProof w:val="0"/>
                      </w:rPr>
                    </m:ctrlPr>
                  </m:dPr>
                  <m:e>
                    <m:sSub>
                      <m:sSubPr>
                        <m:ctrlPr>
                          <w:rPr>
                            <w:bCs w:val="0"/>
                            <w:noProof w:val="0"/>
                          </w:rPr>
                        </m:ctrlPr>
                      </m:sSubPr>
                      <m:e>
                        <m:r>
                          <w:rPr>
                            <w:noProof w:val="0"/>
                          </w:rPr>
                          <m:t>CH</m:t>
                        </m:r>
                      </m:e>
                      <m:sub>
                        <m:r>
                          <w:rPr>
                            <w:noProof w:val="0"/>
                          </w:rPr>
                          <m:t>4</m:t>
                        </m:r>
                      </m:sub>
                    </m:sSub>
                    <m:r>
                      <w:rPr>
                        <w:noProof w:val="0"/>
                      </w:rPr>
                      <m:t xml:space="preserve"> emissions × </m:t>
                    </m:r>
                    <m:sSub>
                      <m:sSubPr>
                        <m:ctrlPr>
                          <w:rPr>
                            <w:bCs w:val="0"/>
                            <w:noProof w:val="0"/>
                          </w:rPr>
                        </m:ctrlPr>
                      </m:sSubPr>
                      <m:e>
                        <m:r>
                          <w:rPr>
                            <w:noProof w:val="0"/>
                          </w:rPr>
                          <m:t>GWP</m:t>
                        </m:r>
                      </m:e>
                      <m:sub>
                        <m:r>
                          <w:rPr>
                            <w:noProof w:val="0"/>
                          </w:rPr>
                          <m:t>CH4</m:t>
                        </m:r>
                      </m:sub>
                    </m:sSub>
                  </m:e>
                </m:d>
                <m:r>
                  <w:rPr>
                    <w:noProof w:val="0"/>
                  </w:rPr>
                  <m:t>+</m:t>
                </m:r>
                <m:d>
                  <m:dPr>
                    <m:ctrlPr>
                      <w:rPr>
                        <w:bCs w:val="0"/>
                        <w:noProof w:val="0"/>
                      </w:rPr>
                    </m:ctrlPr>
                  </m:dPr>
                  <m:e>
                    <m:d>
                      <m:dPr>
                        <m:ctrlPr>
                          <w:rPr>
                            <w:bCs w:val="0"/>
                            <w:noProof w:val="0"/>
                          </w:rPr>
                        </m:ctrlPr>
                      </m:dPr>
                      <m:e>
                        <m:sSub>
                          <m:sSubPr>
                            <m:ctrlPr>
                              <w:rPr>
                                <w:noProof w:val="0"/>
                              </w:rPr>
                            </m:ctrlPr>
                          </m:sSubPr>
                          <m:e>
                            <m:r>
                              <w:rPr>
                                <w:noProof w:val="0"/>
                              </w:rPr>
                              <m:t xml:space="preserve">direct </m:t>
                            </m:r>
                            <m:sSub>
                              <m:sSubPr>
                                <m:ctrlPr>
                                  <w:rPr>
                                    <w:noProof w:val="0"/>
                                  </w:rPr>
                                </m:ctrlPr>
                              </m:sSubPr>
                              <m:e>
                                <m:r>
                                  <w:rPr>
                                    <w:noProof w:val="0"/>
                                  </w:rPr>
                                  <m:t>N</m:t>
                                </m:r>
                              </m:e>
                              <m:sub>
                                <m:r>
                                  <w:rPr>
                                    <w:noProof w:val="0"/>
                                  </w:rPr>
                                  <m:t>2</m:t>
                                </m:r>
                              </m:sub>
                            </m:sSub>
                            <m:r>
                              <w:rPr>
                                <w:noProof w:val="0"/>
                              </w:rPr>
                              <m:t>O</m:t>
                            </m:r>
                          </m:e>
                          <m:sub>
                            <m:r>
                              <w:rPr>
                                <w:noProof w:val="0"/>
                              </w:rPr>
                              <m:t xml:space="preserve">manure </m:t>
                            </m:r>
                          </m:sub>
                        </m:sSub>
                        <m:r>
                          <w:rPr>
                            <w:noProof w:val="0"/>
                          </w:rPr>
                          <m:t xml:space="preserve">+ </m:t>
                        </m:r>
                        <m:sSub>
                          <m:sSubPr>
                            <m:ctrlPr>
                              <w:rPr>
                                <w:noProof w:val="0"/>
                              </w:rPr>
                            </m:ctrlPr>
                          </m:sSubPr>
                          <m:e>
                            <m:r>
                              <w:rPr>
                                <w:noProof w:val="0"/>
                              </w:rPr>
                              <m:t xml:space="preserve">indirect </m:t>
                            </m:r>
                            <m:sSub>
                              <m:sSubPr>
                                <m:ctrlPr>
                                  <w:rPr>
                                    <w:noProof w:val="0"/>
                                  </w:rPr>
                                </m:ctrlPr>
                              </m:sSubPr>
                              <m:e>
                                <m:r>
                                  <w:rPr>
                                    <w:noProof w:val="0"/>
                                  </w:rPr>
                                  <m:t>N</m:t>
                                </m:r>
                              </m:e>
                              <m:sub>
                                <m:r>
                                  <w:rPr>
                                    <w:noProof w:val="0"/>
                                  </w:rPr>
                                  <m:t>2</m:t>
                                </m:r>
                              </m:sub>
                            </m:sSub>
                            <m:r>
                              <w:rPr>
                                <w:noProof w:val="0"/>
                              </w:rPr>
                              <m:t>O</m:t>
                            </m:r>
                          </m:e>
                          <m:sub>
                            <m:r>
                              <w:rPr>
                                <w:noProof w:val="0"/>
                              </w:rPr>
                              <m:t xml:space="preserve">manure </m:t>
                            </m:r>
                          </m:sub>
                        </m:sSub>
                        <m:sSub>
                          <m:sSubPr>
                            <m:ctrlPr>
                              <w:rPr>
                                <w:noProof w:val="0"/>
                              </w:rPr>
                            </m:ctrlPr>
                          </m:sSubPr>
                          <m:e>
                            <m:r>
                              <w:rPr>
                                <w:noProof w:val="0"/>
                              </w:rPr>
                              <m:t xml:space="preserve">+ direct </m:t>
                            </m:r>
                            <m:sSub>
                              <m:sSubPr>
                                <m:ctrlPr>
                                  <w:rPr>
                                    <w:noProof w:val="0"/>
                                  </w:rPr>
                                </m:ctrlPr>
                              </m:sSubPr>
                              <m:e>
                                <m:r>
                                  <w:rPr>
                                    <w:noProof w:val="0"/>
                                  </w:rPr>
                                  <m:t>N</m:t>
                                </m:r>
                              </m:e>
                              <m:sub>
                                <m:r>
                                  <w:rPr>
                                    <w:noProof w:val="0"/>
                                  </w:rPr>
                                  <m:t>2</m:t>
                                </m:r>
                              </m:sub>
                            </m:sSub>
                            <m:r>
                              <w:rPr>
                                <w:noProof w:val="0"/>
                              </w:rPr>
                              <m:t>O</m:t>
                            </m:r>
                          </m:e>
                          <m:sub>
                            <m:r>
                              <w:rPr>
                                <w:noProof w:val="0"/>
                              </w:rPr>
                              <m:t xml:space="preserve">land </m:t>
                            </m:r>
                          </m:sub>
                        </m:sSub>
                        <m:r>
                          <w:rPr>
                            <w:noProof w:val="0"/>
                          </w:rPr>
                          <m:t xml:space="preserve">+ </m:t>
                        </m:r>
                        <m:sSub>
                          <m:sSubPr>
                            <m:ctrlPr>
                              <w:rPr>
                                <w:noProof w:val="0"/>
                              </w:rPr>
                            </m:ctrlPr>
                          </m:sSubPr>
                          <m:e>
                            <m:r>
                              <w:rPr>
                                <w:noProof w:val="0"/>
                              </w:rPr>
                              <m:t xml:space="preserve">indirect </m:t>
                            </m:r>
                            <m:sSub>
                              <m:sSubPr>
                                <m:ctrlPr>
                                  <w:rPr>
                                    <w:noProof w:val="0"/>
                                  </w:rPr>
                                </m:ctrlPr>
                              </m:sSubPr>
                              <m:e>
                                <m:r>
                                  <w:rPr>
                                    <w:noProof w:val="0"/>
                                  </w:rPr>
                                  <m:t>N</m:t>
                                </m:r>
                              </m:e>
                              <m:sub>
                                <m:r>
                                  <w:rPr>
                                    <w:noProof w:val="0"/>
                                  </w:rPr>
                                  <m:t>2</m:t>
                                </m:r>
                              </m:sub>
                            </m:sSub>
                            <m:r>
                              <w:rPr>
                                <w:noProof w:val="0"/>
                              </w:rPr>
                              <m:t>O</m:t>
                            </m:r>
                          </m:e>
                          <m:sub>
                            <m:r>
                              <w:rPr>
                                <w:noProof w:val="0"/>
                              </w:rPr>
                              <m:t xml:space="preserve">land </m:t>
                            </m:r>
                          </m:sub>
                        </m:sSub>
                      </m:e>
                    </m:d>
                    <m:r>
                      <w:rPr>
                        <w:noProof w:val="0"/>
                      </w:rPr>
                      <m:t>×</m:t>
                    </m:r>
                    <m:sSub>
                      <m:sSubPr>
                        <m:ctrlPr>
                          <w:rPr>
                            <w:bCs w:val="0"/>
                            <w:noProof w:val="0"/>
                          </w:rPr>
                        </m:ctrlPr>
                      </m:sSubPr>
                      <m:e>
                        <m:r>
                          <w:rPr>
                            <w:noProof w:val="0"/>
                          </w:rPr>
                          <m:t>GWP</m:t>
                        </m:r>
                      </m:e>
                      <m:sub>
                        <m:r>
                          <w:rPr>
                            <w:noProof w:val="0"/>
                          </w:rPr>
                          <m:t>N2O</m:t>
                        </m:r>
                      </m:sub>
                    </m:sSub>
                  </m:e>
                </m:d>
              </m:oMath>
            </m:oMathPara>
          </w:p>
          <w:p w14:paraId="641D9FE0" w14:textId="77777777" w:rsidR="00052420" w:rsidRPr="004C12C9" w:rsidRDefault="00052420" w:rsidP="00B84B9D">
            <w:pPr>
              <w:keepNext/>
              <w:rPr>
                <w:i/>
                <w:iCs/>
              </w:rPr>
            </w:pPr>
            <w:r w:rsidRPr="004C12C9">
              <w:rPr>
                <w:i/>
                <w:iCs/>
                <w:sz w:val="20"/>
                <w:szCs w:val="20"/>
              </w:rPr>
              <w:t xml:space="preserve">where, </w:t>
            </w:r>
          </w:p>
        </w:tc>
      </w:tr>
      <w:tr w:rsidR="00052420" w:rsidRPr="004C12C9" w14:paraId="35440DDA" w14:textId="77777777" w:rsidTr="009F5A21">
        <w:tc>
          <w:tcPr>
            <w:tcW w:w="2250" w:type="dxa"/>
            <w:shd w:val="clear" w:color="auto" w:fill="F2F2F2" w:themeFill="background1" w:themeFillShade="F2"/>
          </w:tcPr>
          <w:p w14:paraId="26E9C0B6" w14:textId="3F95E87E" w:rsidR="00052420" w:rsidRPr="004C12C9" w:rsidRDefault="00052420"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CH</w:t>
            </w:r>
            <w:r w:rsidRPr="004C12C9">
              <w:rPr>
                <w:rFonts w:ascii="Calibri" w:eastAsia="Arial" w:hAnsi="Calibri"/>
                <w:bCs w:val="0"/>
                <w:i w:val="0"/>
                <w:noProof w:val="0"/>
                <w:color w:val="auto"/>
                <w:sz w:val="20"/>
                <w:szCs w:val="20"/>
                <w:vertAlign w:val="subscript"/>
              </w:rPr>
              <w:t>4</w:t>
            </w:r>
            <w:r w:rsidRPr="004C12C9">
              <w:rPr>
                <w:rFonts w:ascii="Calibri" w:eastAsia="Arial" w:hAnsi="Calibri"/>
                <w:bCs w:val="0"/>
                <w:i w:val="0"/>
                <w:noProof w:val="0"/>
                <w:color w:val="auto"/>
                <w:sz w:val="20"/>
                <w:szCs w:val="20"/>
              </w:rPr>
              <w:t xml:space="preserve"> emissions</w:t>
            </w:r>
          </w:p>
          <w:p w14:paraId="36DED706" w14:textId="1136D88E" w:rsidR="00A42E85" w:rsidRPr="004C12C9" w:rsidRDefault="00052420"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Direct</w:t>
            </w:r>
            <w:r w:rsidR="00F8371D">
              <w:rPr>
                <w:rFonts w:ascii="Calibri" w:eastAsia="Arial" w:hAnsi="Calibri"/>
                <w:bCs w:val="0"/>
                <w:i w:val="0"/>
                <w:noProof w:val="0"/>
                <w:color w:val="auto"/>
                <w:sz w:val="20"/>
                <w:szCs w:val="20"/>
              </w:rPr>
              <w:t xml:space="preserve"> N</w:t>
            </w:r>
            <w:r w:rsidR="00F8371D" w:rsidRPr="00082CE6">
              <w:rPr>
                <w:rFonts w:ascii="Calibri" w:eastAsia="Arial" w:hAnsi="Calibri"/>
                <w:bCs w:val="0"/>
                <w:i w:val="0"/>
                <w:noProof w:val="0"/>
                <w:color w:val="auto"/>
                <w:sz w:val="20"/>
                <w:szCs w:val="20"/>
                <w:vertAlign w:val="subscript"/>
              </w:rPr>
              <w:t>2</w:t>
            </w:r>
            <w:r w:rsidR="00F8371D">
              <w:rPr>
                <w:rFonts w:ascii="Calibri" w:eastAsia="Arial" w:hAnsi="Calibri"/>
                <w:bCs w:val="0"/>
                <w:i w:val="0"/>
                <w:noProof w:val="0"/>
                <w:color w:val="auto"/>
                <w:sz w:val="20"/>
                <w:szCs w:val="20"/>
              </w:rPr>
              <w:t>O</w:t>
            </w:r>
            <w:r w:rsidR="008744FB" w:rsidRPr="004C12C9">
              <w:rPr>
                <w:rFonts w:ascii="Calibri" w:eastAsia="Arial" w:hAnsi="Calibri"/>
                <w:bCs w:val="0"/>
                <w:i w:val="0"/>
                <w:noProof w:val="0"/>
                <w:color w:val="auto"/>
                <w:sz w:val="20"/>
                <w:szCs w:val="20"/>
                <w:vertAlign w:val="subscript"/>
              </w:rPr>
              <w:t>manure</w:t>
            </w:r>
            <w:r w:rsidRPr="004C12C9">
              <w:rPr>
                <w:rFonts w:ascii="Calibri" w:eastAsia="Arial" w:hAnsi="Calibri"/>
                <w:bCs w:val="0"/>
                <w:i w:val="0"/>
                <w:noProof w:val="0"/>
                <w:color w:val="auto"/>
                <w:sz w:val="20"/>
                <w:szCs w:val="20"/>
              </w:rPr>
              <w:t xml:space="preserve"> </w:t>
            </w:r>
          </w:p>
          <w:p w14:paraId="6B59A669" w14:textId="2F79B67E" w:rsidR="009D3B90" w:rsidRPr="004C12C9" w:rsidRDefault="00A42E85"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Indirect</w:t>
            </w:r>
            <w:r w:rsidR="00F8371D">
              <w:rPr>
                <w:rFonts w:ascii="Calibri" w:eastAsia="Arial" w:hAnsi="Calibri"/>
                <w:bCs w:val="0"/>
                <w:i w:val="0"/>
                <w:noProof w:val="0"/>
                <w:color w:val="auto"/>
                <w:sz w:val="20"/>
                <w:szCs w:val="20"/>
              </w:rPr>
              <w:t xml:space="preserve"> N</w:t>
            </w:r>
            <w:r w:rsidR="00F8371D" w:rsidRPr="00376844">
              <w:rPr>
                <w:rFonts w:ascii="Calibri" w:eastAsia="Arial" w:hAnsi="Calibri"/>
                <w:bCs w:val="0"/>
                <w:i w:val="0"/>
                <w:noProof w:val="0"/>
                <w:color w:val="auto"/>
                <w:sz w:val="20"/>
                <w:szCs w:val="20"/>
                <w:vertAlign w:val="subscript"/>
              </w:rPr>
              <w:t>2</w:t>
            </w:r>
            <w:r w:rsidR="00F8371D">
              <w:rPr>
                <w:rFonts w:ascii="Calibri" w:eastAsia="Arial" w:hAnsi="Calibri"/>
                <w:bCs w:val="0"/>
                <w:i w:val="0"/>
                <w:noProof w:val="0"/>
                <w:color w:val="auto"/>
                <w:sz w:val="20"/>
                <w:szCs w:val="20"/>
              </w:rPr>
              <w:t>O</w:t>
            </w:r>
            <w:r w:rsidR="008744FB" w:rsidRPr="004C12C9">
              <w:rPr>
                <w:rFonts w:ascii="Calibri" w:eastAsia="Arial" w:hAnsi="Calibri"/>
                <w:bCs w:val="0"/>
                <w:i w:val="0"/>
                <w:noProof w:val="0"/>
                <w:color w:val="auto"/>
                <w:sz w:val="20"/>
                <w:szCs w:val="20"/>
                <w:vertAlign w:val="subscript"/>
              </w:rPr>
              <w:t>manure</w:t>
            </w:r>
            <w:r w:rsidRPr="004C12C9">
              <w:rPr>
                <w:rFonts w:ascii="Calibri" w:eastAsia="Arial" w:hAnsi="Calibri"/>
                <w:bCs w:val="0"/>
                <w:i w:val="0"/>
                <w:noProof w:val="0"/>
                <w:color w:val="auto"/>
                <w:sz w:val="20"/>
                <w:szCs w:val="20"/>
              </w:rPr>
              <w:t xml:space="preserve"> </w:t>
            </w:r>
          </w:p>
          <w:p w14:paraId="3314092F" w14:textId="526E6ED1" w:rsidR="008744FB" w:rsidRPr="004C12C9" w:rsidRDefault="008744FB"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Direct</w:t>
            </w:r>
            <w:r w:rsidR="00F8371D">
              <w:rPr>
                <w:rFonts w:ascii="Calibri" w:eastAsia="Arial" w:hAnsi="Calibri"/>
                <w:bCs w:val="0"/>
                <w:i w:val="0"/>
                <w:noProof w:val="0"/>
                <w:color w:val="auto"/>
                <w:sz w:val="20"/>
                <w:szCs w:val="20"/>
              </w:rPr>
              <w:t xml:space="preserve"> N</w:t>
            </w:r>
            <w:r w:rsidR="00F8371D" w:rsidRPr="00082CE6">
              <w:rPr>
                <w:rFonts w:ascii="Calibri" w:eastAsia="Arial" w:hAnsi="Calibri"/>
                <w:bCs w:val="0"/>
                <w:i w:val="0"/>
                <w:noProof w:val="0"/>
                <w:color w:val="auto"/>
                <w:sz w:val="20"/>
                <w:szCs w:val="20"/>
                <w:vertAlign w:val="subscript"/>
              </w:rPr>
              <w:t>2</w:t>
            </w:r>
            <w:r w:rsidR="00F8371D">
              <w:rPr>
                <w:rFonts w:ascii="Calibri" w:eastAsia="Arial" w:hAnsi="Calibri"/>
                <w:bCs w:val="0"/>
                <w:i w:val="0"/>
                <w:noProof w:val="0"/>
                <w:color w:val="auto"/>
                <w:sz w:val="20"/>
                <w:szCs w:val="20"/>
              </w:rPr>
              <w:t>O</w:t>
            </w:r>
            <w:r w:rsidRPr="004C12C9">
              <w:rPr>
                <w:rFonts w:ascii="Calibri" w:eastAsia="Arial" w:hAnsi="Calibri"/>
                <w:bCs w:val="0"/>
                <w:i w:val="0"/>
                <w:noProof w:val="0"/>
                <w:color w:val="auto"/>
                <w:sz w:val="20"/>
                <w:szCs w:val="20"/>
                <w:vertAlign w:val="subscript"/>
              </w:rPr>
              <w:t>land</w:t>
            </w:r>
            <w:r w:rsidRPr="004C12C9">
              <w:rPr>
                <w:rFonts w:ascii="Calibri" w:eastAsia="Arial" w:hAnsi="Calibri"/>
                <w:bCs w:val="0"/>
                <w:i w:val="0"/>
                <w:noProof w:val="0"/>
                <w:color w:val="auto"/>
                <w:sz w:val="20"/>
                <w:szCs w:val="20"/>
              </w:rPr>
              <w:t xml:space="preserve"> </w:t>
            </w:r>
          </w:p>
          <w:p w14:paraId="0100CEED" w14:textId="1A0B45BB" w:rsidR="008744FB" w:rsidRPr="004C12C9" w:rsidRDefault="008744FB"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Indirect</w:t>
            </w:r>
            <w:r w:rsidR="00F8371D">
              <w:rPr>
                <w:rFonts w:ascii="Calibri" w:eastAsia="Arial" w:hAnsi="Calibri"/>
                <w:bCs w:val="0"/>
                <w:i w:val="0"/>
                <w:noProof w:val="0"/>
                <w:color w:val="auto"/>
                <w:sz w:val="20"/>
                <w:szCs w:val="20"/>
              </w:rPr>
              <w:t xml:space="preserve"> N</w:t>
            </w:r>
            <w:r w:rsidR="00F8371D" w:rsidRPr="00082CE6">
              <w:rPr>
                <w:rFonts w:ascii="Calibri" w:eastAsia="Arial" w:hAnsi="Calibri"/>
                <w:bCs w:val="0"/>
                <w:i w:val="0"/>
                <w:noProof w:val="0"/>
                <w:color w:val="auto"/>
                <w:sz w:val="20"/>
                <w:szCs w:val="20"/>
                <w:vertAlign w:val="subscript"/>
              </w:rPr>
              <w:t>2</w:t>
            </w:r>
            <w:r w:rsidR="00F8371D">
              <w:rPr>
                <w:rFonts w:ascii="Calibri" w:eastAsia="Arial" w:hAnsi="Calibri"/>
                <w:bCs w:val="0"/>
                <w:i w:val="0"/>
                <w:noProof w:val="0"/>
                <w:color w:val="auto"/>
                <w:sz w:val="20"/>
                <w:szCs w:val="20"/>
              </w:rPr>
              <w:t>O</w:t>
            </w:r>
            <w:r w:rsidRPr="004C12C9">
              <w:rPr>
                <w:rFonts w:ascii="Calibri" w:eastAsia="Arial" w:hAnsi="Calibri"/>
                <w:bCs w:val="0"/>
                <w:i w:val="0"/>
                <w:noProof w:val="0"/>
                <w:color w:val="auto"/>
                <w:sz w:val="20"/>
                <w:szCs w:val="20"/>
                <w:vertAlign w:val="subscript"/>
              </w:rPr>
              <w:t>land</w:t>
            </w:r>
          </w:p>
          <w:p w14:paraId="65B08005" w14:textId="22B125B8" w:rsidR="00052420" w:rsidRPr="004C12C9" w:rsidRDefault="00052420"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CH4</w:t>
            </w:r>
          </w:p>
          <w:p w14:paraId="30E96394" w14:textId="77777777" w:rsidR="00D77C1F" w:rsidRPr="004C12C9" w:rsidRDefault="00D77C1F"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vertAlign w:val="subscript"/>
              </w:rPr>
              <w:t>N2O</w:t>
            </w:r>
          </w:p>
          <w:p w14:paraId="55E74DE7" w14:textId="3F2C3694" w:rsidR="00D77C1F" w:rsidRPr="004C12C9" w:rsidRDefault="00D77C1F" w:rsidP="00B84B9D">
            <w:pPr>
              <w:pStyle w:val="Equation"/>
              <w:keepNext/>
              <w:spacing w:before="0" w:after="0"/>
              <w:jc w:val="left"/>
              <w:rPr>
                <w:rFonts w:ascii="Calibri" w:eastAsia="Arial" w:hAnsi="Calibri"/>
                <w:bCs w:val="0"/>
                <w:i w:val="0"/>
                <w:noProof w:val="0"/>
                <w:color w:val="auto"/>
                <w:sz w:val="20"/>
                <w:szCs w:val="20"/>
              </w:rPr>
            </w:pPr>
          </w:p>
        </w:tc>
        <w:tc>
          <w:tcPr>
            <w:tcW w:w="7820" w:type="dxa"/>
            <w:shd w:val="clear" w:color="auto" w:fill="F2F2F2" w:themeFill="background1" w:themeFillShade="F2"/>
          </w:tcPr>
          <w:p w14:paraId="25A4752E" w14:textId="63F078B3" w:rsidR="00052420" w:rsidRPr="004C12C9" w:rsidRDefault="00052420"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D77C1F" w:rsidRPr="004C12C9">
              <w:rPr>
                <w:rFonts w:ascii="Calibri" w:eastAsia="Arial" w:hAnsi="Calibri"/>
                <w:bCs w:val="0"/>
                <w:i w:val="0"/>
                <w:noProof w:val="0"/>
                <w:color w:val="auto"/>
                <w:sz w:val="20"/>
                <w:szCs w:val="20"/>
              </w:rPr>
              <w:t>Annual manure management CH</w:t>
            </w:r>
            <w:r w:rsidR="00D77C1F" w:rsidRPr="004C12C9">
              <w:rPr>
                <w:rFonts w:ascii="Calibri" w:eastAsia="Arial" w:hAnsi="Calibri"/>
                <w:bCs w:val="0"/>
                <w:i w:val="0"/>
                <w:noProof w:val="0"/>
                <w:color w:val="auto"/>
                <w:sz w:val="20"/>
                <w:szCs w:val="20"/>
                <w:vertAlign w:val="subscript"/>
              </w:rPr>
              <w:t>4</w:t>
            </w:r>
            <w:r w:rsidR="00D77C1F" w:rsidRPr="004C12C9">
              <w:rPr>
                <w:rFonts w:ascii="Calibri" w:eastAsia="Arial" w:hAnsi="Calibri"/>
                <w:bCs w:val="0"/>
                <w:i w:val="0"/>
                <w:noProof w:val="0"/>
                <w:color w:val="auto"/>
                <w:sz w:val="20"/>
                <w:szCs w:val="20"/>
              </w:rPr>
              <w:t xml:space="preserve"> emissions (kgCH</w:t>
            </w:r>
            <w:r w:rsidR="00D77C1F" w:rsidRPr="004C12C9">
              <w:rPr>
                <w:rFonts w:ascii="Calibri" w:eastAsia="Arial" w:hAnsi="Calibri"/>
                <w:bCs w:val="0"/>
                <w:i w:val="0"/>
                <w:noProof w:val="0"/>
                <w:color w:val="auto"/>
                <w:sz w:val="20"/>
                <w:szCs w:val="20"/>
                <w:vertAlign w:val="subscript"/>
              </w:rPr>
              <w:t>4</w:t>
            </w:r>
            <w:r w:rsidR="00D77C1F" w:rsidRPr="004C12C9">
              <w:rPr>
                <w:rFonts w:ascii="Calibri" w:eastAsia="Arial" w:hAnsi="Calibri"/>
                <w:bCs w:val="0"/>
                <w:i w:val="0"/>
                <w:noProof w:val="0"/>
                <w:color w:val="auto"/>
                <w:sz w:val="20"/>
                <w:szCs w:val="20"/>
              </w:rPr>
              <w:t>)</w:t>
            </w:r>
          </w:p>
          <w:p w14:paraId="31302C85" w14:textId="74534218" w:rsidR="00052420" w:rsidRPr="004C12C9" w:rsidRDefault="00052420" w:rsidP="00B84B9D">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D77C1F" w:rsidRPr="004C12C9">
              <w:rPr>
                <w:rFonts w:ascii="Calibri" w:eastAsia="Arial" w:hAnsi="Calibri"/>
                <w:bCs w:val="0"/>
                <w:i w:val="0"/>
                <w:noProof w:val="0"/>
                <w:color w:val="auto"/>
                <w:sz w:val="20"/>
                <w:szCs w:val="20"/>
              </w:rPr>
              <w:t>Annual direct N</w:t>
            </w:r>
            <w:r w:rsidR="00D77C1F" w:rsidRPr="004C12C9">
              <w:rPr>
                <w:rFonts w:ascii="Calibri" w:eastAsia="Arial" w:hAnsi="Calibri"/>
                <w:bCs w:val="0"/>
                <w:i w:val="0"/>
                <w:noProof w:val="0"/>
                <w:color w:val="auto"/>
                <w:sz w:val="20"/>
                <w:szCs w:val="20"/>
                <w:vertAlign w:val="subscript"/>
              </w:rPr>
              <w:t>2</w:t>
            </w:r>
            <w:r w:rsidR="00D77C1F" w:rsidRPr="004C12C9">
              <w:rPr>
                <w:rFonts w:ascii="Calibri" w:eastAsia="Arial" w:hAnsi="Calibri"/>
                <w:bCs w:val="0"/>
                <w:i w:val="0"/>
                <w:noProof w:val="0"/>
                <w:color w:val="auto"/>
                <w:sz w:val="20"/>
                <w:szCs w:val="20"/>
              </w:rPr>
              <w:t>O emissions</w:t>
            </w:r>
            <w:r w:rsidR="008744FB" w:rsidRPr="004C12C9">
              <w:rPr>
                <w:rFonts w:ascii="Calibri" w:eastAsia="Arial" w:hAnsi="Calibri"/>
                <w:bCs w:val="0"/>
                <w:i w:val="0"/>
                <w:noProof w:val="0"/>
                <w:color w:val="auto"/>
                <w:sz w:val="20"/>
                <w:szCs w:val="20"/>
              </w:rPr>
              <w:t xml:space="preserve"> from managed manure and pasture</w:t>
            </w:r>
            <w:r w:rsidR="00D77C1F" w:rsidRPr="004C12C9">
              <w:rPr>
                <w:rFonts w:ascii="Calibri" w:eastAsia="Arial" w:hAnsi="Calibri"/>
                <w:bCs w:val="0"/>
                <w:i w:val="0"/>
                <w:noProof w:val="0"/>
                <w:color w:val="auto"/>
                <w:sz w:val="20"/>
                <w:szCs w:val="20"/>
              </w:rPr>
              <w:t xml:space="preserve"> (kgN</w:t>
            </w:r>
            <w:r w:rsidR="00D77C1F" w:rsidRPr="004C12C9">
              <w:rPr>
                <w:rFonts w:ascii="Calibri" w:eastAsia="Arial" w:hAnsi="Calibri"/>
                <w:bCs w:val="0"/>
                <w:i w:val="0"/>
                <w:noProof w:val="0"/>
                <w:color w:val="auto"/>
                <w:sz w:val="20"/>
                <w:szCs w:val="20"/>
                <w:vertAlign w:val="subscript"/>
              </w:rPr>
              <w:t>2</w:t>
            </w:r>
            <w:r w:rsidR="00D77C1F" w:rsidRPr="004C12C9">
              <w:rPr>
                <w:rFonts w:ascii="Calibri" w:eastAsia="Arial" w:hAnsi="Calibri"/>
                <w:bCs w:val="0"/>
                <w:i w:val="0"/>
                <w:noProof w:val="0"/>
                <w:color w:val="auto"/>
                <w:sz w:val="20"/>
                <w:szCs w:val="20"/>
              </w:rPr>
              <w:t>O)</w:t>
            </w:r>
          </w:p>
          <w:p w14:paraId="12B08E97" w14:textId="452EFCEB" w:rsidR="00D77C1F" w:rsidRPr="004C12C9" w:rsidRDefault="00D77C1F" w:rsidP="00B84B9D">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indirect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 emissions</w:t>
            </w:r>
            <w:r w:rsidR="008744FB" w:rsidRPr="004C12C9">
              <w:rPr>
                <w:rFonts w:ascii="Calibri" w:eastAsia="Arial" w:hAnsi="Calibri"/>
                <w:bCs w:val="0"/>
                <w:i w:val="0"/>
                <w:noProof w:val="0"/>
                <w:color w:val="auto"/>
                <w:sz w:val="20"/>
                <w:szCs w:val="20"/>
              </w:rPr>
              <w:t xml:space="preserve"> from managed manure and pasture</w:t>
            </w:r>
            <w:r w:rsidRPr="004C12C9">
              <w:rPr>
                <w:rFonts w:ascii="Calibri" w:eastAsia="Arial" w:hAnsi="Calibri"/>
                <w:bCs w:val="0"/>
                <w:i w:val="0"/>
                <w:noProof w:val="0"/>
                <w:color w:val="auto"/>
                <w:sz w:val="20"/>
                <w:szCs w:val="20"/>
              </w:rPr>
              <w:t xml:space="preserve"> (kgN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p w14:paraId="06667915" w14:textId="1B4ACE70" w:rsidR="008744FB" w:rsidRPr="004C12C9" w:rsidRDefault="008744FB" w:rsidP="00B84B9D">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direct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 xml:space="preserve">O emissions from </w:t>
            </w:r>
            <w:r w:rsidR="00B84B9D" w:rsidRPr="004C12C9">
              <w:rPr>
                <w:rFonts w:ascii="Calibri" w:eastAsia="Arial" w:hAnsi="Calibri"/>
                <w:bCs w:val="0"/>
                <w:i w:val="0"/>
                <w:noProof w:val="0"/>
                <w:color w:val="auto"/>
                <w:sz w:val="20"/>
                <w:szCs w:val="20"/>
              </w:rPr>
              <w:t>manure land application</w:t>
            </w:r>
            <w:r w:rsidRPr="004C12C9">
              <w:rPr>
                <w:rFonts w:ascii="Calibri" w:eastAsia="Arial" w:hAnsi="Calibri"/>
                <w:bCs w:val="0"/>
                <w:i w:val="0"/>
                <w:noProof w:val="0"/>
                <w:color w:val="auto"/>
                <w:sz w:val="20"/>
                <w:szCs w:val="20"/>
              </w:rPr>
              <w:t xml:space="preserve"> (kgN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p w14:paraId="243FC4BE" w14:textId="5673D4E4" w:rsidR="008744FB" w:rsidRPr="004C12C9" w:rsidRDefault="008744FB" w:rsidP="00B84B9D">
            <w:pPr>
              <w:pStyle w:val="Equation"/>
              <w:keepNext/>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indirect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 xml:space="preserve">O emissions from </w:t>
            </w:r>
            <w:r w:rsidR="00B84B9D" w:rsidRPr="004C12C9">
              <w:rPr>
                <w:rFonts w:ascii="Calibri" w:eastAsia="Arial" w:hAnsi="Calibri"/>
                <w:bCs w:val="0"/>
                <w:i w:val="0"/>
                <w:noProof w:val="0"/>
                <w:color w:val="auto"/>
                <w:sz w:val="20"/>
                <w:szCs w:val="20"/>
              </w:rPr>
              <w:t xml:space="preserve">manure land application </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p w14:paraId="2028B6BF" w14:textId="5C938DC4" w:rsidR="00052420" w:rsidRPr="004C12C9" w:rsidRDefault="00052420"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The </w:t>
            </w:r>
            <w:r w:rsidR="00BF0188"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rPr>
              <w:t xml:space="preserve"> for methane</w:t>
            </w:r>
          </w:p>
          <w:p w14:paraId="7F2C06BE" w14:textId="5FFB8E39" w:rsidR="00E14ABA" w:rsidRPr="004C12C9" w:rsidRDefault="00E14ABA" w:rsidP="00B84B9D">
            <w:pPr>
              <w:pStyle w:val="Equation"/>
              <w:keepNext/>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The </w:t>
            </w:r>
            <w:r w:rsidR="00BF0188" w:rsidRPr="004C12C9">
              <w:rPr>
                <w:rFonts w:ascii="Calibri" w:eastAsia="Arial" w:hAnsi="Calibri"/>
                <w:bCs w:val="0"/>
                <w:i w:val="0"/>
                <w:noProof w:val="0"/>
                <w:color w:val="auto"/>
                <w:sz w:val="20"/>
                <w:szCs w:val="20"/>
              </w:rPr>
              <w:t>GWP</w:t>
            </w:r>
            <w:r w:rsidRPr="004C12C9">
              <w:rPr>
                <w:rFonts w:ascii="Calibri" w:eastAsia="Arial" w:hAnsi="Calibri"/>
                <w:bCs w:val="0"/>
                <w:i w:val="0"/>
                <w:noProof w:val="0"/>
                <w:color w:val="auto"/>
                <w:sz w:val="20"/>
                <w:szCs w:val="20"/>
              </w:rPr>
              <w:t xml:space="preserve"> for nitrous oxide</w:t>
            </w:r>
          </w:p>
          <w:p w14:paraId="54F77B5A" w14:textId="77777777" w:rsidR="00052420" w:rsidRPr="004C12C9" w:rsidRDefault="00052420" w:rsidP="00B84B9D">
            <w:pPr>
              <w:pStyle w:val="Equation"/>
              <w:keepNext/>
              <w:spacing w:before="0" w:after="0"/>
              <w:jc w:val="left"/>
              <w:rPr>
                <w:rFonts w:ascii="Calibri" w:eastAsia="Arial" w:hAnsi="Calibri"/>
                <w:bCs w:val="0"/>
                <w:i w:val="0"/>
                <w:noProof w:val="0"/>
                <w:color w:val="auto"/>
                <w:sz w:val="20"/>
                <w:szCs w:val="20"/>
              </w:rPr>
            </w:pPr>
          </w:p>
        </w:tc>
      </w:tr>
    </w:tbl>
    <w:p w14:paraId="34B25C05" w14:textId="273DC825" w:rsidR="00FA415F" w:rsidRPr="004C12C9" w:rsidRDefault="009F5A21" w:rsidP="00B963CB">
      <w:pPr>
        <w:pStyle w:val="Caption"/>
        <w:keepNext w:val="0"/>
      </w:pPr>
      <w:r w:rsidRPr="004C12C9">
        <w:t xml:space="preserve">Equation </w:t>
      </w:r>
      <w:r w:rsidR="00127094">
        <w:fldChar w:fldCharType="begin"/>
      </w:r>
      <w:r w:rsidR="00127094">
        <w:instrText xml:space="preserve"> SEQ Equation \* ARABIC </w:instrText>
      </w:r>
      <w:r w:rsidR="00127094">
        <w:fldChar w:fldCharType="separate"/>
      </w:r>
      <w:r w:rsidR="00C47624">
        <w:rPr>
          <w:noProof/>
        </w:rPr>
        <w:t>35</w:t>
      </w:r>
      <w:r w:rsidR="00127094">
        <w:fldChar w:fldCharType="end"/>
      </w:r>
      <w:r w:rsidRPr="004C12C9">
        <w:t xml:space="preserve">. </w:t>
      </w:r>
      <w:r w:rsidR="00FA415F" w:rsidRPr="004C12C9">
        <w:t xml:space="preserve">Annual </w:t>
      </w:r>
      <w:r w:rsidR="00C95328" w:rsidRPr="004C12C9">
        <w:t>M</w:t>
      </w:r>
      <w:r w:rsidR="00FA415F" w:rsidRPr="004C12C9">
        <w:t xml:space="preserve">ethane </w:t>
      </w:r>
      <w:r w:rsidR="00C95328" w:rsidRPr="004C12C9">
        <w:t>E</w:t>
      </w:r>
      <w:r w:rsidR="00FA415F" w:rsidRPr="004C12C9">
        <w:t xml:space="preserve">missions from </w:t>
      </w:r>
      <w:r w:rsidR="00C95328" w:rsidRPr="004C12C9">
        <w:t>M</w:t>
      </w:r>
      <w:r w:rsidR="00FA415F" w:rsidRPr="004C12C9">
        <w:t xml:space="preserve">anure </w:t>
      </w:r>
      <w:r w:rsidR="00C95328" w:rsidRPr="004C12C9">
        <w:t>M</w:t>
      </w:r>
      <w:r w:rsidR="00FA415F" w:rsidRPr="004C12C9">
        <w:t>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50"/>
        <w:gridCol w:w="7820"/>
      </w:tblGrid>
      <w:tr w:rsidR="00AC74D8" w:rsidRPr="004C12C9" w14:paraId="62B04F68" w14:textId="77777777">
        <w:tc>
          <w:tcPr>
            <w:tcW w:w="10070" w:type="dxa"/>
            <w:gridSpan w:val="2"/>
            <w:shd w:val="clear" w:color="auto" w:fill="F2F2F2" w:themeFill="background1" w:themeFillShade="F2"/>
          </w:tcPr>
          <w:p w14:paraId="6177C047" w14:textId="23F01B13" w:rsidR="007F5EDB" w:rsidRPr="004C12C9" w:rsidRDefault="00000000" w:rsidP="009009C2">
            <w:pPr>
              <w:pStyle w:val="Equation"/>
              <w:spacing w:after="160"/>
              <w:rPr>
                <w:rFonts w:eastAsia="Arial"/>
                <w:iCs/>
                <w:noProof w:val="0"/>
              </w:rPr>
            </w:pPr>
            <m:oMathPara>
              <m:oMath>
                <m:sSub>
                  <m:sSubPr>
                    <m:ctrlPr>
                      <w:rPr>
                        <w:noProof w:val="0"/>
                      </w:rPr>
                    </m:ctrlPr>
                  </m:sSubPr>
                  <m:e>
                    <m:r>
                      <w:rPr>
                        <w:noProof w:val="0"/>
                      </w:rPr>
                      <m:t>annual CH</m:t>
                    </m:r>
                  </m:e>
                  <m:sub>
                    <m:r>
                      <w:rPr>
                        <w:noProof w:val="0"/>
                      </w:rPr>
                      <m:t>4</m:t>
                    </m:r>
                  </m:sub>
                </m:sSub>
                <m:r>
                  <w:rPr>
                    <w:noProof w:val="0"/>
                  </w:rPr>
                  <m:t xml:space="preserve"> emissions= </m:t>
                </m:r>
                <m:nary>
                  <m:naryPr>
                    <m:chr m:val="∑"/>
                    <m:limLoc m:val="undOvr"/>
                    <m:subHide m:val="1"/>
                    <m:supHide m:val="1"/>
                    <m:ctrlPr>
                      <w:rPr>
                        <w:noProof w:val="0"/>
                      </w:rPr>
                    </m:ctrlPr>
                  </m:naryPr>
                  <m:sub/>
                  <m:sup/>
                  <m:e>
                    <m:sSub>
                      <m:sSubPr>
                        <m:ctrlPr>
                          <w:rPr>
                            <w:noProof w:val="0"/>
                          </w:rPr>
                        </m:ctrlPr>
                      </m:sSubPr>
                      <m:e>
                        <m:sSub>
                          <m:sSubPr>
                            <m:ctrlPr>
                              <w:rPr>
                                <w:noProof w:val="0"/>
                              </w:rPr>
                            </m:ctrlPr>
                          </m:sSubPr>
                          <m:e>
                            <m:r>
                              <w:rPr>
                                <w:noProof w:val="0"/>
                              </w:rPr>
                              <m:t>livestock</m:t>
                            </m:r>
                          </m:e>
                          <m:sub>
                            <m:r>
                              <w:rPr>
                                <w:noProof w:val="0"/>
                              </w:rPr>
                              <m:t>t</m:t>
                            </m:r>
                          </m:sub>
                        </m:sSub>
                        <m:r>
                          <w:rPr>
                            <w:noProof w:val="0"/>
                          </w:rPr>
                          <m:t xml:space="preserve"> ×</m:t>
                        </m:r>
                        <m:sSub>
                          <m:sSubPr>
                            <m:ctrlPr>
                              <w:rPr>
                                <w:noProof w:val="0"/>
                              </w:rPr>
                            </m:ctrlPr>
                          </m:sSubPr>
                          <m:e>
                            <m:r>
                              <w:rPr>
                                <w:noProof w:val="0"/>
                              </w:rPr>
                              <m:t>TAM</m:t>
                            </m:r>
                          </m:e>
                          <m:sub>
                            <m:r>
                              <w:rPr>
                                <w:noProof w:val="0"/>
                              </w:rPr>
                              <m:t>t</m:t>
                            </m:r>
                          </m:sub>
                        </m:sSub>
                        <m:r>
                          <w:rPr>
                            <w:noProof w:val="0"/>
                          </w:rPr>
                          <m:t xml:space="preserve"> ×VS</m:t>
                        </m:r>
                      </m:e>
                      <m:sub>
                        <m:r>
                          <w:rPr>
                            <w:noProof w:val="0"/>
                          </w:rPr>
                          <m:t>t</m:t>
                        </m:r>
                      </m:sub>
                    </m:sSub>
                    <m:r>
                      <w:rPr>
                        <w:noProof w:val="0"/>
                      </w:rPr>
                      <m:t>×</m:t>
                    </m:r>
                    <m:sSub>
                      <m:sSubPr>
                        <m:ctrlPr>
                          <w:rPr>
                            <w:noProof w:val="0"/>
                          </w:rPr>
                        </m:ctrlPr>
                      </m:sSubPr>
                      <m:e>
                        <m:r>
                          <w:rPr>
                            <w:noProof w:val="0"/>
                          </w:rPr>
                          <m:t>B</m:t>
                        </m:r>
                        <m:r>
                          <m:t>0</m:t>
                        </m:r>
                      </m:e>
                      <m:sub>
                        <m:r>
                          <w:rPr>
                            <w:noProof w:val="0"/>
                          </w:rPr>
                          <m:t>t</m:t>
                        </m:r>
                      </m:sub>
                    </m:sSub>
                    <m:r>
                      <w:rPr>
                        <w:noProof w:val="0"/>
                      </w:rPr>
                      <m:t>×</m:t>
                    </m:r>
                    <m:sSub>
                      <m:sSubPr>
                        <m:ctrlPr>
                          <w:rPr>
                            <w:noProof w:val="0"/>
                          </w:rPr>
                        </m:ctrlPr>
                      </m:sSubPr>
                      <m:e>
                        <m:r>
                          <w:rPr>
                            <w:noProof w:val="0"/>
                          </w:rPr>
                          <m:t>MCF</m:t>
                        </m:r>
                      </m:e>
                      <m:sub>
                        <m:r>
                          <w:rPr>
                            <w:noProof w:val="0"/>
                          </w:rPr>
                          <m:t>m</m:t>
                        </m:r>
                      </m:sub>
                    </m:sSub>
                    <m:r>
                      <w:rPr>
                        <w:noProof w:val="0"/>
                      </w:rPr>
                      <m:t xml:space="preserve"> ×0.662</m:t>
                    </m:r>
                  </m:e>
                </m:nary>
              </m:oMath>
            </m:oMathPara>
          </w:p>
          <w:p w14:paraId="24E790F2" w14:textId="77777777" w:rsidR="00AC74D8" w:rsidRPr="004C12C9" w:rsidRDefault="00AC74D8" w:rsidP="00B963CB">
            <w:pPr>
              <w:rPr>
                <w:i/>
                <w:iCs/>
              </w:rPr>
            </w:pPr>
            <w:r w:rsidRPr="004C12C9">
              <w:rPr>
                <w:i/>
                <w:iCs/>
                <w:sz w:val="20"/>
                <w:szCs w:val="20"/>
              </w:rPr>
              <w:t xml:space="preserve">where, </w:t>
            </w:r>
          </w:p>
        </w:tc>
      </w:tr>
      <w:tr w:rsidR="00AC74D8" w:rsidRPr="004C12C9" w14:paraId="378807FB" w14:textId="77777777">
        <w:tc>
          <w:tcPr>
            <w:tcW w:w="2250" w:type="dxa"/>
            <w:shd w:val="clear" w:color="auto" w:fill="F2F2F2" w:themeFill="background1" w:themeFillShade="F2"/>
          </w:tcPr>
          <w:p w14:paraId="5E02EAAE" w14:textId="77777777"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Livestock</w:t>
            </w:r>
          </w:p>
          <w:p w14:paraId="61563E6C" w14:textId="23B28095"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TAM</w:t>
            </w:r>
          </w:p>
          <w:p w14:paraId="4FF76DCD" w14:textId="11FB8895"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VS</w:t>
            </w:r>
          </w:p>
          <w:p w14:paraId="2766465E" w14:textId="399F36B2"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lastRenderedPageBreak/>
              <w:t>B</w:t>
            </w:r>
            <w:r w:rsidRPr="004C12C9">
              <w:rPr>
                <w:rFonts w:ascii="Calibri" w:eastAsia="Arial" w:hAnsi="Calibri"/>
                <w:bCs w:val="0"/>
                <w:i w:val="0"/>
                <w:noProof w:val="0"/>
                <w:color w:val="auto"/>
                <w:sz w:val="20"/>
                <w:szCs w:val="20"/>
                <w:vertAlign w:val="subscript"/>
              </w:rPr>
              <w:t>0</w:t>
            </w:r>
          </w:p>
          <w:p w14:paraId="37FCDAE4" w14:textId="79B3754C"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MCF</w:t>
            </w:r>
          </w:p>
          <w:p w14:paraId="5BB17392" w14:textId="6E57C3BB" w:rsidR="00AC74D8"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0.662 </w:t>
            </w:r>
          </w:p>
        </w:tc>
        <w:tc>
          <w:tcPr>
            <w:tcW w:w="7820" w:type="dxa"/>
            <w:shd w:val="clear" w:color="auto" w:fill="F2F2F2" w:themeFill="background1" w:themeFillShade="F2"/>
          </w:tcPr>
          <w:p w14:paraId="175EA478" w14:textId="74A7D526" w:rsidR="003B6461" w:rsidRPr="004C12C9" w:rsidRDefault="00AC74D8" w:rsidP="00B963CB">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lastRenderedPageBreak/>
              <w:t xml:space="preserve">= </w:t>
            </w:r>
            <w:r w:rsidR="003B6461" w:rsidRPr="004C12C9">
              <w:rPr>
                <w:rFonts w:ascii="Calibri" w:eastAsia="Arial" w:hAnsi="Calibri"/>
                <w:bCs w:val="0"/>
                <w:i w:val="0"/>
                <w:noProof w:val="0"/>
                <w:color w:val="auto"/>
                <w:sz w:val="20"/>
                <w:szCs w:val="20"/>
              </w:rPr>
              <w:t>Annual animal population by livestock type and age/production class, t</w:t>
            </w:r>
          </w:p>
          <w:p w14:paraId="6DFB2B61" w14:textId="3C292DBD" w:rsidR="00AC74D8" w:rsidRPr="004C12C9" w:rsidRDefault="00AC74D8" w:rsidP="00B963CB">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3B6461" w:rsidRPr="004C12C9">
              <w:rPr>
                <w:rFonts w:ascii="Calibri" w:eastAsia="Arial" w:hAnsi="Calibri"/>
                <w:bCs w:val="0"/>
                <w:i w:val="0"/>
                <w:noProof w:val="0"/>
                <w:color w:val="auto"/>
                <w:sz w:val="20"/>
                <w:szCs w:val="20"/>
              </w:rPr>
              <w:t>Typical animal mass by type, t (kg/head)</w:t>
            </w:r>
          </w:p>
          <w:p w14:paraId="57BC16AE" w14:textId="7F2AA743" w:rsidR="00AC74D8" w:rsidRPr="004C12C9" w:rsidRDefault="00AC74D8" w:rsidP="00B963CB">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3B6461" w:rsidRPr="004C12C9">
              <w:rPr>
                <w:rFonts w:ascii="Calibri" w:eastAsia="Arial" w:hAnsi="Calibri"/>
                <w:bCs w:val="0"/>
                <w:i w:val="0"/>
                <w:noProof w:val="0"/>
                <w:color w:val="auto"/>
                <w:sz w:val="20"/>
                <w:szCs w:val="20"/>
              </w:rPr>
              <w:t>Amount of volatile solids excreted by animal type, t (kg VS/kg animal mass/year)</w:t>
            </w:r>
          </w:p>
          <w:p w14:paraId="65BF0785" w14:textId="15595A94" w:rsidR="00AC74D8" w:rsidRPr="004C12C9" w:rsidRDefault="00AC74D8"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lastRenderedPageBreak/>
              <w:t xml:space="preserve">= </w:t>
            </w:r>
            <w:r w:rsidR="003B6461" w:rsidRPr="004C12C9">
              <w:rPr>
                <w:rFonts w:ascii="Calibri" w:eastAsia="Arial" w:hAnsi="Calibri"/>
                <w:bCs w:val="0"/>
                <w:i w:val="0"/>
                <w:noProof w:val="0"/>
                <w:color w:val="auto"/>
                <w:sz w:val="20"/>
                <w:szCs w:val="20"/>
              </w:rPr>
              <w:t>Maximum CH</w:t>
            </w:r>
            <w:r w:rsidR="003B6461" w:rsidRPr="004C12C9">
              <w:rPr>
                <w:rFonts w:ascii="Calibri" w:eastAsia="Arial" w:hAnsi="Calibri"/>
                <w:bCs w:val="0"/>
                <w:i w:val="0"/>
                <w:noProof w:val="0"/>
                <w:color w:val="auto"/>
                <w:sz w:val="20"/>
                <w:szCs w:val="20"/>
                <w:vertAlign w:val="subscript"/>
              </w:rPr>
              <w:t>4</w:t>
            </w:r>
            <w:r w:rsidR="003B6461" w:rsidRPr="004C12C9">
              <w:rPr>
                <w:rFonts w:ascii="Calibri" w:eastAsia="Arial" w:hAnsi="Calibri"/>
                <w:bCs w:val="0"/>
                <w:i w:val="0"/>
                <w:noProof w:val="0"/>
                <w:color w:val="auto"/>
                <w:sz w:val="20"/>
                <w:szCs w:val="20"/>
              </w:rPr>
              <w:t xml:space="preserve"> producing capacity</w:t>
            </w:r>
            <w:r w:rsidR="00B209E5" w:rsidRPr="004C12C9">
              <w:rPr>
                <w:rFonts w:ascii="Calibri" w:eastAsia="Arial" w:hAnsi="Calibri"/>
                <w:bCs w:val="0"/>
                <w:i w:val="0"/>
                <w:noProof w:val="0"/>
                <w:color w:val="auto"/>
                <w:sz w:val="20"/>
                <w:szCs w:val="20"/>
              </w:rPr>
              <w:t xml:space="preserve"> by type, t</w:t>
            </w:r>
            <w:r w:rsidR="003B6461" w:rsidRPr="004C12C9">
              <w:rPr>
                <w:rFonts w:ascii="Calibri" w:eastAsia="Arial" w:hAnsi="Calibri"/>
                <w:bCs w:val="0"/>
                <w:i w:val="0"/>
                <w:noProof w:val="0"/>
                <w:color w:val="auto"/>
                <w:sz w:val="20"/>
                <w:szCs w:val="20"/>
              </w:rPr>
              <w:t xml:space="preserve"> (m</w:t>
            </w:r>
            <w:r w:rsidR="003B6461" w:rsidRPr="004C12C9">
              <w:rPr>
                <w:rFonts w:ascii="Calibri" w:eastAsia="Arial" w:hAnsi="Calibri"/>
                <w:bCs w:val="0"/>
                <w:i w:val="0"/>
                <w:noProof w:val="0"/>
                <w:color w:val="auto"/>
                <w:sz w:val="20"/>
                <w:szCs w:val="20"/>
                <w:vertAlign w:val="superscript"/>
              </w:rPr>
              <w:t>3</w:t>
            </w:r>
            <w:r w:rsidR="003B6461" w:rsidRPr="004C12C9">
              <w:rPr>
                <w:rFonts w:ascii="Calibri" w:eastAsia="Arial" w:hAnsi="Calibri"/>
                <w:bCs w:val="0"/>
                <w:i w:val="0"/>
                <w:noProof w:val="0"/>
                <w:color w:val="auto"/>
                <w:sz w:val="20"/>
                <w:szCs w:val="20"/>
              </w:rPr>
              <w:t xml:space="preserve"> CH</w:t>
            </w:r>
            <w:r w:rsidR="003B6461" w:rsidRPr="004C12C9">
              <w:rPr>
                <w:rFonts w:ascii="Calibri" w:eastAsia="Arial" w:hAnsi="Calibri"/>
                <w:bCs w:val="0"/>
                <w:i w:val="0"/>
                <w:noProof w:val="0"/>
                <w:color w:val="auto"/>
                <w:sz w:val="20"/>
                <w:szCs w:val="20"/>
                <w:vertAlign w:val="subscript"/>
              </w:rPr>
              <w:t>4</w:t>
            </w:r>
            <w:r w:rsidR="003B6461" w:rsidRPr="004C12C9">
              <w:rPr>
                <w:rFonts w:ascii="Calibri" w:eastAsia="Arial" w:hAnsi="Calibri"/>
                <w:bCs w:val="0"/>
                <w:i w:val="0"/>
                <w:noProof w:val="0"/>
                <w:color w:val="auto"/>
                <w:sz w:val="20"/>
                <w:szCs w:val="20"/>
              </w:rPr>
              <w:t>/kg VS)</w:t>
            </w:r>
          </w:p>
          <w:p w14:paraId="5F7D9D2E" w14:textId="30376FCD" w:rsidR="003B6461" w:rsidRPr="004C12C9" w:rsidRDefault="003B6461"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Manure methane conversion factor by management system type, m</w:t>
            </w:r>
          </w:p>
          <w:p w14:paraId="13D7CADC" w14:textId="702DD7C3" w:rsidR="00AC74D8" w:rsidRPr="004C12C9" w:rsidRDefault="00AC74D8" w:rsidP="00B963CB">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66379A" w:rsidRPr="004C12C9">
              <w:rPr>
                <w:rFonts w:ascii="Calibri" w:eastAsia="Arial" w:hAnsi="Calibri"/>
                <w:bCs w:val="0"/>
                <w:i w:val="0"/>
                <w:noProof w:val="0"/>
                <w:color w:val="auto"/>
                <w:sz w:val="20"/>
                <w:szCs w:val="20"/>
              </w:rPr>
              <w:t>Density of methane at 25˚C (kgCH</w:t>
            </w:r>
            <w:r w:rsidR="0066379A" w:rsidRPr="004C12C9">
              <w:rPr>
                <w:rFonts w:ascii="Calibri" w:eastAsia="Arial" w:hAnsi="Calibri"/>
                <w:bCs w:val="0"/>
                <w:i w:val="0"/>
                <w:noProof w:val="0"/>
                <w:color w:val="auto"/>
                <w:sz w:val="20"/>
                <w:szCs w:val="20"/>
                <w:vertAlign w:val="subscript"/>
              </w:rPr>
              <w:t>4</w:t>
            </w:r>
            <w:r w:rsidR="0066379A" w:rsidRPr="004C12C9">
              <w:rPr>
                <w:rFonts w:ascii="Calibri" w:eastAsia="Arial" w:hAnsi="Calibri"/>
                <w:bCs w:val="0"/>
                <w:i w:val="0"/>
                <w:noProof w:val="0"/>
                <w:color w:val="auto"/>
                <w:sz w:val="20"/>
                <w:szCs w:val="20"/>
              </w:rPr>
              <w:t>/ m</w:t>
            </w:r>
            <w:r w:rsidR="0066379A" w:rsidRPr="004C12C9">
              <w:rPr>
                <w:rFonts w:ascii="Calibri" w:eastAsia="Arial" w:hAnsi="Calibri"/>
                <w:bCs w:val="0"/>
                <w:i w:val="0"/>
                <w:noProof w:val="0"/>
                <w:color w:val="auto"/>
                <w:sz w:val="20"/>
                <w:szCs w:val="20"/>
                <w:vertAlign w:val="superscript"/>
              </w:rPr>
              <w:t>3</w:t>
            </w:r>
            <w:r w:rsidR="0066379A" w:rsidRPr="004C12C9">
              <w:rPr>
                <w:rFonts w:ascii="Calibri" w:eastAsia="Arial" w:hAnsi="Calibri"/>
                <w:bCs w:val="0"/>
                <w:i w:val="0"/>
                <w:noProof w:val="0"/>
                <w:color w:val="auto"/>
                <w:sz w:val="20"/>
                <w:szCs w:val="20"/>
              </w:rPr>
              <w:t>CH</w:t>
            </w:r>
            <w:r w:rsidR="0066379A" w:rsidRPr="004C12C9">
              <w:rPr>
                <w:rFonts w:ascii="Calibri" w:eastAsia="Arial" w:hAnsi="Calibri"/>
                <w:bCs w:val="0"/>
                <w:i w:val="0"/>
                <w:noProof w:val="0"/>
                <w:color w:val="auto"/>
                <w:sz w:val="20"/>
                <w:szCs w:val="20"/>
                <w:vertAlign w:val="subscript"/>
              </w:rPr>
              <w:t>4</w:t>
            </w:r>
            <w:r w:rsidR="0066379A" w:rsidRPr="004C12C9">
              <w:rPr>
                <w:rFonts w:ascii="Calibri" w:eastAsia="Arial" w:hAnsi="Calibri"/>
                <w:bCs w:val="0"/>
                <w:i w:val="0"/>
                <w:noProof w:val="0"/>
                <w:color w:val="auto"/>
                <w:sz w:val="20"/>
                <w:szCs w:val="20"/>
              </w:rPr>
              <w:t>)</w:t>
            </w:r>
          </w:p>
          <w:p w14:paraId="7C7BE188" w14:textId="18AF6A97" w:rsidR="0066379A" w:rsidRPr="004C12C9" w:rsidRDefault="0066379A" w:rsidP="00B963CB">
            <w:pPr>
              <w:pStyle w:val="Equation"/>
              <w:spacing w:before="0" w:after="0"/>
              <w:jc w:val="left"/>
              <w:rPr>
                <w:rFonts w:ascii="Calibri" w:eastAsia="Arial" w:hAnsi="Calibri"/>
                <w:bCs w:val="0"/>
                <w:i w:val="0"/>
                <w:noProof w:val="0"/>
                <w:color w:val="auto"/>
                <w:sz w:val="20"/>
                <w:szCs w:val="20"/>
              </w:rPr>
            </w:pPr>
          </w:p>
        </w:tc>
      </w:tr>
    </w:tbl>
    <w:p w14:paraId="05181644" w14:textId="0833EE90" w:rsidR="00FA415F" w:rsidRPr="004C12C9" w:rsidRDefault="00382A19" w:rsidP="00402223">
      <w:pPr>
        <w:pStyle w:val="Caption"/>
        <w:rPr>
          <w:rFonts w:eastAsia="Arial"/>
        </w:rPr>
      </w:pPr>
      <w:bookmarkStart w:id="236" w:name="_Ref195457869"/>
      <w:r w:rsidRPr="004C12C9">
        <w:lastRenderedPageBreak/>
        <w:t xml:space="preserve">Equation </w:t>
      </w:r>
      <w:r w:rsidR="00127094">
        <w:fldChar w:fldCharType="begin"/>
      </w:r>
      <w:r w:rsidR="00127094">
        <w:instrText xml:space="preserve"> SEQ Equation \* ARABIC </w:instrText>
      </w:r>
      <w:r w:rsidR="00127094">
        <w:fldChar w:fldCharType="separate"/>
      </w:r>
      <w:r w:rsidR="00C47624">
        <w:rPr>
          <w:noProof/>
        </w:rPr>
        <w:t>36</w:t>
      </w:r>
      <w:r w:rsidR="00127094">
        <w:fldChar w:fldCharType="end"/>
      </w:r>
      <w:bookmarkEnd w:id="236"/>
      <w:r w:rsidRPr="004C12C9">
        <w:t xml:space="preserve">. </w:t>
      </w:r>
      <w:r w:rsidR="00FA415F" w:rsidRPr="004C12C9">
        <w:t xml:space="preserve">Amount of </w:t>
      </w:r>
      <w:r w:rsidR="00402223" w:rsidRPr="004C12C9">
        <w:t>N</w:t>
      </w:r>
      <w:r w:rsidR="00FA415F" w:rsidRPr="004C12C9">
        <w:t xml:space="preserve">itrogen </w:t>
      </w:r>
      <w:r w:rsidR="00402223" w:rsidRPr="004C12C9">
        <w:t>E</w:t>
      </w:r>
      <w:r w:rsidR="00FA415F" w:rsidRPr="004C12C9">
        <w:t xml:space="preserve">xcreted </w:t>
      </w:r>
      <w:r w:rsidR="00402223" w:rsidRPr="004C12C9">
        <w:t>A</w:t>
      </w:r>
      <w:r w:rsidR="00FA415F" w:rsidRPr="004C12C9">
        <w:t>nnually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50"/>
        <w:gridCol w:w="7820"/>
      </w:tblGrid>
      <w:tr w:rsidR="002A76CA" w:rsidRPr="004C12C9" w14:paraId="07F06861" w14:textId="77777777">
        <w:tc>
          <w:tcPr>
            <w:tcW w:w="10070" w:type="dxa"/>
            <w:gridSpan w:val="2"/>
            <w:shd w:val="clear" w:color="auto" w:fill="F2F2F2" w:themeFill="background1" w:themeFillShade="F2"/>
          </w:tcPr>
          <w:p w14:paraId="7012BB54" w14:textId="73B027C8" w:rsidR="00295735" w:rsidRPr="004C12C9" w:rsidRDefault="00000000" w:rsidP="00295735">
            <w:pPr>
              <w:pStyle w:val="Equation"/>
              <w:spacing w:after="160"/>
              <w:rPr>
                <w:rFonts w:eastAsia="Arial"/>
                <w:iCs/>
                <w:noProof w:val="0"/>
              </w:rPr>
            </w:pPr>
            <m:oMathPara>
              <m:oMath>
                <m:sSub>
                  <m:sSubPr>
                    <m:ctrlPr>
                      <w:rPr>
                        <w:iCs/>
                        <w:noProof w:val="0"/>
                      </w:rPr>
                    </m:ctrlPr>
                  </m:sSubPr>
                  <m:e>
                    <m:r>
                      <w:rPr>
                        <w:noProof w:val="0"/>
                      </w:rPr>
                      <m:t>N excreted</m:t>
                    </m:r>
                  </m:e>
                  <m:sub>
                    <m:r>
                      <w:rPr>
                        <w:noProof w:val="0"/>
                      </w:rPr>
                      <m:t>t</m:t>
                    </m:r>
                  </m:sub>
                </m:sSub>
                <m:r>
                  <w:rPr>
                    <w:noProof w:val="0"/>
                  </w:rPr>
                  <m:t xml:space="preserve"> =</m:t>
                </m:r>
                <m:sSub>
                  <m:sSubPr>
                    <m:ctrlPr>
                      <w:rPr>
                        <w:noProof w:val="0"/>
                      </w:rPr>
                    </m:ctrlPr>
                  </m:sSubPr>
                  <m:e>
                    <m:r>
                      <w:rPr>
                        <w:noProof w:val="0"/>
                      </w:rPr>
                      <m:t>livestock</m:t>
                    </m:r>
                  </m:e>
                  <m:sub>
                    <m:r>
                      <w:rPr>
                        <w:noProof w:val="0"/>
                      </w:rPr>
                      <m:t>t</m:t>
                    </m:r>
                  </m:sub>
                </m:sSub>
                <m:r>
                  <w:rPr>
                    <w:noProof w:val="0"/>
                  </w:rPr>
                  <m:t xml:space="preserve"> ×</m:t>
                </m:r>
                <m:sSub>
                  <m:sSubPr>
                    <m:ctrlPr>
                      <w:rPr>
                        <w:noProof w:val="0"/>
                      </w:rPr>
                    </m:ctrlPr>
                  </m:sSubPr>
                  <m:e>
                    <m:r>
                      <w:rPr>
                        <w:noProof w:val="0"/>
                      </w:rPr>
                      <m:t>TAM</m:t>
                    </m:r>
                  </m:e>
                  <m:sub>
                    <m:r>
                      <w:rPr>
                        <w:noProof w:val="0"/>
                      </w:rPr>
                      <m:t>t</m:t>
                    </m:r>
                  </m:sub>
                </m:sSub>
                <m:r>
                  <w:rPr>
                    <w:noProof w:val="0"/>
                  </w:rPr>
                  <m:t xml:space="preserve"> × </m:t>
                </m:r>
                <m:sSub>
                  <m:sSubPr>
                    <m:ctrlPr>
                      <w:rPr>
                        <w:noProof w:val="0"/>
                      </w:rPr>
                    </m:ctrlPr>
                  </m:sSubPr>
                  <m:e>
                    <m:r>
                      <w:rPr>
                        <w:noProof w:val="0"/>
                      </w:rPr>
                      <m:t>Nex</m:t>
                    </m:r>
                  </m:e>
                  <m:sub>
                    <m:r>
                      <w:rPr>
                        <w:noProof w:val="0"/>
                      </w:rPr>
                      <m:t>t</m:t>
                    </m:r>
                  </m:sub>
                </m:sSub>
              </m:oMath>
            </m:oMathPara>
          </w:p>
          <w:p w14:paraId="5D93BE17" w14:textId="77777777" w:rsidR="002A76CA" w:rsidRPr="004C12C9" w:rsidRDefault="002A76CA">
            <w:pPr>
              <w:rPr>
                <w:i/>
                <w:iCs/>
              </w:rPr>
            </w:pPr>
            <w:r w:rsidRPr="004C12C9">
              <w:rPr>
                <w:i/>
                <w:iCs/>
                <w:sz w:val="20"/>
                <w:szCs w:val="20"/>
              </w:rPr>
              <w:t xml:space="preserve">where, </w:t>
            </w:r>
          </w:p>
        </w:tc>
      </w:tr>
      <w:tr w:rsidR="002A76CA" w:rsidRPr="004C12C9" w14:paraId="4D07A2C0" w14:textId="77777777">
        <w:tc>
          <w:tcPr>
            <w:tcW w:w="2250" w:type="dxa"/>
            <w:shd w:val="clear" w:color="auto" w:fill="F2F2F2" w:themeFill="background1" w:themeFillShade="F2"/>
          </w:tcPr>
          <w:p w14:paraId="2CE0F38F" w14:textId="77777777" w:rsidR="002A76CA" w:rsidRPr="004C12C9" w:rsidRDefault="002A76C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Livestock</w:t>
            </w:r>
          </w:p>
          <w:p w14:paraId="4CEC6FC4" w14:textId="65A90C69" w:rsidR="002A76CA" w:rsidRPr="004C12C9" w:rsidRDefault="002A76C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TAM</w:t>
            </w:r>
          </w:p>
          <w:p w14:paraId="2588A299" w14:textId="214E10DB" w:rsidR="002A76CA" w:rsidRPr="004C12C9" w:rsidRDefault="00C95328">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Nex</w:t>
            </w:r>
          </w:p>
          <w:p w14:paraId="110BDCDA" w14:textId="2AAF26B2" w:rsidR="002A76CA" w:rsidRPr="004C12C9" w:rsidRDefault="002A76CA">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p>
        </w:tc>
        <w:tc>
          <w:tcPr>
            <w:tcW w:w="7820" w:type="dxa"/>
            <w:shd w:val="clear" w:color="auto" w:fill="F2F2F2" w:themeFill="background1" w:themeFillShade="F2"/>
          </w:tcPr>
          <w:p w14:paraId="0F244AD3" w14:textId="4AE96CF0" w:rsidR="002A76CA" w:rsidRPr="004C12C9" w:rsidRDefault="002A76C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Annual animal population by livestock type and age/production class, t</w:t>
            </w:r>
          </w:p>
          <w:p w14:paraId="7E5739E5" w14:textId="77777777" w:rsidR="002A76CA" w:rsidRPr="004C12C9" w:rsidRDefault="002A76C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Typical animal mass by type, t (kg/head)</w:t>
            </w:r>
          </w:p>
          <w:p w14:paraId="7354FDB3" w14:textId="2726FD0E" w:rsidR="002A76CA" w:rsidRPr="004C12C9" w:rsidRDefault="002A76CA">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C95328" w:rsidRPr="004C12C9">
              <w:rPr>
                <w:rFonts w:ascii="Calibri" w:eastAsia="Arial" w:hAnsi="Calibri"/>
                <w:bCs w:val="0"/>
                <w:i w:val="0"/>
                <w:noProof w:val="0"/>
                <w:color w:val="auto"/>
                <w:sz w:val="20"/>
                <w:szCs w:val="20"/>
              </w:rPr>
              <w:t xml:space="preserve">Nitrogen excretion rate </w:t>
            </w:r>
            <w:r w:rsidR="001E0FC7" w:rsidRPr="004C12C9">
              <w:rPr>
                <w:rFonts w:ascii="Calibri" w:eastAsia="Arial" w:hAnsi="Calibri"/>
                <w:bCs w:val="0"/>
                <w:i w:val="0"/>
                <w:noProof w:val="0"/>
                <w:color w:val="auto"/>
                <w:sz w:val="20"/>
                <w:szCs w:val="20"/>
              </w:rPr>
              <w:t xml:space="preserve">by type, t </w:t>
            </w:r>
            <w:r w:rsidR="00C95328" w:rsidRPr="004C12C9">
              <w:rPr>
                <w:rFonts w:ascii="Calibri" w:eastAsia="Arial" w:hAnsi="Calibri"/>
                <w:bCs w:val="0"/>
                <w:i w:val="0"/>
                <w:noProof w:val="0"/>
                <w:color w:val="auto"/>
                <w:sz w:val="20"/>
                <w:szCs w:val="20"/>
              </w:rPr>
              <w:t>(kgN/kg animal mass/year)</w:t>
            </w:r>
          </w:p>
          <w:p w14:paraId="66224D98" w14:textId="77777777" w:rsidR="002A76CA" w:rsidRPr="004C12C9" w:rsidRDefault="002A76CA" w:rsidP="00C95328">
            <w:pPr>
              <w:pStyle w:val="Equation"/>
              <w:spacing w:before="0" w:after="0"/>
              <w:jc w:val="left"/>
              <w:rPr>
                <w:rFonts w:ascii="Calibri" w:eastAsia="Arial" w:hAnsi="Calibri"/>
                <w:bCs w:val="0"/>
                <w:i w:val="0"/>
                <w:noProof w:val="0"/>
                <w:color w:val="auto"/>
                <w:sz w:val="20"/>
                <w:szCs w:val="20"/>
              </w:rPr>
            </w:pPr>
          </w:p>
        </w:tc>
      </w:tr>
    </w:tbl>
    <w:p w14:paraId="14FFC597" w14:textId="4B53C9DA" w:rsidR="00FA415F" w:rsidRPr="004C12C9" w:rsidRDefault="00C95328" w:rsidP="00972CF9">
      <w:pPr>
        <w:pStyle w:val="Caption"/>
      </w:pPr>
      <w:r w:rsidRPr="004C12C9">
        <w:t xml:space="preserve">Equation </w:t>
      </w:r>
      <w:r w:rsidR="00127094">
        <w:fldChar w:fldCharType="begin"/>
      </w:r>
      <w:r w:rsidR="00127094">
        <w:instrText xml:space="preserve"> SEQ Equation \* ARABIC </w:instrText>
      </w:r>
      <w:r w:rsidR="00127094">
        <w:fldChar w:fldCharType="separate"/>
      </w:r>
      <w:r w:rsidR="00C47624">
        <w:rPr>
          <w:noProof/>
        </w:rPr>
        <w:t>37</w:t>
      </w:r>
      <w:r w:rsidR="00127094">
        <w:fldChar w:fldCharType="end"/>
      </w:r>
      <w:r w:rsidRPr="004C12C9">
        <w:t xml:space="preserve">. </w:t>
      </w:r>
      <w:r w:rsidR="00FA415F" w:rsidRPr="004C12C9">
        <w:t xml:space="preserve">Annual </w:t>
      </w:r>
      <w:r w:rsidRPr="004C12C9">
        <w:t>D</w:t>
      </w:r>
      <w:r w:rsidR="00FA415F" w:rsidRPr="004C12C9">
        <w:t xml:space="preserve">irect </w:t>
      </w:r>
      <w:r w:rsidRPr="004C12C9">
        <w:t>N</w:t>
      </w:r>
      <w:r w:rsidR="00FA415F" w:rsidRPr="004C12C9">
        <w:t xml:space="preserve">itrous </w:t>
      </w:r>
      <w:r w:rsidRPr="004C12C9">
        <w:t>O</w:t>
      </w:r>
      <w:r w:rsidR="00FA415F" w:rsidRPr="004C12C9">
        <w:t xml:space="preserve">xide </w:t>
      </w:r>
      <w:r w:rsidRPr="004C12C9">
        <w:t>E</w:t>
      </w:r>
      <w:r w:rsidR="00FA415F" w:rsidRPr="004C12C9">
        <w:t xml:space="preserve">missions from </w:t>
      </w:r>
      <w:r w:rsidR="00EE3CC4" w:rsidRPr="004C12C9">
        <w:t xml:space="preserve">Managed </w:t>
      </w:r>
      <w:r w:rsidRPr="004C12C9">
        <w:t>M</w:t>
      </w:r>
      <w:r w:rsidR="00FA415F" w:rsidRPr="004C12C9">
        <w:t xml:space="preserve">anure </w:t>
      </w:r>
      <w:r w:rsidR="00EE3CC4" w:rsidRPr="004C12C9">
        <w:t>and Pasture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50"/>
        <w:gridCol w:w="7820"/>
      </w:tblGrid>
      <w:tr w:rsidR="00B71185" w:rsidRPr="004C12C9" w14:paraId="586B20C7" w14:textId="77777777">
        <w:tc>
          <w:tcPr>
            <w:tcW w:w="10070" w:type="dxa"/>
            <w:gridSpan w:val="2"/>
            <w:shd w:val="clear" w:color="auto" w:fill="F2F2F2" w:themeFill="background1" w:themeFillShade="F2"/>
          </w:tcPr>
          <w:p w14:paraId="6D8DEA08" w14:textId="2D967AB5" w:rsidR="008C702F" w:rsidRPr="004C12C9" w:rsidRDefault="00000000" w:rsidP="008C702F">
            <w:pPr>
              <w:pStyle w:val="Equation"/>
              <w:spacing w:before="160" w:after="160"/>
              <w:rPr>
                <w:rFonts w:eastAsia="Arial"/>
                <w:iCs/>
                <w:noProof w:val="0"/>
              </w:rPr>
            </w:pPr>
            <m:oMathPara>
              <m:oMath>
                <m:sSub>
                  <m:sSubPr>
                    <m:ctrlPr>
                      <w:rPr>
                        <w:noProof w:val="0"/>
                      </w:rPr>
                    </m:ctrlPr>
                  </m:sSubPr>
                  <m:e>
                    <m:r>
                      <w:rPr>
                        <w:noProof w:val="0"/>
                      </w:rPr>
                      <m:t xml:space="preserve">direct </m:t>
                    </m:r>
                    <m:sSub>
                      <m:sSubPr>
                        <m:ctrlPr>
                          <w:rPr>
                            <w:noProof w:val="0"/>
                          </w:rPr>
                        </m:ctrlPr>
                      </m:sSubPr>
                      <m:e>
                        <m:r>
                          <w:rPr>
                            <w:noProof w:val="0"/>
                          </w:rPr>
                          <m:t>N</m:t>
                        </m:r>
                      </m:e>
                      <m:sub>
                        <m:r>
                          <w:rPr>
                            <w:noProof w:val="0"/>
                          </w:rPr>
                          <m:t>2</m:t>
                        </m:r>
                      </m:sub>
                    </m:sSub>
                    <m:r>
                      <w:rPr>
                        <w:noProof w:val="0"/>
                      </w:rPr>
                      <m:t>O</m:t>
                    </m:r>
                  </m:e>
                  <m:sub>
                    <m:r>
                      <w:rPr>
                        <w:noProof w:val="0"/>
                      </w:rPr>
                      <m:t xml:space="preserve">manure </m:t>
                    </m:r>
                  </m:sub>
                </m:sSub>
                <m:r>
                  <w:rPr>
                    <w:noProof w:val="0"/>
                  </w:rPr>
                  <m:t>=</m:t>
                </m:r>
                <m:nary>
                  <m:naryPr>
                    <m:chr m:val="∑"/>
                    <m:limLoc m:val="undOvr"/>
                    <m:subHide m:val="1"/>
                    <m:supHide m:val="1"/>
                    <m:ctrlPr>
                      <w:rPr>
                        <w:noProof w:val="0"/>
                      </w:rPr>
                    </m:ctrlPr>
                  </m:naryPr>
                  <m:sub/>
                  <m:sup/>
                  <m:e>
                    <m:sSub>
                      <m:sSubPr>
                        <m:ctrlPr>
                          <w:rPr>
                            <w:iCs/>
                            <w:noProof w:val="0"/>
                          </w:rPr>
                        </m:ctrlPr>
                      </m:sSubPr>
                      <m:e>
                        <m:r>
                          <w:rPr>
                            <w:noProof w:val="0"/>
                          </w:rPr>
                          <m:t>N excreted</m:t>
                        </m:r>
                      </m:e>
                      <m:sub>
                        <m:r>
                          <w:rPr>
                            <w:noProof w:val="0"/>
                          </w:rPr>
                          <m:t>t</m:t>
                        </m:r>
                      </m:sub>
                    </m:sSub>
                    <m:r>
                      <w:rPr>
                        <w:noProof w:val="0"/>
                      </w:rPr>
                      <m:t xml:space="preserve">× emissions factor × </m:t>
                    </m:r>
                    <m:f>
                      <m:fPr>
                        <m:ctrlPr>
                          <w:rPr>
                            <w:iCs/>
                            <w:noProof w:val="0"/>
                          </w:rPr>
                        </m:ctrlPr>
                      </m:fPr>
                      <m:num>
                        <m:r>
                          <w:rPr>
                            <w:noProof w:val="0"/>
                          </w:rPr>
                          <m:t>44</m:t>
                        </m:r>
                      </m:num>
                      <m:den>
                        <m:r>
                          <w:rPr>
                            <w:noProof w:val="0"/>
                          </w:rPr>
                          <m:t>28</m:t>
                        </m:r>
                      </m:den>
                    </m:f>
                  </m:e>
                </m:nary>
              </m:oMath>
            </m:oMathPara>
          </w:p>
          <w:p w14:paraId="4A1D12E8" w14:textId="77777777" w:rsidR="00B71185" w:rsidRPr="004C12C9" w:rsidRDefault="00B71185">
            <w:pPr>
              <w:rPr>
                <w:i/>
                <w:iCs/>
              </w:rPr>
            </w:pPr>
            <w:r w:rsidRPr="004C12C9">
              <w:rPr>
                <w:i/>
                <w:iCs/>
                <w:sz w:val="20"/>
                <w:szCs w:val="20"/>
              </w:rPr>
              <w:t xml:space="preserve">where, </w:t>
            </w:r>
          </w:p>
        </w:tc>
      </w:tr>
      <w:tr w:rsidR="00B71185" w:rsidRPr="004C12C9" w14:paraId="77B40D4B" w14:textId="77777777">
        <w:tc>
          <w:tcPr>
            <w:tcW w:w="2250" w:type="dxa"/>
            <w:shd w:val="clear" w:color="auto" w:fill="F2F2F2" w:themeFill="background1" w:themeFillShade="F2"/>
          </w:tcPr>
          <w:p w14:paraId="4153A8B1" w14:textId="780502AF" w:rsidR="00C04F18" w:rsidRPr="004C12C9" w:rsidRDefault="00C04F18">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 excreted</w:t>
            </w:r>
          </w:p>
          <w:p w14:paraId="31C266EE" w14:textId="7344E90F" w:rsidR="00B71185" w:rsidRPr="004C12C9" w:rsidRDefault="00C04F18">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p w14:paraId="5EC216D8" w14:textId="2CBAE1D5" w:rsidR="00B71185" w:rsidRPr="004C12C9" w:rsidRDefault="00C04F18">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44/28 </w:t>
            </w:r>
          </w:p>
        </w:tc>
        <w:tc>
          <w:tcPr>
            <w:tcW w:w="7820" w:type="dxa"/>
            <w:shd w:val="clear" w:color="auto" w:fill="F2F2F2" w:themeFill="background1" w:themeFillShade="F2"/>
          </w:tcPr>
          <w:p w14:paraId="56F340DF" w14:textId="710372E6" w:rsidR="00B71185" w:rsidRPr="004C12C9" w:rsidRDefault="00B7118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7B1291" w:rsidRPr="004C12C9">
              <w:rPr>
                <w:rFonts w:ascii="Calibri" w:eastAsia="Arial" w:hAnsi="Calibri"/>
                <w:bCs w:val="0"/>
                <w:i w:val="0"/>
                <w:noProof w:val="0"/>
                <w:color w:val="auto"/>
                <w:sz w:val="20"/>
                <w:szCs w:val="20"/>
              </w:rPr>
              <w:t xml:space="preserve">Amount of </w:t>
            </w:r>
            <w:r w:rsidR="00DC607C" w:rsidRPr="004C12C9">
              <w:rPr>
                <w:rFonts w:ascii="Calibri" w:eastAsia="Arial" w:hAnsi="Calibri"/>
                <w:bCs w:val="0"/>
                <w:i w:val="0"/>
                <w:noProof w:val="0"/>
                <w:color w:val="auto"/>
                <w:sz w:val="20"/>
                <w:szCs w:val="20"/>
              </w:rPr>
              <w:t>nitrogen excreted annually</w:t>
            </w:r>
            <w:r w:rsidR="007750AB" w:rsidRPr="004C12C9">
              <w:rPr>
                <w:rFonts w:ascii="Calibri" w:eastAsia="Arial" w:hAnsi="Calibri"/>
                <w:bCs w:val="0"/>
                <w:i w:val="0"/>
                <w:noProof w:val="0"/>
                <w:color w:val="auto"/>
                <w:sz w:val="20"/>
                <w:szCs w:val="20"/>
              </w:rPr>
              <w:t xml:space="preserve"> by type, t,</w:t>
            </w:r>
            <w:r w:rsidR="00DC607C" w:rsidRPr="004C12C9">
              <w:rPr>
                <w:rFonts w:ascii="Calibri" w:eastAsia="Arial" w:hAnsi="Calibri"/>
                <w:bCs w:val="0"/>
                <w:i w:val="0"/>
                <w:noProof w:val="0"/>
                <w:color w:val="auto"/>
                <w:sz w:val="20"/>
                <w:szCs w:val="20"/>
              </w:rPr>
              <w:t xml:space="preserve"> </w:t>
            </w:r>
            <w:r w:rsidR="00CE7B08" w:rsidRPr="004C12C9">
              <w:rPr>
                <w:rFonts w:ascii="Calibri" w:eastAsia="Arial" w:hAnsi="Calibri"/>
                <w:bCs w:val="0"/>
                <w:i w:val="0"/>
                <w:noProof w:val="0"/>
                <w:color w:val="auto"/>
                <w:sz w:val="20"/>
                <w:szCs w:val="20"/>
              </w:rPr>
              <w:t xml:space="preserve">as calculated </w:t>
            </w:r>
            <w:r w:rsidR="00FF37D1" w:rsidRPr="004C12C9">
              <w:rPr>
                <w:rFonts w:ascii="Calibri" w:eastAsia="Arial" w:hAnsi="Calibri"/>
                <w:bCs w:val="0"/>
                <w:i w:val="0"/>
                <w:noProof w:val="0"/>
                <w:color w:val="auto"/>
                <w:sz w:val="20"/>
                <w:szCs w:val="20"/>
              </w:rPr>
              <w:t xml:space="preserve">by </w:t>
            </w:r>
            <w:r w:rsidR="00EF50E1" w:rsidRPr="004C12C9">
              <w:rPr>
                <w:rFonts w:ascii="Calibri" w:eastAsia="Arial" w:hAnsi="Calibri"/>
                <w:bCs w:val="0"/>
                <w:i w:val="0"/>
                <w:noProof w:val="0"/>
                <w:color w:val="auto"/>
                <w:sz w:val="20"/>
                <w:szCs w:val="20"/>
              </w:rPr>
              <w:fldChar w:fldCharType="begin" w:fldLock="1"/>
            </w:r>
            <w:r w:rsidR="00EF50E1" w:rsidRPr="004C12C9">
              <w:rPr>
                <w:rFonts w:ascii="Calibri" w:eastAsia="Arial" w:hAnsi="Calibri"/>
                <w:bCs w:val="0"/>
                <w:i w:val="0"/>
                <w:noProof w:val="0"/>
                <w:color w:val="auto"/>
                <w:sz w:val="20"/>
                <w:szCs w:val="20"/>
              </w:rPr>
              <w:instrText xml:space="preserve"> REF _Ref195457869 \h  \* MERGEFORMAT </w:instrText>
            </w:r>
            <w:r w:rsidR="00EF50E1" w:rsidRPr="004C12C9">
              <w:rPr>
                <w:rFonts w:ascii="Calibri" w:eastAsia="Arial" w:hAnsi="Calibri"/>
                <w:bCs w:val="0"/>
                <w:i w:val="0"/>
                <w:noProof w:val="0"/>
                <w:color w:val="auto"/>
                <w:sz w:val="20"/>
                <w:szCs w:val="20"/>
              </w:rPr>
            </w:r>
            <w:r w:rsidR="00EF50E1" w:rsidRPr="004C12C9">
              <w:rPr>
                <w:rFonts w:ascii="Calibri" w:eastAsia="Arial" w:hAnsi="Calibri"/>
                <w:bCs w:val="0"/>
                <w:i w:val="0"/>
                <w:noProof w:val="0"/>
                <w:color w:val="auto"/>
                <w:sz w:val="20"/>
                <w:szCs w:val="20"/>
              </w:rPr>
              <w:fldChar w:fldCharType="separate"/>
            </w:r>
            <w:r w:rsidR="00127094" w:rsidRPr="004C12C9">
              <w:rPr>
                <w:rFonts w:ascii="Calibri" w:eastAsia="Arial" w:hAnsi="Calibri"/>
                <w:bCs w:val="0"/>
                <w:i w:val="0"/>
                <w:noProof w:val="0"/>
                <w:color w:val="auto"/>
                <w:sz w:val="20"/>
                <w:szCs w:val="20"/>
              </w:rPr>
              <w:t>Equation 34</w:t>
            </w:r>
            <w:r w:rsidR="00EF50E1" w:rsidRPr="004C12C9">
              <w:rPr>
                <w:rFonts w:ascii="Calibri" w:eastAsia="Arial" w:hAnsi="Calibri"/>
                <w:bCs w:val="0"/>
                <w:i w:val="0"/>
                <w:noProof w:val="0"/>
                <w:color w:val="auto"/>
                <w:sz w:val="20"/>
                <w:szCs w:val="20"/>
              </w:rPr>
              <w:fldChar w:fldCharType="end"/>
            </w:r>
            <w:r w:rsidR="00EF50E1" w:rsidRPr="004C12C9">
              <w:rPr>
                <w:rFonts w:ascii="Calibri" w:eastAsia="Arial" w:hAnsi="Calibri"/>
                <w:bCs w:val="0"/>
                <w:i w:val="0"/>
                <w:noProof w:val="0"/>
                <w:color w:val="auto"/>
                <w:sz w:val="20"/>
                <w:szCs w:val="20"/>
              </w:rPr>
              <w:t xml:space="preserve"> </w:t>
            </w:r>
            <w:r w:rsidR="00C04F18" w:rsidRPr="004C12C9">
              <w:rPr>
                <w:rFonts w:ascii="Calibri" w:eastAsia="Arial" w:hAnsi="Calibri"/>
                <w:bCs w:val="0"/>
                <w:i w:val="0"/>
                <w:noProof w:val="0"/>
                <w:color w:val="auto"/>
                <w:sz w:val="20"/>
                <w:szCs w:val="20"/>
              </w:rPr>
              <w:t>(kgN/year)</w:t>
            </w:r>
          </w:p>
          <w:p w14:paraId="4D0C9423" w14:textId="374B1E61" w:rsidR="00B71185" w:rsidRPr="004C12C9" w:rsidRDefault="00B7118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C04F18" w:rsidRPr="004C12C9">
              <w:rPr>
                <w:rFonts w:ascii="Calibri" w:eastAsia="Arial" w:hAnsi="Calibri"/>
                <w:bCs w:val="0"/>
                <w:i w:val="0"/>
                <w:noProof w:val="0"/>
                <w:color w:val="auto"/>
                <w:sz w:val="20"/>
                <w:szCs w:val="20"/>
              </w:rPr>
              <w:t>Direct N</w:t>
            </w:r>
            <w:r w:rsidR="00C04F18" w:rsidRPr="004C12C9">
              <w:rPr>
                <w:rFonts w:ascii="Calibri" w:eastAsia="Arial" w:hAnsi="Calibri"/>
                <w:bCs w:val="0"/>
                <w:i w:val="0"/>
                <w:noProof w:val="0"/>
                <w:color w:val="auto"/>
                <w:sz w:val="20"/>
                <w:szCs w:val="20"/>
                <w:vertAlign w:val="subscript"/>
              </w:rPr>
              <w:t>2</w:t>
            </w:r>
            <w:r w:rsidR="00C04F18" w:rsidRPr="004C12C9">
              <w:rPr>
                <w:rFonts w:ascii="Calibri" w:eastAsia="Arial" w:hAnsi="Calibri"/>
                <w:bCs w:val="0"/>
                <w:i w:val="0"/>
                <w:noProof w:val="0"/>
                <w:color w:val="auto"/>
                <w:sz w:val="20"/>
                <w:szCs w:val="20"/>
              </w:rPr>
              <w:t xml:space="preserve">O </w:t>
            </w:r>
            <w:r w:rsidR="00FC52A4">
              <w:rPr>
                <w:rFonts w:ascii="Calibri" w:eastAsia="Arial" w:hAnsi="Calibri"/>
                <w:bCs w:val="0"/>
                <w:i w:val="0"/>
                <w:noProof w:val="0"/>
                <w:color w:val="auto"/>
                <w:sz w:val="20"/>
                <w:szCs w:val="20"/>
              </w:rPr>
              <w:t xml:space="preserve">per </w:t>
            </w:r>
            <w:r w:rsidR="00F32627">
              <w:rPr>
                <w:rFonts w:ascii="Calibri" w:eastAsia="Arial" w:hAnsi="Calibri"/>
                <w:bCs w:val="0"/>
                <w:i w:val="0"/>
                <w:noProof w:val="0"/>
                <w:color w:val="auto"/>
                <w:sz w:val="20"/>
                <w:szCs w:val="20"/>
              </w:rPr>
              <w:t xml:space="preserve">kg </w:t>
            </w:r>
            <w:r w:rsidR="00F659D2">
              <w:rPr>
                <w:rFonts w:ascii="Calibri" w:eastAsia="Arial" w:hAnsi="Calibri"/>
                <w:bCs w:val="0"/>
                <w:i w:val="0"/>
                <w:noProof w:val="0"/>
                <w:color w:val="auto"/>
                <w:sz w:val="20"/>
                <w:szCs w:val="20"/>
              </w:rPr>
              <w:t>nitrogen</w:t>
            </w:r>
            <w:r w:rsidR="00483F1C">
              <w:rPr>
                <w:rFonts w:ascii="Calibri" w:eastAsia="Arial" w:hAnsi="Calibri"/>
                <w:bCs w:val="0"/>
                <w:i w:val="0"/>
                <w:noProof w:val="0"/>
                <w:color w:val="auto"/>
                <w:sz w:val="20"/>
                <w:szCs w:val="20"/>
              </w:rPr>
              <w:t xml:space="preserve"> excreted </w:t>
            </w:r>
            <w:r w:rsidR="00C04F18" w:rsidRPr="004C12C9">
              <w:rPr>
                <w:rFonts w:ascii="Calibri" w:eastAsia="Arial" w:hAnsi="Calibri"/>
                <w:bCs w:val="0"/>
                <w:i w:val="0"/>
                <w:noProof w:val="0"/>
                <w:color w:val="auto"/>
                <w:sz w:val="20"/>
                <w:szCs w:val="20"/>
              </w:rPr>
              <w:t>by management system type, m (kgN</w:t>
            </w:r>
            <w:r w:rsidR="00C04F18" w:rsidRPr="004C12C9">
              <w:rPr>
                <w:rFonts w:ascii="Calibri" w:eastAsia="Arial" w:hAnsi="Calibri"/>
                <w:bCs w:val="0"/>
                <w:i w:val="0"/>
                <w:noProof w:val="0"/>
                <w:color w:val="auto"/>
                <w:sz w:val="20"/>
                <w:szCs w:val="20"/>
                <w:vertAlign w:val="subscript"/>
              </w:rPr>
              <w:t>2</w:t>
            </w:r>
            <w:r w:rsidR="00C04F18" w:rsidRPr="004C12C9">
              <w:rPr>
                <w:rFonts w:ascii="Calibri" w:eastAsia="Arial" w:hAnsi="Calibri"/>
                <w:bCs w:val="0"/>
                <w:i w:val="0"/>
                <w:noProof w:val="0"/>
                <w:color w:val="auto"/>
                <w:sz w:val="20"/>
                <w:szCs w:val="20"/>
              </w:rPr>
              <w:t>O-N/kgN)</w:t>
            </w:r>
          </w:p>
          <w:p w14:paraId="369B5BA8" w14:textId="672907AC" w:rsidR="00DB27E4" w:rsidRPr="004C12C9" w:rsidRDefault="00B71185">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C04F18" w:rsidRPr="004C12C9">
              <w:rPr>
                <w:rFonts w:ascii="Calibri" w:eastAsia="Arial" w:hAnsi="Calibri"/>
                <w:bCs w:val="0"/>
                <w:i w:val="0"/>
                <w:noProof w:val="0"/>
                <w:color w:val="auto"/>
                <w:sz w:val="20"/>
                <w:szCs w:val="20"/>
              </w:rPr>
              <w:t>Conversion factor of N</w:t>
            </w:r>
            <w:r w:rsidR="00C04F18" w:rsidRPr="004C12C9">
              <w:rPr>
                <w:rFonts w:ascii="Calibri" w:eastAsia="Arial" w:hAnsi="Calibri"/>
                <w:bCs w:val="0"/>
                <w:i w:val="0"/>
                <w:noProof w:val="0"/>
                <w:color w:val="auto"/>
                <w:sz w:val="20"/>
                <w:szCs w:val="20"/>
                <w:vertAlign w:val="subscript"/>
              </w:rPr>
              <w:t>2</w:t>
            </w:r>
            <w:r w:rsidR="00C04F18" w:rsidRPr="004C12C9">
              <w:rPr>
                <w:rFonts w:ascii="Calibri" w:eastAsia="Arial" w:hAnsi="Calibri"/>
                <w:bCs w:val="0"/>
                <w:i w:val="0"/>
                <w:noProof w:val="0"/>
                <w:color w:val="auto"/>
                <w:sz w:val="20"/>
                <w:szCs w:val="20"/>
              </w:rPr>
              <w:t>O-N to N</w:t>
            </w:r>
            <w:r w:rsidR="00C04F18" w:rsidRPr="004C12C9">
              <w:rPr>
                <w:rFonts w:ascii="Calibri" w:eastAsia="Arial" w:hAnsi="Calibri"/>
                <w:bCs w:val="0"/>
                <w:i w:val="0"/>
                <w:noProof w:val="0"/>
                <w:color w:val="auto"/>
                <w:sz w:val="20"/>
                <w:szCs w:val="20"/>
                <w:vertAlign w:val="subscript"/>
              </w:rPr>
              <w:t>2</w:t>
            </w:r>
            <w:r w:rsidR="00C04F18" w:rsidRPr="004C12C9">
              <w:rPr>
                <w:rFonts w:ascii="Calibri" w:eastAsia="Arial" w:hAnsi="Calibri"/>
                <w:bCs w:val="0"/>
                <w:i w:val="0"/>
                <w:noProof w:val="0"/>
                <w:color w:val="auto"/>
                <w:sz w:val="20"/>
                <w:szCs w:val="20"/>
              </w:rPr>
              <w:t>O</w:t>
            </w:r>
          </w:p>
          <w:p w14:paraId="53802FBB" w14:textId="77777777" w:rsidR="00B71185" w:rsidRPr="004C12C9" w:rsidRDefault="00B71185">
            <w:pPr>
              <w:pStyle w:val="Equation"/>
              <w:spacing w:before="0" w:after="0"/>
              <w:jc w:val="left"/>
              <w:rPr>
                <w:rFonts w:ascii="Calibri" w:eastAsia="Arial" w:hAnsi="Calibri"/>
                <w:bCs w:val="0"/>
                <w:i w:val="0"/>
                <w:noProof w:val="0"/>
                <w:color w:val="auto"/>
                <w:sz w:val="20"/>
                <w:szCs w:val="20"/>
              </w:rPr>
            </w:pPr>
          </w:p>
        </w:tc>
      </w:tr>
    </w:tbl>
    <w:p w14:paraId="289D4897" w14:textId="68738B3B" w:rsidR="00FA415F" w:rsidRPr="004C12C9" w:rsidRDefault="00C95328" w:rsidP="00972CF9">
      <w:pPr>
        <w:pStyle w:val="Caption"/>
        <w:rPr>
          <w:rFonts w:eastAsia="Arial"/>
        </w:rPr>
      </w:pPr>
      <w:r w:rsidRPr="004C12C9">
        <w:t xml:space="preserve">Equation </w:t>
      </w:r>
      <w:r w:rsidR="00127094">
        <w:fldChar w:fldCharType="begin"/>
      </w:r>
      <w:r w:rsidR="00127094">
        <w:instrText xml:space="preserve"> SEQ Equation \* ARABIC </w:instrText>
      </w:r>
      <w:r w:rsidR="00127094">
        <w:fldChar w:fldCharType="separate"/>
      </w:r>
      <w:r w:rsidR="00C47624">
        <w:rPr>
          <w:noProof/>
        </w:rPr>
        <w:t>38</w:t>
      </w:r>
      <w:r w:rsidR="00127094">
        <w:fldChar w:fldCharType="end"/>
      </w:r>
      <w:r w:rsidRPr="004C12C9">
        <w:t xml:space="preserve">. </w:t>
      </w:r>
      <w:r w:rsidR="00FA415F" w:rsidRPr="004C12C9">
        <w:t xml:space="preserve">Annual </w:t>
      </w:r>
      <w:r w:rsidRPr="004C12C9">
        <w:t>I</w:t>
      </w:r>
      <w:r w:rsidR="00FA415F" w:rsidRPr="004C12C9">
        <w:t xml:space="preserve">ndirect </w:t>
      </w:r>
      <w:r w:rsidRPr="004C12C9">
        <w:t>N</w:t>
      </w:r>
      <w:r w:rsidR="00FA415F" w:rsidRPr="004C12C9">
        <w:t xml:space="preserve">itrous </w:t>
      </w:r>
      <w:r w:rsidRPr="004C12C9">
        <w:t>O</w:t>
      </w:r>
      <w:r w:rsidR="00FA415F" w:rsidRPr="004C12C9">
        <w:t xml:space="preserve">xide </w:t>
      </w:r>
      <w:r w:rsidRPr="004C12C9">
        <w:t>E</w:t>
      </w:r>
      <w:r w:rsidR="00FA415F" w:rsidRPr="004C12C9">
        <w:t xml:space="preserve">missions from </w:t>
      </w:r>
      <w:r w:rsidR="00EE3CC4" w:rsidRPr="004C12C9">
        <w:t>Managed Manure and Pasture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20"/>
        <w:gridCol w:w="8450"/>
      </w:tblGrid>
      <w:tr w:rsidR="00577852" w:rsidRPr="004C12C9" w14:paraId="246C799D" w14:textId="77777777">
        <w:tc>
          <w:tcPr>
            <w:tcW w:w="10070" w:type="dxa"/>
            <w:gridSpan w:val="2"/>
            <w:shd w:val="clear" w:color="auto" w:fill="F2F2F2" w:themeFill="background1" w:themeFillShade="F2"/>
          </w:tcPr>
          <w:p w14:paraId="3BACE2D3" w14:textId="5FEE92D4" w:rsidR="00577852" w:rsidRPr="004C12C9" w:rsidRDefault="00000000" w:rsidP="00242BAC">
            <w:pPr>
              <w:pStyle w:val="Equation"/>
              <w:spacing w:before="160" w:after="120"/>
              <w:rPr>
                <w:noProof w:val="0"/>
              </w:rPr>
            </w:pPr>
            <m:oMathPara>
              <m:oMath>
                <m:sSub>
                  <m:sSubPr>
                    <m:ctrlPr>
                      <w:rPr>
                        <w:noProof w:val="0"/>
                      </w:rPr>
                    </m:ctrlPr>
                  </m:sSubPr>
                  <m:e>
                    <m:r>
                      <w:rPr>
                        <w:noProof w:val="0"/>
                      </w:rPr>
                      <m:t xml:space="preserve">indirect </m:t>
                    </m:r>
                    <m:sSub>
                      <m:sSubPr>
                        <m:ctrlPr>
                          <w:rPr>
                            <w:noProof w:val="0"/>
                          </w:rPr>
                        </m:ctrlPr>
                      </m:sSubPr>
                      <m:e>
                        <m:r>
                          <w:rPr>
                            <w:noProof w:val="0"/>
                          </w:rPr>
                          <m:t>N</m:t>
                        </m:r>
                      </m:e>
                      <m:sub>
                        <m:r>
                          <w:rPr>
                            <w:noProof w:val="0"/>
                          </w:rPr>
                          <m:t>2</m:t>
                        </m:r>
                      </m:sub>
                    </m:sSub>
                    <m:r>
                      <w:rPr>
                        <w:noProof w:val="0"/>
                      </w:rPr>
                      <m:t>O</m:t>
                    </m:r>
                  </m:e>
                  <m:sub>
                    <m:r>
                      <w:rPr>
                        <w:noProof w:val="0"/>
                      </w:rPr>
                      <m:t xml:space="preserve">manure </m:t>
                    </m:r>
                  </m:sub>
                </m:sSub>
                <m:r>
                  <w:rPr>
                    <w:noProof w:val="0"/>
                  </w:rPr>
                  <m:t>=</m:t>
                </m:r>
                <m:nary>
                  <m:naryPr>
                    <m:chr m:val="∑"/>
                    <m:limLoc m:val="undOvr"/>
                    <m:subHide m:val="1"/>
                    <m:supHide m:val="1"/>
                    <m:ctrlPr>
                      <w:rPr>
                        <w:noProof w:val="0"/>
                      </w:rPr>
                    </m:ctrlPr>
                  </m:naryPr>
                  <m:sub/>
                  <m:sup/>
                  <m:e>
                    <m:d>
                      <m:dPr>
                        <m:ctrlPr>
                          <w:rPr>
                            <w:noProof w:val="0"/>
                          </w:rPr>
                        </m:ctrlPr>
                      </m:dPr>
                      <m:e>
                        <m:sSub>
                          <m:sSubPr>
                            <m:ctrlPr>
                              <w:rPr>
                                <w:iCs/>
                                <w:noProof w:val="0"/>
                              </w:rPr>
                            </m:ctrlPr>
                          </m:sSubPr>
                          <m:e>
                            <m:r>
                              <w:rPr>
                                <w:noProof w:val="0"/>
                              </w:rPr>
                              <m:t>N excreted</m:t>
                            </m:r>
                          </m:e>
                          <m:sub>
                            <m:r>
                              <w:rPr>
                                <w:noProof w:val="0"/>
                              </w:rPr>
                              <m:t>t</m:t>
                            </m:r>
                          </m:sub>
                        </m:sSub>
                        <m:r>
                          <w:rPr>
                            <w:noProof w:val="0"/>
                          </w:rPr>
                          <m:t>×</m:t>
                        </m:r>
                        <m:sSub>
                          <m:sSubPr>
                            <m:ctrlPr>
                              <w:rPr>
                                <w:iCs/>
                                <w:noProof w:val="0"/>
                              </w:rPr>
                            </m:ctrlPr>
                          </m:sSubPr>
                          <m:e>
                            <m:r>
                              <w:rPr>
                                <w:noProof w:val="0"/>
                              </w:rPr>
                              <m:t>Frac Vol</m:t>
                            </m:r>
                          </m:e>
                          <m:sub>
                            <m:r>
                              <w:rPr>
                                <w:noProof w:val="0"/>
                              </w:rPr>
                              <m:t>t,m</m:t>
                            </m:r>
                          </m:sub>
                        </m:sSub>
                        <m:r>
                          <w:rPr>
                            <w:noProof w:val="0"/>
                          </w:rPr>
                          <m:t xml:space="preserve"> ×</m:t>
                        </m:r>
                        <m:sSub>
                          <m:sSubPr>
                            <m:ctrlPr>
                              <w:rPr>
                                <w:iCs/>
                                <w:noProof w:val="0"/>
                              </w:rPr>
                            </m:ctrlPr>
                          </m:sSubPr>
                          <m:e>
                            <m:r>
                              <w:rPr>
                                <w:noProof w:val="0"/>
                              </w:rPr>
                              <m:t>EF</m:t>
                            </m:r>
                          </m:e>
                          <m:sub>
                            <m:r>
                              <w:rPr>
                                <w:noProof w:val="0"/>
                              </w:rPr>
                              <m:t>vol</m:t>
                            </m:r>
                          </m:sub>
                        </m:sSub>
                        <m:r>
                          <w:rPr>
                            <w:noProof w:val="0"/>
                          </w:rPr>
                          <m:t>×</m:t>
                        </m:r>
                        <m:f>
                          <m:fPr>
                            <m:ctrlPr>
                              <w:rPr>
                                <w:iCs/>
                                <w:noProof w:val="0"/>
                              </w:rPr>
                            </m:ctrlPr>
                          </m:fPr>
                          <m:num>
                            <m:r>
                              <w:rPr>
                                <w:noProof w:val="0"/>
                              </w:rPr>
                              <m:t>44</m:t>
                            </m:r>
                          </m:num>
                          <m:den>
                            <m:r>
                              <w:rPr>
                                <w:noProof w:val="0"/>
                              </w:rPr>
                              <m:t>28</m:t>
                            </m:r>
                          </m:den>
                        </m:f>
                      </m:e>
                    </m:d>
                    <m:r>
                      <w:rPr>
                        <w:noProof w:val="0"/>
                      </w:rPr>
                      <m:t xml:space="preserve">+ </m:t>
                    </m:r>
                    <m:d>
                      <m:dPr>
                        <m:ctrlPr>
                          <w:rPr>
                            <w:noProof w:val="0"/>
                          </w:rPr>
                        </m:ctrlPr>
                      </m:dPr>
                      <m:e>
                        <m:sSub>
                          <m:sSubPr>
                            <m:ctrlPr>
                              <w:rPr>
                                <w:iCs/>
                                <w:noProof w:val="0"/>
                              </w:rPr>
                            </m:ctrlPr>
                          </m:sSubPr>
                          <m:e>
                            <m:r>
                              <w:rPr>
                                <w:noProof w:val="0"/>
                              </w:rPr>
                              <m:t>N excreted</m:t>
                            </m:r>
                          </m:e>
                          <m:sub>
                            <m:r>
                              <w:rPr>
                                <w:noProof w:val="0"/>
                              </w:rPr>
                              <m:t>t</m:t>
                            </m:r>
                          </m:sub>
                        </m:sSub>
                        <m:r>
                          <w:rPr>
                            <w:noProof w:val="0"/>
                          </w:rPr>
                          <m:t>×</m:t>
                        </m:r>
                        <m:sSub>
                          <m:sSubPr>
                            <m:ctrlPr>
                              <w:rPr>
                                <w:iCs/>
                                <w:noProof w:val="0"/>
                              </w:rPr>
                            </m:ctrlPr>
                          </m:sSubPr>
                          <m:e>
                            <m:r>
                              <w:rPr>
                                <w:noProof w:val="0"/>
                              </w:rPr>
                              <m:t>Frac Run</m:t>
                            </m:r>
                          </m:e>
                          <m:sub>
                            <m:r>
                              <w:rPr>
                                <w:noProof w:val="0"/>
                              </w:rPr>
                              <m:t>t,m</m:t>
                            </m:r>
                          </m:sub>
                        </m:sSub>
                        <m:r>
                          <w:rPr>
                            <w:noProof w:val="0"/>
                          </w:rPr>
                          <m:t>×</m:t>
                        </m:r>
                        <m:sSub>
                          <m:sSubPr>
                            <m:ctrlPr>
                              <w:rPr>
                                <w:iCs/>
                                <w:noProof w:val="0"/>
                              </w:rPr>
                            </m:ctrlPr>
                          </m:sSubPr>
                          <m:e>
                            <m:r>
                              <w:rPr>
                                <w:noProof w:val="0"/>
                              </w:rPr>
                              <m:t>EF</m:t>
                            </m:r>
                          </m:e>
                          <m:sub>
                            <m:r>
                              <w:rPr>
                                <w:noProof w:val="0"/>
                              </w:rPr>
                              <m:t>run</m:t>
                            </m:r>
                          </m:sub>
                        </m:sSub>
                        <m:r>
                          <w:rPr>
                            <w:noProof w:val="0"/>
                          </w:rPr>
                          <m:t>×</m:t>
                        </m:r>
                        <m:f>
                          <m:fPr>
                            <m:ctrlPr>
                              <w:rPr>
                                <w:iCs/>
                                <w:noProof w:val="0"/>
                              </w:rPr>
                            </m:ctrlPr>
                          </m:fPr>
                          <m:num>
                            <m:r>
                              <w:rPr>
                                <w:noProof w:val="0"/>
                              </w:rPr>
                              <m:t>44</m:t>
                            </m:r>
                          </m:num>
                          <m:den>
                            <m:r>
                              <w:rPr>
                                <w:noProof w:val="0"/>
                              </w:rPr>
                              <m:t>28</m:t>
                            </m:r>
                          </m:den>
                        </m:f>
                      </m:e>
                    </m:d>
                  </m:e>
                </m:nary>
              </m:oMath>
            </m:oMathPara>
          </w:p>
          <w:p w14:paraId="07175033" w14:textId="77777777" w:rsidR="00577852" w:rsidRPr="004C12C9" w:rsidRDefault="00577852" w:rsidP="00242BAC">
            <w:pPr>
              <w:spacing w:after="160"/>
              <w:rPr>
                <w:i/>
                <w:iCs/>
              </w:rPr>
            </w:pPr>
            <w:r w:rsidRPr="004C12C9">
              <w:rPr>
                <w:i/>
                <w:iCs/>
                <w:sz w:val="20"/>
                <w:szCs w:val="20"/>
              </w:rPr>
              <w:t xml:space="preserve">where, </w:t>
            </w:r>
          </w:p>
        </w:tc>
      </w:tr>
      <w:tr w:rsidR="00577852" w:rsidRPr="004C12C9" w14:paraId="7298F78A" w14:textId="77777777" w:rsidTr="00153BD1">
        <w:tc>
          <w:tcPr>
            <w:tcW w:w="1620" w:type="dxa"/>
            <w:shd w:val="clear" w:color="auto" w:fill="F2F2F2" w:themeFill="background1" w:themeFillShade="F2"/>
          </w:tcPr>
          <w:p w14:paraId="708241A4" w14:textId="35ADDD76"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 excreted</w:t>
            </w:r>
          </w:p>
          <w:p w14:paraId="5CCA4142" w14:textId="3BC4C94A"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w:t>
            </w:r>
            <w:r w:rsidR="007C6A75" w:rsidRPr="004C12C9">
              <w:rPr>
                <w:rFonts w:ascii="Calibri" w:eastAsia="Arial" w:hAnsi="Calibri"/>
                <w:bCs w:val="0"/>
                <w:i w:val="0"/>
                <w:noProof w:val="0"/>
                <w:color w:val="auto"/>
                <w:sz w:val="20"/>
                <w:szCs w:val="20"/>
              </w:rPr>
              <w:t xml:space="preserve"> Vol</w:t>
            </w:r>
          </w:p>
          <w:p w14:paraId="7E43F5B9" w14:textId="2FA92CD5"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w:t>
            </w:r>
            <w:r w:rsidR="007C6A75" w:rsidRPr="004C12C9">
              <w:rPr>
                <w:rFonts w:ascii="Calibri" w:eastAsia="Arial" w:hAnsi="Calibri"/>
                <w:bCs w:val="0"/>
                <w:i w:val="0"/>
                <w:noProof w:val="0"/>
                <w:color w:val="auto"/>
                <w:sz w:val="20"/>
                <w:szCs w:val="20"/>
              </w:rPr>
              <w:t xml:space="preserve"> Run</w:t>
            </w:r>
          </w:p>
          <w:p w14:paraId="501D26F7" w14:textId="5E60895C"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EF</w:t>
            </w:r>
            <w:r w:rsidRPr="004C12C9">
              <w:rPr>
                <w:rFonts w:ascii="Calibri" w:eastAsia="Arial" w:hAnsi="Calibri"/>
                <w:bCs w:val="0"/>
                <w:i w:val="0"/>
                <w:noProof w:val="0"/>
                <w:color w:val="auto"/>
                <w:sz w:val="20"/>
                <w:szCs w:val="20"/>
                <w:vertAlign w:val="subscript"/>
              </w:rPr>
              <w:t>vol</w:t>
            </w:r>
          </w:p>
          <w:p w14:paraId="220E2BAC" w14:textId="14AE1BBC"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EF</w:t>
            </w:r>
            <w:r w:rsidRPr="004C12C9">
              <w:rPr>
                <w:rFonts w:ascii="Calibri" w:eastAsia="Arial" w:hAnsi="Calibri"/>
                <w:bCs w:val="0"/>
                <w:i w:val="0"/>
                <w:noProof w:val="0"/>
                <w:color w:val="auto"/>
                <w:sz w:val="20"/>
                <w:szCs w:val="20"/>
                <w:vertAlign w:val="subscript"/>
              </w:rPr>
              <w:t>run</w:t>
            </w:r>
          </w:p>
          <w:p w14:paraId="096CAB46" w14:textId="187673E9" w:rsidR="00577852" w:rsidRPr="004C12C9" w:rsidRDefault="00577852">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44/28 </w:t>
            </w:r>
          </w:p>
        </w:tc>
        <w:tc>
          <w:tcPr>
            <w:tcW w:w="8450" w:type="dxa"/>
            <w:shd w:val="clear" w:color="auto" w:fill="F2F2F2" w:themeFill="background1" w:themeFillShade="F2"/>
          </w:tcPr>
          <w:p w14:paraId="28F3523B" w14:textId="00D30D19" w:rsidR="00577852" w:rsidRPr="004C12C9" w:rsidRDefault="0057785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nitrogen excreted annually</w:t>
            </w:r>
            <w:r w:rsidR="00032DF2" w:rsidRPr="004C12C9">
              <w:rPr>
                <w:rFonts w:ascii="Calibri" w:eastAsia="Arial" w:hAnsi="Calibri"/>
                <w:bCs w:val="0"/>
                <w:i w:val="0"/>
                <w:noProof w:val="0"/>
                <w:color w:val="auto"/>
                <w:sz w:val="20"/>
                <w:szCs w:val="20"/>
              </w:rPr>
              <w:t xml:space="preserve"> by type, t</w:t>
            </w:r>
            <w:r w:rsidRPr="004C12C9">
              <w:rPr>
                <w:rFonts w:ascii="Calibri" w:eastAsia="Arial" w:hAnsi="Calibri"/>
                <w:bCs w:val="0"/>
                <w:i w:val="0"/>
                <w:noProof w:val="0"/>
                <w:color w:val="auto"/>
                <w:sz w:val="20"/>
                <w:szCs w:val="20"/>
              </w:rPr>
              <w:t xml:space="preserve">, as calculated by </w:t>
            </w:r>
            <w:r w:rsidRPr="004C12C9">
              <w:rPr>
                <w:rFonts w:ascii="Calibri" w:eastAsia="Arial" w:hAnsi="Calibri"/>
                <w:bCs w:val="0"/>
                <w:i w:val="0"/>
                <w:noProof w:val="0"/>
                <w:color w:val="auto"/>
                <w:sz w:val="20"/>
                <w:szCs w:val="20"/>
              </w:rPr>
              <w:fldChar w:fldCharType="begin" w:fldLock="1"/>
            </w:r>
            <w:r w:rsidRPr="004C12C9">
              <w:rPr>
                <w:rFonts w:ascii="Calibri" w:eastAsia="Arial" w:hAnsi="Calibri"/>
                <w:bCs w:val="0"/>
                <w:i w:val="0"/>
                <w:noProof w:val="0"/>
                <w:color w:val="auto"/>
                <w:sz w:val="20"/>
                <w:szCs w:val="20"/>
              </w:rPr>
              <w:instrText xml:space="preserve"> REF _Ref195457869 \h  \* MERGEFORMAT </w:instrText>
            </w:r>
            <w:r w:rsidRPr="004C12C9">
              <w:rPr>
                <w:rFonts w:ascii="Calibri" w:eastAsia="Arial" w:hAnsi="Calibri"/>
                <w:bCs w:val="0"/>
                <w:i w:val="0"/>
                <w:noProof w:val="0"/>
                <w:color w:val="auto"/>
                <w:sz w:val="20"/>
                <w:szCs w:val="20"/>
              </w:rPr>
            </w:r>
            <w:r w:rsidRPr="004C12C9">
              <w:rPr>
                <w:rFonts w:ascii="Calibri" w:eastAsia="Arial" w:hAnsi="Calibri"/>
                <w:bCs w:val="0"/>
                <w:i w:val="0"/>
                <w:noProof w:val="0"/>
                <w:color w:val="auto"/>
                <w:sz w:val="20"/>
                <w:szCs w:val="20"/>
              </w:rPr>
              <w:fldChar w:fldCharType="separate"/>
            </w:r>
            <w:r w:rsidR="00127094" w:rsidRPr="004C12C9">
              <w:rPr>
                <w:rFonts w:ascii="Calibri" w:eastAsia="Arial" w:hAnsi="Calibri"/>
                <w:bCs w:val="0"/>
                <w:i w:val="0"/>
                <w:noProof w:val="0"/>
                <w:color w:val="auto"/>
                <w:sz w:val="20"/>
                <w:szCs w:val="20"/>
              </w:rPr>
              <w:t>Equation 34</w:t>
            </w:r>
            <w:r w:rsidRPr="004C12C9">
              <w:rPr>
                <w:rFonts w:ascii="Calibri" w:eastAsia="Arial" w:hAnsi="Calibri"/>
                <w:bCs w:val="0"/>
                <w:i w:val="0"/>
                <w:noProof w:val="0"/>
                <w:color w:val="auto"/>
                <w:sz w:val="20"/>
                <w:szCs w:val="20"/>
              </w:rPr>
              <w:fldChar w:fldCharType="end"/>
            </w:r>
            <w:r w:rsidRPr="004C12C9">
              <w:rPr>
                <w:rFonts w:ascii="Calibri" w:eastAsia="Arial" w:hAnsi="Calibri"/>
                <w:bCs w:val="0"/>
                <w:i w:val="0"/>
                <w:noProof w:val="0"/>
                <w:color w:val="auto"/>
                <w:sz w:val="20"/>
                <w:szCs w:val="20"/>
              </w:rPr>
              <w:t xml:space="preserve"> (kgN/year)</w:t>
            </w:r>
          </w:p>
          <w:p w14:paraId="19A664F2" w14:textId="378D71F4" w:rsidR="00577852" w:rsidRPr="004C12C9" w:rsidRDefault="0057785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659D2">
              <w:rPr>
                <w:rFonts w:ascii="Calibri" w:eastAsia="Arial" w:hAnsi="Calibri"/>
                <w:bCs w:val="0"/>
                <w:i w:val="0"/>
                <w:noProof w:val="0"/>
                <w:color w:val="auto"/>
                <w:sz w:val="20"/>
                <w:szCs w:val="20"/>
              </w:rPr>
              <w:t>Fraction</w:t>
            </w:r>
            <w:r w:rsidR="00F659D2"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of nitrogen lost to volatilization</w:t>
            </w:r>
            <w:r w:rsidR="00153BD1" w:rsidRPr="004C12C9">
              <w:rPr>
                <w:rFonts w:ascii="Calibri" w:eastAsia="Arial" w:hAnsi="Calibri"/>
                <w:bCs w:val="0"/>
                <w:i w:val="0"/>
                <w:noProof w:val="0"/>
                <w:color w:val="auto"/>
                <w:sz w:val="20"/>
                <w:szCs w:val="20"/>
              </w:rPr>
              <w:t xml:space="preserve"> by animal type, t, and management system type, m</w:t>
            </w:r>
            <w:r w:rsidRPr="004C12C9">
              <w:rPr>
                <w:rFonts w:ascii="Calibri" w:eastAsia="Arial" w:hAnsi="Calibri"/>
                <w:bCs w:val="0"/>
                <w:i w:val="0"/>
                <w:noProof w:val="0"/>
                <w:color w:val="auto"/>
                <w:sz w:val="20"/>
                <w:szCs w:val="20"/>
              </w:rPr>
              <w:t xml:space="preserve"> (%)</w:t>
            </w:r>
          </w:p>
          <w:p w14:paraId="71C4B288" w14:textId="292FF38B" w:rsidR="00577852" w:rsidRPr="004C12C9" w:rsidRDefault="0057785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659D2">
              <w:rPr>
                <w:rFonts w:ascii="Calibri" w:eastAsia="Arial" w:hAnsi="Calibri"/>
                <w:bCs w:val="0"/>
                <w:i w:val="0"/>
                <w:noProof w:val="0"/>
                <w:color w:val="auto"/>
                <w:sz w:val="20"/>
                <w:szCs w:val="20"/>
              </w:rPr>
              <w:t>Fraction</w:t>
            </w:r>
            <w:r w:rsidR="00F659D2"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of nitrogen lost to runoff/leaching</w:t>
            </w:r>
            <w:r w:rsidR="00153BD1" w:rsidRPr="004C12C9">
              <w:rPr>
                <w:rFonts w:ascii="Calibri" w:eastAsia="Arial" w:hAnsi="Calibri"/>
                <w:bCs w:val="0"/>
                <w:i w:val="0"/>
                <w:noProof w:val="0"/>
                <w:color w:val="auto"/>
                <w:sz w:val="20"/>
                <w:szCs w:val="20"/>
              </w:rPr>
              <w:t xml:space="preserve"> by animal type, t, and management system type, m</w:t>
            </w:r>
            <w:r w:rsidRPr="004C12C9">
              <w:rPr>
                <w:rFonts w:ascii="Calibri" w:eastAsia="Arial" w:hAnsi="Calibri"/>
                <w:bCs w:val="0"/>
                <w:i w:val="0"/>
                <w:noProof w:val="0"/>
                <w:color w:val="auto"/>
                <w:sz w:val="20"/>
                <w:szCs w:val="20"/>
              </w:rPr>
              <w:t xml:space="preserve"> (%)</w:t>
            </w:r>
          </w:p>
          <w:p w14:paraId="60EEE912" w14:textId="7AE71315" w:rsidR="00577852" w:rsidRPr="004C12C9" w:rsidRDefault="0057785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Volatilization </w:t>
            </w:r>
            <w:r w:rsidR="00F659D2">
              <w:rPr>
                <w:rFonts w:ascii="Calibri" w:eastAsia="Arial" w:hAnsi="Calibri"/>
                <w:bCs w:val="0"/>
                <w:i w:val="0"/>
                <w:noProof w:val="0"/>
                <w:color w:val="auto"/>
                <w:sz w:val="20"/>
                <w:szCs w:val="20"/>
              </w:rPr>
              <w:t>indirect N</w:t>
            </w:r>
            <w:r w:rsidR="00F659D2" w:rsidRPr="00242BAC">
              <w:rPr>
                <w:rFonts w:ascii="Calibri" w:eastAsia="Arial" w:hAnsi="Calibri"/>
                <w:bCs w:val="0"/>
                <w:i w:val="0"/>
                <w:noProof w:val="0"/>
                <w:color w:val="auto"/>
                <w:sz w:val="20"/>
                <w:szCs w:val="20"/>
                <w:vertAlign w:val="subscript"/>
              </w:rPr>
              <w:t>2</w:t>
            </w:r>
            <w:r w:rsidR="00F659D2">
              <w:rPr>
                <w:rFonts w:ascii="Calibri" w:eastAsia="Arial" w:hAnsi="Calibri"/>
                <w:bCs w:val="0"/>
                <w:i w:val="0"/>
                <w:noProof w:val="0"/>
                <w:color w:val="auto"/>
                <w:sz w:val="20"/>
                <w:szCs w:val="20"/>
              </w:rPr>
              <w:t xml:space="preserve">O </w:t>
            </w:r>
            <w:r w:rsidRPr="004C12C9">
              <w:rPr>
                <w:rFonts w:ascii="Calibri" w:eastAsia="Arial" w:hAnsi="Calibri"/>
                <w:bCs w:val="0"/>
                <w:i w:val="0"/>
                <w:noProof w:val="0"/>
                <w:color w:val="auto"/>
                <w:sz w:val="20"/>
                <w:szCs w:val="20"/>
              </w:rPr>
              <w:t xml:space="preserve">emission factor from IPCC </w:t>
            </w:r>
            <w:r w:rsidR="00F659D2">
              <w:rPr>
                <w:rFonts w:ascii="Calibri" w:eastAsia="Arial" w:hAnsi="Calibri"/>
                <w:bCs w:val="0"/>
                <w:i w:val="0"/>
                <w:noProof w:val="0"/>
                <w:color w:val="auto"/>
                <w:sz w:val="20"/>
                <w:szCs w:val="20"/>
              </w:rPr>
              <w:t>2019 Refinement</w:t>
            </w:r>
            <w:r w:rsidRPr="004C12C9">
              <w:rPr>
                <w:rFonts w:ascii="Calibri" w:eastAsia="Arial" w:hAnsi="Calibri"/>
                <w:bCs w:val="0"/>
                <w:i w:val="0"/>
                <w:noProof w:val="0"/>
                <w:color w:val="auto"/>
                <w:sz w:val="20"/>
                <w:szCs w:val="20"/>
              </w:rPr>
              <w:t xml:space="preserve">, </w:t>
            </w:r>
            <w:r w:rsidR="00C45C81" w:rsidRPr="004C12C9">
              <w:rPr>
                <w:rFonts w:ascii="Calibri" w:eastAsia="Arial" w:hAnsi="Calibri"/>
                <w:bCs w:val="0"/>
                <w:i w:val="0"/>
                <w:noProof w:val="0"/>
                <w:color w:val="auto"/>
                <w:sz w:val="20"/>
                <w:szCs w:val="20"/>
              </w:rPr>
              <w:t xml:space="preserve">0.01 </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p>
          <w:p w14:paraId="28C234CB" w14:textId="19D50660" w:rsidR="00577852" w:rsidRPr="004C12C9" w:rsidRDefault="00577852">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Leaching and runoff </w:t>
            </w:r>
            <w:r w:rsidR="00F659D2">
              <w:rPr>
                <w:rFonts w:ascii="Calibri" w:eastAsia="Arial" w:hAnsi="Calibri"/>
                <w:bCs w:val="0"/>
                <w:i w:val="0"/>
                <w:noProof w:val="0"/>
                <w:color w:val="auto"/>
                <w:sz w:val="20"/>
                <w:szCs w:val="20"/>
              </w:rPr>
              <w:t>indirect N</w:t>
            </w:r>
            <w:r w:rsidR="00F659D2" w:rsidRPr="00242BAC">
              <w:rPr>
                <w:rFonts w:ascii="Calibri" w:eastAsia="Arial" w:hAnsi="Calibri"/>
                <w:bCs w:val="0"/>
                <w:i w:val="0"/>
                <w:noProof w:val="0"/>
                <w:color w:val="auto"/>
                <w:sz w:val="20"/>
                <w:szCs w:val="20"/>
                <w:vertAlign w:val="subscript"/>
              </w:rPr>
              <w:t>2</w:t>
            </w:r>
            <w:r w:rsidR="00F659D2">
              <w:rPr>
                <w:rFonts w:ascii="Calibri" w:eastAsia="Arial" w:hAnsi="Calibri"/>
                <w:bCs w:val="0"/>
                <w:i w:val="0"/>
                <w:noProof w:val="0"/>
                <w:color w:val="auto"/>
                <w:sz w:val="20"/>
                <w:szCs w:val="20"/>
              </w:rPr>
              <w:t xml:space="preserve">O </w:t>
            </w:r>
            <w:r w:rsidRPr="004C12C9">
              <w:rPr>
                <w:rFonts w:ascii="Calibri" w:eastAsia="Arial" w:hAnsi="Calibri"/>
                <w:bCs w:val="0"/>
                <w:i w:val="0"/>
                <w:noProof w:val="0"/>
                <w:color w:val="auto"/>
                <w:sz w:val="20"/>
                <w:szCs w:val="20"/>
              </w:rPr>
              <w:t xml:space="preserve">emission factor from IPCC </w:t>
            </w:r>
            <w:r w:rsidR="00F659D2">
              <w:rPr>
                <w:rFonts w:ascii="Calibri" w:eastAsia="Arial" w:hAnsi="Calibri"/>
                <w:bCs w:val="0"/>
                <w:i w:val="0"/>
                <w:noProof w:val="0"/>
                <w:color w:val="auto"/>
                <w:sz w:val="20"/>
                <w:szCs w:val="20"/>
              </w:rPr>
              <w:t>2019 Refinement</w:t>
            </w:r>
            <w:r w:rsidRPr="004C12C9">
              <w:rPr>
                <w:rFonts w:ascii="Calibri" w:eastAsia="Arial" w:hAnsi="Calibri"/>
                <w:bCs w:val="0"/>
                <w:i w:val="0"/>
                <w:noProof w:val="0"/>
                <w:color w:val="auto"/>
                <w:sz w:val="20"/>
                <w:szCs w:val="20"/>
              </w:rPr>
              <w:t xml:space="preserve">, </w:t>
            </w:r>
            <w:r w:rsidR="00C45C81" w:rsidRPr="004C12C9">
              <w:rPr>
                <w:rFonts w:ascii="Calibri" w:eastAsia="Arial" w:hAnsi="Calibri"/>
                <w:bCs w:val="0"/>
                <w:i w:val="0"/>
                <w:noProof w:val="0"/>
                <w:color w:val="auto"/>
                <w:sz w:val="20"/>
                <w:szCs w:val="20"/>
              </w:rPr>
              <w:t xml:space="preserve">0.011 </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r w:rsidR="00C45C81" w:rsidRPr="004C12C9">
              <w:rPr>
                <w:rFonts w:ascii="Calibri" w:eastAsia="Arial" w:hAnsi="Calibri"/>
                <w:bCs w:val="0"/>
                <w:i w:val="0"/>
                <w:noProof w:val="0"/>
                <w:color w:val="auto"/>
                <w:sz w:val="20"/>
                <w:szCs w:val="20"/>
              </w:rPr>
              <w:t xml:space="preserve"> </w:t>
            </w:r>
          </w:p>
          <w:p w14:paraId="5BD0C16A" w14:textId="243DE8F2" w:rsidR="00577852" w:rsidRPr="004C12C9" w:rsidRDefault="00577852" w:rsidP="006B29CD">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Conversion factor of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 to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tc>
      </w:tr>
    </w:tbl>
    <w:p w14:paraId="6C522D16" w14:textId="33B14AE0" w:rsidR="00C96970" w:rsidRPr="004C12C9" w:rsidRDefault="00C96970" w:rsidP="00C96970">
      <w:pPr>
        <w:pStyle w:val="Caption"/>
      </w:pPr>
      <w:bookmarkStart w:id="237" w:name="_Ref199274560"/>
      <w:r w:rsidRPr="004C12C9">
        <w:t xml:space="preserve">Equation </w:t>
      </w:r>
      <w:r>
        <w:fldChar w:fldCharType="begin"/>
      </w:r>
      <w:r>
        <w:instrText xml:space="preserve"> SEQ Equation \* ARABIC </w:instrText>
      </w:r>
      <w:r>
        <w:fldChar w:fldCharType="separate"/>
      </w:r>
      <w:r w:rsidR="00C47624">
        <w:rPr>
          <w:noProof/>
        </w:rPr>
        <w:t>39</w:t>
      </w:r>
      <w:r>
        <w:fldChar w:fldCharType="end"/>
      </w:r>
      <w:bookmarkEnd w:id="237"/>
      <w:r w:rsidRPr="004C12C9">
        <w:t>. Proportion of Nitrogen Remaining in Manure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20"/>
        <w:gridCol w:w="8450"/>
      </w:tblGrid>
      <w:tr w:rsidR="00C96970" w:rsidRPr="004C12C9" w14:paraId="0A34E819" w14:textId="77777777">
        <w:tc>
          <w:tcPr>
            <w:tcW w:w="10070" w:type="dxa"/>
            <w:gridSpan w:val="2"/>
            <w:shd w:val="clear" w:color="auto" w:fill="F2F2F2" w:themeFill="background1" w:themeFillShade="F2"/>
          </w:tcPr>
          <w:p w14:paraId="2798A472" w14:textId="019D4638" w:rsidR="00C96970" w:rsidRPr="004C12C9" w:rsidRDefault="00C96970" w:rsidP="00242BAC">
            <w:pPr>
              <w:pStyle w:val="Equation"/>
              <w:spacing w:before="160" w:after="120"/>
              <w:rPr>
                <w:rFonts w:eastAsia="Arial"/>
                <w:iCs/>
                <w:noProof w:val="0"/>
              </w:rPr>
            </w:pPr>
            <m:oMathPara>
              <m:oMath>
                <m:r>
                  <w:rPr>
                    <w:noProof w:val="0"/>
                  </w:rPr>
                  <m:t xml:space="preserve"> </m:t>
                </m:r>
                <m:sSub>
                  <m:sSubPr>
                    <m:ctrlPr>
                      <w:rPr>
                        <w:noProof w:val="0"/>
                      </w:rPr>
                    </m:ctrlPr>
                  </m:sSubPr>
                  <m:e>
                    <m:r>
                      <w:rPr>
                        <w:noProof w:val="0"/>
                      </w:rPr>
                      <m:t>N remaining</m:t>
                    </m:r>
                  </m:e>
                  <m:sub>
                    <m:r>
                      <w:rPr>
                        <w:noProof w:val="0"/>
                      </w:rPr>
                      <m:t xml:space="preserve">t </m:t>
                    </m:r>
                  </m:sub>
                </m:sSub>
                <m:r>
                  <w:rPr>
                    <w:noProof w:val="0"/>
                  </w:rPr>
                  <m:t xml:space="preserve">=1- </m:t>
                </m:r>
                <m:d>
                  <m:dPr>
                    <m:ctrlPr>
                      <w:rPr>
                        <w:noProof w:val="0"/>
                      </w:rPr>
                    </m:ctrlPr>
                  </m:dPr>
                  <m:e>
                    <m:sSub>
                      <m:sSubPr>
                        <m:ctrlPr>
                          <w:rPr>
                            <w:iCs/>
                            <w:noProof w:val="0"/>
                          </w:rPr>
                        </m:ctrlPr>
                      </m:sSubPr>
                      <m:e>
                        <m:r>
                          <w:rPr>
                            <w:noProof w:val="0"/>
                          </w:rPr>
                          <m:t>emissions factor</m:t>
                        </m:r>
                      </m:e>
                      <m:sub>
                        <m:r>
                          <w:rPr>
                            <w:noProof w:val="0"/>
                          </w:rPr>
                          <m:t>m</m:t>
                        </m:r>
                      </m:sub>
                    </m:sSub>
                    <m:r>
                      <w:rPr>
                        <w:noProof w:val="0"/>
                      </w:rPr>
                      <m:t xml:space="preserve">+ </m:t>
                    </m:r>
                    <m:sSub>
                      <m:sSubPr>
                        <m:ctrlPr>
                          <w:rPr>
                            <w:iCs/>
                            <w:noProof w:val="0"/>
                          </w:rPr>
                        </m:ctrlPr>
                      </m:sSubPr>
                      <m:e>
                        <m:r>
                          <w:rPr>
                            <w:noProof w:val="0"/>
                          </w:rPr>
                          <m:t>Frac Vol</m:t>
                        </m:r>
                      </m:e>
                      <m:sub>
                        <m:r>
                          <w:rPr>
                            <w:noProof w:val="0"/>
                          </w:rPr>
                          <m:t>t,m</m:t>
                        </m:r>
                      </m:sub>
                    </m:sSub>
                    <m:r>
                      <w:rPr>
                        <w:noProof w:val="0"/>
                      </w:rPr>
                      <m:t xml:space="preserve">+ </m:t>
                    </m:r>
                    <m:sSub>
                      <m:sSubPr>
                        <m:ctrlPr>
                          <w:rPr>
                            <w:iCs/>
                            <w:noProof w:val="0"/>
                          </w:rPr>
                        </m:ctrlPr>
                      </m:sSubPr>
                      <m:e>
                        <m:r>
                          <w:rPr>
                            <w:noProof w:val="0"/>
                          </w:rPr>
                          <m:t>Frac Run</m:t>
                        </m:r>
                      </m:e>
                      <m:sub>
                        <m:r>
                          <w:rPr>
                            <w:noProof w:val="0"/>
                          </w:rPr>
                          <m:t>t,m</m:t>
                        </m:r>
                      </m:sub>
                    </m:sSub>
                  </m:e>
                </m:d>
              </m:oMath>
            </m:oMathPara>
          </w:p>
          <w:p w14:paraId="25E98235" w14:textId="77777777" w:rsidR="00C96970" w:rsidRPr="004C12C9" w:rsidRDefault="00C96970" w:rsidP="00242BAC">
            <w:pPr>
              <w:spacing w:after="160"/>
              <w:rPr>
                <w:i/>
                <w:iCs/>
              </w:rPr>
            </w:pPr>
            <w:r w:rsidRPr="004C12C9">
              <w:rPr>
                <w:i/>
                <w:iCs/>
                <w:sz w:val="20"/>
                <w:szCs w:val="20"/>
              </w:rPr>
              <w:t xml:space="preserve">where, </w:t>
            </w:r>
          </w:p>
        </w:tc>
      </w:tr>
      <w:tr w:rsidR="00C96970" w:rsidRPr="004C12C9" w14:paraId="6E97D4D5" w14:textId="77777777" w:rsidTr="004A4044">
        <w:tc>
          <w:tcPr>
            <w:tcW w:w="1620" w:type="dxa"/>
            <w:shd w:val="clear" w:color="auto" w:fill="F2F2F2" w:themeFill="background1" w:themeFillShade="F2"/>
          </w:tcPr>
          <w:p w14:paraId="0EAE3109" w14:textId="77777777" w:rsidR="00C96970" w:rsidRPr="004C12C9" w:rsidRDefault="00C96970">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p w14:paraId="53009844" w14:textId="77777777" w:rsidR="00771184" w:rsidRPr="004C12C9" w:rsidRDefault="00771184" w:rsidP="0077118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 Vol</w:t>
            </w:r>
          </w:p>
          <w:p w14:paraId="4B9BD699" w14:textId="77D56A29" w:rsidR="00C96970" w:rsidRPr="004C12C9" w:rsidRDefault="0077118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 Run</w:t>
            </w:r>
          </w:p>
        </w:tc>
        <w:tc>
          <w:tcPr>
            <w:tcW w:w="8450" w:type="dxa"/>
            <w:shd w:val="clear" w:color="auto" w:fill="F2F2F2" w:themeFill="background1" w:themeFillShade="F2"/>
          </w:tcPr>
          <w:p w14:paraId="5BE8276E" w14:textId="77777777" w:rsidR="00C96970" w:rsidRPr="004C12C9" w:rsidRDefault="00C96970">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Direct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 emission factor by management system type, m (kgN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p>
          <w:p w14:paraId="547E6CA3" w14:textId="01329EE1" w:rsidR="00771184" w:rsidRPr="004C12C9" w:rsidRDefault="00771184" w:rsidP="0077118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659D2">
              <w:rPr>
                <w:rFonts w:ascii="Calibri" w:eastAsia="Arial" w:hAnsi="Calibri"/>
                <w:bCs w:val="0"/>
                <w:i w:val="0"/>
                <w:noProof w:val="0"/>
                <w:color w:val="auto"/>
                <w:sz w:val="20"/>
                <w:szCs w:val="20"/>
              </w:rPr>
              <w:t>Fraction</w:t>
            </w:r>
            <w:r w:rsidR="00F659D2"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of nitrogen lost to volatilization by animal type, t, and management system type, m (%)</w:t>
            </w:r>
          </w:p>
          <w:p w14:paraId="78299721" w14:textId="10B956D6" w:rsidR="00C96970" w:rsidRPr="004C12C9" w:rsidRDefault="00771184" w:rsidP="006B29CD">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F659D2">
              <w:rPr>
                <w:rFonts w:ascii="Calibri" w:eastAsia="Arial" w:hAnsi="Calibri"/>
                <w:bCs w:val="0"/>
                <w:i w:val="0"/>
                <w:noProof w:val="0"/>
                <w:color w:val="auto"/>
                <w:sz w:val="20"/>
                <w:szCs w:val="20"/>
              </w:rPr>
              <w:t>Fraction</w:t>
            </w:r>
            <w:r w:rsidR="00F659D2" w:rsidRPr="004C12C9">
              <w:rPr>
                <w:rFonts w:ascii="Calibri" w:eastAsia="Arial" w:hAnsi="Calibri"/>
                <w:bCs w:val="0"/>
                <w:i w:val="0"/>
                <w:noProof w:val="0"/>
                <w:color w:val="auto"/>
                <w:sz w:val="20"/>
                <w:szCs w:val="20"/>
              </w:rPr>
              <w:t xml:space="preserve"> </w:t>
            </w:r>
            <w:r w:rsidRPr="004C12C9">
              <w:rPr>
                <w:rFonts w:ascii="Calibri" w:eastAsia="Arial" w:hAnsi="Calibri"/>
                <w:bCs w:val="0"/>
                <w:i w:val="0"/>
                <w:noProof w:val="0"/>
                <w:color w:val="auto"/>
                <w:sz w:val="20"/>
                <w:szCs w:val="20"/>
              </w:rPr>
              <w:t>of nitrogen lost to runoff/leaching by animal type, t, and management system type, m (%)</w:t>
            </w:r>
          </w:p>
        </w:tc>
      </w:tr>
    </w:tbl>
    <w:p w14:paraId="2DB19911" w14:textId="33923131" w:rsidR="002A32E4" w:rsidRPr="004C12C9" w:rsidRDefault="002A32E4" w:rsidP="002A32E4">
      <w:pPr>
        <w:pStyle w:val="Caption"/>
      </w:pPr>
      <w:r w:rsidRPr="004C12C9">
        <w:lastRenderedPageBreak/>
        <w:t xml:space="preserve">Equation </w:t>
      </w:r>
      <w:r w:rsidR="00C96970">
        <w:fldChar w:fldCharType="begin"/>
      </w:r>
      <w:r w:rsidR="00C96970">
        <w:instrText xml:space="preserve"> SEQ Equation \* ARABIC </w:instrText>
      </w:r>
      <w:r w:rsidR="00C96970">
        <w:fldChar w:fldCharType="separate"/>
      </w:r>
      <w:r w:rsidR="00C47624">
        <w:rPr>
          <w:noProof/>
        </w:rPr>
        <w:t>40</w:t>
      </w:r>
      <w:r w:rsidR="00C96970">
        <w:fldChar w:fldCharType="end"/>
      </w:r>
      <w:r w:rsidRPr="004C12C9">
        <w:t>. Annual Direct Nitrous Oxide Emissions from Manure Land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20"/>
        <w:gridCol w:w="8450"/>
      </w:tblGrid>
      <w:tr w:rsidR="002A32E4" w:rsidRPr="004C12C9" w14:paraId="03798CA5" w14:textId="77777777">
        <w:tc>
          <w:tcPr>
            <w:tcW w:w="10070" w:type="dxa"/>
            <w:gridSpan w:val="2"/>
            <w:shd w:val="clear" w:color="auto" w:fill="F2F2F2" w:themeFill="background1" w:themeFillShade="F2"/>
          </w:tcPr>
          <w:p w14:paraId="1149DD1F" w14:textId="4D3647FB" w:rsidR="002A32E4" w:rsidRPr="004C12C9" w:rsidRDefault="00000000" w:rsidP="00242BAC">
            <w:pPr>
              <w:pStyle w:val="Equation"/>
              <w:spacing w:before="160" w:after="120"/>
              <w:rPr>
                <w:rFonts w:eastAsia="Arial"/>
                <w:iCs/>
                <w:noProof w:val="0"/>
              </w:rPr>
            </w:pPr>
            <m:oMathPara>
              <m:oMath>
                <m:sSub>
                  <m:sSubPr>
                    <m:ctrlPr>
                      <w:rPr>
                        <w:noProof w:val="0"/>
                      </w:rPr>
                    </m:ctrlPr>
                  </m:sSubPr>
                  <m:e>
                    <m:r>
                      <w:rPr>
                        <w:noProof w:val="0"/>
                      </w:rPr>
                      <m:t xml:space="preserve">direct </m:t>
                    </m:r>
                    <m:sSub>
                      <m:sSubPr>
                        <m:ctrlPr>
                          <w:rPr>
                            <w:noProof w:val="0"/>
                          </w:rPr>
                        </m:ctrlPr>
                      </m:sSubPr>
                      <m:e>
                        <m:r>
                          <w:rPr>
                            <w:noProof w:val="0"/>
                          </w:rPr>
                          <m:t>N</m:t>
                        </m:r>
                      </m:e>
                      <m:sub>
                        <m:r>
                          <w:rPr>
                            <w:noProof w:val="0"/>
                          </w:rPr>
                          <m:t>2</m:t>
                        </m:r>
                      </m:sub>
                    </m:sSub>
                    <m:r>
                      <w:rPr>
                        <w:noProof w:val="0"/>
                      </w:rPr>
                      <m:t>O</m:t>
                    </m:r>
                  </m:e>
                  <m:sub>
                    <m:r>
                      <w:rPr>
                        <w:noProof w:val="0"/>
                      </w:rPr>
                      <m:t xml:space="preserve">land </m:t>
                    </m:r>
                  </m:sub>
                </m:sSub>
                <m:r>
                  <w:rPr>
                    <w:noProof w:val="0"/>
                  </w:rPr>
                  <m:t>=</m:t>
                </m:r>
                <m:nary>
                  <m:naryPr>
                    <m:chr m:val="∑"/>
                    <m:limLoc m:val="undOvr"/>
                    <m:subHide m:val="1"/>
                    <m:supHide m:val="1"/>
                    <m:ctrlPr>
                      <w:rPr>
                        <w:noProof w:val="0"/>
                      </w:rPr>
                    </m:ctrlPr>
                  </m:naryPr>
                  <m:sub/>
                  <m:sup/>
                  <m:e>
                    <m:sSub>
                      <m:sSubPr>
                        <m:ctrlPr>
                          <w:rPr>
                            <w:iCs/>
                            <w:noProof w:val="0"/>
                          </w:rPr>
                        </m:ctrlPr>
                      </m:sSubPr>
                      <m:e>
                        <m:r>
                          <w:rPr>
                            <w:noProof w:val="0"/>
                          </w:rPr>
                          <m:t>N excreted</m:t>
                        </m:r>
                      </m:e>
                      <m:sub>
                        <m:r>
                          <w:rPr>
                            <w:noProof w:val="0"/>
                          </w:rPr>
                          <m:t>t</m:t>
                        </m:r>
                      </m:sub>
                    </m:sSub>
                    <m:r>
                      <w:rPr>
                        <w:noProof w:val="0"/>
                      </w:rPr>
                      <m:t xml:space="preserve">× </m:t>
                    </m:r>
                    <m:sSub>
                      <m:sSubPr>
                        <m:ctrlPr>
                          <w:rPr>
                            <w:noProof w:val="0"/>
                          </w:rPr>
                        </m:ctrlPr>
                      </m:sSubPr>
                      <m:e>
                        <m:r>
                          <w:rPr>
                            <w:noProof w:val="0"/>
                          </w:rPr>
                          <m:t>N remaining</m:t>
                        </m:r>
                      </m:e>
                      <m:sub>
                        <m:r>
                          <w:rPr>
                            <w:noProof w:val="0"/>
                          </w:rPr>
                          <m:t>t</m:t>
                        </m:r>
                      </m:sub>
                    </m:sSub>
                    <m:r>
                      <w:rPr>
                        <w:noProof w:val="0"/>
                      </w:rPr>
                      <m:t xml:space="preserve"> ×fertilizer applied× emissions factor ×</m:t>
                    </m:r>
                    <m:f>
                      <m:fPr>
                        <m:ctrlPr>
                          <w:rPr>
                            <w:iCs/>
                            <w:noProof w:val="0"/>
                          </w:rPr>
                        </m:ctrlPr>
                      </m:fPr>
                      <m:num>
                        <m:r>
                          <w:rPr>
                            <w:noProof w:val="0"/>
                          </w:rPr>
                          <m:t>44</m:t>
                        </m:r>
                      </m:num>
                      <m:den>
                        <m:r>
                          <w:rPr>
                            <w:noProof w:val="0"/>
                          </w:rPr>
                          <m:t>28</m:t>
                        </m:r>
                      </m:den>
                    </m:f>
                  </m:e>
                </m:nary>
              </m:oMath>
            </m:oMathPara>
          </w:p>
          <w:p w14:paraId="59B4ADBA" w14:textId="77777777" w:rsidR="002A32E4" w:rsidRPr="004C12C9" w:rsidRDefault="002A32E4" w:rsidP="00242BAC">
            <w:pPr>
              <w:spacing w:after="160"/>
              <w:rPr>
                <w:i/>
                <w:iCs/>
              </w:rPr>
            </w:pPr>
            <w:r w:rsidRPr="004C12C9">
              <w:rPr>
                <w:i/>
                <w:iCs/>
                <w:sz w:val="20"/>
                <w:szCs w:val="20"/>
              </w:rPr>
              <w:t xml:space="preserve">where, </w:t>
            </w:r>
          </w:p>
        </w:tc>
      </w:tr>
      <w:tr w:rsidR="002A32E4" w:rsidRPr="004C12C9" w14:paraId="048579AD" w14:textId="77777777" w:rsidTr="004A4044">
        <w:tc>
          <w:tcPr>
            <w:tcW w:w="1620" w:type="dxa"/>
            <w:shd w:val="clear" w:color="auto" w:fill="F2F2F2" w:themeFill="background1" w:themeFillShade="F2"/>
          </w:tcPr>
          <w:p w14:paraId="691541C6"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 excreted</w:t>
            </w:r>
          </w:p>
          <w:p w14:paraId="77800B1D" w14:textId="2B855A7B" w:rsidR="009602BD" w:rsidRPr="004C12C9" w:rsidRDefault="009602BD">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 remaining</w:t>
            </w:r>
          </w:p>
          <w:p w14:paraId="3823833E" w14:textId="336450EE" w:rsidR="009F6559" w:rsidRPr="004C12C9" w:rsidRDefault="005C3B7F">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Fertilizer</w:t>
            </w:r>
            <w:r w:rsidR="008230CC" w:rsidRPr="004C12C9">
              <w:rPr>
                <w:rFonts w:ascii="Calibri" w:eastAsia="Arial" w:hAnsi="Calibri"/>
                <w:bCs w:val="0"/>
                <w:i w:val="0"/>
                <w:noProof w:val="0"/>
                <w:color w:val="auto"/>
                <w:sz w:val="20"/>
                <w:szCs w:val="20"/>
              </w:rPr>
              <w:t xml:space="preserve"> applied</w:t>
            </w:r>
          </w:p>
          <w:p w14:paraId="6F892CBB"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Emissions factor</w:t>
            </w:r>
          </w:p>
          <w:p w14:paraId="7C860009"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44/28 </w:t>
            </w:r>
          </w:p>
        </w:tc>
        <w:tc>
          <w:tcPr>
            <w:tcW w:w="8450" w:type="dxa"/>
            <w:shd w:val="clear" w:color="auto" w:fill="F2F2F2" w:themeFill="background1" w:themeFillShade="F2"/>
          </w:tcPr>
          <w:p w14:paraId="3BBC4E15" w14:textId="3D0BB00E"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Amount of nitrogen excreted annually</w:t>
            </w:r>
            <w:r w:rsidR="00BC7AA4" w:rsidRPr="004C12C9">
              <w:rPr>
                <w:rFonts w:ascii="Calibri" w:eastAsia="Arial" w:hAnsi="Calibri"/>
                <w:bCs w:val="0"/>
                <w:i w:val="0"/>
                <w:noProof w:val="0"/>
                <w:color w:val="auto"/>
                <w:sz w:val="20"/>
                <w:szCs w:val="20"/>
              </w:rPr>
              <w:t xml:space="preserve"> by </w:t>
            </w:r>
            <w:r w:rsidR="005955BE">
              <w:rPr>
                <w:rFonts w:ascii="Calibri" w:eastAsia="Arial" w:hAnsi="Calibri"/>
                <w:bCs w:val="0"/>
                <w:i w:val="0"/>
                <w:noProof w:val="0"/>
                <w:color w:val="auto"/>
                <w:sz w:val="20"/>
                <w:szCs w:val="20"/>
              </w:rPr>
              <w:t xml:space="preserve">livestock </w:t>
            </w:r>
            <w:r w:rsidR="00BC7AA4" w:rsidRPr="004C12C9">
              <w:rPr>
                <w:rFonts w:ascii="Calibri" w:eastAsia="Arial" w:hAnsi="Calibri"/>
                <w:bCs w:val="0"/>
                <w:i w:val="0"/>
                <w:noProof w:val="0"/>
                <w:color w:val="auto"/>
                <w:sz w:val="20"/>
                <w:szCs w:val="20"/>
              </w:rPr>
              <w:t>type, t</w:t>
            </w:r>
            <w:r w:rsidRPr="004C12C9">
              <w:rPr>
                <w:rFonts w:ascii="Calibri" w:eastAsia="Arial" w:hAnsi="Calibri"/>
                <w:bCs w:val="0"/>
                <w:i w:val="0"/>
                <w:noProof w:val="0"/>
                <w:color w:val="auto"/>
                <w:sz w:val="20"/>
                <w:szCs w:val="20"/>
              </w:rPr>
              <w:t xml:space="preserve">, as calculated by </w:t>
            </w:r>
            <w:r w:rsidRPr="004C12C9">
              <w:rPr>
                <w:rFonts w:ascii="Calibri" w:eastAsia="Arial" w:hAnsi="Calibri"/>
                <w:bCs w:val="0"/>
                <w:i w:val="0"/>
                <w:noProof w:val="0"/>
                <w:color w:val="auto"/>
                <w:sz w:val="20"/>
                <w:szCs w:val="20"/>
              </w:rPr>
              <w:fldChar w:fldCharType="begin" w:fldLock="1"/>
            </w:r>
            <w:r w:rsidRPr="004C12C9">
              <w:rPr>
                <w:rFonts w:ascii="Calibri" w:eastAsia="Arial" w:hAnsi="Calibri"/>
                <w:bCs w:val="0"/>
                <w:i w:val="0"/>
                <w:noProof w:val="0"/>
                <w:color w:val="auto"/>
                <w:sz w:val="20"/>
                <w:szCs w:val="20"/>
              </w:rPr>
              <w:instrText xml:space="preserve"> REF _Ref195457869 \h  \* MERGEFORMAT </w:instrText>
            </w:r>
            <w:r w:rsidRPr="004C12C9">
              <w:rPr>
                <w:rFonts w:ascii="Calibri" w:eastAsia="Arial" w:hAnsi="Calibri"/>
                <w:bCs w:val="0"/>
                <w:i w:val="0"/>
                <w:noProof w:val="0"/>
                <w:color w:val="auto"/>
                <w:sz w:val="20"/>
                <w:szCs w:val="20"/>
              </w:rPr>
            </w:r>
            <w:r w:rsidRPr="004C12C9">
              <w:rPr>
                <w:rFonts w:ascii="Calibri" w:eastAsia="Arial" w:hAnsi="Calibri"/>
                <w:bCs w:val="0"/>
                <w:i w:val="0"/>
                <w:noProof w:val="0"/>
                <w:color w:val="auto"/>
                <w:sz w:val="20"/>
                <w:szCs w:val="20"/>
              </w:rPr>
              <w:fldChar w:fldCharType="separate"/>
            </w:r>
            <w:r w:rsidRPr="004C12C9">
              <w:rPr>
                <w:rFonts w:ascii="Calibri" w:eastAsia="Arial" w:hAnsi="Calibri"/>
                <w:bCs w:val="0"/>
                <w:i w:val="0"/>
                <w:noProof w:val="0"/>
                <w:color w:val="auto"/>
                <w:sz w:val="20"/>
                <w:szCs w:val="20"/>
              </w:rPr>
              <w:t>Equation 34</w:t>
            </w:r>
            <w:r w:rsidRPr="004C12C9">
              <w:rPr>
                <w:rFonts w:ascii="Calibri" w:eastAsia="Arial" w:hAnsi="Calibri"/>
                <w:bCs w:val="0"/>
                <w:i w:val="0"/>
                <w:noProof w:val="0"/>
                <w:color w:val="auto"/>
                <w:sz w:val="20"/>
                <w:szCs w:val="20"/>
              </w:rPr>
              <w:fldChar w:fldCharType="end"/>
            </w:r>
            <w:r w:rsidRPr="004C12C9">
              <w:rPr>
                <w:rFonts w:ascii="Calibri" w:eastAsia="Arial" w:hAnsi="Calibri"/>
                <w:bCs w:val="0"/>
                <w:i w:val="0"/>
                <w:noProof w:val="0"/>
                <w:color w:val="auto"/>
                <w:sz w:val="20"/>
                <w:szCs w:val="20"/>
              </w:rPr>
              <w:t xml:space="preserve"> (kgN/year)</w:t>
            </w:r>
          </w:p>
          <w:p w14:paraId="6F820F41" w14:textId="0DE4B1DA" w:rsidR="009602BD" w:rsidRPr="004C12C9" w:rsidRDefault="009602BD">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The </w:t>
            </w:r>
            <w:r w:rsidR="00A22E1F" w:rsidRPr="004C12C9">
              <w:rPr>
                <w:rFonts w:ascii="Calibri" w:eastAsia="Arial" w:hAnsi="Calibri"/>
                <w:bCs w:val="0"/>
                <w:i w:val="0"/>
                <w:noProof w:val="0"/>
                <w:color w:val="auto"/>
                <w:sz w:val="20"/>
                <w:szCs w:val="20"/>
              </w:rPr>
              <w:t>proportion</w:t>
            </w:r>
            <w:r w:rsidRPr="004C12C9">
              <w:rPr>
                <w:rFonts w:ascii="Calibri" w:eastAsia="Arial" w:hAnsi="Calibri"/>
                <w:bCs w:val="0"/>
                <w:i w:val="0"/>
                <w:noProof w:val="0"/>
                <w:color w:val="auto"/>
                <w:sz w:val="20"/>
                <w:szCs w:val="20"/>
              </w:rPr>
              <w:t xml:space="preserve"> of </w:t>
            </w:r>
            <w:r w:rsidR="00A22E1F" w:rsidRPr="004C12C9">
              <w:rPr>
                <w:rFonts w:ascii="Calibri" w:eastAsia="Arial" w:hAnsi="Calibri"/>
                <w:bCs w:val="0"/>
                <w:i w:val="0"/>
                <w:noProof w:val="0"/>
                <w:color w:val="auto"/>
                <w:sz w:val="20"/>
                <w:szCs w:val="20"/>
              </w:rPr>
              <w:t xml:space="preserve">nitrogen remaining in manure by </w:t>
            </w:r>
            <w:r w:rsidR="00352673">
              <w:rPr>
                <w:rFonts w:ascii="Calibri" w:eastAsia="Arial" w:hAnsi="Calibri"/>
                <w:bCs w:val="0"/>
                <w:i w:val="0"/>
                <w:noProof w:val="0"/>
                <w:color w:val="auto"/>
                <w:sz w:val="20"/>
                <w:szCs w:val="20"/>
              </w:rPr>
              <w:t xml:space="preserve">system </w:t>
            </w:r>
            <w:r w:rsidR="00A22E1F" w:rsidRPr="004C12C9">
              <w:rPr>
                <w:rFonts w:ascii="Calibri" w:eastAsia="Arial" w:hAnsi="Calibri"/>
                <w:bCs w:val="0"/>
                <w:i w:val="0"/>
                <w:noProof w:val="0"/>
                <w:color w:val="auto"/>
                <w:sz w:val="20"/>
                <w:szCs w:val="20"/>
              </w:rPr>
              <w:t>type, t</w:t>
            </w:r>
            <w:r w:rsidR="00AF53B5" w:rsidRPr="004C12C9">
              <w:rPr>
                <w:rFonts w:ascii="Calibri" w:eastAsia="Arial" w:hAnsi="Calibri"/>
                <w:bCs w:val="0"/>
                <w:i w:val="0"/>
                <w:noProof w:val="0"/>
                <w:color w:val="auto"/>
                <w:sz w:val="20"/>
                <w:szCs w:val="20"/>
              </w:rPr>
              <w:t xml:space="preserve">, as calculated by </w:t>
            </w:r>
            <w:r w:rsidR="00AF53B5" w:rsidRPr="004C12C9">
              <w:rPr>
                <w:rFonts w:ascii="Calibri" w:eastAsia="Arial" w:hAnsi="Calibri"/>
                <w:bCs w:val="0"/>
                <w:i w:val="0"/>
                <w:noProof w:val="0"/>
                <w:color w:val="auto"/>
                <w:sz w:val="20"/>
                <w:szCs w:val="20"/>
              </w:rPr>
              <w:fldChar w:fldCharType="begin" w:fldLock="1"/>
            </w:r>
            <w:r w:rsidR="00AF53B5" w:rsidRPr="004C12C9">
              <w:rPr>
                <w:rFonts w:ascii="Calibri" w:eastAsia="Arial" w:hAnsi="Calibri"/>
                <w:bCs w:val="0"/>
                <w:i w:val="0"/>
                <w:noProof w:val="0"/>
                <w:color w:val="auto"/>
                <w:sz w:val="20"/>
                <w:szCs w:val="20"/>
              </w:rPr>
              <w:instrText xml:space="preserve"> REF _Ref199274560 \h  \* MERGEFORMAT </w:instrText>
            </w:r>
            <w:r w:rsidR="00AF53B5" w:rsidRPr="004C12C9">
              <w:rPr>
                <w:rFonts w:ascii="Calibri" w:eastAsia="Arial" w:hAnsi="Calibri"/>
                <w:bCs w:val="0"/>
                <w:i w:val="0"/>
                <w:noProof w:val="0"/>
                <w:color w:val="auto"/>
                <w:sz w:val="20"/>
                <w:szCs w:val="20"/>
              </w:rPr>
            </w:r>
            <w:r w:rsidR="00AF53B5" w:rsidRPr="004C12C9">
              <w:rPr>
                <w:rFonts w:ascii="Calibri" w:eastAsia="Arial" w:hAnsi="Calibri"/>
                <w:bCs w:val="0"/>
                <w:i w:val="0"/>
                <w:noProof w:val="0"/>
                <w:color w:val="auto"/>
                <w:sz w:val="20"/>
                <w:szCs w:val="20"/>
              </w:rPr>
              <w:fldChar w:fldCharType="separate"/>
            </w:r>
            <w:r w:rsidR="00AF53B5" w:rsidRPr="004C12C9">
              <w:rPr>
                <w:rFonts w:ascii="Calibri" w:eastAsia="Arial" w:hAnsi="Calibri"/>
                <w:bCs w:val="0"/>
                <w:i w:val="0"/>
                <w:noProof w:val="0"/>
                <w:color w:val="auto"/>
                <w:sz w:val="20"/>
                <w:szCs w:val="20"/>
              </w:rPr>
              <w:t>Equation 37</w:t>
            </w:r>
            <w:r w:rsidR="00AF53B5" w:rsidRPr="004C12C9">
              <w:rPr>
                <w:rFonts w:ascii="Calibri" w:eastAsia="Arial" w:hAnsi="Calibri"/>
                <w:bCs w:val="0"/>
                <w:i w:val="0"/>
                <w:noProof w:val="0"/>
                <w:color w:val="auto"/>
                <w:sz w:val="20"/>
                <w:szCs w:val="20"/>
              </w:rPr>
              <w:fldChar w:fldCharType="end"/>
            </w:r>
            <w:r w:rsidR="00AF53B5" w:rsidRPr="004C12C9">
              <w:rPr>
                <w:rFonts w:ascii="Calibri" w:eastAsia="Arial" w:hAnsi="Calibri"/>
                <w:bCs w:val="0"/>
                <w:i w:val="0"/>
                <w:noProof w:val="0"/>
                <w:color w:val="auto"/>
                <w:sz w:val="20"/>
                <w:szCs w:val="20"/>
              </w:rPr>
              <w:fldChar w:fldCharType="begin" w:fldLock="1"/>
            </w:r>
            <w:r w:rsidR="00AF53B5" w:rsidRPr="004C12C9">
              <w:rPr>
                <w:rFonts w:ascii="Calibri" w:eastAsia="Arial" w:hAnsi="Calibri"/>
                <w:bCs w:val="0"/>
                <w:i w:val="0"/>
                <w:noProof w:val="0"/>
                <w:color w:val="auto"/>
                <w:sz w:val="20"/>
                <w:szCs w:val="20"/>
              </w:rPr>
              <w:instrText xml:space="preserve"> REF _Ref195457869 \h  \* MERGEFORMAT </w:instrText>
            </w:r>
            <w:r w:rsidR="00AF53B5" w:rsidRPr="004C12C9">
              <w:rPr>
                <w:rFonts w:ascii="Calibri" w:eastAsia="Arial" w:hAnsi="Calibri"/>
                <w:bCs w:val="0"/>
                <w:i w:val="0"/>
                <w:noProof w:val="0"/>
                <w:color w:val="auto"/>
                <w:sz w:val="20"/>
                <w:szCs w:val="20"/>
              </w:rPr>
            </w:r>
            <w:r w:rsidR="00AF53B5" w:rsidRPr="004C12C9">
              <w:rPr>
                <w:rFonts w:ascii="Calibri" w:eastAsia="Arial" w:hAnsi="Calibri"/>
                <w:bCs w:val="0"/>
                <w:i w:val="0"/>
                <w:noProof w:val="0"/>
                <w:color w:val="auto"/>
                <w:sz w:val="20"/>
                <w:szCs w:val="20"/>
              </w:rPr>
              <w:fldChar w:fldCharType="separate"/>
            </w:r>
            <w:r w:rsidR="00AF53B5" w:rsidRPr="004C12C9">
              <w:rPr>
                <w:rFonts w:ascii="Calibri" w:eastAsia="Arial" w:hAnsi="Calibri"/>
                <w:bCs w:val="0"/>
                <w:i w:val="0"/>
                <w:noProof w:val="0"/>
                <w:color w:val="auto"/>
                <w:sz w:val="20"/>
                <w:szCs w:val="20"/>
              </w:rPr>
              <w:fldChar w:fldCharType="end"/>
            </w:r>
            <w:r w:rsidR="00A22E1F" w:rsidRPr="004C12C9">
              <w:rPr>
                <w:rFonts w:ascii="Calibri" w:eastAsia="Arial" w:hAnsi="Calibri"/>
                <w:bCs w:val="0"/>
                <w:i w:val="0"/>
                <w:noProof w:val="0"/>
                <w:color w:val="auto"/>
                <w:sz w:val="20"/>
                <w:szCs w:val="20"/>
              </w:rPr>
              <w:t xml:space="preserve"> (%)</w:t>
            </w:r>
          </w:p>
          <w:p w14:paraId="6C1F292E" w14:textId="71C5F2CC" w:rsidR="009F6559" w:rsidRPr="004C12C9" w:rsidRDefault="009F6559">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w:t>
            </w:r>
            <w:r w:rsidR="000D786C" w:rsidRPr="004C12C9">
              <w:rPr>
                <w:rFonts w:ascii="Calibri" w:eastAsia="Arial" w:hAnsi="Calibri"/>
                <w:bCs w:val="0"/>
                <w:i w:val="0"/>
                <w:noProof w:val="0"/>
                <w:color w:val="auto"/>
                <w:sz w:val="20"/>
                <w:szCs w:val="20"/>
              </w:rPr>
              <w:t>P</w:t>
            </w:r>
            <w:r w:rsidR="00A8435B" w:rsidRPr="004C12C9">
              <w:rPr>
                <w:rFonts w:ascii="Calibri" w:eastAsia="Arial" w:hAnsi="Calibri"/>
                <w:bCs w:val="0"/>
                <w:i w:val="0"/>
                <w:noProof w:val="0"/>
                <w:color w:val="auto"/>
                <w:sz w:val="20"/>
                <w:szCs w:val="20"/>
              </w:rPr>
              <w:t>ercent</w:t>
            </w:r>
            <w:r w:rsidR="005C3B7F" w:rsidRPr="004C12C9">
              <w:rPr>
                <w:rFonts w:ascii="Calibri" w:eastAsia="Arial" w:hAnsi="Calibri"/>
                <w:bCs w:val="0"/>
                <w:i w:val="0"/>
                <w:noProof w:val="0"/>
                <w:color w:val="auto"/>
                <w:sz w:val="20"/>
                <w:szCs w:val="20"/>
              </w:rPr>
              <w:t xml:space="preserve"> of manure applied to land as </w:t>
            </w:r>
            <w:r w:rsidR="00352673">
              <w:rPr>
                <w:rFonts w:ascii="Calibri" w:eastAsia="Arial" w:hAnsi="Calibri"/>
                <w:bCs w:val="0"/>
                <w:i w:val="0"/>
                <w:noProof w:val="0"/>
                <w:color w:val="auto"/>
                <w:sz w:val="20"/>
                <w:szCs w:val="20"/>
              </w:rPr>
              <w:t>organic</w:t>
            </w:r>
            <w:r w:rsidR="005C3B7F" w:rsidRPr="004C12C9">
              <w:rPr>
                <w:rFonts w:ascii="Calibri" w:eastAsia="Arial" w:hAnsi="Calibri"/>
                <w:bCs w:val="0"/>
                <w:i w:val="0"/>
                <w:noProof w:val="0"/>
                <w:color w:val="auto"/>
                <w:sz w:val="20"/>
                <w:szCs w:val="20"/>
              </w:rPr>
              <w:t xml:space="preserve"> fertilizer (%)</w:t>
            </w:r>
          </w:p>
          <w:p w14:paraId="420C5C5D" w14:textId="6609A0C5"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Direct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 xml:space="preserve">O emission factor </w:t>
            </w:r>
            <w:r w:rsidR="000074AF" w:rsidRPr="004C12C9">
              <w:rPr>
                <w:rFonts w:ascii="Calibri" w:eastAsia="Arial" w:hAnsi="Calibri"/>
                <w:bCs w:val="0"/>
                <w:i w:val="0"/>
                <w:noProof w:val="0"/>
                <w:color w:val="auto"/>
                <w:sz w:val="20"/>
                <w:szCs w:val="20"/>
              </w:rPr>
              <w:t xml:space="preserve">from IPCC </w:t>
            </w:r>
            <w:r w:rsidR="00352673">
              <w:rPr>
                <w:rFonts w:ascii="Calibri" w:eastAsia="Arial" w:hAnsi="Calibri"/>
                <w:bCs w:val="0"/>
                <w:i w:val="0"/>
                <w:noProof w:val="0"/>
                <w:color w:val="auto"/>
                <w:sz w:val="20"/>
                <w:szCs w:val="20"/>
              </w:rPr>
              <w:t>2019 Refinement</w:t>
            </w:r>
            <w:r w:rsidR="000074AF" w:rsidRPr="004C12C9">
              <w:rPr>
                <w:rFonts w:ascii="Calibri" w:eastAsia="Arial" w:hAnsi="Calibri"/>
                <w:bCs w:val="0"/>
                <w:i w:val="0"/>
                <w:noProof w:val="0"/>
                <w:color w:val="auto"/>
                <w:sz w:val="20"/>
                <w:szCs w:val="20"/>
              </w:rPr>
              <w:t xml:space="preserve">, </w:t>
            </w:r>
            <w:r w:rsidR="00C45C81" w:rsidRPr="004C12C9">
              <w:rPr>
                <w:rFonts w:ascii="Calibri" w:eastAsia="Arial" w:hAnsi="Calibri"/>
                <w:bCs w:val="0"/>
                <w:i w:val="0"/>
                <w:noProof w:val="0"/>
                <w:color w:val="auto"/>
                <w:sz w:val="20"/>
                <w:szCs w:val="20"/>
              </w:rPr>
              <w:t xml:space="preserve">0.01 </w:t>
            </w:r>
            <w:r w:rsidR="000074AF" w:rsidRPr="004C12C9">
              <w:rPr>
                <w:rFonts w:ascii="Calibri" w:eastAsia="Arial" w:hAnsi="Calibri"/>
                <w:bCs w:val="0"/>
                <w:i w:val="0"/>
                <w:noProof w:val="0"/>
                <w:color w:val="auto"/>
                <w:sz w:val="20"/>
                <w:szCs w:val="20"/>
              </w:rPr>
              <w:t>(</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p>
          <w:p w14:paraId="0A734E0A" w14:textId="564447D7" w:rsidR="002A32E4" w:rsidRPr="004C12C9" w:rsidRDefault="002A32E4" w:rsidP="006B29CD">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Conversion factor of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 to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tc>
      </w:tr>
    </w:tbl>
    <w:p w14:paraId="0F99A37D" w14:textId="0A75F906" w:rsidR="002A32E4" w:rsidRPr="004C12C9" w:rsidRDefault="002A32E4" w:rsidP="002A32E4">
      <w:pPr>
        <w:pStyle w:val="Caption"/>
        <w:rPr>
          <w:rFonts w:eastAsia="Arial"/>
        </w:rPr>
      </w:pPr>
      <w:r w:rsidRPr="004C12C9">
        <w:t xml:space="preserve">Equation </w:t>
      </w:r>
      <w:r w:rsidR="00403C02">
        <w:fldChar w:fldCharType="begin"/>
      </w:r>
      <w:r w:rsidR="00403C02">
        <w:instrText xml:space="preserve"> SEQ Equation \* ARABIC </w:instrText>
      </w:r>
      <w:r w:rsidR="00403C02">
        <w:fldChar w:fldCharType="separate"/>
      </w:r>
      <w:r w:rsidR="00C47624">
        <w:rPr>
          <w:noProof/>
        </w:rPr>
        <w:t>41</w:t>
      </w:r>
      <w:r w:rsidR="00403C02">
        <w:fldChar w:fldCharType="end"/>
      </w:r>
      <w:r w:rsidRPr="004C12C9">
        <w:t>. Annual Indirect Nitrous Oxide Emissions from Manure Land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00"/>
        <w:gridCol w:w="8270"/>
      </w:tblGrid>
      <w:tr w:rsidR="002A32E4" w:rsidRPr="004C12C9" w14:paraId="0796348C" w14:textId="77777777">
        <w:tc>
          <w:tcPr>
            <w:tcW w:w="10070" w:type="dxa"/>
            <w:gridSpan w:val="2"/>
            <w:shd w:val="clear" w:color="auto" w:fill="F2F2F2" w:themeFill="background1" w:themeFillShade="F2"/>
          </w:tcPr>
          <w:p w14:paraId="1421AA62" w14:textId="2D03D9F0" w:rsidR="002A32E4" w:rsidRPr="004C12C9" w:rsidRDefault="00000000" w:rsidP="00242BAC">
            <w:pPr>
              <w:pStyle w:val="Equation"/>
              <w:spacing w:before="160" w:after="120"/>
              <w:rPr>
                <w:noProof w:val="0"/>
              </w:rPr>
            </w:pPr>
            <m:oMathPara>
              <m:oMath>
                <m:sSub>
                  <m:sSubPr>
                    <m:ctrlPr>
                      <w:rPr>
                        <w:noProof w:val="0"/>
                      </w:rPr>
                    </m:ctrlPr>
                  </m:sSubPr>
                  <m:e>
                    <m:r>
                      <w:rPr>
                        <w:noProof w:val="0"/>
                      </w:rPr>
                      <m:t xml:space="preserve">indirect </m:t>
                    </m:r>
                    <m:sSub>
                      <m:sSubPr>
                        <m:ctrlPr>
                          <w:rPr>
                            <w:noProof w:val="0"/>
                          </w:rPr>
                        </m:ctrlPr>
                      </m:sSubPr>
                      <m:e>
                        <m:r>
                          <w:rPr>
                            <w:noProof w:val="0"/>
                          </w:rPr>
                          <m:t>N</m:t>
                        </m:r>
                      </m:e>
                      <m:sub>
                        <m:r>
                          <w:rPr>
                            <w:noProof w:val="0"/>
                          </w:rPr>
                          <m:t>2</m:t>
                        </m:r>
                      </m:sub>
                    </m:sSub>
                    <m:r>
                      <w:rPr>
                        <w:noProof w:val="0"/>
                      </w:rPr>
                      <m:t>O</m:t>
                    </m:r>
                  </m:e>
                  <m:sub>
                    <m:r>
                      <w:rPr>
                        <w:noProof w:val="0"/>
                      </w:rPr>
                      <m:t xml:space="preserve">land </m:t>
                    </m:r>
                  </m:sub>
                </m:sSub>
                <m:r>
                  <w:rPr>
                    <w:noProof w:val="0"/>
                  </w:rPr>
                  <m:t xml:space="preserve">= </m:t>
                </m:r>
                <m:nary>
                  <m:naryPr>
                    <m:chr m:val="∑"/>
                    <m:limLoc m:val="undOvr"/>
                    <m:subHide m:val="1"/>
                    <m:supHide m:val="1"/>
                    <m:ctrlPr>
                      <w:rPr>
                        <w:noProof w:val="0"/>
                      </w:rPr>
                    </m:ctrlPr>
                  </m:naryPr>
                  <m:sub/>
                  <m:sup/>
                  <m:e>
                    <m:d>
                      <m:dPr>
                        <m:begChr m:val="{"/>
                        <m:endChr m:val="}"/>
                        <m:ctrlPr>
                          <w:rPr>
                            <w:noProof w:val="0"/>
                          </w:rPr>
                        </m:ctrlPr>
                      </m:dPr>
                      <m:e>
                        <m:d>
                          <m:dPr>
                            <m:ctrlPr>
                              <w:rPr>
                                <w:noProof w:val="0"/>
                              </w:rPr>
                            </m:ctrlPr>
                          </m:dPr>
                          <m:e>
                            <m:d>
                              <m:dPr>
                                <m:ctrlPr>
                                  <w:rPr>
                                    <w:noProof w:val="0"/>
                                  </w:rPr>
                                </m:ctrlPr>
                              </m:dPr>
                              <m:e>
                                <m:sSub>
                                  <m:sSubPr>
                                    <m:ctrlPr>
                                      <w:rPr>
                                        <w:iCs/>
                                        <w:noProof w:val="0"/>
                                      </w:rPr>
                                    </m:ctrlPr>
                                  </m:sSubPr>
                                  <m:e>
                                    <m:r>
                                      <w:rPr>
                                        <w:noProof w:val="0"/>
                                      </w:rPr>
                                      <m:t>N excreted</m:t>
                                    </m:r>
                                  </m:e>
                                  <m:sub>
                                    <m:r>
                                      <w:rPr>
                                        <w:noProof w:val="0"/>
                                      </w:rPr>
                                      <m:t>t, m</m:t>
                                    </m:r>
                                  </m:sub>
                                </m:sSub>
                                <m:r>
                                  <w:rPr>
                                    <w:noProof w:val="0"/>
                                  </w:rPr>
                                  <m:t xml:space="preserve">× </m:t>
                                </m:r>
                                <m:sSub>
                                  <m:sSubPr>
                                    <m:ctrlPr>
                                      <w:rPr>
                                        <w:noProof w:val="0"/>
                                      </w:rPr>
                                    </m:ctrlPr>
                                  </m:sSubPr>
                                  <m:e>
                                    <m:r>
                                      <w:rPr>
                                        <w:noProof w:val="0"/>
                                      </w:rPr>
                                      <m:t>N remaining</m:t>
                                    </m:r>
                                  </m:e>
                                  <m:sub>
                                    <m:r>
                                      <w:rPr>
                                        <w:noProof w:val="0"/>
                                      </w:rPr>
                                      <m:t>t</m:t>
                                    </m:r>
                                  </m:sub>
                                </m:sSub>
                                <m:r>
                                  <w:rPr>
                                    <w:noProof w:val="0"/>
                                  </w:rPr>
                                  <m:t xml:space="preserve"> ×fertilizer applied×</m:t>
                                </m:r>
                                <m:sSub>
                                  <m:sSubPr>
                                    <m:ctrlPr>
                                      <w:rPr>
                                        <w:iCs/>
                                        <w:noProof w:val="0"/>
                                      </w:rPr>
                                    </m:ctrlPr>
                                  </m:sSubPr>
                                  <m:e>
                                    <m:r>
                                      <w:rPr>
                                        <w:noProof w:val="0"/>
                                      </w:rPr>
                                      <m:t>Frac</m:t>
                                    </m:r>
                                  </m:e>
                                  <m:sub>
                                    <m:r>
                                      <w:rPr>
                                        <w:noProof w:val="0"/>
                                      </w:rPr>
                                      <m:t>vol</m:t>
                                    </m:r>
                                  </m:sub>
                                </m:sSub>
                                <m:r>
                                  <w:rPr>
                                    <w:noProof w:val="0"/>
                                  </w:rPr>
                                  <m:t xml:space="preserve"> ×</m:t>
                                </m:r>
                                <m:sSub>
                                  <m:sSubPr>
                                    <m:ctrlPr>
                                      <w:rPr>
                                        <w:iCs/>
                                        <w:noProof w:val="0"/>
                                      </w:rPr>
                                    </m:ctrlPr>
                                  </m:sSubPr>
                                  <m:e>
                                    <m:r>
                                      <w:rPr>
                                        <w:noProof w:val="0"/>
                                      </w:rPr>
                                      <m:t>EF</m:t>
                                    </m:r>
                                  </m:e>
                                  <m:sub>
                                    <m:r>
                                      <w:rPr>
                                        <w:noProof w:val="0"/>
                                      </w:rPr>
                                      <m:t>vol</m:t>
                                    </m:r>
                                  </m:sub>
                                </m:sSub>
                              </m:e>
                            </m:d>
                            <m:r>
                              <w:rPr>
                                <w:noProof w:val="0"/>
                              </w:rPr>
                              <m:t xml:space="preserve">+ </m:t>
                            </m:r>
                            <m:d>
                              <m:dPr>
                                <m:ctrlPr>
                                  <w:rPr>
                                    <w:noProof w:val="0"/>
                                  </w:rPr>
                                </m:ctrlPr>
                              </m:dPr>
                              <m:e>
                                <m:sSub>
                                  <m:sSubPr>
                                    <m:ctrlPr>
                                      <w:rPr>
                                        <w:iCs/>
                                        <w:noProof w:val="0"/>
                                      </w:rPr>
                                    </m:ctrlPr>
                                  </m:sSubPr>
                                  <m:e>
                                    <m:r>
                                      <w:rPr>
                                        <w:noProof w:val="0"/>
                                      </w:rPr>
                                      <m:t>N excreted</m:t>
                                    </m:r>
                                  </m:e>
                                  <m:sub>
                                    <m:r>
                                      <w:rPr>
                                        <w:noProof w:val="0"/>
                                      </w:rPr>
                                      <m:t>t, m</m:t>
                                    </m:r>
                                  </m:sub>
                                </m:sSub>
                                <m:r>
                                  <w:rPr>
                                    <w:noProof w:val="0"/>
                                  </w:rPr>
                                  <m:t xml:space="preserve">× </m:t>
                                </m:r>
                                <m:sSub>
                                  <m:sSubPr>
                                    <m:ctrlPr>
                                      <w:rPr>
                                        <w:noProof w:val="0"/>
                                      </w:rPr>
                                    </m:ctrlPr>
                                  </m:sSubPr>
                                  <m:e>
                                    <m:r>
                                      <w:rPr>
                                        <w:noProof w:val="0"/>
                                      </w:rPr>
                                      <m:t>N remaining</m:t>
                                    </m:r>
                                  </m:e>
                                  <m:sub>
                                    <m:r>
                                      <w:rPr>
                                        <w:noProof w:val="0"/>
                                      </w:rPr>
                                      <m:t>t</m:t>
                                    </m:r>
                                  </m:sub>
                                </m:sSub>
                                <m:r>
                                  <w:rPr>
                                    <w:noProof w:val="0"/>
                                  </w:rPr>
                                  <m:t xml:space="preserve"> ×fertilizer applied×</m:t>
                                </m:r>
                                <m:sSub>
                                  <m:sSubPr>
                                    <m:ctrlPr>
                                      <w:rPr>
                                        <w:iCs/>
                                        <w:noProof w:val="0"/>
                                      </w:rPr>
                                    </m:ctrlPr>
                                  </m:sSubPr>
                                  <m:e>
                                    <m:r>
                                      <w:rPr>
                                        <w:noProof w:val="0"/>
                                      </w:rPr>
                                      <m:t>Frac</m:t>
                                    </m:r>
                                  </m:e>
                                  <m:sub>
                                    <m:r>
                                      <w:rPr>
                                        <w:noProof w:val="0"/>
                                      </w:rPr>
                                      <m:t>run</m:t>
                                    </m:r>
                                  </m:sub>
                                </m:sSub>
                                <m:r>
                                  <w:rPr>
                                    <w:noProof w:val="0"/>
                                  </w:rPr>
                                  <m:t>×</m:t>
                                </m:r>
                                <m:sSub>
                                  <m:sSubPr>
                                    <m:ctrlPr>
                                      <w:rPr>
                                        <w:iCs/>
                                        <w:noProof w:val="0"/>
                                      </w:rPr>
                                    </m:ctrlPr>
                                  </m:sSubPr>
                                  <m:e>
                                    <m:r>
                                      <w:rPr>
                                        <w:noProof w:val="0"/>
                                      </w:rPr>
                                      <m:t>EF</m:t>
                                    </m:r>
                                  </m:e>
                                  <m:sub>
                                    <m:r>
                                      <w:rPr>
                                        <w:noProof w:val="0"/>
                                      </w:rPr>
                                      <m:t>run</m:t>
                                    </m:r>
                                  </m:sub>
                                </m:sSub>
                              </m:e>
                            </m:d>
                          </m:e>
                        </m:d>
                        <m:r>
                          <w:rPr>
                            <w:noProof w:val="0"/>
                          </w:rPr>
                          <m:t xml:space="preserve"> ×</m:t>
                        </m:r>
                        <m:f>
                          <m:fPr>
                            <m:ctrlPr>
                              <w:rPr>
                                <w:iCs/>
                                <w:noProof w:val="0"/>
                              </w:rPr>
                            </m:ctrlPr>
                          </m:fPr>
                          <m:num>
                            <m:r>
                              <w:rPr>
                                <w:noProof w:val="0"/>
                              </w:rPr>
                              <m:t>44</m:t>
                            </m:r>
                          </m:num>
                          <m:den>
                            <m:r>
                              <w:rPr>
                                <w:noProof w:val="0"/>
                              </w:rPr>
                              <m:t>28</m:t>
                            </m:r>
                          </m:den>
                        </m:f>
                      </m:e>
                    </m:d>
                  </m:e>
                </m:nary>
              </m:oMath>
            </m:oMathPara>
          </w:p>
          <w:p w14:paraId="6A923F60" w14:textId="77777777" w:rsidR="002A32E4" w:rsidRPr="004C12C9" w:rsidRDefault="002A32E4" w:rsidP="00242BAC">
            <w:pPr>
              <w:spacing w:after="160"/>
              <w:rPr>
                <w:i/>
                <w:iCs/>
              </w:rPr>
            </w:pPr>
            <w:r w:rsidRPr="004C12C9">
              <w:rPr>
                <w:i/>
                <w:iCs/>
                <w:sz w:val="20"/>
                <w:szCs w:val="20"/>
              </w:rPr>
              <w:t xml:space="preserve">where, </w:t>
            </w:r>
          </w:p>
        </w:tc>
      </w:tr>
      <w:tr w:rsidR="002A32E4" w:rsidRPr="004C12C9" w14:paraId="1519DBA0" w14:textId="77777777" w:rsidTr="00AF53B5">
        <w:tc>
          <w:tcPr>
            <w:tcW w:w="1800" w:type="dxa"/>
            <w:shd w:val="clear" w:color="auto" w:fill="F2F2F2" w:themeFill="background1" w:themeFillShade="F2"/>
          </w:tcPr>
          <w:p w14:paraId="286A9D34"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N excreted</w:t>
            </w:r>
          </w:p>
          <w:p w14:paraId="189BE9C9" w14:textId="77777777" w:rsidR="00674C5D" w:rsidRPr="00242BAC" w:rsidRDefault="00674C5D" w:rsidP="00674C5D">
            <w:pPr>
              <w:pStyle w:val="Equation"/>
              <w:spacing w:before="0" w:after="0"/>
              <w:jc w:val="left"/>
              <w:rPr>
                <w:rFonts w:ascii="Calibri" w:eastAsia="Arial" w:hAnsi="Calibri"/>
                <w:i w:val="0"/>
                <w:color w:val="auto"/>
                <w:sz w:val="20"/>
                <w:szCs w:val="20"/>
              </w:rPr>
            </w:pPr>
            <w:r w:rsidRPr="00242BAC">
              <w:rPr>
                <w:rFonts w:ascii="Calibri" w:eastAsia="Arial" w:hAnsi="Calibri"/>
                <w:i w:val="0"/>
                <w:color w:val="auto"/>
                <w:sz w:val="20"/>
                <w:szCs w:val="20"/>
              </w:rPr>
              <w:t>N remaining</w:t>
            </w:r>
          </w:p>
          <w:p w14:paraId="2EA0FCC0" w14:textId="21EACBD2" w:rsidR="008230CC" w:rsidRPr="00242BAC" w:rsidRDefault="008230CC" w:rsidP="008230CC">
            <w:pPr>
              <w:pStyle w:val="Equation"/>
              <w:spacing w:before="0" w:after="0"/>
              <w:jc w:val="left"/>
              <w:rPr>
                <w:rFonts w:ascii="Calibri" w:eastAsia="Arial" w:hAnsi="Calibri"/>
                <w:i w:val="0"/>
                <w:color w:val="auto"/>
                <w:sz w:val="20"/>
                <w:szCs w:val="20"/>
              </w:rPr>
            </w:pPr>
            <w:r w:rsidRPr="00242BAC">
              <w:rPr>
                <w:rFonts w:ascii="Calibri" w:eastAsia="Arial" w:hAnsi="Calibri"/>
                <w:i w:val="0"/>
                <w:color w:val="auto"/>
                <w:sz w:val="20"/>
                <w:szCs w:val="20"/>
              </w:rPr>
              <w:t>Fertilizer applied</w:t>
            </w:r>
          </w:p>
          <w:p w14:paraId="1D1D8C2A"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w:t>
            </w:r>
            <w:r w:rsidRPr="004C12C9">
              <w:rPr>
                <w:rFonts w:ascii="Calibri" w:eastAsia="Arial" w:hAnsi="Calibri"/>
                <w:bCs w:val="0"/>
                <w:i w:val="0"/>
                <w:noProof w:val="0"/>
                <w:color w:val="auto"/>
                <w:sz w:val="20"/>
                <w:szCs w:val="20"/>
                <w:vertAlign w:val="subscript"/>
              </w:rPr>
              <w:t>vol</w:t>
            </w:r>
          </w:p>
          <w:p w14:paraId="1196EA8C"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Frac</w:t>
            </w:r>
            <w:r w:rsidRPr="004C12C9">
              <w:rPr>
                <w:rFonts w:ascii="Calibri" w:eastAsia="Arial" w:hAnsi="Calibri"/>
                <w:bCs w:val="0"/>
                <w:i w:val="0"/>
                <w:noProof w:val="0"/>
                <w:color w:val="auto"/>
                <w:sz w:val="20"/>
                <w:szCs w:val="20"/>
                <w:vertAlign w:val="subscript"/>
              </w:rPr>
              <w:t>run</w:t>
            </w:r>
          </w:p>
          <w:p w14:paraId="65B0B4AE"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EF</w:t>
            </w:r>
            <w:r w:rsidRPr="004C12C9">
              <w:rPr>
                <w:rFonts w:ascii="Calibri" w:eastAsia="Arial" w:hAnsi="Calibri"/>
                <w:bCs w:val="0"/>
                <w:i w:val="0"/>
                <w:noProof w:val="0"/>
                <w:color w:val="auto"/>
                <w:sz w:val="20"/>
                <w:szCs w:val="20"/>
                <w:vertAlign w:val="subscript"/>
              </w:rPr>
              <w:t>vol</w:t>
            </w:r>
          </w:p>
          <w:p w14:paraId="47105D6A"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EF</w:t>
            </w:r>
            <w:r w:rsidRPr="004C12C9">
              <w:rPr>
                <w:rFonts w:ascii="Calibri" w:eastAsia="Arial" w:hAnsi="Calibri"/>
                <w:bCs w:val="0"/>
                <w:i w:val="0"/>
                <w:noProof w:val="0"/>
                <w:color w:val="auto"/>
                <w:sz w:val="20"/>
                <w:szCs w:val="20"/>
                <w:vertAlign w:val="subscript"/>
              </w:rPr>
              <w:t>run</w:t>
            </w:r>
          </w:p>
          <w:p w14:paraId="59DC7C0E" w14:textId="77777777" w:rsidR="002A32E4" w:rsidRPr="004C12C9" w:rsidRDefault="002A32E4">
            <w:pPr>
              <w:pStyle w:val="Equation"/>
              <w:spacing w:before="0" w:after="0"/>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44/28 </w:t>
            </w:r>
          </w:p>
        </w:tc>
        <w:tc>
          <w:tcPr>
            <w:tcW w:w="8270" w:type="dxa"/>
            <w:shd w:val="clear" w:color="auto" w:fill="F2F2F2" w:themeFill="background1" w:themeFillShade="F2"/>
          </w:tcPr>
          <w:p w14:paraId="7A900909" w14:textId="77777777"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Amount of nitrogen excreted annually, as calculated by </w:t>
            </w:r>
            <w:r w:rsidRPr="004C12C9">
              <w:rPr>
                <w:rFonts w:ascii="Calibri" w:eastAsia="Arial" w:hAnsi="Calibri"/>
                <w:bCs w:val="0"/>
                <w:i w:val="0"/>
                <w:noProof w:val="0"/>
                <w:color w:val="auto"/>
                <w:sz w:val="20"/>
                <w:szCs w:val="20"/>
              </w:rPr>
              <w:fldChar w:fldCharType="begin" w:fldLock="1"/>
            </w:r>
            <w:r w:rsidRPr="004C12C9">
              <w:rPr>
                <w:rFonts w:ascii="Calibri" w:eastAsia="Arial" w:hAnsi="Calibri"/>
                <w:bCs w:val="0"/>
                <w:i w:val="0"/>
                <w:noProof w:val="0"/>
                <w:color w:val="auto"/>
                <w:sz w:val="20"/>
                <w:szCs w:val="20"/>
              </w:rPr>
              <w:instrText xml:space="preserve"> REF _Ref195457869 \h  \* MERGEFORMAT </w:instrText>
            </w:r>
            <w:r w:rsidRPr="004C12C9">
              <w:rPr>
                <w:rFonts w:ascii="Calibri" w:eastAsia="Arial" w:hAnsi="Calibri"/>
                <w:bCs w:val="0"/>
                <w:i w:val="0"/>
                <w:noProof w:val="0"/>
                <w:color w:val="auto"/>
                <w:sz w:val="20"/>
                <w:szCs w:val="20"/>
              </w:rPr>
            </w:r>
            <w:r w:rsidRPr="004C12C9">
              <w:rPr>
                <w:rFonts w:ascii="Calibri" w:eastAsia="Arial" w:hAnsi="Calibri"/>
                <w:bCs w:val="0"/>
                <w:i w:val="0"/>
                <w:noProof w:val="0"/>
                <w:color w:val="auto"/>
                <w:sz w:val="20"/>
                <w:szCs w:val="20"/>
              </w:rPr>
              <w:fldChar w:fldCharType="separate"/>
            </w:r>
            <w:r w:rsidRPr="004C12C9">
              <w:rPr>
                <w:rFonts w:ascii="Calibri" w:eastAsia="Arial" w:hAnsi="Calibri"/>
                <w:bCs w:val="0"/>
                <w:i w:val="0"/>
                <w:noProof w:val="0"/>
                <w:color w:val="auto"/>
                <w:sz w:val="20"/>
                <w:szCs w:val="20"/>
              </w:rPr>
              <w:t>Equation 34</w:t>
            </w:r>
            <w:r w:rsidRPr="004C12C9">
              <w:rPr>
                <w:rFonts w:ascii="Calibri" w:eastAsia="Arial" w:hAnsi="Calibri"/>
                <w:bCs w:val="0"/>
                <w:i w:val="0"/>
                <w:noProof w:val="0"/>
                <w:color w:val="auto"/>
                <w:sz w:val="20"/>
                <w:szCs w:val="20"/>
              </w:rPr>
              <w:fldChar w:fldCharType="end"/>
            </w:r>
            <w:r w:rsidRPr="004C12C9">
              <w:rPr>
                <w:rFonts w:ascii="Calibri" w:eastAsia="Arial" w:hAnsi="Calibri"/>
                <w:bCs w:val="0"/>
                <w:i w:val="0"/>
                <w:noProof w:val="0"/>
                <w:color w:val="auto"/>
                <w:sz w:val="20"/>
                <w:szCs w:val="20"/>
              </w:rPr>
              <w:t xml:space="preserve"> (kgN/year)</w:t>
            </w:r>
          </w:p>
          <w:p w14:paraId="5262E052" w14:textId="08F655D5" w:rsidR="00674C5D" w:rsidRPr="00242BAC" w:rsidRDefault="00674C5D" w:rsidP="00674C5D">
            <w:pPr>
              <w:pStyle w:val="Equation"/>
              <w:spacing w:before="0" w:after="0"/>
              <w:ind w:left="165" w:hanging="165"/>
              <w:jc w:val="left"/>
              <w:rPr>
                <w:rFonts w:ascii="Calibri" w:eastAsia="Arial" w:hAnsi="Calibri"/>
                <w:i w:val="0"/>
                <w:color w:val="auto"/>
                <w:sz w:val="20"/>
                <w:szCs w:val="20"/>
              </w:rPr>
            </w:pPr>
            <w:r w:rsidRPr="00242BAC">
              <w:rPr>
                <w:rFonts w:ascii="Calibri" w:eastAsia="Arial" w:hAnsi="Calibri"/>
                <w:i w:val="0"/>
                <w:color w:val="auto"/>
                <w:sz w:val="20"/>
                <w:szCs w:val="20"/>
              </w:rPr>
              <w:t>= The proportion of nitrogen remaining in manure by type, t</w:t>
            </w:r>
            <w:r w:rsidR="00AF53B5" w:rsidRPr="00242BAC">
              <w:rPr>
                <w:rFonts w:ascii="Calibri" w:eastAsia="Arial" w:hAnsi="Calibri"/>
                <w:i w:val="0"/>
                <w:color w:val="auto"/>
                <w:sz w:val="20"/>
                <w:szCs w:val="20"/>
              </w:rPr>
              <w:t xml:space="preserve">, as calculated by </w:t>
            </w:r>
            <w:r w:rsidR="00AF53B5" w:rsidRPr="00242BAC">
              <w:rPr>
                <w:rFonts w:ascii="Calibri" w:eastAsia="Arial" w:hAnsi="Calibri"/>
                <w:i w:val="0"/>
                <w:color w:val="auto"/>
                <w:sz w:val="20"/>
                <w:szCs w:val="20"/>
              </w:rPr>
              <w:fldChar w:fldCharType="begin" w:fldLock="1"/>
            </w:r>
            <w:r w:rsidR="00AF53B5" w:rsidRPr="00242BAC">
              <w:rPr>
                <w:rFonts w:ascii="Calibri" w:eastAsia="Arial" w:hAnsi="Calibri"/>
                <w:i w:val="0"/>
                <w:color w:val="auto"/>
                <w:sz w:val="20"/>
                <w:szCs w:val="20"/>
              </w:rPr>
              <w:instrText xml:space="preserve"> REF _Ref199274560 \h  \* MERGEFORMAT </w:instrText>
            </w:r>
            <w:r w:rsidR="00AF53B5" w:rsidRPr="00242BAC">
              <w:rPr>
                <w:rFonts w:ascii="Calibri" w:eastAsia="Arial" w:hAnsi="Calibri"/>
                <w:i w:val="0"/>
                <w:color w:val="auto"/>
                <w:sz w:val="20"/>
                <w:szCs w:val="20"/>
              </w:rPr>
            </w:r>
            <w:r w:rsidR="00AF53B5" w:rsidRPr="00242BAC">
              <w:rPr>
                <w:rFonts w:ascii="Calibri" w:eastAsia="Arial" w:hAnsi="Calibri"/>
                <w:i w:val="0"/>
                <w:color w:val="auto"/>
                <w:sz w:val="20"/>
                <w:szCs w:val="20"/>
              </w:rPr>
              <w:fldChar w:fldCharType="separate"/>
            </w:r>
            <w:r w:rsidR="00AF53B5" w:rsidRPr="00242BAC">
              <w:rPr>
                <w:rFonts w:ascii="Calibri" w:eastAsia="Arial" w:hAnsi="Calibri"/>
                <w:i w:val="0"/>
                <w:color w:val="auto"/>
                <w:sz w:val="20"/>
                <w:szCs w:val="20"/>
              </w:rPr>
              <w:t>Equation 37</w:t>
            </w:r>
            <w:r w:rsidR="00AF53B5" w:rsidRPr="00242BAC">
              <w:rPr>
                <w:rFonts w:ascii="Calibri" w:eastAsia="Arial" w:hAnsi="Calibri"/>
                <w:i w:val="0"/>
                <w:color w:val="auto"/>
                <w:sz w:val="20"/>
                <w:szCs w:val="20"/>
              </w:rPr>
              <w:fldChar w:fldCharType="end"/>
            </w:r>
            <w:r w:rsidR="00AF53B5" w:rsidRPr="00242BAC">
              <w:rPr>
                <w:rFonts w:ascii="Calibri" w:eastAsia="Arial" w:hAnsi="Calibri"/>
                <w:i w:val="0"/>
                <w:color w:val="auto"/>
                <w:sz w:val="20"/>
                <w:szCs w:val="20"/>
              </w:rPr>
              <w:fldChar w:fldCharType="begin" w:fldLock="1"/>
            </w:r>
            <w:r w:rsidR="00AF53B5" w:rsidRPr="00242BAC">
              <w:rPr>
                <w:rFonts w:ascii="Calibri" w:eastAsia="Arial" w:hAnsi="Calibri"/>
                <w:i w:val="0"/>
                <w:color w:val="auto"/>
                <w:sz w:val="20"/>
                <w:szCs w:val="20"/>
              </w:rPr>
              <w:instrText xml:space="preserve"> REF _Ref195457869 \h  \* MERGEFORMAT </w:instrText>
            </w:r>
            <w:r w:rsidR="00AF53B5" w:rsidRPr="00242BAC">
              <w:rPr>
                <w:rFonts w:ascii="Calibri" w:eastAsia="Arial" w:hAnsi="Calibri"/>
                <w:i w:val="0"/>
                <w:color w:val="auto"/>
                <w:sz w:val="20"/>
                <w:szCs w:val="20"/>
              </w:rPr>
            </w:r>
            <w:r w:rsidR="00AF53B5" w:rsidRPr="00242BAC">
              <w:rPr>
                <w:rFonts w:ascii="Calibri" w:eastAsia="Arial" w:hAnsi="Calibri"/>
                <w:i w:val="0"/>
                <w:color w:val="auto"/>
                <w:sz w:val="20"/>
                <w:szCs w:val="20"/>
              </w:rPr>
              <w:fldChar w:fldCharType="separate"/>
            </w:r>
            <w:r w:rsidR="00AF53B5" w:rsidRPr="00242BAC">
              <w:rPr>
                <w:rFonts w:ascii="Calibri" w:eastAsia="Arial" w:hAnsi="Calibri"/>
                <w:i w:val="0"/>
                <w:color w:val="auto"/>
                <w:sz w:val="20"/>
                <w:szCs w:val="20"/>
              </w:rPr>
              <w:fldChar w:fldCharType="end"/>
            </w:r>
            <w:r w:rsidR="00AF53B5" w:rsidRPr="00242BAC">
              <w:rPr>
                <w:rFonts w:ascii="Calibri" w:eastAsia="Arial" w:hAnsi="Calibri"/>
                <w:i w:val="0"/>
                <w:color w:val="auto"/>
                <w:sz w:val="20"/>
                <w:szCs w:val="20"/>
              </w:rPr>
              <w:t xml:space="preserve"> (%)</w:t>
            </w:r>
          </w:p>
          <w:p w14:paraId="346B7BFD" w14:textId="77777777" w:rsidR="008230CC" w:rsidRPr="00242BAC" w:rsidRDefault="008230CC" w:rsidP="008230CC">
            <w:pPr>
              <w:pStyle w:val="Equation"/>
              <w:spacing w:before="0" w:after="0"/>
              <w:ind w:left="165" w:hanging="165"/>
              <w:jc w:val="left"/>
              <w:rPr>
                <w:rFonts w:ascii="Calibri" w:eastAsia="Arial" w:hAnsi="Calibri"/>
                <w:i w:val="0"/>
                <w:color w:val="auto"/>
                <w:sz w:val="20"/>
                <w:szCs w:val="20"/>
              </w:rPr>
            </w:pPr>
            <w:r w:rsidRPr="00242BAC">
              <w:rPr>
                <w:rFonts w:ascii="Calibri" w:eastAsia="Arial" w:hAnsi="Calibri"/>
                <w:i w:val="0"/>
                <w:color w:val="auto"/>
                <w:sz w:val="20"/>
                <w:szCs w:val="20"/>
              </w:rPr>
              <w:t>= Percent of manure applied to land as fertilizer (%)</w:t>
            </w:r>
          </w:p>
          <w:p w14:paraId="02B7AA51" w14:textId="1B56F3F5"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Percent of nitrogen lost to volatilization</w:t>
            </w:r>
            <w:r w:rsidR="003F3199" w:rsidRPr="004C12C9">
              <w:rPr>
                <w:rFonts w:ascii="Calibri" w:eastAsia="Arial" w:hAnsi="Calibri"/>
                <w:bCs w:val="0"/>
                <w:i w:val="0"/>
                <w:noProof w:val="0"/>
                <w:color w:val="auto"/>
                <w:sz w:val="20"/>
                <w:szCs w:val="20"/>
              </w:rPr>
              <w:t xml:space="preserve"> </w:t>
            </w:r>
            <w:r w:rsidR="007C48C5" w:rsidRPr="004C12C9">
              <w:rPr>
                <w:rFonts w:ascii="Calibri" w:eastAsia="Arial" w:hAnsi="Calibri"/>
                <w:bCs w:val="0"/>
                <w:i w:val="0"/>
                <w:noProof w:val="0"/>
                <w:color w:val="auto"/>
                <w:sz w:val="20"/>
                <w:szCs w:val="20"/>
              </w:rPr>
              <w:t>when applied to soils from IPCC Guidelines</w:t>
            </w:r>
            <w:r w:rsidR="00C45C81" w:rsidRPr="004C12C9">
              <w:rPr>
                <w:rFonts w:ascii="Calibri" w:eastAsia="Arial" w:hAnsi="Calibri"/>
                <w:bCs w:val="0"/>
                <w:i w:val="0"/>
                <w:noProof w:val="0"/>
                <w:color w:val="auto"/>
                <w:sz w:val="20"/>
                <w:szCs w:val="20"/>
              </w:rPr>
              <w:t>, 21</w:t>
            </w:r>
            <w:r w:rsidRPr="004C12C9">
              <w:rPr>
                <w:rFonts w:ascii="Calibri" w:eastAsia="Arial" w:hAnsi="Calibri"/>
                <w:bCs w:val="0"/>
                <w:i w:val="0"/>
                <w:noProof w:val="0"/>
                <w:color w:val="auto"/>
                <w:sz w:val="20"/>
                <w:szCs w:val="20"/>
              </w:rPr>
              <w:t xml:space="preserve"> (%)</w:t>
            </w:r>
          </w:p>
          <w:p w14:paraId="5B0D8545" w14:textId="57E0D8D0"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Percent of nitrogen lost to runoff/leaching </w:t>
            </w:r>
            <w:r w:rsidR="00AC55D8" w:rsidRPr="004C12C9">
              <w:rPr>
                <w:rFonts w:ascii="Calibri" w:eastAsia="Arial" w:hAnsi="Calibri"/>
                <w:bCs w:val="0"/>
                <w:i w:val="0"/>
                <w:noProof w:val="0"/>
                <w:color w:val="auto"/>
                <w:sz w:val="20"/>
                <w:szCs w:val="20"/>
              </w:rPr>
              <w:t xml:space="preserve">when applied to soils from IPCC Guidelines, 24 </w:t>
            </w:r>
            <w:r w:rsidRPr="004C12C9">
              <w:rPr>
                <w:rFonts w:ascii="Calibri" w:eastAsia="Arial" w:hAnsi="Calibri"/>
                <w:bCs w:val="0"/>
                <w:i w:val="0"/>
                <w:noProof w:val="0"/>
                <w:color w:val="auto"/>
                <w:sz w:val="20"/>
                <w:szCs w:val="20"/>
              </w:rPr>
              <w:t>(%)</w:t>
            </w:r>
          </w:p>
          <w:p w14:paraId="30BE897A" w14:textId="5BEB65BE"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Volatilization emission factor from IPCC Guidelines, </w:t>
            </w:r>
            <w:r w:rsidR="00AC55D8" w:rsidRPr="004C12C9">
              <w:rPr>
                <w:rFonts w:ascii="Calibri" w:eastAsia="Arial" w:hAnsi="Calibri"/>
                <w:bCs w:val="0"/>
                <w:i w:val="0"/>
                <w:noProof w:val="0"/>
                <w:color w:val="auto"/>
                <w:sz w:val="20"/>
                <w:szCs w:val="20"/>
              </w:rPr>
              <w:t xml:space="preserve">0.01 </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p>
          <w:p w14:paraId="18ACDCE6" w14:textId="22586F95" w:rsidR="002A32E4" w:rsidRPr="004C12C9" w:rsidRDefault="002A32E4">
            <w:pPr>
              <w:pStyle w:val="Equation"/>
              <w:spacing w:before="0" w:after="0"/>
              <w:ind w:left="165" w:hanging="165"/>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xml:space="preserve">= Leaching and runoff emission factor from IPCC Guidelines, </w:t>
            </w:r>
            <w:r w:rsidR="00AC55D8" w:rsidRPr="004C12C9">
              <w:rPr>
                <w:rFonts w:ascii="Calibri" w:eastAsia="Arial" w:hAnsi="Calibri"/>
                <w:bCs w:val="0"/>
                <w:i w:val="0"/>
                <w:noProof w:val="0"/>
                <w:color w:val="auto"/>
                <w:sz w:val="20"/>
                <w:szCs w:val="20"/>
              </w:rPr>
              <w:t xml:space="preserve">0.011 </w:t>
            </w:r>
            <w:r w:rsidRPr="004C12C9">
              <w:rPr>
                <w:rFonts w:ascii="Calibri" w:eastAsia="Arial" w:hAnsi="Calibri"/>
                <w:bCs w:val="0"/>
                <w:i w:val="0"/>
                <w:noProof w:val="0"/>
                <w:color w:val="auto"/>
                <w:sz w:val="20"/>
                <w:szCs w:val="20"/>
              </w:rPr>
              <w:t>(kgN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O-N/kgN)</w:t>
            </w:r>
          </w:p>
          <w:p w14:paraId="1D27A60C" w14:textId="1AEF69F7" w:rsidR="002A32E4" w:rsidRPr="004C12C9" w:rsidRDefault="002A32E4" w:rsidP="006B29CD">
            <w:pPr>
              <w:pStyle w:val="Equation"/>
              <w:spacing w:before="0" w:after="120"/>
              <w:ind w:left="158" w:hanging="158"/>
              <w:jc w:val="left"/>
              <w:rPr>
                <w:rFonts w:ascii="Calibri" w:eastAsia="Arial" w:hAnsi="Calibri"/>
                <w:bCs w:val="0"/>
                <w:i w:val="0"/>
                <w:noProof w:val="0"/>
                <w:color w:val="auto"/>
                <w:sz w:val="20"/>
                <w:szCs w:val="20"/>
              </w:rPr>
            </w:pPr>
            <w:r w:rsidRPr="004C12C9">
              <w:rPr>
                <w:rFonts w:ascii="Calibri" w:eastAsia="Arial" w:hAnsi="Calibri"/>
                <w:bCs w:val="0"/>
                <w:i w:val="0"/>
                <w:noProof w:val="0"/>
                <w:color w:val="auto"/>
                <w:sz w:val="20"/>
                <w:szCs w:val="20"/>
              </w:rPr>
              <w:t>= Conversion factor of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O-N to N</w:t>
            </w:r>
            <w:r w:rsidRPr="004C12C9">
              <w:rPr>
                <w:rFonts w:ascii="Calibri" w:eastAsia="Arial" w:hAnsi="Calibri"/>
                <w:bCs w:val="0"/>
                <w:i w:val="0"/>
                <w:noProof w:val="0"/>
                <w:color w:val="auto"/>
                <w:sz w:val="20"/>
                <w:szCs w:val="20"/>
                <w:vertAlign w:val="subscript"/>
              </w:rPr>
              <w:t>2</w:t>
            </w:r>
            <w:r w:rsidRPr="004C12C9">
              <w:rPr>
                <w:rFonts w:ascii="Calibri" w:eastAsia="Arial" w:hAnsi="Calibri"/>
                <w:bCs w:val="0"/>
                <w:i w:val="0"/>
                <w:noProof w:val="0"/>
                <w:color w:val="auto"/>
                <w:sz w:val="20"/>
                <w:szCs w:val="20"/>
              </w:rPr>
              <w:t>O</w:t>
            </w:r>
          </w:p>
        </w:tc>
      </w:tr>
    </w:tbl>
    <w:p w14:paraId="5C303D90" w14:textId="3882814A" w:rsidR="00040286" w:rsidRPr="004C12C9" w:rsidRDefault="00DA1BE3" w:rsidP="00E31E37">
      <w:pPr>
        <w:pStyle w:val="Heading4"/>
      </w:pPr>
      <w:r w:rsidRPr="004C12C9">
        <w:t>Livestock Population</w:t>
      </w:r>
    </w:p>
    <w:p w14:paraId="53356772" w14:textId="32C98875" w:rsidR="00611B1E" w:rsidRPr="004C12C9" w:rsidRDefault="00040286" w:rsidP="00611B1E">
      <w:r w:rsidRPr="004C12C9">
        <w:t xml:space="preserve">The annual animal population by livestock type and age/production class </w:t>
      </w:r>
      <w:r w:rsidR="000F4197" w:rsidRPr="004C12C9">
        <w:t>is</w:t>
      </w:r>
      <w:r w:rsidRPr="004C12C9">
        <w:t xml:space="preserve"> provided by users. </w:t>
      </w:r>
      <w:r w:rsidR="00611B1E" w:rsidRPr="004C12C9">
        <w:t>The livestock types for which users may provide data</w:t>
      </w:r>
      <w:r w:rsidR="00242BAC">
        <w:t xml:space="preserve"> </w:t>
      </w:r>
      <w:r w:rsidR="00611B1E" w:rsidRPr="004C12C9">
        <w:t>include:</w:t>
      </w:r>
    </w:p>
    <w:p w14:paraId="42CE5A54" w14:textId="77777777" w:rsidR="00611B1E" w:rsidRPr="004C12C9" w:rsidRDefault="00611B1E" w:rsidP="003B5F7F">
      <w:pPr>
        <w:pStyle w:val="ListParagraph"/>
        <w:numPr>
          <w:ilvl w:val="0"/>
          <w:numId w:val="32"/>
        </w:numPr>
      </w:pPr>
      <w:r w:rsidRPr="004C12C9">
        <w:t>Bulls</w:t>
      </w:r>
    </w:p>
    <w:p w14:paraId="016C2129" w14:textId="77777777" w:rsidR="00611B1E" w:rsidRPr="004C12C9" w:rsidRDefault="00611B1E" w:rsidP="003B5F7F">
      <w:pPr>
        <w:pStyle w:val="ListParagraph"/>
        <w:numPr>
          <w:ilvl w:val="0"/>
          <w:numId w:val="32"/>
        </w:numPr>
      </w:pPr>
      <w:r w:rsidRPr="004C12C9">
        <w:t>Beef cows</w:t>
      </w:r>
    </w:p>
    <w:p w14:paraId="2C40D0CD" w14:textId="77777777" w:rsidR="00611B1E" w:rsidRPr="004C12C9" w:rsidRDefault="00611B1E" w:rsidP="003B5F7F">
      <w:pPr>
        <w:pStyle w:val="ListParagraph"/>
        <w:numPr>
          <w:ilvl w:val="0"/>
          <w:numId w:val="32"/>
        </w:numPr>
      </w:pPr>
      <w:r w:rsidRPr="004C12C9">
        <w:t>Beef heifers</w:t>
      </w:r>
    </w:p>
    <w:p w14:paraId="4D971713" w14:textId="77777777" w:rsidR="00611B1E" w:rsidRPr="004C12C9" w:rsidRDefault="00611B1E" w:rsidP="003B5F7F">
      <w:pPr>
        <w:pStyle w:val="ListParagraph"/>
        <w:numPr>
          <w:ilvl w:val="0"/>
          <w:numId w:val="32"/>
        </w:numPr>
      </w:pPr>
      <w:r w:rsidRPr="004C12C9">
        <w:t>Steer stockers</w:t>
      </w:r>
    </w:p>
    <w:p w14:paraId="385D07A3" w14:textId="77777777" w:rsidR="00611B1E" w:rsidRPr="004C12C9" w:rsidRDefault="00611B1E" w:rsidP="003B5F7F">
      <w:pPr>
        <w:pStyle w:val="ListParagraph"/>
        <w:numPr>
          <w:ilvl w:val="0"/>
          <w:numId w:val="32"/>
        </w:numPr>
      </w:pPr>
      <w:r w:rsidRPr="004C12C9">
        <w:t>Heifer stockers</w:t>
      </w:r>
    </w:p>
    <w:p w14:paraId="63FABE32" w14:textId="740D07F5" w:rsidR="00611B1E" w:rsidRPr="004C12C9" w:rsidRDefault="00611B1E" w:rsidP="003B5F7F">
      <w:pPr>
        <w:pStyle w:val="ListParagraph"/>
        <w:numPr>
          <w:ilvl w:val="0"/>
          <w:numId w:val="32"/>
        </w:numPr>
      </w:pPr>
      <w:r w:rsidRPr="004C12C9">
        <w:t>Feedlot beef</w:t>
      </w:r>
    </w:p>
    <w:p w14:paraId="255F7708" w14:textId="32F740A3" w:rsidR="00611B1E" w:rsidRPr="004C12C9" w:rsidRDefault="00611B1E" w:rsidP="003B5F7F">
      <w:pPr>
        <w:pStyle w:val="ListParagraph"/>
        <w:numPr>
          <w:ilvl w:val="0"/>
          <w:numId w:val="32"/>
        </w:numPr>
      </w:pPr>
      <w:r w:rsidRPr="004C12C9">
        <w:t>Beef calves</w:t>
      </w:r>
    </w:p>
    <w:p w14:paraId="5A6632D7" w14:textId="77777777" w:rsidR="00611B1E" w:rsidRPr="004C12C9" w:rsidRDefault="00611B1E" w:rsidP="003B5F7F">
      <w:pPr>
        <w:pStyle w:val="ListParagraph"/>
        <w:numPr>
          <w:ilvl w:val="0"/>
          <w:numId w:val="32"/>
        </w:numPr>
      </w:pPr>
      <w:r w:rsidRPr="004C12C9">
        <w:t>Dairy heifers</w:t>
      </w:r>
    </w:p>
    <w:p w14:paraId="1DB94025" w14:textId="77777777" w:rsidR="00611B1E" w:rsidRPr="004C12C9" w:rsidRDefault="00611B1E" w:rsidP="003B5F7F">
      <w:pPr>
        <w:pStyle w:val="ListParagraph"/>
        <w:numPr>
          <w:ilvl w:val="0"/>
          <w:numId w:val="32"/>
        </w:numPr>
      </w:pPr>
      <w:r w:rsidRPr="004C12C9">
        <w:t>Dairy cows</w:t>
      </w:r>
    </w:p>
    <w:p w14:paraId="421F2597" w14:textId="77777777" w:rsidR="00953D8A" w:rsidRPr="004C12C9" w:rsidRDefault="00611B1E" w:rsidP="003B5F7F">
      <w:pPr>
        <w:pStyle w:val="ListParagraph"/>
        <w:numPr>
          <w:ilvl w:val="0"/>
          <w:numId w:val="32"/>
        </w:numPr>
      </w:pPr>
      <w:r w:rsidRPr="004C12C9">
        <w:t>Dairy calves</w:t>
      </w:r>
    </w:p>
    <w:p w14:paraId="007B71C3" w14:textId="4E523098" w:rsidR="00611B1E" w:rsidRPr="004C12C9" w:rsidRDefault="00611B1E" w:rsidP="003B5F7F">
      <w:pPr>
        <w:pStyle w:val="ListParagraph"/>
        <w:numPr>
          <w:ilvl w:val="0"/>
          <w:numId w:val="32"/>
        </w:numPr>
      </w:pPr>
      <w:r w:rsidRPr="004C12C9">
        <w:lastRenderedPageBreak/>
        <w:t>Swine, &gt;55 lbs</w:t>
      </w:r>
      <w:r w:rsidRPr="004C12C9">
        <w:rPr>
          <w:rStyle w:val="FootnoteReference"/>
        </w:rPr>
        <w:footnoteReference w:id="126"/>
      </w:r>
    </w:p>
    <w:p w14:paraId="1AC802AF" w14:textId="4A57A5DE" w:rsidR="00611B1E" w:rsidRPr="004C12C9" w:rsidRDefault="00611B1E" w:rsidP="003B5F7F">
      <w:pPr>
        <w:pStyle w:val="ListParagraph"/>
        <w:numPr>
          <w:ilvl w:val="0"/>
          <w:numId w:val="32"/>
        </w:numPr>
      </w:pPr>
      <w:r w:rsidRPr="004C12C9">
        <w:t>Swine</w:t>
      </w:r>
      <w:r w:rsidR="000278AE" w:rsidRPr="004C12C9">
        <w:t>,</w:t>
      </w:r>
      <w:r w:rsidRPr="004C12C9">
        <w:t xml:space="preserve"> 55-330 lbs</w:t>
      </w:r>
    </w:p>
    <w:p w14:paraId="061BB9F0" w14:textId="31CCB5C5" w:rsidR="00611B1E" w:rsidRPr="004C12C9" w:rsidRDefault="00611B1E" w:rsidP="003B5F7F">
      <w:pPr>
        <w:pStyle w:val="ListParagraph"/>
        <w:numPr>
          <w:ilvl w:val="0"/>
          <w:numId w:val="32"/>
        </w:numPr>
      </w:pPr>
      <w:r w:rsidRPr="004C12C9">
        <w:t>Swine</w:t>
      </w:r>
      <w:r w:rsidR="000278AE" w:rsidRPr="004C12C9">
        <w:t>,</w:t>
      </w:r>
      <w:r w:rsidRPr="004C12C9">
        <w:t xml:space="preserve"> 330+ lbs</w:t>
      </w:r>
    </w:p>
    <w:p w14:paraId="70B8DA4E" w14:textId="24C8EDF1" w:rsidR="00611B1E" w:rsidRPr="004C12C9" w:rsidRDefault="00611B1E" w:rsidP="003B5F7F">
      <w:pPr>
        <w:pStyle w:val="ListParagraph"/>
        <w:numPr>
          <w:ilvl w:val="0"/>
          <w:numId w:val="32"/>
        </w:numPr>
      </w:pPr>
      <w:r w:rsidRPr="004C12C9">
        <w:t>Poultry, layers</w:t>
      </w:r>
    </w:p>
    <w:p w14:paraId="7E9BC7AC" w14:textId="0AE8EC96" w:rsidR="00611B1E" w:rsidRPr="004C12C9" w:rsidRDefault="00611B1E" w:rsidP="003B5F7F">
      <w:pPr>
        <w:pStyle w:val="ListParagraph"/>
        <w:numPr>
          <w:ilvl w:val="0"/>
          <w:numId w:val="32"/>
        </w:numPr>
      </w:pPr>
      <w:r w:rsidRPr="004C12C9">
        <w:t>Poultry, pullets</w:t>
      </w:r>
    </w:p>
    <w:p w14:paraId="39481848" w14:textId="5D546D10" w:rsidR="00611B1E" w:rsidRPr="004C12C9" w:rsidRDefault="00611B1E" w:rsidP="003B5F7F">
      <w:pPr>
        <w:pStyle w:val="ListParagraph"/>
        <w:numPr>
          <w:ilvl w:val="0"/>
          <w:numId w:val="32"/>
        </w:numPr>
      </w:pPr>
      <w:r w:rsidRPr="004C12C9">
        <w:t>Poultry, chickens</w:t>
      </w:r>
    </w:p>
    <w:p w14:paraId="1DD8534E" w14:textId="77F717AE" w:rsidR="00611B1E" w:rsidRPr="004C12C9" w:rsidRDefault="00611B1E" w:rsidP="003B5F7F">
      <w:pPr>
        <w:pStyle w:val="ListParagraph"/>
        <w:numPr>
          <w:ilvl w:val="0"/>
          <w:numId w:val="32"/>
        </w:numPr>
      </w:pPr>
      <w:r w:rsidRPr="004C12C9">
        <w:t>Poultry, broilers</w:t>
      </w:r>
    </w:p>
    <w:p w14:paraId="52874D1F" w14:textId="06514CAC" w:rsidR="00040286" w:rsidRPr="004C12C9" w:rsidRDefault="00611B1E" w:rsidP="003B5F7F">
      <w:pPr>
        <w:pStyle w:val="ListParagraph"/>
        <w:numPr>
          <w:ilvl w:val="0"/>
          <w:numId w:val="32"/>
        </w:numPr>
      </w:pPr>
      <w:r w:rsidRPr="004C12C9">
        <w:t>Turkeys</w:t>
      </w:r>
    </w:p>
    <w:p w14:paraId="6DEB2A42" w14:textId="2196E01E" w:rsidR="00FC5F6E" w:rsidRPr="004C12C9" w:rsidRDefault="00EA55E6" w:rsidP="00E31E37">
      <w:pPr>
        <w:pStyle w:val="Heading4"/>
      </w:pPr>
      <w:r w:rsidRPr="004C12C9">
        <w:t>Manure Management Systems</w:t>
      </w:r>
    </w:p>
    <w:p w14:paraId="70968AFF" w14:textId="50F66E6F" w:rsidR="0046417B" w:rsidRPr="004C12C9" w:rsidRDefault="0046417B" w:rsidP="00972CF9">
      <w:r w:rsidRPr="004C12C9">
        <w:t xml:space="preserve">The type of manure management system </w:t>
      </w:r>
      <w:r w:rsidR="000F4197" w:rsidRPr="004C12C9">
        <w:t>is</w:t>
      </w:r>
      <w:r w:rsidRPr="004C12C9">
        <w:t xml:space="preserve"> identified by users for each livestock species and age/production class. The types of manure management systems that users may select, and their definitions are presented in </w:t>
      </w:r>
      <w:r w:rsidR="009C5B8D">
        <w:fldChar w:fldCharType="begin"/>
      </w:r>
      <w:r w:rsidR="009C5B8D">
        <w:instrText xml:space="preserve"> REF _Ref219842049 \h </w:instrText>
      </w:r>
      <w:r w:rsidR="009C5B8D">
        <w:fldChar w:fldCharType="separate"/>
      </w:r>
      <w:r w:rsidR="009C5B8D" w:rsidRPr="004C12C9">
        <w:t xml:space="preserve">Table </w:t>
      </w:r>
      <w:r w:rsidR="009C5B8D">
        <w:rPr>
          <w:noProof/>
        </w:rPr>
        <w:t>3</w:t>
      </w:r>
      <w:r w:rsidR="009C5B8D">
        <w:noBreakHyphen/>
      </w:r>
      <w:r w:rsidR="009C5B8D">
        <w:rPr>
          <w:noProof/>
        </w:rPr>
        <w:t>32</w:t>
      </w:r>
      <w:r w:rsidR="009C5B8D">
        <w:fldChar w:fldCharType="end"/>
      </w:r>
      <w:r w:rsidRPr="004C12C9">
        <w:fldChar w:fldCharType="begin" w:fldLock="1"/>
      </w:r>
      <w:r w:rsidRPr="004C12C9">
        <w:instrText xml:space="preserve"> REF _Ref185244376 \h </w:instrText>
      </w:r>
      <w:r w:rsidRPr="004C12C9">
        <w:fldChar w:fldCharType="separate"/>
      </w:r>
      <w:r w:rsidRPr="004C12C9">
        <w:fldChar w:fldCharType="end"/>
      </w:r>
      <w:r w:rsidRPr="004C12C9">
        <w:t>, which are based on Table A-161 of the U</w:t>
      </w:r>
      <w:r w:rsidR="00092A34" w:rsidRPr="004C12C9">
        <w:t>.</w:t>
      </w:r>
      <w:r w:rsidRPr="004C12C9">
        <w:t>S</w:t>
      </w:r>
      <w:r w:rsidR="00092A34" w:rsidRPr="004C12C9">
        <w:t>.</w:t>
      </w:r>
      <w:r w:rsidRPr="004C12C9">
        <w:t xml:space="preserve"> GHG Inventory.</w:t>
      </w:r>
      <w:r w:rsidR="004F1E4D" w:rsidRPr="004C12C9">
        <w:rPr>
          <w:rStyle w:val="FootnoteReference"/>
        </w:rPr>
        <w:footnoteReference w:id="127"/>
      </w:r>
      <w:r w:rsidRPr="004C12C9">
        <w:t xml:space="preserve"> Available manure management systems by animal type are denoted in </w:t>
      </w:r>
      <w:r w:rsidR="000335AF">
        <w:fldChar w:fldCharType="begin"/>
      </w:r>
      <w:r w:rsidR="000335AF">
        <w:instrText xml:space="preserve"> REF _Ref219842080 \h </w:instrText>
      </w:r>
      <w:r w:rsidR="000335AF">
        <w:fldChar w:fldCharType="separate"/>
      </w:r>
      <w:r w:rsidR="000335AF" w:rsidRPr="004C12C9">
        <w:t xml:space="preserve">Table </w:t>
      </w:r>
      <w:r w:rsidR="000335AF">
        <w:rPr>
          <w:noProof/>
        </w:rPr>
        <w:t>3</w:t>
      </w:r>
      <w:r w:rsidR="000335AF">
        <w:noBreakHyphen/>
      </w:r>
      <w:r w:rsidR="000335AF">
        <w:rPr>
          <w:noProof/>
        </w:rPr>
        <w:t>38</w:t>
      </w:r>
      <w:r w:rsidR="000335AF">
        <w:fldChar w:fldCharType="end"/>
      </w:r>
      <w:r w:rsidR="000335AF">
        <w:t xml:space="preserve"> </w:t>
      </w:r>
      <w:r w:rsidRPr="004C12C9">
        <w:t xml:space="preserve">and </w:t>
      </w:r>
      <w:r w:rsidR="000335AF">
        <w:fldChar w:fldCharType="begin"/>
      </w:r>
      <w:r w:rsidR="000335AF">
        <w:instrText xml:space="preserve"> REF _Ref219842089 \h </w:instrText>
      </w:r>
      <w:r w:rsidR="000335AF">
        <w:fldChar w:fldCharType="separate"/>
      </w:r>
      <w:r w:rsidR="000335AF" w:rsidRPr="004C12C9">
        <w:t xml:space="preserve">Table </w:t>
      </w:r>
      <w:r w:rsidR="000335AF">
        <w:rPr>
          <w:noProof/>
        </w:rPr>
        <w:t>3</w:t>
      </w:r>
      <w:r w:rsidR="000335AF">
        <w:noBreakHyphen/>
      </w:r>
      <w:r w:rsidR="000335AF">
        <w:rPr>
          <w:noProof/>
        </w:rPr>
        <w:t>39</w:t>
      </w:r>
      <w:r w:rsidR="000335AF">
        <w:fldChar w:fldCharType="end"/>
      </w:r>
      <w:r w:rsidR="000335AF">
        <w:t xml:space="preserve"> </w:t>
      </w:r>
      <w:r w:rsidRPr="004C12C9">
        <w:t>(where some factors are reported as NA because the manure management system will not be available for the relevant animal type).</w:t>
      </w:r>
    </w:p>
    <w:p w14:paraId="5A5F4A9A" w14:textId="2C82DACD" w:rsidR="0046417B" w:rsidRPr="004C12C9" w:rsidRDefault="0046417B" w:rsidP="00D37316">
      <w:pPr>
        <w:pStyle w:val="Caption"/>
        <w:keepNext w:val="0"/>
      </w:pPr>
      <w:bookmarkStart w:id="238" w:name="_Ref219842049"/>
      <w:bookmarkStart w:id="239" w:name="_Ref185244376"/>
      <w:bookmarkStart w:id="240" w:name="_Ref195608008"/>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32</w:t>
      </w:r>
      <w:r w:rsidR="00F72B41">
        <w:fldChar w:fldCharType="end"/>
      </w:r>
      <w:bookmarkEnd w:id="238"/>
      <w:bookmarkEnd w:id="239"/>
      <w:bookmarkEnd w:id="240"/>
      <w:r w:rsidR="00717814" w:rsidRPr="004C12C9">
        <w:t>.</w:t>
      </w:r>
      <w:r w:rsidRPr="004C12C9">
        <w:t xml:space="preserve"> Definitions of </w:t>
      </w:r>
      <w:r w:rsidR="000278AE" w:rsidRPr="004C12C9">
        <w:t>M</w:t>
      </w:r>
      <w:r w:rsidRPr="004C12C9">
        <w:t xml:space="preserve">anure </w:t>
      </w:r>
      <w:r w:rsidR="000278AE" w:rsidRPr="004C12C9">
        <w:t>M</w:t>
      </w:r>
      <w:r w:rsidRPr="004C12C9">
        <w:t xml:space="preserve">anagement </w:t>
      </w:r>
      <w:r w:rsidR="000278AE" w:rsidRPr="004C12C9">
        <w:t>S</w:t>
      </w:r>
      <w:r w:rsidRPr="004C12C9">
        <w:t>ystems</w:t>
      </w:r>
    </w:p>
    <w:tbl>
      <w:tblPr>
        <w:tblStyle w:val="TableGridLight"/>
        <w:tblW w:w="10075" w:type="dxa"/>
        <w:tblLook w:val="04A0" w:firstRow="1" w:lastRow="0" w:firstColumn="1" w:lastColumn="0" w:noHBand="0" w:noVBand="1"/>
      </w:tblPr>
      <w:tblGrid>
        <w:gridCol w:w="1525"/>
        <w:gridCol w:w="8550"/>
      </w:tblGrid>
      <w:tr w:rsidR="0046417B" w:rsidRPr="004C12C9" w14:paraId="6049D32A" w14:textId="77777777" w:rsidTr="00D22464">
        <w:trPr>
          <w:cantSplit/>
          <w:trHeight w:val="20"/>
          <w:tblHeader/>
        </w:trPr>
        <w:tc>
          <w:tcPr>
            <w:tcW w:w="1525" w:type="dxa"/>
            <w:shd w:val="clear" w:color="auto" w:fill="D9D9D9" w:themeFill="background1" w:themeFillShade="D9"/>
            <w:noWrap/>
            <w:vAlign w:val="center"/>
          </w:tcPr>
          <w:p w14:paraId="14BDDA6D" w14:textId="77777777" w:rsidR="0046417B" w:rsidRPr="004C12C9" w:rsidRDefault="0046417B" w:rsidP="00D37316">
            <w:pPr>
              <w:pStyle w:val="ICFTableHeading"/>
              <w:rPr>
                <w:rFonts w:cs="Times New Roman"/>
                <w:b w:val="0"/>
                <w:color w:val="000000"/>
                <w:sz w:val="18"/>
                <w:szCs w:val="18"/>
              </w:rPr>
            </w:pPr>
            <w:r w:rsidRPr="004C12C9">
              <w:rPr>
                <w:sz w:val="22"/>
                <w:szCs w:val="18"/>
              </w:rPr>
              <w:t>System Type</w:t>
            </w:r>
          </w:p>
        </w:tc>
        <w:tc>
          <w:tcPr>
            <w:tcW w:w="8550" w:type="dxa"/>
            <w:shd w:val="clear" w:color="auto" w:fill="D9D9D9" w:themeFill="background1" w:themeFillShade="D9"/>
            <w:vAlign w:val="center"/>
          </w:tcPr>
          <w:p w14:paraId="52715154" w14:textId="77777777" w:rsidR="0046417B" w:rsidRPr="004C12C9" w:rsidRDefault="0046417B" w:rsidP="00D37316">
            <w:pPr>
              <w:pStyle w:val="ICFTableHeading"/>
              <w:rPr>
                <w:rFonts w:cs="Times New Roman"/>
                <w:b w:val="0"/>
                <w:color w:val="000000"/>
                <w:sz w:val="18"/>
                <w:szCs w:val="18"/>
              </w:rPr>
            </w:pPr>
            <w:r w:rsidRPr="004C12C9">
              <w:rPr>
                <w:sz w:val="22"/>
                <w:szCs w:val="18"/>
              </w:rPr>
              <w:t>Description</w:t>
            </w:r>
          </w:p>
        </w:tc>
      </w:tr>
      <w:tr w:rsidR="0046417B" w:rsidRPr="004C12C9" w14:paraId="62040ACD" w14:textId="77777777" w:rsidTr="00D22464">
        <w:trPr>
          <w:cantSplit/>
          <w:trHeight w:val="20"/>
        </w:trPr>
        <w:tc>
          <w:tcPr>
            <w:tcW w:w="1525" w:type="dxa"/>
            <w:noWrap/>
            <w:vAlign w:val="center"/>
          </w:tcPr>
          <w:p w14:paraId="0B36CF53" w14:textId="77777777" w:rsidR="0046417B" w:rsidRPr="004C12C9" w:rsidRDefault="0046417B" w:rsidP="00D37316">
            <w:pPr>
              <w:pStyle w:val="ICFTabletext"/>
              <w:rPr>
                <w:rFonts w:cs="Times New Roman"/>
                <w:color w:val="000000"/>
                <w:sz w:val="18"/>
                <w:szCs w:val="18"/>
              </w:rPr>
            </w:pPr>
            <w:r w:rsidRPr="004C12C9">
              <w:rPr>
                <w:sz w:val="20"/>
                <w:szCs w:val="16"/>
              </w:rPr>
              <w:t xml:space="preserve">Dry Lot </w:t>
            </w:r>
          </w:p>
        </w:tc>
        <w:tc>
          <w:tcPr>
            <w:tcW w:w="8550" w:type="dxa"/>
            <w:vAlign w:val="center"/>
          </w:tcPr>
          <w:p w14:paraId="50BC4731" w14:textId="77777777" w:rsidR="0046417B" w:rsidRPr="004C12C9" w:rsidRDefault="0046417B" w:rsidP="00D37316">
            <w:pPr>
              <w:pStyle w:val="ICFTabletext"/>
              <w:rPr>
                <w:rFonts w:cs="Times New Roman"/>
                <w:color w:val="000000"/>
                <w:sz w:val="18"/>
                <w:szCs w:val="18"/>
              </w:rPr>
            </w:pPr>
            <w:r w:rsidRPr="004C12C9">
              <w:rPr>
                <w:sz w:val="20"/>
                <w:szCs w:val="16"/>
              </w:rPr>
              <w:t>A paved or unpaved open confinement area without any significant vegetative cover where accumulating manure may be removed periodically. Dry lots are most typically found in dry climates but also are used in humid climates.</w:t>
            </w:r>
          </w:p>
        </w:tc>
      </w:tr>
      <w:tr w:rsidR="0046417B" w:rsidRPr="004C12C9" w14:paraId="38248120" w14:textId="77777777" w:rsidTr="00D22464">
        <w:trPr>
          <w:cantSplit/>
          <w:trHeight w:val="20"/>
        </w:trPr>
        <w:tc>
          <w:tcPr>
            <w:tcW w:w="1525" w:type="dxa"/>
            <w:noWrap/>
            <w:vAlign w:val="center"/>
          </w:tcPr>
          <w:p w14:paraId="501F38CF" w14:textId="77777777" w:rsidR="0046417B" w:rsidRPr="004C12C9" w:rsidRDefault="0046417B" w:rsidP="00B71BAA">
            <w:pPr>
              <w:pStyle w:val="ICFTabletext"/>
              <w:rPr>
                <w:rFonts w:cs="Times New Roman"/>
                <w:color w:val="000000"/>
                <w:sz w:val="18"/>
                <w:szCs w:val="18"/>
              </w:rPr>
            </w:pPr>
            <w:r w:rsidRPr="004C12C9">
              <w:rPr>
                <w:sz w:val="20"/>
                <w:szCs w:val="16"/>
              </w:rPr>
              <w:t xml:space="preserve">Liquid/Slurry </w:t>
            </w:r>
          </w:p>
        </w:tc>
        <w:tc>
          <w:tcPr>
            <w:tcW w:w="8550" w:type="dxa"/>
            <w:vAlign w:val="center"/>
          </w:tcPr>
          <w:p w14:paraId="58D32AF9" w14:textId="77777777" w:rsidR="0046417B" w:rsidRPr="004C12C9" w:rsidRDefault="0046417B" w:rsidP="00B71BAA">
            <w:pPr>
              <w:pStyle w:val="ICFTabletext"/>
              <w:rPr>
                <w:rFonts w:cs="Times New Roman"/>
                <w:color w:val="000000"/>
                <w:sz w:val="18"/>
                <w:szCs w:val="18"/>
              </w:rPr>
            </w:pPr>
            <w:r w:rsidRPr="004C12C9">
              <w:rPr>
                <w:sz w:val="20"/>
                <w:szCs w:val="16"/>
              </w:rPr>
              <w:t>Manure is stored as excreted or with some minimal addition of water to facilitate handling and is stored in either tanks or earthen ponds, usually for periods less than one year.</w:t>
            </w:r>
          </w:p>
        </w:tc>
      </w:tr>
      <w:tr w:rsidR="0046417B" w:rsidRPr="004C12C9" w14:paraId="4B01D187" w14:textId="77777777" w:rsidTr="00D22464">
        <w:trPr>
          <w:cantSplit/>
          <w:trHeight w:val="20"/>
        </w:trPr>
        <w:tc>
          <w:tcPr>
            <w:tcW w:w="1525" w:type="dxa"/>
            <w:noWrap/>
            <w:vAlign w:val="center"/>
          </w:tcPr>
          <w:p w14:paraId="6B7A8D54" w14:textId="77777777" w:rsidR="0046417B" w:rsidRPr="004C12C9" w:rsidRDefault="0046417B" w:rsidP="00B71BAA">
            <w:pPr>
              <w:pStyle w:val="ICFTabletext"/>
              <w:rPr>
                <w:rFonts w:cs="Times New Roman"/>
                <w:color w:val="000000"/>
                <w:sz w:val="18"/>
                <w:szCs w:val="18"/>
              </w:rPr>
            </w:pPr>
            <w:r w:rsidRPr="004C12C9">
              <w:rPr>
                <w:sz w:val="20"/>
                <w:szCs w:val="16"/>
              </w:rPr>
              <w:t>Pasture, Range, Paddock</w:t>
            </w:r>
            <w:r w:rsidRPr="004C12C9">
              <w:rPr>
                <w:rFonts w:cs="Times New Roman"/>
                <w:color w:val="000000"/>
                <w:sz w:val="18"/>
                <w:szCs w:val="18"/>
              </w:rPr>
              <w:t xml:space="preserve"> (PRP) </w:t>
            </w:r>
          </w:p>
        </w:tc>
        <w:tc>
          <w:tcPr>
            <w:tcW w:w="8550" w:type="dxa"/>
            <w:vAlign w:val="center"/>
          </w:tcPr>
          <w:p w14:paraId="578CAE26" w14:textId="77777777" w:rsidR="0046417B" w:rsidRPr="004C12C9" w:rsidRDefault="0046417B" w:rsidP="00B71BAA">
            <w:pPr>
              <w:pStyle w:val="ICFTabletext"/>
              <w:rPr>
                <w:rFonts w:cs="Times New Roman"/>
                <w:color w:val="000000"/>
                <w:sz w:val="18"/>
                <w:szCs w:val="18"/>
              </w:rPr>
            </w:pPr>
            <w:r w:rsidRPr="004C12C9">
              <w:rPr>
                <w:sz w:val="20"/>
                <w:szCs w:val="16"/>
              </w:rPr>
              <w:t>The manure from pasture and range grazing animals is allowed to lie as is and is not managed. Methane emissions are accounted for under Manure Management, but the N</w:t>
            </w:r>
            <w:r w:rsidRPr="004C12C9">
              <w:rPr>
                <w:sz w:val="20"/>
                <w:szCs w:val="16"/>
                <w:vertAlign w:val="subscript"/>
              </w:rPr>
              <w:t>2</w:t>
            </w:r>
            <w:r w:rsidRPr="004C12C9">
              <w:rPr>
                <w:sz w:val="20"/>
                <w:szCs w:val="16"/>
              </w:rPr>
              <w:t>O emissions from manure deposited on PRP are included under the Agricultural Soil Management category.</w:t>
            </w:r>
          </w:p>
        </w:tc>
      </w:tr>
      <w:tr w:rsidR="0046417B" w:rsidRPr="004C12C9" w14:paraId="3EB056CF" w14:textId="77777777" w:rsidTr="00D22464">
        <w:trPr>
          <w:cantSplit/>
          <w:trHeight w:val="20"/>
        </w:trPr>
        <w:tc>
          <w:tcPr>
            <w:tcW w:w="1525" w:type="dxa"/>
            <w:noWrap/>
            <w:vAlign w:val="center"/>
          </w:tcPr>
          <w:p w14:paraId="1FD00D33" w14:textId="77777777" w:rsidR="0046417B" w:rsidRPr="004C12C9" w:rsidRDefault="0046417B" w:rsidP="00B71BAA">
            <w:pPr>
              <w:pStyle w:val="ICFTabletext"/>
              <w:rPr>
                <w:rFonts w:cs="Times New Roman"/>
                <w:color w:val="000000"/>
                <w:sz w:val="18"/>
                <w:szCs w:val="18"/>
              </w:rPr>
            </w:pPr>
            <w:r w:rsidRPr="004C12C9">
              <w:rPr>
                <w:sz w:val="20"/>
                <w:szCs w:val="16"/>
              </w:rPr>
              <w:t>Solid Storage</w:t>
            </w:r>
          </w:p>
        </w:tc>
        <w:tc>
          <w:tcPr>
            <w:tcW w:w="8550" w:type="dxa"/>
            <w:vAlign w:val="center"/>
          </w:tcPr>
          <w:p w14:paraId="0B971940" w14:textId="77777777" w:rsidR="0046417B" w:rsidRPr="004C12C9" w:rsidRDefault="0046417B" w:rsidP="00B71BAA">
            <w:pPr>
              <w:pStyle w:val="ICFTabletext"/>
              <w:rPr>
                <w:rFonts w:cs="Times New Roman"/>
                <w:color w:val="000000"/>
                <w:sz w:val="18"/>
                <w:szCs w:val="18"/>
              </w:rPr>
            </w:pPr>
            <w:r w:rsidRPr="004C12C9">
              <w:rPr>
                <w:sz w:val="20"/>
                <w:szCs w:val="16"/>
              </w:rPr>
              <w:t>The storage of manure, typically for a period of several months, in unconfined piles or stacks. Manure is able to be stacked due to the presence of a sufficient amount of bedding material or loss of moisture by evaporation.</w:t>
            </w:r>
          </w:p>
        </w:tc>
      </w:tr>
      <w:tr w:rsidR="0046417B" w:rsidRPr="004C12C9" w14:paraId="703D221A" w14:textId="77777777" w:rsidTr="00D22464">
        <w:trPr>
          <w:cantSplit/>
          <w:trHeight w:val="20"/>
        </w:trPr>
        <w:tc>
          <w:tcPr>
            <w:tcW w:w="1525" w:type="dxa"/>
            <w:noWrap/>
            <w:vAlign w:val="center"/>
          </w:tcPr>
          <w:p w14:paraId="0DFF23A3" w14:textId="77777777" w:rsidR="0046417B" w:rsidRPr="004C12C9" w:rsidRDefault="0046417B" w:rsidP="00B71BAA">
            <w:pPr>
              <w:pStyle w:val="ICFTabletext"/>
              <w:rPr>
                <w:rFonts w:cs="Times New Roman"/>
                <w:color w:val="000000"/>
                <w:sz w:val="18"/>
                <w:szCs w:val="18"/>
              </w:rPr>
            </w:pPr>
            <w:r w:rsidRPr="004C12C9">
              <w:rPr>
                <w:sz w:val="20"/>
                <w:szCs w:val="16"/>
              </w:rPr>
              <w:t xml:space="preserve">Deep Pit </w:t>
            </w:r>
          </w:p>
        </w:tc>
        <w:tc>
          <w:tcPr>
            <w:tcW w:w="8550" w:type="dxa"/>
            <w:vAlign w:val="center"/>
          </w:tcPr>
          <w:p w14:paraId="1006CEED" w14:textId="565E332C" w:rsidR="0046417B" w:rsidRPr="004C12C9" w:rsidRDefault="0046417B" w:rsidP="00B71BAA">
            <w:pPr>
              <w:pStyle w:val="ICFTabletext"/>
              <w:rPr>
                <w:rFonts w:cs="Times New Roman"/>
                <w:color w:val="000000"/>
                <w:sz w:val="18"/>
                <w:szCs w:val="18"/>
              </w:rPr>
            </w:pPr>
            <w:r w:rsidRPr="004C12C9">
              <w:rPr>
                <w:sz w:val="20"/>
                <w:szCs w:val="16"/>
              </w:rPr>
              <w:t>Collection and storage of manure usually with little or no added water typically below a slatted floor in an enclosed animal confinement facility. Typical storage periods range from 5</w:t>
            </w:r>
            <w:r w:rsidR="000278AE" w:rsidRPr="004C12C9">
              <w:rPr>
                <w:sz w:val="20"/>
                <w:szCs w:val="16"/>
              </w:rPr>
              <w:t>-</w:t>
            </w:r>
            <w:r w:rsidRPr="004C12C9">
              <w:rPr>
                <w:sz w:val="20"/>
                <w:szCs w:val="16"/>
              </w:rPr>
              <w:t>12 months, after which manure is removed from the pit and transferred to a treatment system or applied to land.</w:t>
            </w:r>
            <w:r w:rsidRPr="004C12C9">
              <w:rPr>
                <w:rFonts w:cs="Times New Roman"/>
                <w:color w:val="000000"/>
                <w:sz w:val="18"/>
                <w:szCs w:val="18"/>
              </w:rPr>
              <w:t xml:space="preserve"> This may also be referred to as pit storage. </w:t>
            </w:r>
          </w:p>
        </w:tc>
      </w:tr>
      <w:tr w:rsidR="0046417B" w:rsidRPr="004C12C9" w14:paraId="55D02F1A" w14:textId="77777777" w:rsidTr="00D22464">
        <w:trPr>
          <w:cantSplit/>
          <w:trHeight w:val="20"/>
        </w:trPr>
        <w:tc>
          <w:tcPr>
            <w:tcW w:w="1525" w:type="dxa"/>
            <w:noWrap/>
            <w:vAlign w:val="center"/>
          </w:tcPr>
          <w:p w14:paraId="74522EA3" w14:textId="77777777" w:rsidR="0046417B" w:rsidRPr="004C12C9" w:rsidRDefault="0046417B" w:rsidP="00B71BAA">
            <w:pPr>
              <w:pStyle w:val="ICFTabletext"/>
              <w:rPr>
                <w:rFonts w:cs="Times New Roman"/>
                <w:color w:val="000000"/>
                <w:sz w:val="18"/>
                <w:szCs w:val="18"/>
              </w:rPr>
            </w:pPr>
            <w:r w:rsidRPr="004C12C9">
              <w:rPr>
                <w:sz w:val="20"/>
                <w:szCs w:val="16"/>
              </w:rPr>
              <w:t>Composting</w:t>
            </w:r>
          </w:p>
        </w:tc>
        <w:tc>
          <w:tcPr>
            <w:tcW w:w="8550" w:type="dxa"/>
            <w:vAlign w:val="center"/>
          </w:tcPr>
          <w:p w14:paraId="0FD41256" w14:textId="77777777" w:rsidR="0046417B" w:rsidRPr="004C12C9" w:rsidRDefault="0046417B" w:rsidP="00B71BAA">
            <w:pPr>
              <w:pStyle w:val="ICFTabletext"/>
              <w:rPr>
                <w:rFonts w:cs="Times New Roman"/>
                <w:color w:val="000000"/>
                <w:sz w:val="18"/>
                <w:szCs w:val="18"/>
              </w:rPr>
            </w:pPr>
            <w:r w:rsidRPr="004C12C9">
              <w:rPr>
                <w:sz w:val="20"/>
                <w:szCs w:val="16"/>
              </w:rPr>
              <w:t>Composting in windrows with regular (at least daily) turning for mixing and aeration, with or without runoff/leaching containment.</w:t>
            </w:r>
          </w:p>
        </w:tc>
      </w:tr>
      <w:tr w:rsidR="0046417B" w:rsidRPr="004C12C9" w14:paraId="2DB1C620" w14:textId="77777777" w:rsidTr="00D22464">
        <w:trPr>
          <w:cantSplit/>
          <w:trHeight w:val="20"/>
        </w:trPr>
        <w:tc>
          <w:tcPr>
            <w:tcW w:w="1525" w:type="dxa"/>
            <w:noWrap/>
            <w:vAlign w:val="center"/>
          </w:tcPr>
          <w:p w14:paraId="2EABEBB0" w14:textId="320504B0" w:rsidR="0046417B" w:rsidRPr="004C12C9" w:rsidRDefault="0046417B" w:rsidP="00B71BAA">
            <w:pPr>
              <w:pStyle w:val="ICFTabletext"/>
              <w:rPr>
                <w:rFonts w:cs="Times New Roman"/>
                <w:color w:val="000000"/>
                <w:sz w:val="18"/>
                <w:szCs w:val="18"/>
              </w:rPr>
            </w:pPr>
            <w:r w:rsidRPr="004C12C9">
              <w:rPr>
                <w:sz w:val="20"/>
                <w:szCs w:val="16"/>
              </w:rPr>
              <w:lastRenderedPageBreak/>
              <w:t>Cattle deep litter</w:t>
            </w:r>
            <w:r w:rsidR="000278AE" w:rsidRPr="004C12C9">
              <w:rPr>
                <w:sz w:val="20"/>
                <w:szCs w:val="16"/>
                <w:vertAlign w:val="superscript"/>
              </w:rPr>
              <w:t>a</w:t>
            </w:r>
          </w:p>
        </w:tc>
        <w:tc>
          <w:tcPr>
            <w:tcW w:w="8550" w:type="dxa"/>
            <w:vAlign w:val="center"/>
          </w:tcPr>
          <w:p w14:paraId="147D805A" w14:textId="77777777" w:rsidR="0046417B" w:rsidRPr="004C12C9" w:rsidRDefault="0046417B" w:rsidP="00B71BAA">
            <w:pPr>
              <w:pStyle w:val="ICFTabletext"/>
              <w:rPr>
                <w:rFonts w:cs="Times New Roman"/>
                <w:color w:val="000000"/>
                <w:sz w:val="18"/>
                <w:szCs w:val="18"/>
              </w:rPr>
            </w:pPr>
            <w:r w:rsidRPr="004C12C9">
              <w:rPr>
                <w:sz w:val="20"/>
                <w:szCs w:val="16"/>
              </w:rPr>
              <w:t>An</w:t>
            </w:r>
            <w:r w:rsidRPr="004C12C9">
              <w:rPr>
                <w:sz w:val="18"/>
                <w:szCs w:val="18"/>
              </w:rPr>
              <w:t xml:space="preserve"> animal housing system, based on the repeated spreading of straw or sawdust material in indoor booths. An initial layer of litter is spread for the animals to use for bedding material and to defecate in, and as the litter is soiled, new layers of litter are continuously added by the farmer.</w:t>
            </w:r>
          </w:p>
        </w:tc>
      </w:tr>
      <w:tr w:rsidR="0046417B" w:rsidRPr="004C12C9" w14:paraId="16E3D7DF" w14:textId="77777777" w:rsidTr="00D22464">
        <w:trPr>
          <w:cantSplit/>
          <w:trHeight w:val="20"/>
        </w:trPr>
        <w:tc>
          <w:tcPr>
            <w:tcW w:w="1525" w:type="dxa"/>
            <w:noWrap/>
            <w:vAlign w:val="center"/>
          </w:tcPr>
          <w:p w14:paraId="180A93C4" w14:textId="77777777" w:rsidR="0046417B" w:rsidRPr="004C12C9" w:rsidRDefault="0046417B" w:rsidP="00B71BAA">
            <w:pPr>
              <w:pStyle w:val="ICFTabletext"/>
              <w:rPr>
                <w:rFonts w:cs="Times New Roman"/>
                <w:color w:val="000000"/>
                <w:sz w:val="18"/>
                <w:szCs w:val="18"/>
              </w:rPr>
            </w:pPr>
            <w:r w:rsidRPr="004C12C9">
              <w:rPr>
                <w:sz w:val="20"/>
                <w:szCs w:val="16"/>
              </w:rPr>
              <w:t xml:space="preserve">Daily Spread </w:t>
            </w:r>
          </w:p>
        </w:tc>
        <w:tc>
          <w:tcPr>
            <w:tcW w:w="8550" w:type="dxa"/>
            <w:vAlign w:val="center"/>
          </w:tcPr>
          <w:p w14:paraId="68D38D62" w14:textId="77777777" w:rsidR="0046417B" w:rsidRPr="004C12C9" w:rsidRDefault="0046417B" w:rsidP="00B71BAA">
            <w:pPr>
              <w:pStyle w:val="ICFTabletext"/>
              <w:rPr>
                <w:rFonts w:cs="Times New Roman"/>
                <w:color w:val="000000"/>
                <w:sz w:val="18"/>
                <w:szCs w:val="18"/>
              </w:rPr>
            </w:pPr>
            <w:r w:rsidRPr="004C12C9">
              <w:rPr>
                <w:sz w:val="20"/>
                <w:szCs w:val="16"/>
              </w:rPr>
              <w:t>Manure is routinely removed from a confinement facility and is applied to cropland or pasture within 24 hours of excretion. Methane and indirect N</w:t>
            </w:r>
            <w:r w:rsidRPr="004C12C9">
              <w:rPr>
                <w:sz w:val="20"/>
                <w:szCs w:val="16"/>
                <w:vertAlign w:val="subscript"/>
              </w:rPr>
              <w:t>2</w:t>
            </w:r>
            <w:r w:rsidRPr="004C12C9">
              <w:rPr>
                <w:sz w:val="20"/>
                <w:szCs w:val="16"/>
              </w:rPr>
              <w:t>O emissions are accounted for under Manure Management. Direct N</w:t>
            </w:r>
            <w:r w:rsidRPr="004C12C9">
              <w:rPr>
                <w:sz w:val="20"/>
                <w:szCs w:val="16"/>
                <w:vertAlign w:val="subscript"/>
              </w:rPr>
              <w:t>2</w:t>
            </w:r>
            <w:r w:rsidRPr="004C12C9">
              <w:rPr>
                <w:sz w:val="20"/>
                <w:szCs w:val="16"/>
              </w:rPr>
              <w:t>O emissions from land application are included under the Agricultural Soil Management category.</w:t>
            </w:r>
          </w:p>
        </w:tc>
      </w:tr>
      <w:tr w:rsidR="0046417B" w:rsidRPr="004C12C9" w14:paraId="76ECE9CC" w14:textId="77777777" w:rsidTr="00D22464">
        <w:trPr>
          <w:cantSplit/>
          <w:trHeight w:val="20"/>
        </w:trPr>
        <w:tc>
          <w:tcPr>
            <w:tcW w:w="1525" w:type="dxa"/>
            <w:noWrap/>
            <w:vAlign w:val="center"/>
            <w:hideMark/>
          </w:tcPr>
          <w:p w14:paraId="3DDD55BC" w14:textId="77777777" w:rsidR="0046417B" w:rsidRPr="004C12C9" w:rsidRDefault="0046417B" w:rsidP="00B71BAA">
            <w:pPr>
              <w:pStyle w:val="ICFTabletext"/>
              <w:rPr>
                <w:rFonts w:cs="Times New Roman"/>
                <w:color w:val="000000"/>
                <w:sz w:val="18"/>
                <w:szCs w:val="18"/>
              </w:rPr>
            </w:pPr>
            <w:r w:rsidRPr="004C12C9">
              <w:rPr>
                <w:sz w:val="20"/>
                <w:szCs w:val="16"/>
              </w:rPr>
              <w:t xml:space="preserve">Anaerobic Lagoon </w:t>
            </w:r>
          </w:p>
        </w:tc>
        <w:tc>
          <w:tcPr>
            <w:tcW w:w="8550" w:type="dxa"/>
            <w:vAlign w:val="center"/>
            <w:hideMark/>
          </w:tcPr>
          <w:p w14:paraId="6F2EF153" w14:textId="77777777" w:rsidR="0046417B" w:rsidRPr="004C12C9" w:rsidRDefault="0046417B" w:rsidP="00B71BAA">
            <w:pPr>
              <w:pStyle w:val="ICFTabletext"/>
              <w:rPr>
                <w:rFonts w:cs="Times New Roman"/>
                <w:color w:val="000000"/>
                <w:sz w:val="20"/>
              </w:rPr>
            </w:pPr>
            <w:r w:rsidRPr="004C12C9">
              <w:rPr>
                <w:sz w:val="20"/>
                <w:szCs w:val="16"/>
              </w:rPr>
              <w:t xml:space="preserve">Uncovered anaerobic lagoons are designed and operated to combine waste stabilization and </w:t>
            </w:r>
            <w:r w:rsidRPr="004C12C9">
              <w:rPr>
                <w:rFonts w:cs="Times New Roman"/>
                <w:color w:val="000000"/>
                <w:sz w:val="20"/>
              </w:rPr>
              <w:t>storage. Lagoon supernatant is usually used to remove manure from the associated confinement facilities to the lagoon. Anaerobic lagoons are designed with varying lengths of storage (up to a year or greater), depending on the climate region, the VS loading rate, and other operational factors. Anaerobic lagoons accumulate sludge over time, diminishing treatment capacity. Lagoons must be cleaned out once every 5 to 15 years, and the sludge is typically applied to agricultural lands. The water from the lagoon may be recycled as flush water or used to irrigate and fertilize fields. Lagoons are sometimes used in combination with a solids separator, typically for dairy waste. Solids separators help control the buildup of nondegradable material such as straw or other bedding materials.</w:t>
            </w:r>
          </w:p>
        </w:tc>
      </w:tr>
      <w:tr w:rsidR="0046417B" w:rsidRPr="004C12C9" w14:paraId="6480352E" w14:textId="77777777" w:rsidTr="00D22464">
        <w:trPr>
          <w:cantSplit/>
          <w:trHeight w:val="20"/>
        </w:trPr>
        <w:tc>
          <w:tcPr>
            <w:tcW w:w="1525" w:type="dxa"/>
            <w:noWrap/>
            <w:vAlign w:val="center"/>
            <w:hideMark/>
          </w:tcPr>
          <w:p w14:paraId="79D21FA2" w14:textId="77777777" w:rsidR="0046417B" w:rsidRPr="004C12C9" w:rsidRDefault="0046417B" w:rsidP="00B71BAA">
            <w:pPr>
              <w:pStyle w:val="ICFTabletext"/>
              <w:rPr>
                <w:rFonts w:cs="Times New Roman"/>
                <w:color w:val="000000"/>
                <w:sz w:val="18"/>
                <w:szCs w:val="18"/>
              </w:rPr>
            </w:pPr>
            <w:r w:rsidRPr="004C12C9">
              <w:rPr>
                <w:sz w:val="20"/>
                <w:szCs w:val="16"/>
              </w:rPr>
              <w:t>Anaerobic Digester</w:t>
            </w:r>
          </w:p>
        </w:tc>
        <w:tc>
          <w:tcPr>
            <w:tcW w:w="8550" w:type="dxa"/>
            <w:vAlign w:val="center"/>
            <w:hideMark/>
          </w:tcPr>
          <w:p w14:paraId="0D1472AE" w14:textId="76A5BFE8" w:rsidR="0046417B" w:rsidRPr="004C12C9" w:rsidRDefault="0046417B" w:rsidP="00B71BAA">
            <w:pPr>
              <w:pStyle w:val="ICFTabletext"/>
              <w:rPr>
                <w:rFonts w:cs="Times New Roman"/>
                <w:color w:val="000000"/>
                <w:sz w:val="18"/>
                <w:szCs w:val="18"/>
              </w:rPr>
            </w:pPr>
            <w:r w:rsidRPr="004C12C9">
              <w:rPr>
                <w:sz w:val="20"/>
                <w:szCs w:val="16"/>
              </w:rPr>
              <w:t>Animal excreta with or without straw are collected and anaerobically digested in a large containment vessel (complete mix or plug flow digester) or covered lagoon. Digesters are designed and operated for waste stabilization by the microbial reduction of complex organic compounds to CO</w:t>
            </w:r>
            <w:r w:rsidRPr="004C12C9">
              <w:rPr>
                <w:sz w:val="20"/>
                <w:szCs w:val="16"/>
                <w:vertAlign w:val="subscript"/>
              </w:rPr>
              <w:t>2</w:t>
            </w:r>
            <w:r w:rsidRPr="004C12C9">
              <w:rPr>
                <w:sz w:val="20"/>
                <w:szCs w:val="16"/>
              </w:rPr>
              <w:t xml:space="preserve"> and CH</w:t>
            </w:r>
            <w:r w:rsidRPr="004C12C9">
              <w:rPr>
                <w:sz w:val="20"/>
                <w:szCs w:val="16"/>
                <w:vertAlign w:val="subscript"/>
              </w:rPr>
              <w:t>4</w:t>
            </w:r>
            <w:r w:rsidRPr="004C12C9">
              <w:rPr>
                <w:sz w:val="20"/>
                <w:szCs w:val="16"/>
              </w:rPr>
              <w:t>, which is captured and flared</w:t>
            </w:r>
            <w:r w:rsidRPr="004C12C9">
              <w:rPr>
                <w:rFonts w:cs="Times New Roman"/>
                <w:color w:val="000000"/>
                <w:sz w:val="18"/>
                <w:szCs w:val="18"/>
              </w:rPr>
              <w:t>, used as fuel on</w:t>
            </w:r>
            <w:r w:rsidR="00D06122" w:rsidRPr="004C12C9">
              <w:rPr>
                <w:rFonts w:cs="Times New Roman"/>
                <w:color w:val="000000"/>
                <w:sz w:val="18"/>
                <w:szCs w:val="18"/>
              </w:rPr>
              <w:t>-site</w:t>
            </w:r>
            <w:r w:rsidRPr="004C12C9">
              <w:rPr>
                <w:rFonts w:cs="Times New Roman"/>
                <w:color w:val="000000"/>
                <w:sz w:val="18"/>
                <w:szCs w:val="18"/>
              </w:rPr>
              <w:t>, or transferred off</w:t>
            </w:r>
            <w:r w:rsidR="00D06122" w:rsidRPr="004C12C9">
              <w:rPr>
                <w:rFonts w:cs="Times New Roman"/>
                <w:color w:val="000000"/>
                <w:sz w:val="18"/>
                <w:szCs w:val="18"/>
              </w:rPr>
              <w:t>-site</w:t>
            </w:r>
            <w:r w:rsidRPr="004C12C9">
              <w:rPr>
                <w:rFonts w:cs="Times New Roman"/>
                <w:color w:val="000000"/>
                <w:sz w:val="18"/>
                <w:szCs w:val="18"/>
              </w:rPr>
              <w:t xml:space="preserve"> for use as fuel.</w:t>
            </w:r>
          </w:p>
        </w:tc>
      </w:tr>
      <w:tr w:rsidR="0046417B" w:rsidRPr="004C12C9" w14:paraId="19AA7B35" w14:textId="77777777" w:rsidTr="00D22464">
        <w:trPr>
          <w:cantSplit/>
          <w:trHeight w:val="20"/>
        </w:trPr>
        <w:tc>
          <w:tcPr>
            <w:tcW w:w="1525" w:type="dxa"/>
            <w:noWrap/>
            <w:vAlign w:val="center"/>
            <w:hideMark/>
          </w:tcPr>
          <w:p w14:paraId="258519DA" w14:textId="77777777" w:rsidR="0046417B" w:rsidRPr="004C12C9" w:rsidRDefault="0046417B" w:rsidP="00B71BAA">
            <w:pPr>
              <w:pStyle w:val="ICFTabletext"/>
              <w:rPr>
                <w:rFonts w:cs="Times New Roman"/>
                <w:color w:val="000000"/>
                <w:sz w:val="18"/>
                <w:szCs w:val="18"/>
              </w:rPr>
            </w:pPr>
            <w:r w:rsidRPr="004C12C9">
              <w:rPr>
                <w:sz w:val="20"/>
                <w:szCs w:val="16"/>
              </w:rPr>
              <w:t>Poultry with Litter</w:t>
            </w:r>
          </w:p>
        </w:tc>
        <w:tc>
          <w:tcPr>
            <w:tcW w:w="8550" w:type="dxa"/>
            <w:vAlign w:val="center"/>
            <w:hideMark/>
          </w:tcPr>
          <w:p w14:paraId="7E3D887F" w14:textId="77777777" w:rsidR="0046417B" w:rsidRPr="004C12C9" w:rsidRDefault="0046417B" w:rsidP="00B71BAA">
            <w:pPr>
              <w:pStyle w:val="ICFTabletext"/>
              <w:rPr>
                <w:rFonts w:cs="Times New Roman"/>
                <w:color w:val="000000"/>
                <w:sz w:val="18"/>
                <w:szCs w:val="18"/>
              </w:rPr>
            </w:pPr>
            <w:r w:rsidRPr="004C12C9">
              <w:rPr>
                <w:sz w:val="20"/>
                <w:szCs w:val="16"/>
              </w:rPr>
              <w:t>Enclosed poultry houses use bedding derived from wood shavings, rice hulls, chopped straw, peanut hulls, or other products, depending on availability. The bedding absorbs moisture and dilutes the manure produced by the birds. Litter is typically cleaned out completely once a year. These manure systems are typically used for all poultry breeder flocks and for the production of meat type chickens (broilers) and other fowl.</w:t>
            </w:r>
            <w:r w:rsidRPr="004C12C9">
              <w:rPr>
                <w:rFonts w:cs="Times New Roman"/>
                <w:color w:val="000000"/>
                <w:sz w:val="18"/>
                <w:szCs w:val="18"/>
              </w:rPr>
              <w:t xml:space="preserve"> This may also be referred to as poultry with bedding. </w:t>
            </w:r>
          </w:p>
        </w:tc>
      </w:tr>
      <w:tr w:rsidR="0046417B" w:rsidRPr="004C12C9" w14:paraId="0833D2B4" w14:textId="77777777" w:rsidTr="00D22464">
        <w:trPr>
          <w:cantSplit/>
          <w:trHeight w:val="20"/>
        </w:trPr>
        <w:tc>
          <w:tcPr>
            <w:tcW w:w="1525" w:type="dxa"/>
            <w:noWrap/>
            <w:vAlign w:val="center"/>
            <w:hideMark/>
          </w:tcPr>
          <w:p w14:paraId="3C455887" w14:textId="77777777" w:rsidR="0046417B" w:rsidRPr="004C12C9" w:rsidRDefault="0046417B" w:rsidP="00B71BAA">
            <w:pPr>
              <w:pStyle w:val="ICFTabletext"/>
              <w:rPr>
                <w:rFonts w:cs="Times New Roman"/>
                <w:color w:val="000000"/>
                <w:sz w:val="18"/>
                <w:szCs w:val="18"/>
              </w:rPr>
            </w:pPr>
            <w:r w:rsidRPr="004C12C9">
              <w:rPr>
                <w:sz w:val="20"/>
                <w:szCs w:val="16"/>
              </w:rPr>
              <w:t>Poultry without Litter</w:t>
            </w:r>
          </w:p>
        </w:tc>
        <w:tc>
          <w:tcPr>
            <w:tcW w:w="8550" w:type="dxa"/>
            <w:vAlign w:val="center"/>
            <w:hideMark/>
          </w:tcPr>
          <w:p w14:paraId="4B61F654" w14:textId="77777777" w:rsidR="0046417B" w:rsidRPr="004C12C9" w:rsidRDefault="0046417B" w:rsidP="00B71BAA">
            <w:pPr>
              <w:pStyle w:val="ICFTabletext"/>
              <w:rPr>
                <w:rFonts w:cs="Times New Roman"/>
                <w:color w:val="000000"/>
                <w:sz w:val="20"/>
              </w:rPr>
            </w:pPr>
            <w:r w:rsidRPr="004C12C9">
              <w:rPr>
                <w:sz w:val="20"/>
                <w:szCs w:val="16"/>
              </w:rPr>
              <w:t>In high-rise cages or scrape-out/belt systems, manure is excreted onto the floor below with no bedding to absorb moisture. The ventilation system dries the manure as it is stored. When designed and operated properly, this high-rise system is a form of passive windrow composting.</w:t>
            </w:r>
            <w:r w:rsidRPr="004C12C9">
              <w:rPr>
                <w:rFonts w:cs="Times New Roman"/>
                <w:color w:val="000000"/>
                <w:sz w:val="20"/>
              </w:rPr>
              <w:t xml:space="preserve"> This may also be referred to as poultry without bedding.</w:t>
            </w:r>
          </w:p>
        </w:tc>
      </w:tr>
    </w:tbl>
    <w:p w14:paraId="4727033B" w14:textId="79431A79" w:rsidR="0046417B" w:rsidRPr="004C12C9" w:rsidDel="00030101" w:rsidRDefault="000278AE" w:rsidP="00FE3646">
      <w:pPr>
        <w:pStyle w:val="TableFooter"/>
      </w:pPr>
      <w:r w:rsidRPr="004C12C9">
        <w:rPr>
          <w:sz w:val="20"/>
          <w:szCs w:val="16"/>
          <w:vertAlign w:val="superscript"/>
        </w:rPr>
        <w:t xml:space="preserve">a </w:t>
      </w:r>
      <w:r w:rsidR="0046417B" w:rsidRPr="004C12C9">
        <w:t>Cattle deep litter is not included in Table A-161 of the U.S. GHG Inventory.</w:t>
      </w:r>
    </w:p>
    <w:p w14:paraId="6193736C" w14:textId="01AB4373" w:rsidR="00EA55E6" w:rsidRPr="004C12C9" w:rsidRDefault="00122A94" w:rsidP="00E31E37">
      <w:pPr>
        <w:pStyle w:val="Heading4"/>
      </w:pPr>
      <w:r w:rsidRPr="004C12C9">
        <w:t>Typical Animal Mass</w:t>
      </w:r>
    </w:p>
    <w:p w14:paraId="36736D80" w14:textId="7D654370" w:rsidR="00ED2BCE" w:rsidRPr="004C12C9" w:rsidRDefault="00ED2BCE" w:rsidP="00972CF9">
      <w:r w:rsidRPr="004C12C9">
        <w:t xml:space="preserve">The typical animal mass by animal type for Minnesota were obtained from the national typical animal masses presented in Table A-156 in the U.S. GHG Inventory, as summarized in </w:t>
      </w:r>
      <w:r w:rsidR="000335AF">
        <w:fldChar w:fldCharType="begin"/>
      </w:r>
      <w:r w:rsidR="000335AF">
        <w:instrText xml:space="preserve"> REF _Ref219842101 \h </w:instrText>
      </w:r>
      <w:r w:rsidR="000335AF">
        <w:fldChar w:fldCharType="separate"/>
      </w:r>
      <w:r w:rsidR="000335AF" w:rsidRPr="004C12C9" w:rsidDel="005D7EC4">
        <w:t xml:space="preserve">Table </w:t>
      </w:r>
      <w:r w:rsidR="000335AF">
        <w:rPr>
          <w:noProof/>
        </w:rPr>
        <w:t>3</w:t>
      </w:r>
      <w:r w:rsidR="000335AF">
        <w:noBreakHyphen/>
      </w:r>
      <w:r w:rsidR="000335AF">
        <w:rPr>
          <w:noProof/>
        </w:rPr>
        <w:t>33</w:t>
      </w:r>
      <w:r w:rsidR="000335AF">
        <w:fldChar w:fldCharType="end"/>
      </w:r>
      <w:r w:rsidR="000335AF">
        <w:t xml:space="preserve"> </w:t>
      </w:r>
      <w:r w:rsidRPr="004C12C9">
        <w:t>below.</w:t>
      </w:r>
      <w:r w:rsidR="00AF1215" w:rsidRPr="004C12C9">
        <w:rPr>
          <w:rStyle w:val="FootnoteReference"/>
        </w:rPr>
        <w:footnoteReference w:id="128"/>
      </w:r>
    </w:p>
    <w:p w14:paraId="053C88EB" w14:textId="21A908A5" w:rsidR="00ED2BCE" w:rsidRPr="004C12C9" w:rsidRDefault="00ED2BCE" w:rsidP="00972CF9">
      <w:pPr>
        <w:pStyle w:val="Caption"/>
      </w:pPr>
      <w:bookmarkStart w:id="241" w:name="_Ref219842101"/>
      <w:bookmarkStart w:id="242" w:name="_Ref185189726"/>
      <w:bookmarkStart w:id="243" w:name="_Ref195870651"/>
      <w:r w:rsidRPr="004C12C9" w:rsidDel="005D7EC4">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33</w:t>
      </w:r>
      <w:r w:rsidR="00F72B41">
        <w:fldChar w:fldCharType="end"/>
      </w:r>
      <w:bookmarkEnd w:id="241"/>
      <w:bookmarkEnd w:id="242"/>
      <w:bookmarkEnd w:id="243"/>
      <w:r w:rsidRPr="004C12C9">
        <w:t>. Typical Animal Mass Assumptions</w:t>
      </w:r>
    </w:p>
    <w:tbl>
      <w:tblPr>
        <w:tblW w:w="5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05"/>
        <w:gridCol w:w="2880"/>
      </w:tblGrid>
      <w:tr w:rsidR="00ED2BCE" w:rsidRPr="004C12C9" w14:paraId="29EF3846" w14:textId="77777777" w:rsidTr="00CD1269">
        <w:trPr>
          <w:trHeight w:val="125"/>
          <w:tblHeader/>
        </w:trPr>
        <w:tc>
          <w:tcPr>
            <w:tcW w:w="2605" w:type="dxa"/>
            <w:shd w:val="clear" w:color="auto" w:fill="D9D9D9" w:themeFill="background1" w:themeFillShade="D9"/>
            <w:vAlign w:val="center"/>
            <w:hideMark/>
          </w:tcPr>
          <w:p w14:paraId="7E5D426F" w14:textId="77777777" w:rsidR="00ED2BCE" w:rsidRPr="004C12C9" w:rsidRDefault="00ED2BCE" w:rsidP="00CD1269">
            <w:pPr>
              <w:pStyle w:val="ICFTableHeading"/>
              <w:rPr>
                <w:b w:val="0"/>
                <w:color w:val="FFFFFF" w:themeColor="background1"/>
                <w:sz w:val="20"/>
              </w:rPr>
            </w:pPr>
            <w:r w:rsidRPr="004C12C9">
              <w:t>Livestock Type</w:t>
            </w:r>
          </w:p>
        </w:tc>
        <w:tc>
          <w:tcPr>
            <w:tcW w:w="2880" w:type="dxa"/>
            <w:shd w:val="clear" w:color="auto" w:fill="D9D9D9" w:themeFill="background1" w:themeFillShade="D9"/>
            <w:vAlign w:val="center"/>
            <w:hideMark/>
          </w:tcPr>
          <w:p w14:paraId="5ACA9CD3" w14:textId="77777777" w:rsidR="00ED2BCE" w:rsidRPr="004C12C9" w:rsidRDefault="00ED2BCE" w:rsidP="00CD1269">
            <w:pPr>
              <w:pStyle w:val="ICFTableHeading"/>
              <w:rPr>
                <w:b w:val="0"/>
                <w:color w:val="FFFFFF" w:themeColor="background1"/>
                <w:sz w:val="20"/>
              </w:rPr>
            </w:pPr>
            <w:r w:rsidRPr="004C12C9">
              <w:t>Typical Animal Mass (kg)</w:t>
            </w:r>
          </w:p>
        </w:tc>
      </w:tr>
      <w:tr w:rsidR="00ED2BCE" w:rsidRPr="004C12C9" w14:paraId="5EE81797" w14:textId="77777777" w:rsidTr="00CD1269">
        <w:trPr>
          <w:trHeight w:val="144"/>
        </w:trPr>
        <w:tc>
          <w:tcPr>
            <w:tcW w:w="2605" w:type="dxa"/>
            <w:vAlign w:val="center"/>
          </w:tcPr>
          <w:p w14:paraId="594EA54D" w14:textId="6F4D2C66" w:rsidR="00ED2BCE" w:rsidRPr="004C12C9" w:rsidRDefault="00ED2BCE" w:rsidP="00CD1269">
            <w:pPr>
              <w:pStyle w:val="ICFTabletext"/>
            </w:pPr>
            <w:r w:rsidRPr="004C12C9">
              <w:t>Bulls</w:t>
            </w:r>
            <w:r w:rsidR="007A2322" w:rsidRPr="004C12C9">
              <w:rPr>
                <w:vertAlign w:val="superscript"/>
              </w:rPr>
              <w:t>a</w:t>
            </w:r>
          </w:p>
        </w:tc>
        <w:tc>
          <w:tcPr>
            <w:tcW w:w="2880" w:type="dxa"/>
          </w:tcPr>
          <w:p w14:paraId="39286CF0" w14:textId="67BB67AF" w:rsidR="00ED2BCE" w:rsidRPr="004C12C9" w:rsidRDefault="00ED2BCE" w:rsidP="00CD1269">
            <w:pPr>
              <w:pStyle w:val="ICFTabletext"/>
              <w:jc w:val="center"/>
            </w:pPr>
            <w:r w:rsidRPr="004C12C9">
              <w:t>874</w:t>
            </w:r>
            <w:r w:rsidR="00A67FF9" w:rsidRPr="004C12C9">
              <w:t>.0</w:t>
            </w:r>
          </w:p>
        </w:tc>
      </w:tr>
      <w:tr w:rsidR="00ED2BCE" w:rsidRPr="004C12C9" w14:paraId="5CB02153" w14:textId="77777777" w:rsidTr="00CD1269">
        <w:trPr>
          <w:trHeight w:val="144"/>
        </w:trPr>
        <w:tc>
          <w:tcPr>
            <w:tcW w:w="2605" w:type="dxa"/>
            <w:vAlign w:val="center"/>
          </w:tcPr>
          <w:p w14:paraId="08DDE4FC" w14:textId="397C06C6" w:rsidR="00ED2BCE" w:rsidRPr="004C12C9" w:rsidRDefault="00ED2BCE" w:rsidP="00CD1269">
            <w:pPr>
              <w:pStyle w:val="ICFTabletext"/>
            </w:pPr>
            <w:r w:rsidRPr="004C12C9">
              <w:lastRenderedPageBreak/>
              <w:t>Beef cows</w:t>
            </w:r>
            <w:r w:rsidR="00DC6F14" w:rsidRPr="004C12C9">
              <w:rPr>
                <w:vertAlign w:val="superscript"/>
              </w:rPr>
              <w:t>a</w:t>
            </w:r>
          </w:p>
        </w:tc>
        <w:tc>
          <w:tcPr>
            <w:tcW w:w="2880" w:type="dxa"/>
          </w:tcPr>
          <w:p w14:paraId="43A644F4" w14:textId="77777777" w:rsidR="00ED2BCE" w:rsidRPr="004C12C9" w:rsidRDefault="00ED2BCE" w:rsidP="00CD1269">
            <w:pPr>
              <w:pStyle w:val="ICFTabletext"/>
              <w:jc w:val="center"/>
            </w:pPr>
            <w:r w:rsidRPr="004C12C9">
              <w:t>582.5</w:t>
            </w:r>
          </w:p>
        </w:tc>
      </w:tr>
      <w:tr w:rsidR="00ED2BCE" w:rsidRPr="004C12C9" w14:paraId="1E22D3C9" w14:textId="77777777" w:rsidTr="00CD1269">
        <w:trPr>
          <w:trHeight w:val="144"/>
        </w:trPr>
        <w:tc>
          <w:tcPr>
            <w:tcW w:w="2605" w:type="dxa"/>
            <w:vAlign w:val="center"/>
          </w:tcPr>
          <w:p w14:paraId="6BFB6170" w14:textId="20B4964E" w:rsidR="00ED2BCE" w:rsidRPr="004C12C9" w:rsidRDefault="00ED2BCE" w:rsidP="00CD1269">
            <w:pPr>
              <w:pStyle w:val="ICFTabletext"/>
            </w:pPr>
            <w:r w:rsidRPr="004C12C9">
              <w:t>Beef heifers</w:t>
            </w:r>
            <w:r w:rsidR="00DC6F14" w:rsidRPr="004C12C9">
              <w:rPr>
                <w:vertAlign w:val="superscript"/>
              </w:rPr>
              <w:t>a</w:t>
            </w:r>
          </w:p>
        </w:tc>
        <w:tc>
          <w:tcPr>
            <w:tcW w:w="2880" w:type="dxa"/>
          </w:tcPr>
          <w:p w14:paraId="25D6024C" w14:textId="77777777" w:rsidR="00ED2BCE" w:rsidRPr="004C12C9" w:rsidRDefault="00ED2BCE" w:rsidP="00CD1269">
            <w:pPr>
              <w:pStyle w:val="ICFTabletext"/>
              <w:jc w:val="center"/>
            </w:pPr>
            <w:r w:rsidRPr="004C12C9">
              <w:t>351.5</w:t>
            </w:r>
          </w:p>
        </w:tc>
      </w:tr>
      <w:tr w:rsidR="00ED2BCE" w:rsidRPr="004C12C9" w14:paraId="7411C854" w14:textId="77777777" w:rsidTr="00CD1269">
        <w:trPr>
          <w:trHeight w:val="144"/>
        </w:trPr>
        <w:tc>
          <w:tcPr>
            <w:tcW w:w="2605" w:type="dxa"/>
            <w:vAlign w:val="center"/>
          </w:tcPr>
          <w:p w14:paraId="39238602" w14:textId="75436895" w:rsidR="00ED2BCE" w:rsidRPr="004C12C9" w:rsidRDefault="00ED2BCE" w:rsidP="00CD1269">
            <w:pPr>
              <w:pStyle w:val="ICFTabletext"/>
            </w:pPr>
            <w:r w:rsidRPr="004C12C9">
              <w:t>Steer stockers</w:t>
            </w:r>
            <w:r w:rsidR="00DC6F14" w:rsidRPr="004C12C9">
              <w:rPr>
                <w:vertAlign w:val="superscript"/>
              </w:rPr>
              <w:t>a</w:t>
            </w:r>
          </w:p>
        </w:tc>
        <w:tc>
          <w:tcPr>
            <w:tcW w:w="2880" w:type="dxa"/>
          </w:tcPr>
          <w:p w14:paraId="22D8D937" w14:textId="6E37F8AF" w:rsidR="00ED2BCE" w:rsidRPr="004C12C9" w:rsidRDefault="00ED2BCE" w:rsidP="00CD1269">
            <w:pPr>
              <w:pStyle w:val="ICFTabletext"/>
              <w:jc w:val="center"/>
            </w:pPr>
            <w:r w:rsidRPr="004C12C9">
              <w:t>438</w:t>
            </w:r>
            <w:r w:rsidR="00A67FF9" w:rsidRPr="004C12C9">
              <w:t>.0</w:t>
            </w:r>
          </w:p>
        </w:tc>
      </w:tr>
      <w:tr w:rsidR="00ED2BCE" w:rsidRPr="004C12C9" w14:paraId="5E7738D3" w14:textId="77777777" w:rsidTr="00CD1269">
        <w:trPr>
          <w:trHeight w:val="144"/>
        </w:trPr>
        <w:tc>
          <w:tcPr>
            <w:tcW w:w="2605" w:type="dxa"/>
            <w:vAlign w:val="center"/>
          </w:tcPr>
          <w:p w14:paraId="693F24F1" w14:textId="7D2A8FC1" w:rsidR="00ED2BCE" w:rsidRPr="004C12C9" w:rsidRDefault="00ED2BCE" w:rsidP="00CD1269">
            <w:pPr>
              <w:pStyle w:val="ICFTabletext"/>
            </w:pPr>
            <w:r w:rsidRPr="004C12C9">
              <w:t>Heifer stockers</w:t>
            </w:r>
            <w:r w:rsidR="00DC6F14" w:rsidRPr="004C12C9">
              <w:rPr>
                <w:vertAlign w:val="superscript"/>
              </w:rPr>
              <w:t>a</w:t>
            </w:r>
          </w:p>
        </w:tc>
        <w:tc>
          <w:tcPr>
            <w:tcW w:w="2880" w:type="dxa"/>
          </w:tcPr>
          <w:p w14:paraId="36791714" w14:textId="2A1EA830" w:rsidR="00ED2BCE" w:rsidRPr="004C12C9" w:rsidRDefault="00ED2BCE" w:rsidP="00CD1269">
            <w:pPr>
              <w:pStyle w:val="ICFTabletext"/>
              <w:jc w:val="center"/>
            </w:pPr>
            <w:r w:rsidRPr="004C12C9">
              <w:t>407</w:t>
            </w:r>
            <w:r w:rsidR="00A67FF9" w:rsidRPr="004C12C9">
              <w:t>.0</w:t>
            </w:r>
          </w:p>
        </w:tc>
      </w:tr>
      <w:tr w:rsidR="00ED2BCE" w:rsidRPr="004C12C9" w14:paraId="553F14E7" w14:textId="77777777" w:rsidTr="00CD1269">
        <w:trPr>
          <w:trHeight w:val="144"/>
        </w:trPr>
        <w:tc>
          <w:tcPr>
            <w:tcW w:w="2605" w:type="dxa"/>
            <w:vAlign w:val="center"/>
          </w:tcPr>
          <w:p w14:paraId="1ECBD956" w14:textId="2BD985F8" w:rsidR="00ED2BCE" w:rsidRPr="004C12C9" w:rsidRDefault="00ED2BCE" w:rsidP="00CD1269">
            <w:pPr>
              <w:pStyle w:val="ICFTabletext"/>
            </w:pPr>
            <w:r w:rsidRPr="004C12C9">
              <w:t>Feedlot beef</w:t>
            </w:r>
            <w:r w:rsidR="00DC6F14" w:rsidRPr="004C12C9">
              <w:rPr>
                <w:vertAlign w:val="superscript"/>
              </w:rPr>
              <w:t>b</w:t>
            </w:r>
          </w:p>
        </w:tc>
        <w:tc>
          <w:tcPr>
            <w:tcW w:w="2880" w:type="dxa"/>
          </w:tcPr>
          <w:p w14:paraId="0D5D7430" w14:textId="77777777" w:rsidR="00ED2BCE" w:rsidRPr="004C12C9" w:rsidRDefault="00ED2BCE" w:rsidP="00CD1269">
            <w:pPr>
              <w:pStyle w:val="ICFTabletext"/>
              <w:jc w:val="center"/>
            </w:pPr>
            <w:r w:rsidRPr="004C12C9">
              <w:t>422.5</w:t>
            </w:r>
          </w:p>
        </w:tc>
      </w:tr>
      <w:tr w:rsidR="00ED2BCE" w:rsidRPr="004C12C9" w14:paraId="1FEF58B1" w14:textId="77777777" w:rsidTr="00CD1269">
        <w:trPr>
          <w:trHeight w:val="144"/>
        </w:trPr>
        <w:tc>
          <w:tcPr>
            <w:tcW w:w="2605" w:type="dxa"/>
            <w:vAlign w:val="center"/>
          </w:tcPr>
          <w:p w14:paraId="7011B5FC" w14:textId="16FF853D" w:rsidR="00ED2BCE" w:rsidRPr="004C12C9" w:rsidRDefault="00ED2BCE" w:rsidP="00CD1269">
            <w:pPr>
              <w:pStyle w:val="ICFTabletext"/>
            </w:pPr>
            <w:r w:rsidRPr="004C12C9">
              <w:t>Beef calves</w:t>
            </w:r>
            <w:r w:rsidR="00DC6F14" w:rsidRPr="004C12C9">
              <w:rPr>
                <w:vertAlign w:val="superscript"/>
              </w:rPr>
              <w:t>a</w:t>
            </w:r>
          </w:p>
        </w:tc>
        <w:tc>
          <w:tcPr>
            <w:tcW w:w="2880" w:type="dxa"/>
          </w:tcPr>
          <w:p w14:paraId="727F7D1B" w14:textId="77777777" w:rsidR="00ED2BCE" w:rsidRPr="004C12C9" w:rsidRDefault="00ED2BCE" w:rsidP="00CD1269">
            <w:pPr>
              <w:pStyle w:val="ICFTabletext"/>
              <w:jc w:val="center"/>
            </w:pPr>
            <w:r w:rsidRPr="004C12C9">
              <w:t>122.5</w:t>
            </w:r>
          </w:p>
        </w:tc>
      </w:tr>
      <w:tr w:rsidR="00ED2BCE" w:rsidRPr="004C12C9" w14:paraId="2E55D9E8" w14:textId="77777777" w:rsidTr="00CD1269">
        <w:trPr>
          <w:trHeight w:val="144"/>
        </w:trPr>
        <w:tc>
          <w:tcPr>
            <w:tcW w:w="2605" w:type="dxa"/>
            <w:vAlign w:val="center"/>
          </w:tcPr>
          <w:p w14:paraId="3C2A36B9" w14:textId="351748FB" w:rsidR="00ED2BCE" w:rsidRPr="004C12C9" w:rsidRDefault="00ED2BCE" w:rsidP="00CD1269">
            <w:pPr>
              <w:pStyle w:val="ICFTabletext"/>
            </w:pPr>
            <w:r w:rsidRPr="004C12C9">
              <w:t>Dairy heifers</w:t>
            </w:r>
            <w:r w:rsidR="00DC6F14" w:rsidRPr="004C12C9">
              <w:rPr>
                <w:vertAlign w:val="superscript"/>
              </w:rPr>
              <w:t>a</w:t>
            </w:r>
          </w:p>
        </w:tc>
        <w:tc>
          <w:tcPr>
            <w:tcW w:w="2880" w:type="dxa"/>
          </w:tcPr>
          <w:p w14:paraId="3A82286E" w14:textId="764C65C6" w:rsidR="00ED2BCE" w:rsidRPr="004C12C9" w:rsidRDefault="00ED2BCE" w:rsidP="00CD1269">
            <w:pPr>
              <w:pStyle w:val="ICFTabletext"/>
              <w:jc w:val="center"/>
            </w:pPr>
            <w:r w:rsidRPr="004C12C9">
              <w:t>407</w:t>
            </w:r>
            <w:r w:rsidR="00A67FF9" w:rsidRPr="004C12C9">
              <w:t>.0</w:t>
            </w:r>
          </w:p>
        </w:tc>
      </w:tr>
      <w:tr w:rsidR="00ED2BCE" w:rsidRPr="004C12C9" w14:paraId="13996E10" w14:textId="77777777" w:rsidTr="00CD1269">
        <w:trPr>
          <w:trHeight w:val="144"/>
        </w:trPr>
        <w:tc>
          <w:tcPr>
            <w:tcW w:w="2605" w:type="dxa"/>
            <w:vAlign w:val="center"/>
          </w:tcPr>
          <w:p w14:paraId="2E9559DF" w14:textId="77777777" w:rsidR="00ED2BCE" w:rsidRPr="004C12C9" w:rsidRDefault="00ED2BCE" w:rsidP="00CD1269">
            <w:pPr>
              <w:pStyle w:val="ICFTabletext"/>
            </w:pPr>
            <w:r w:rsidRPr="004C12C9">
              <w:t>Dairy cows</w:t>
            </w:r>
          </w:p>
        </w:tc>
        <w:tc>
          <w:tcPr>
            <w:tcW w:w="2880" w:type="dxa"/>
          </w:tcPr>
          <w:p w14:paraId="32A58984" w14:textId="71144534" w:rsidR="00ED2BCE" w:rsidRPr="004C12C9" w:rsidRDefault="00ED2BCE" w:rsidP="00CD1269">
            <w:pPr>
              <w:pStyle w:val="ICFTabletext"/>
              <w:jc w:val="center"/>
            </w:pPr>
            <w:r w:rsidRPr="004C12C9">
              <w:t>680</w:t>
            </w:r>
            <w:r w:rsidR="00A67FF9" w:rsidRPr="004C12C9">
              <w:t>.0</w:t>
            </w:r>
          </w:p>
        </w:tc>
      </w:tr>
      <w:tr w:rsidR="00ED2BCE" w:rsidRPr="004C12C9" w14:paraId="0DB6393D" w14:textId="77777777" w:rsidTr="00CD1269">
        <w:trPr>
          <w:trHeight w:val="144"/>
        </w:trPr>
        <w:tc>
          <w:tcPr>
            <w:tcW w:w="2605" w:type="dxa"/>
            <w:vAlign w:val="center"/>
          </w:tcPr>
          <w:p w14:paraId="00201EE1" w14:textId="2207C1C6" w:rsidR="00ED2BCE" w:rsidRPr="004C12C9" w:rsidRDefault="00ED2BCE" w:rsidP="00CD1269">
            <w:pPr>
              <w:pStyle w:val="ICFTabletext"/>
            </w:pPr>
            <w:r w:rsidRPr="004C12C9">
              <w:t>Dairy calves</w:t>
            </w:r>
            <w:r w:rsidR="00DC6F14" w:rsidRPr="004C12C9">
              <w:rPr>
                <w:vertAlign w:val="superscript"/>
              </w:rPr>
              <w:t>a</w:t>
            </w:r>
          </w:p>
        </w:tc>
        <w:tc>
          <w:tcPr>
            <w:tcW w:w="2880" w:type="dxa"/>
          </w:tcPr>
          <w:p w14:paraId="6B4D40A7" w14:textId="77777777" w:rsidR="00ED2BCE" w:rsidRPr="004C12C9" w:rsidRDefault="00ED2BCE" w:rsidP="00CD1269">
            <w:pPr>
              <w:pStyle w:val="ICFTabletext"/>
              <w:jc w:val="center"/>
            </w:pPr>
            <w:r w:rsidRPr="004C12C9">
              <w:t>122.5</w:t>
            </w:r>
          </w:p>
        </w:tc>
      </w:tr>
      <w:tr w:rsidR="00ED2BCE" w:rsidRPr="004C12C9" w14:paraId="2ABCA5F4" w14:textId="77777777" w:rsidTr="00CD1269">
        <w:trPr>
          <w:trHeight w:val="144"/>
        </w:trPr>
        <w:tc>
          <w:tcPr>
            <w:tcW w:w="2605" w:type="dxa"/>
            <w:vAlign w:val="bottom"/>
          </w:tcPr>
          <w:p w14:paraId="22BE90AF" w14:textId="595783AC" w:rsidR="00ED2BCE" w:rsidRPr="004C12C9" w:rsidRDefault="00ED2BCE" w:rsidP="00CD1269">
            <w:pPr>
              <w:pStyle w:val="ICFTabletext"/>
            </w:pPr>
            <w:r w:rsidRPr="004C12C9">
              <w:t>Swine</w:t>
            </w:r>
            <w:r w:rsidR="00DC6F14" w:rsidRPr="004C12C9">
              <w:t>,</w:t>
            </w:r>
            <w:r w:rsidRPr="004C12C9">
              <w:t xml:space="preserve"> &lt;55 lbs</w:t>
            </w:r>
          </w:p>
        </w:tc>
        <w:tc>
          <w:tcPr>
            <w:tcW w:w="2880" w:type="dxa"/>
          </w:tcPr>
          <w:p w14:paraId="03C153E8" w14:textId="3E120AB7" w:rsidR="00ED2BCE" w:rsidRPr="004C12C9" w:rsidRDefault="00ED2BCE" w:rsidP="00CD1269">
            <w:pPr>
              <w:pStyle w:val="ICFTabletext"/>
              <w:jc w:val="center"/>
            </w:pPr>
            <w:r w:rsidRPr="004C12C9">
              <w:t>13</w:t>
            </w:r>
            <w:r w:rsidR="00A67FF9" w:rsidRPr="004C12C9">
              <w:t>.0</w:t>
            </w:r>
          </w:p>
        </w:tc>
      </w:tr>
      <w:tr w:rsidR="00ED2BCE" w:rsidRPr="004C12C9" w14:paraId="3667F8DB" w14:textId="77777777" w:rsidTr="00CD1269">
        <w:trPr>
          <w:trHeight w:val="144"/>
        </w:trPr>
        <w:tc>
          <w:tcPr>
            <w:tcW w:w="2605" w:type="dxa"/>
            <w:vAlign w:val="bottom"/>
          </w:tcPr>
          <w:p w14:paraId="22373DBC" w14:textId="0D634A0F" w:rsidR="00ED2BCE" w:rsidRPr="004C12C9" w:rsidRDefault="00ED2BCE" w:rsidP="00CD1269">
            <w:pPr>
              <w:pStyle w:val="ICFTabletext"/>
            </w:pPr>
            <w:r w:rsidRPr="004C12C9">
              <w:t>Swine</w:t>
            </w:r>
            <w:r w:rsidR="00DC6F14" w:rsidRPr="004C12C9">
              <w:t>,</w:t>
            </w:r>
            <w:r w:rsidRPr="004C12C9">
              <w:t xml:space="preserve"> 55-330 lbs</w:t>
            </w:r>
          </w:p>
        </w:tc>
        <w:tc>
          <w:tcPr>
            <w:tcW w:w="2880" w:type="dxa"/>
          </w:tcPr>
          <w:p w14:paraId="3C4822B3" w14:textId="742F200A" w:rsidR="00ED2BCE" w:rsidRPr="004C12C9" w:rsidRDefault="00ED2BCE" w:rsidP="00CD1269">
            <w:pPr>
              <w:pStyle w:val="ICFTabletext"/>
              <w:jc w:val="center"/>
            </w:pPr>
            <w:r w:rsidRPr="004C12C9">
              <w:t>41</w:t>
            </w:r>
            <w:r w:rsidR="00A67FF9" w:rsidRPr="004C12C9">
              <w:t>.0</w:t>
            </w:r>
          </w:p>
        </w:tc>
      </w:tr>
      <w:tr w:rsidR="00ED2BCE" w:rsidRPr="004C12C9" w14:paraId="53CE3805" w14:textId="77777777" w:rsidTr="00CD1269">
        <w:trPr>
          <w:trHeight w:val="144"/>
        </w:trPr>
        <w:tc>
          <w:tcPr>
            <w:tcW w:w="2605" w:type="dxa"/>
            <w:vAlign w:val="bottom"/>
          </w:tcPr>
          <w:p w14:paraId="4DC2BC81" w14:textId="351CDC7E" w:rsidR="00ED2BCE" w:rsidRPr="004C12C9" w:rsidRDefault="00ED2BCE" w:rsidP="00CD1269">
            <w:pPr>
              <w:pStyle w:val="ICFTabletext"/>
            </w:pPr>
            <w:r w:rsidRPr="004C12C9">
              <w:t>Swine</w:t>
            </w:r>
            <w:r w:rsidR="00DC6F14" w:rsidRPr="004C12C9">
              <w:t>,</w:t>
            </w:r>
            <w:r w:rsidRPr="004C12C9">
              <w:t xml:space="preserve"> 330+ lbs</w:t>
            </w:r>
          </w:p>
        </w:tc>
        <w:tc>
          <w:tcPr>
            <w:tcW w:w="2880" w:type="dxa"/>
          </w:tcPr>
          <w:p w14:paraId="42C67DA0" w14:textId="785B9863" w:rsidR="00ED2BCE" w:rsidRPr="004C12C9" w:rsidRDefault="00ED2BCE" w:rsidP="00CD1269">
            <w:pPr>
              <w:pStyle w:val="ICFTabletext"/>
              <w:jc w:val="center"/>
            </w:pPr>
            <w:r w:rsidRPr="004C12C9">
              <w:t>91</w:t>
            </w:r>
            <w:r w:rsidR="00A67FF9" w:rsidRPr="004C12C9">
              <w:t>.0</w:t>
            </w:r>
          </w:p>
        </w:tc>
      </w:tr>
      <w:tr w:rsidR="00ED2BCE" w:rsidRPr="004C12C9" w14:paraId="12BDB70B" w14:textId="77777777" w:rsidTr="00CD1269">
        <w:trPr>
          <w:trHeight w:val="144"/>
        </w:trPr>
        <w:tc>
          <w:tcPr>
            <w:tcW w:w="2605" w:type="dxa"/>
            <w:vAlign w:val="bottom"/>
          </w:tcPr>
          <w:p w14:paraId="2947E9F1" w14:textId="77777777" w:rsidR="00ED2BCE" w:rsidRPr="004C12C9" w:rsidRDefault="00ED2BCE" w:rsidP="00CD1269">
            <w:pPr>
              <w:pStyle w:val="ICFTabletext"/>
            </w:pPr>
            <w:r w:rsidRPr="004C12C9">
              <w:t>Poultry, layers</w:t>
            </w:r>
          </w:p>
        </w:tc>
        <w:tc>
          <w:tcPr>
            <w:tcW w:w="2880" w:type="dxa"/>
          </w:tcPr>
          <w:p w14:paraId="46E67906" w14:textId="77777777" w:rsidR="00ED2BCE" w:rsidRPr="004C12C9" w:rsidRDefault="00ED2BCE" w:rsidP="00CD1269">
            <w:pPr>
              <w:pStyle w:val="ICFTabletext"/>
              <w:jc w:val="center"/>
            </w:pPr>
            <w:r w:rsidRPr="004C12C9">
              <w:t>1.8</w:t>
            </w:r>
          </w:p>
        </w:tc>
      </w:tr>
      <w:tr w:rsidR="00ED2BCE" w:rsidRPr="004C12C9" w14:paraId="3179222C" w14:textId="77777777" w:rsidTr="00CD1269">
        <w:trPr>
          <w:trHeight w:val="144"/>
        </w:trPr>
        <w:tc>
          <w:tcPr>
            <w:tcW w:w="2605" w:type="dxa"/>
            <w:vAlign w:val="bottom"/>
          </w:tcPr>
          <w:p w14:paraId="1323EF00" w14:textId="77777777" w:rsidR="00ED2BCE" w:rsidRPr="004C12C9" w:rsidRDefault="00ED2BCE" w:rsidP="00CD1269">
            <w:pPr>
              <w:pStyle w:val="ICFTabletext"/>
            </w:pPr>
            <w:r w:rsidRPr="004C12C9">
              <w:t>Poultry, pullets</w:t>
            </w:r>
          </w:p>
        </w:tc>
        <w:tc>
          <w:tcPr>
            <w:tcW w:w="2880" w:type="dxa"/>
          </w:tcPr>
          <w:p w14:paraId="649489D8" w14:textId="77777777" w:rsidR="00ED2BCE" w:rsidRPr="004C12C9" w:rsidRDefault="00ED2BCE" w:rsidP="00CD1269">
            <w:pPr>
              <w:pStyle w:val="ICFTabletext"/>
              <w:jc w:val="center"/>
            </w:pPr>
            <w:r w:rsidRPr="004C12C9">
              <w:t>1.8</w:t>
            </w:r>
          </w:p>
        </w:tc>
      </w:tr>
      <w:tr w:rsidR="00ED2BCE" w:rsidRPr="004C12C9" w14:paraId="263709E8" w14:textId="77777777" w:rsidTr="00CD1269">
        <w:trPr>
          <w:trHeight w:val="144"/>
        </w:trPr>
        <w:tc>
          <w:tcPr>
            <w:tcW w:w="2605" w:type="dxa"/>
            <w:vAlign w:val="bottom"/>
          </w:tcPr>
          <w:p w14:paraId="0F20D1BF" w14:textId="77777777" w:rsidR="00ED2BCE" w:rsidRPr="004C12C9" w:rsidRDefault="00ED2BCE" w:rsidP="00CD1269">
            <w:pPr>
              <w:pStyle w:val="ICFTabletext"/>
            </w:pPr>
            <w:r w:rsidRPr="004C12C9">
              <w:t>Poultry, chickens</w:t>
            </w:r>
          </w:p>
        </w:tc>
        <w:tc>
          <w:tcPr>
            <w:tcW w:w="2880" w:type="dxa"/>
          </w:tcPr>
          <w:p w14:paraId="791B451B" w14:textId="77777777" w:rsidR="00ED2BCE" w:rsidRPr="004C12C9" w:rsidRDefault="00ED2BCE" w:rsidP="00CD1269">
            <w:pPr>
              <w:pStyle w:val="ICFTabletext"/>
              <w:jc w:val="center"/>
            </w:pPr>
            <w:r w:rsidRPr="004C12C9">
              <w:t>1.8</w:t>
            </w:r>
          </w:p>
        </w:tc>
      </w:tr>
      <w:tr w:rsidR="00ED2BCE" w:rsidRPr="004C12C9" w14:paraId="686040F3" w14:textId="77777777" w:rsidTr="00CD1269">
        <w:trPr>
          <w:trHeight w:val="144"/>
        </w:trPr>
        <w:tc>
          <w:tcPr>
            <w:tcW w:w="2605" w:type="dxa"/>
            <w:vAlign w:val="bottom"/>
          </w:tcPr>
          <w:p w14:paraId="2883CEBE" w14:textId="77777777" w:rsidR="00ED2BCE" w:rsidRPr="004C12C9" w:rsidRDefault="00ED2BCE" w:rsidP="00CD1269">
            <w:pPr>
              <w:pStyle w:val="ICFTabletext"/>
            </w:pPr>
            <w:r w:rsidRPr="004C12C9">
              <w:t xml:space="preserve">Poultry, broilers </w:t>
            </w:r>
          </w:p>
        </w:tc>
        <w:tc>
          <w:tcPr>
            <w:tcW w:w="2880" w:type="dxa"/>
          </w:tcPr>
          <w:p w14:paraId="639F111C" w14:textId="77777777" w:rsidR="00ED2BCE" w:rsidRPr="004C12C9" w:rsidRDefault="00ED2BCE" w:rsidP="00CD1269">
            <w:pPr>
              <w:pStyle w:val="ICFTabletext"/>
              <w:jc w:val="center"/>
            </w:pPr>
            <w:r w:rsidRPr="004C12C9">
              <w:t>0.9</w:t>
            </w:r>
          </w:p>
        </w:tc>
      </w:tr>
      <w:tr w:rsidR="00ED2BCE" w:rsidRPr="004C12C9" w14:paraId="0BAAE628" w14:textId="77777777" w:rsidTr="00CD1269">
        <w:trPr>
          <w:trHeight w:val="144"/>
        </w:trPr>
        <w:tc>
          <w:tcPr>
            <w:tcW w:w="2605" w:type="dxa"/>
            <w:vAlign w:val="bottom"/>
          </w:tcPr>
          <w:p w14:paraId="4FA8AC0D" w14:textId="77777777" w:rsidR="00ED2BCE" w:rsidRPr="004C12C9" w:rsidRDefault="00ED2BCE" w:rsidP="00CD1269">
            <w:pPr>
              <w:pStyle w:val="ICFTabletext"/>
            </w:pPr>
            <w:r w:rsidRPr="004C12C9">
              <w:t>Turkeys</w:t>
            </w:r>
          </w:p>
        </w:tc>
        <w:tc>
          <w:tcPr>
            <w:tcW w:w="2880" w:type="dxa"/>
          </w:tcPr>
          <w:p w14:paraId="14DD5FA4" w14:textId="77777777" w:rsidR="00ED2BCE" w:rsidRPr="004C12C9" w:rsidRDefault="00ED2BCE" w:rsidP="00CD1269">
            <w:pPr>
              <w:pStyle w:val="ICFTabletext"/>
              <w:jc w:val="center"/>
            </w:pPr>
            <w:r w:rsidRPr="004C12C9">
              <w:t>6.8</w:t>
            </w:r>
          </w:p>
        </w:tc>
      </w:tr>
    </w:tbl>
    <w:p w14:paraId="364C3C43" w14:textId="4E8930B5" w:rsidR="00ED2BCE" w:rsidRPr="004C12C9" w:rsidRDefault="00DC6F14" w:rsidP="00106B6F">
      <w:pPr>
        <w:pStyle w:val="TableFooter"/>
      </w:pPr>
      <w:r w:rsidRPr="004C12C9">
        <w:rPr>
          <w:vertAlign w:val="superscript"/>
        </w:rPr>
        <w:t xml:space="preserve">a </w:t>
      </w:r>
      <w:r w:rsidR="00ED2BCE" w:rsidRPr="004C12C9">
        <w:t>Values calculated by averaging the range reported in A-156.</w:t>
      </w:r>
    </w:p>
    <w:p w14:paraId="0A9FFB2C" w14:textId="221D0BC6" w:rsidR="00ED2BCE" w:rsidRPr="004C12C9" w:rsidRDefault="00DC6F14" w:rsidP="00106B6F">
      <w:pPr>
        <w:pStyle w:val="TableFooter"/>
      </w:pPr>
      <w:r w:rsidRPr="004C12C9">
        <w:rPr>
          <w:vertAlign w:val="superscript"/>
        </w:rPr>
        <w:t xml:space="preserve">b </w:t>
      </w:r>
      <w:r w:rsidR="00ED2BCE" w:rsidRPr="004C12C9">
        <w:t>Value calculated by averaging feedlot stockers and feedlot heifers.</w:t>
      </w:r>
    </w:p>
    <w:p w14:paraId="5CEA76F8" w14:textId="6B846833" w:rsidR="002D1E34" w:rsidRPr="004C12C9" w:rsidRDefault="002D1E34" w:rsidP="00E31E37">
      <w:pPr>
        <w:pStyle w:val="Heading4"/>
      </w:pPr>
      <w:r w:rsidRPr="004C12C9">
        <w:t>Volatile Solids</w:t>
      </w:r>
    </w:p>
    <w:p w14:paraId="7B017B88" w14:textId="3CE25AE8" w:rsidR="000C48A6" w:rsidRPr="004C12C9" w:rsidRDefault="000C48A6" w:rsidP="00972CF9">
      <w:r w:rsidRPr="004C12C9">
        <w:t xml:space="preserve">The </w:t>
      </w:r>
      <w:r w:rsidR="006673F1">
        <w:t xml:space="preserve">annual </w:t>
      </w:r>
      <w:r w:rsidRPr="004C12C9">
        <w:t>volatile solid</w:t>
      </w:r>
      <w:r w:rsidR="00C91D0F">
        <w:t>s (VS)</w:t>
      </w:r>
      <w:r w:rsidRPr="004C12C9">
        <w:t xml:space="preserve"> </w:t>
      </w:r>
      <w:r w:rsidR="006673F1">
        <w:t>excreted</w:t>
      </w:r>
      <w:r w:rsidRPr="004C12C9">
        <w:t xml:space="preserve"> by animal type were obtained from Table A-157 and Table A-158 in the U.S. GHG Inventory, using unit conversion to standardize both tables in kg VS/kg animal mass/year.</w:t>
      </w:r>
      <w:r w:rsidR="00CE096D" w:rsidRPr="004C12C9">
        <w:rPr>
          <w:rStyle w:val="FootnoteReference"/>
        </w:rPr>
        <w:footnoteReference w:id="129"/>
      </w:r>
      <w:r w:rsidRPr="004C12C9">
        <w:t xml:space="preserve"> Maximum methane </w:t>
      </w:r>
      <w:r w:rsidR="004D7084">
        <w:t>production capacity values</w:t>
      </w:r>
      <w:r w:rsidRPr="004C12C9">
        <w:t xml:space="preserve"> were obtained from Table A-156 in the U.S. GHG Inventory.</w:t>
      </w:r>
      <w:r w:rsidR="00CE096D" w:rsidRPr="004C12C9">
        <w:rPr>
          <w:rStyle w:val="FootnoteReference"/>
        </w:rPr>
        <w:footnoteReference w:id="130"/>
      </w:r>
      <w:r w:rsidRPr="004C12C9">
        <w:t xml:space="preserve"> These values are summarized in </w:t>
      </w:r>
      <w:r w:rsidR="000335AF">
        <w:fldChar w:fldCharType="begin"/>
      </w:r>
      <w:r w:rsidR="000335AF">
        <w:instrText xml:space="preserve"> REF _Ref219842110 \h </w:instrText>
      </w:r>
      <w:r w:rsidR="000335AF">
        <w:fldChar w:fldCharType="separate"/>
      </w:r>
      <w:r w:rsidR="000335AF" w:rsidRPr="004C12C9">
        <w:t xml:space="preserve">Table </w:t>
      </w:r>
      <w:r w:rsidR="000335AF">
        <w:rPr>
          <w:noProof/>
        </w:rPr>
        <w:t>3</w:t>
      </w:r>
      <w:r w:rsidR="000335AF">
        <w:noBreakHyphen/>
      </w:r>
      <w:r w:rsidR="000335AF">
        <w:rPr>
          <w:noProof/>
        </w:rPr>
        <w:t>34</w:t>
      </w:r>
      <w:r w:rsidR="000335AF">
        <w:fldChar w:fldCharType="end"/>
      </w:r>
      <w:r w:rsidRPr="004C12C9">
        <w:fldChar w:fldCharType="begin" w:fldLock="1"/>
      </w:r>
      <w:r w:rsidRPr="004C12C9">
        <w:instrText xml:space="preserve"> REF _Ref184740899 \h </w:instrText>
      </w:r>
      <w:r w:rsidRPr="004C12C9">
        <w:fldChar w:fldCharType="separate"/>
      </w:r>
      <w:r w:rsidRPr="004C12C9">
        <w:fldChar w:fldCharType="end"/>
      </w:r>
      <w:r w:rsidRPr="004C12C9">
        <w:t>.</w:t>
      </w:r>
    </w:p>
    <w:p w14:paraId="02ECF7BD" w14:textId="4CEA2FA0" w:rsidR="000C48A6" w:rsidRPr="004C12C9" w:rsidRDefault="000C48A6" w:rsidP="00972CF9">
      <w:pPr>
        <w:pStyle w:val="Caption"/>
      </w:pPr>
      <w:bookmarkStart w:id="244" w:name="_Ref219842110"/>
      <w:bookmarkStart w:id="245" w:name="_Ref184740899"/>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34</w:t>
      </w:r>
      <w:r w:rsidR="00F72B41">
        <w:fldChar w:fldCharType="end"/>
      </w:r>
      <w:bookmarkEnd w:id="244"/>
      <w:bookmarkEnd w:id="245"/>
      <w:r w:rsidRPr="004C12C9">
        <w:t>. Volatile Solid Production Assumptions</w:t>
      </w:r>
    </w:p>
    <w:tbl>
      <w:tblPr>
        <w:tblW w:w="9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15"/>
        <w:gridCol w:w="3330"/>
        <w:gridCol w:w="3330"/>
      </w:tblGrid>
      <w:tr w:rsidR="000C48A6" w:rsidRPr="004C12C9" w14:paraId="7181F44A" w14:textId="77777777" w:rsidTr="00FE3646">
        <w:trPr>
          <w:trHeight w:val="20"/>
          <w:tblHeader/>
        </w:trPr>
        <w:tc>
          <w:tcPr>
            <w:tcW w:w="2515" w:type="dxa"/>
            <w:shd w:val="clear" w:color="auto" w:fill="D9D9D9" w:themeFill="background1" w:themeFillShade="D9"/>
            <w:vAlign w:val="center"/>
            <w:hideMark/>
          </w:tcPr>
          <w:p w14:paraId="57E8AD5B" w14:textId="77777777" w:rsidR="000C48A6" w:rsidRPr="004C12C9" w:rsidRDefault="000C48A6" w:rsidP="00106B6F">
            <w:pPr>
              <w:pStyle w:val="ICFTableHeading"/>
            </w:pPr>
            <w:r w:rsidRPr="004C12C9">
              <w:t>Livestock Type</w:t>
            </w:r>
          </w:p>
        </w:tc>
        <w:tc>
          <w:tcPr>
            <w:tcW w:w="3330" w:type="dxa"/>
            <w:shd w:val="clear" w:color="auto" w:fill="D9D9D9" w:themeFill="background1" w:themeFillShade="D9"/>
            <w:vAlign w:val="center"/>
            <w:hideMark/>
          </w:tcPr>
          <w:p w14:paraId="41AAEC39" w14:textId="37D2F3A7" w:rsidR="000C48A6" w:rsidRPr="004C12C9" w:rsidRDefault="000C48A6" w:rsidP="00FE3646">
            <w:pPr>
              <w:pStyle w:val="ICFTableHeading"/>
            </w:pPr>
            <w:r w:rsidRPr="004C12C9">
              <w:t>Volatile Solids Production Rate</w:t>
            </w:r>
            <w:r w:rsidR="00FE3646" w:rsidRPr="004C12C9">
              <w:t xml:space="preserve"> </w:t>
            </w:r>
            <w:r w:rsidRPr="004C12C9">
              <w:t>(kgVS/kg animal mass/year)</w:t>
            </w:r>
          </w:p>
        </w:tc>
        <w:tc>
          <w:tcPr>
            <w:tcW w:w="3330" w:type="dxa"/>
            <w:shd w:val="clear" w:color="auto" w:fill="D9D9D9" w:themeFill="background1" w:themeFillShade="D9"/>
            <w:vAlign w:val="center"/>
          </w:tcPr>
          <w:p w14:paraId="55351C0D" w14:textId="3F546265" w:rsidR="000C48A6" w:rsidRPr="004C12C9" w:rsidRDefault="00BE60E5" w:rsidP="00106B6F">
            <w:pPr>
              <w:pStyle w:val="ICFTableHeading"/>
            </w:pPr>
            <w:r>
              <w:t>Maximum</w:t>
            </w:r>
            <w:r w:rsidRPr="004C12C9">
              <w:t xml:space="preserve"> </w:t>
            </w:r>
            <w:r w:rsidR="000C48A6" w:rsidRPr="004C12C9">
              <w:t>CH</w:t>
            </w:r>
            <w:r w:rsidR="000C48A6" w:rsidRPr="004C12C9">
              <w:rPr>
                <w:vertAlign w:val="subscript"/>
              </w:rPr>
              <w:t>4</w:t>
            </w:r>
            <w:r w:rsidR="000C48A6" w:rsidRPr="004C12C9">
              <w:t xml:space="preserve"> Production </w:t>
            </w:r>
            <w:r>
              <w:t>Capacity</w:t>
            </w:r>
            <w:r w:rsidR="000C48A6" w:rsidRPr="004C12C9">
              <w:t>, B</w:t>
            </w:r>
            <w:r w:rsidR="000C48A6" w:rsidRPr="004C12C9">
              <w:rPr>
                <w:vertAlign w:val="subscript"/>
              </w:rPr>
              <w:t>0</w:t>
            </w:r>
            <w:r w:rsidR="000C48A6" w:rsidRPr="004C12C9">
              <w:t xml:space="preserve"> (m</w:t>
            </w:r>
            <w:r w:rsidR="000C48A6" w:rsidRPr="004C12C9">
              <w:rPr>
                <w:vertAlign w:val="superscript"/>
              </w:rPr>
              <w:t>3</w:t>
            </w:r>
            <w:r w:rsidR="000C48A6" w:rsidRPr="004C12C9">
              <w:t>CH</w:t>
            </w:r>
            <w:r w:rsidR="000C48A6" w:rsidRPr="004C12C9">
              <w:rPr>
                <w:vertAlign w:val="subscript"/>
              </w:rPr>
              <w:t>4</w:t>
            </w:r>
            <w:r w:rsidR="000C48A6" w:rsidRPr="004C12C9">
              <w:t>/kgVS)</w:t>
            </w:r>
          </w:p>
        </w:tc>
      </w:tr>
      <w:tr w:rsidR="000C48A6" w:rsidRPr="004C12C9" w14:paraId="64E8A21E" w14:textId="77777777" w:rsidTr="00FE3646">
        <w:trPr>
          <w:trHeight w:val="20"/>
        </w:trPr>
        <w:tc>
          <w:tcPr>
            <w:tcW w:w="2515" w:type="dxa"/>
            <w:vAlign w:val="center"/>
          </w:tcPr>
          <w:p w14:paraId="2185A55C" w14:textId="77777777" w:rsidR="000C48A6" w:rsidRPr="004C12C9" w:rsidRDefault="000C48A6" w:rsidP="00106B6F">
            <w:pPr>
              <w:pStyle w:val="ICFTabletext"/>
            </w:pPr>
            <w:r w:rsidRPr="004C12C9">
              <w:t>Bulls</w:t>
            </w:r>
          </w:p>
        </w:tc>
        <w:tc>
          <w:tcPr>
            <w:tcW w:w="3330" w:type="dxa"/>
            <w:vAlign w:val="bottom"/>
          </w:tcPr>
          <w:p w14:paraId="1F25723F" w14:textId="77777777" w:rsidR="000C48A6" w:rsidRPr="004C12C9" w:rsidDel="00180D8C" w:rsidRDefault="000C48A6" w:rsidP="00B71BAA">
            <w:pPr>
              <w:pStyle w:val="ICFTabletext"/>
              <w:jc w:val="center"/>
            </w:pPr>
            <w:r w:rsidRPr="004C12C9">
              <w:t>1.88</w:t>
            </w:r>
          </w:p>
        </w:tc>
        <w:tc>
          <w:tcPr>
            <w:tcW w:w="3330" w:type="dxa"/>
            <w:vAlign w:val="bottom"/>
          </w:tcPr>
          <w:p w14:paraId="7A9C9AB9" w14:textId="77777777" w:rsidR="000C48A6" w:rsidRPr="004C12C9" w:rsidRDefault="000C48A6" w:rsidP="00B71BAA">
            <w:pPr>
              <w:pStyle w:val="ICFTabletext"/>
              <w:jc w:val="center"/>
            </w:pPr>
            <w:r w:rsidRPr="004C12C9">
              <w:t>0.17</w:t>
            </w:r>
          </w:p>
        </w:tc>
      </w:tr>
      <w:tr w:rsidR="000C48A6" w:rsidRPr="004C12C9" w14:paraId="66437CDE" w14:textId="77777777" w:rsidTr="00FE3646">
        <w:trPr>
          <w:trHeight w:val="20"/>
        </w:trPr>
        <w:tc>
          <w:tcPr>
            <w:tcW w:w="2515" w:type="dxa"/>
            <w:vAlign w:val="center"/>
          </w:tcPr>
          <w:p w14:paraId="4BA03CED" w14:textId="77777777" w:rsidR="000C48A6" w:rsidRPr="004C12C9" w:rsidRDefault="000C48A6" w:rsidP="00106B6F">
            <w:pPr>
              <w:pStyle w:val="ICFTabletext"/>
            </w:pPr>
            <w:r w:rsidRPr="004C12C9">
              <w:t>Beef cows</w:t>
            </w:r>
          </w:p>
        </w:tc>
        <w:tc>
          <w:tcPr>
            <w:tcW w:w="3330" w:type="dxa"/>
            <w:vAlign w:val="bottom"/>
          </w:tcPr>
          <w:p w14:paraId="5D4E3CBE" w14:textId="77777777" w:rsidR="000C48A6" w:rsidRPr="004C12C9" w:rsidDel="00180D8C" w:rsidRDefault="000C48A6" w:rsidP="00B71BAA">
            <w:pPr>
              <w:pStyle w:val="ICFTabletext"/>
              <w:jc w:val="center"/>
            </w:pPr>
            <w:r w:rsidRPr="004C12C9">
              <w:t>2.73</w:t>
            </w:r>
          </w:p>
        </w:tc>
        <w:tc>
          <w:tcPr>
            <w:tcW w:w="3330" w:type="dxa"/>
            <w:vAlign w:val="bottom"/>
          </w:tcPr>
          <w:p w14:paraId="1D7D2D67" w14:textId="77777777" w:rsidR="000C48A6" w:rsidRPr="004C12C9" w:rsidRDefault="000C48A6" w:rsidP="00B71BAA">
            <w:pPr>
              <w:pStyle w:val="ICFTabletext"/>
              <w:jc w:val="center"/>
            </w:pPr>
            <w:r w:rsidRPr="004C12C9">
              <w:t>0.17</w:t>
            </w:r>
          </w:p>
        </w:tc>
      </w:tr>
      <w:tr w:rsidR="000C48A6" w:rsidRPr="004C12C9" w14:paraId="01908788" w14:textId="77777777" w:rsidTr="00FE3646">
        <w:trPr>
          <w:trHeight w:val="20"/>
        </w:trPr>
        <w:tc>
          <w:tcPr>
            <w:tcW w:w="2515" w:type="dxa"/>
            <w:vAlign w:val="center"/>
          </w:tcPr>
          <w:p w14:paraId="461A302F" w14:textId="77777777" w:rsidR="000C48A6" w:rsidRPr="004C12C9" w:rsidRDefault="000C48A6" w:rsidP="00106B6F">
            <w:pPr>
              <w:pStyle w:val="ICFTabletext"/>
            </w:pPr>
            <w:r w:rsidRPr="004C12C9">
              <w:t>Beef heifers</w:t>
            </w:r>
          </w:p>
        </w:tc>
        <w:tc>
          <w:tcPr>
            <w:tcW w:w="3330" w:type="dxa"/>
            <w:vAlign w:val="bottom"/>
          </w:tcPr>
          <w:p w14:paraId="75B74540" w14:textId="09B9E55F" w:rsidR="000C48A6" w:rsidRPr="004C12C9" w:rsidDel="00180D8C" w:rsidRDefault="00953AF1" w:rsidP="00B71BAA">
            <w:pPr>
              <w:pStyle w:val="ICFTabletext"/>
              <w:jc w:val="center"/>
            </w:pPr>
            <w:r w:rsidRPr="004C12C9">
              <w:t>2.88</w:t>
            </w:r>
          </w:p>
        </w:tc>
        <w:tc>
          <w:tcPr>
            <w:tcW w:w="3330" w:type="dxa"/>
            <w:vAlign w:val="bottom"/>
          </w:tcPr>
          <w:p w14:paraId="12E8A1B6" w14:textId="77777777" w:rsidR="000C48A6" w:rsidRPr="004C12C9" w:rsidRDefault="000C48A6" w:rsidP="00B71BAA">
            <w:pPr>
              <w:pStyle w:val="ICFTabletext"/>
              <w:jc w:val="center"/>
            </w:pPr>
            <w:r w:rsidRPr="004C12C9">
              <w:t>0.17</w:t>
            </w:r>
          </w:p>
        </w:tc>
      </w:tr>
      <w:tr w:rsidR="000C48A6" w:rsidRPr="004C12C9" w14:paraId="41B3A655" w14:textId="77777777" w:rsidTr="00FE3646">
        <w:trPr>
          <w:trHeight w:val="20"/>
        </w:trPr>
        <w:tc>
          <w:tcPr>
            <w:tcW w:w="2515" w:type="dxa"/>
            <w:vAlign w:val="center"/>
          </w:tcPr>
          <w:p w14:paraId="20AC19AA" w14:textId="77777777" w:rsidR="000C48A6" w:rsidRPr="004C12C9" w:rsidRDefault="000C48A6" w:rsidP="00106B6F">
            <w:pPr>
              <w:pStyle w:val="ICFTabletext"/>
            </w:pPr>
            <w:r w:rsidRPr="004C12C9">
              <w:t>Steer stockers</w:t>
            </w:r>
          </w:p>
        </w:tc>
        <w:tc>
          <w:tcPr>
            <w:tcW w:w="3330" w:type="dxa"/>
            <w:vAlign w:val="bottom"/>
          </w:tcPr>
          <w:p w14:paraId="05615D83" w14:textId="00C881F8" w:rsidR="000C48A6" w:rsidRPr="004C12C9" w:rsidDel="00180D8C" w:rsidRDefault="00C02631" w:rsidP="00B71BAA">
            <w:pPr>
              <w:pStyle w:val="ICFTabletext"/>
              <w:jc w:val="center"/>
            </w:pPr>
            <w:r w:rsidRPr="004C12C9">
              <w:t>2.86</w:t>
            </w:r>
          </w:p>
        </w:tc>
        <w:tc>
          <w:tcPr>
            <w:tcW w:w="3330" w:type="dxa"/>
            <w:vAlign w:val="bottom"/>
          </w:tcPr>
          <w:p w14:paraId="034D25E6" w14:textId="76970B58" w:rsidR="000C48A6" w:rsidRPr="004C12C9" w:rsidRDefault="00E73281" w:rsidP="00B71BAA">
            <w:pPr>
              <w:pStyle w:val="ICFTabletext"/>
              <w:jc w:val="center"/>
            </w:pPr>
            <w:r w:rsidRPr="004C12C9">
              <w:t>0.17</w:t>
            </w:r>
          </w:p>
        </w:tc>
      </w:tr>
      <w:tr w:rsidR="000C48A6" w:rsidRPr="004C12C9" w14:paraId="636F5DF4" w14:textId="77777777" w:rsidTr="00FE3646">
        <w:trPr>
          <w:trHeight w:val="20"/>
        </w:trPr>
        <w:tc>
          <w:tcPr>
            <w:tcW w:w="2515" w:type="dxa"/>
            <w:vAlign w:val="center"/>
          </w:tcPr>
          <w:p w14:paraId="2400EECD" w14:textId="77777777" w:rsidR="000C48A6" w:rsidRPr="004C12C9" w:rsidRDefault="000C48A6" w:rsidP="00106B6F">
            <w:pPr>
              <w:pStyle w:val="ICFTabletext"/>
            </w:pPr>
            <w:r w:rsidRPr="004C12C9">
              <w:t>Heifer stockers</w:t>
            </w:r>
          </w:p>
        </w:tc>
        <w:tc>
          <w:tcPr>
            <w:tcW w:w="3330" w:type="dxa"/>
            <w:vAlign w:val="bottom"/>
          </w:tcPr>
          <w:p w14:paraId="52D5EE16" w14:textId="56A1A4E9" w:rsidR="000C48A6" w:rsidRPr="004C12C9" w:rsidDel="00180D8C" w:rsidRDefault="00C02631" w:rsidP="00B71BAA">
            <w:pPr>
              <w:pStyle w:val="ICFTabletext"/>
              <w:jc w:val="center"/>
            </w:pPr>
            <w:r w:rsidRPr="004C12C9">
              <w:t>2.88</w:t>
            </w:r>
          </w:p>
        </w:tc>
        <w:tc>
          <w:tcPr>
            <w:tcW w:w="3330" w:type="dxa"/>
            <w:vAlign w:val="bottom"/>
          </w:tcPr>
          <w:p w14:paraId="741BA3FF" w14:textId="02B002C1" w:rsidR="000C48A6" w:rsidRPr="004C12C9" w:rsidRDefault="00E73281" w:rsidP="00B71BAA">
            <w:pPr>
              <w:pStyle w:val="ICFTabletext"/>
              <w:jc w:val="center"/>
            </w:pPr>
            <w:r w:rsidRPr="004C12C9">
              <w:t>0.17</w:t>
            </w:r>
          </w:p>
        </w:tc>
      </w:tr>
      <w:tr w:rsidR="000C48A6" w:rsidRPr="004C12C9" w14:paraId="77F87233" w14:textId="77777777" w:rsidTr="00FE3646">
        <w:trPr>
          <w:trHeight w:val="20"/>
        </w:trPr>
        <w:tc>
          <w:tcPr>
            <w:tcW w:w="2515" w:type="dxa"/>
            <w:vAlign w:val="center"/>
          </w:tcPr>
          <w:p w14:paraId="42743E45" w14:textId="30A22899" w:rsidR="000C48A6" w:rsidRPr="004C12C9" w:rsidRDefault="000C48A6" w:rsidP="00106B6F">
            <w:pPr>
              <w:pStyle w:val="ICFTabletext"/>
            </w:pPr>
            <w:r w:rsidRPr="004C12C9">
              <w:t>Feedlot beef</w:t>
            </w:r>
            <w:r w:rsidR="00DC6F14" w:rsidRPr="004C12C9">
              <w:rPr>
                <w:vertAlign w:val="superscript"/>
              </w:rPr>
              <w:t>a</w:t>
            </w:r>
          </w:p>
        </w:tc>
        <w:tc>
          <w:tcPr>
            <w:tcW w:w="3330" w:type="dxa"/>
            <w:vAlign w:val="bottom"/>
          </w:tcPr>
          <w:p w14:paraId="0085B4BD" w14:textId="003AD92B" w:rsidR="000C48A6" w:rsidRPr="004C12C9" w:rsidRDefault="000C48A6" w:rsidP="00B71BAA">
            <w:pPr>
              <w:pStyle w:val="ICFTabletext"/>
              <w:jc w:val="center"/>
            </w:pPr>
            <w:r w:rsidRPr="004C12C9">
              <w:t>1.</w:t>
            </w:r>
            <w:r w:rsidR="00C02631" w:rsidRPr="004C12C9">
              <w:t>49</w:t>
            </w:r>
          </w:p>
        </w:tc>
        <w:tc>
          <w:tcPr>
            <w:tcW w:w="3330" w:type="dxa"/>
            <w:vAlign w:val="bottom"/>
          </w:tcPr>
          <w:p w14:paraId="247357B5" w14:textId="77777777" w:rsidR="000C48A6" w:rsidRPr="004C12C9" w:rsidRDefault="000C48A6" w:rsidP="00B71BAA">
            <w:pPr>
              <w:pStyle w:val="ICFTabletext"/>
              <w:jc w:val="center"/>
            </w:pPr>
            <w:r w:rsidRPr="004C12C9">
              <w:t>0.33</w:t>
            </w:r>
          </w:p>
        </w:tc>
      </w:tr>
      <w:tr w:rsidR="000C48A6" w:rsidRPr="004C12C9" w14:paraId="32585662" w14:textId="77777777" w:rsidTr="00FE3646">
        <w:trPr>
          <w:trHeight w:val="20"/>
        </w:trPr>
        <w:tc>
          <w:tcPr>
            <w:tcW w:w="2515" w:type="dxa"/>
            <w:vAlign w:val="center"/>
          </w:tcPr>
          <w:p w14:paraId="114203C1" w14:textId="77777777" w:rsidR="000C48A6" w:rsidRPr="004C12C9" w:rsidRDefault="000C48A6" w:rsidP="00106B6F">
            <w:pPr>
              <w:pStyle w:val="ICFTabletext"/>
            </w:pPr>
            <w:r w:rsidRPr="004C12C9">
              <w:t xml:space="preserve">Beef calves </w:t>
            </w:r>
          </w:p>
        </w:tc>
        <w:tc>
          <w:tcPr>
            <w:tcW w:w="3330" w:type="dxa"/>
            <w:vAlign w:val="bottom"/>
          </w:tcPr>
          <w:p w14:paraId="2C96D0AA" w14:textId="67989C94" w:rsidR="000C48A6" w:rsidRPr="004C12C9" w:rsidRDefault="00F63C50" w:rsidP="00B71BAA">
            <w:pPr>
              <w:pStyle w:val="ICFTabletext"/>
              <w:jc w:val="center"/>
            </w:pPr>
            <w:r w:rsidRPr="004C12C9">
              <w:t>2.81</w:t>
            </w:r>
          </w:p>
        </w:tc>
        <w:tc>
          <w:tcPr>
            <w:tcW w:w="3330" w:type="dxa"/>
            <w:vAlign w:val="bottom"/>
          </w:tcPr>
          <w:p w14:paraId="30CFE386" w14:textId="77777777" w:rsidR="000C48A6" w:rsidRPr="004C12C9" w:rsidRDefault="000C48A6" w:rsidP="00B71BAA">
            <w:pPr>
              <w:pStyle w:val="ICFTabletext"/>
              <w:jc w:val="center"/>
            </w:pPr>
            <w:r w:rsidRPr="004C12C9" w:rsidDel="00647E3E">
              <w:t>0.17</w:t>
            </w:r>
          </w:p>
        </w:tc>
      </w:tr>
      <w:tr w:rsidR="000C48A6" w:rsidRPr="004C12C9" w14:paraId="7B8DD9D1" w14:textId="77777777" w:rsidTr="00FE3646">
        <w:trPr>
          <w:trHeight w:val="20"/>
        </w:trPr>
        <w:tc>
          <w:tcPr>
            <w:tcW w:w="2515" w:type="dxa"/>
            <w:vAlign w:val="center"/>
          </w:tcPr>
          <w:p w14:paraId="01F6CB1E" w14:textId="77777777" w:rsidR="000C48A6" w:rsidRPr="004C12C9" w:rsidRDefault="000C48A6" w:rsidP="00106B6F">
            <w:pPr>
              <w:pStyle w:val="ICFTabletext"/>
            </w:pPr>
            <w:r w:rsidRPr="004C12C9">
              <w:t>Dairy heifers</w:t>
            </w:r>
          </w:p>
        </w:tc>
        <w:tc>
          <w:tcPr>
            <w:tcW w:w="3330" w:type="dxa"/>
            <w:vAlign w:val="bottom"/>
          </w:tcPr>
          <w:p w14:paraId="73DAE562" w14:textId="77777777" w:rsidR="000C48A6" w:rsidRPr="004C12C9" w:rsidRDefault="000C48A6" w:rsidP="00B71BAA">
            <w:pPr>
              <w:pStyle w:val="ICFTabletext"/>
              <w:jc w:val="center"/>
            </w:pPr>
            <w:r w:rsidRPr="004C12C9">
              <w:t>3.08</w:t>
            </w:r>
          </w:p>
        </w:tc>
        <w:tc>
          <w:tcPr>
            <w:tcW w:w="3330" w:type="dxa"/>
            <w:vAlign w:val="bottom"/>
          </w:tcPr>
          <w:p w14:paraId="2F9ED63E" w14:textId="77777777" w:rsidR="000C48A6" w:rsidRPr="004C12C9" w:rsidRDefault="000C48A6" w:rsidP="00B71BAA">
            <w:pPr>
              <w:pStyle w:val="ICFTabletext"/>
              <w:jc w:val="center"/>
            </w:pPr>
            <w:r w:rsidRPr="004C12C9" w:rsidDel="00647E3E">
              <w:t>0.17</w:t>
            </w:r>
          </w:p>
        </w:tc>
      </w:tr>
      <w:tr w:rsidR="000C48A6" w:rsidRPr="004C12C9" w14:paraId="53BD9F8F" w14:textId="77777777" w:rsidTr="00FE3646">
        <w:trPr>
          <w:trHeight w:val="20"/>
        </w:trPr>
        <w:tc>
          <w:tcPr>
            <w:tcW w:w="2515" w:type="dxa"/>
            <w:vAlign w:val="center"/>
          </w:tcPr>
          <w:p w14:paraId="0BEA2A34" w14:textId="77777777" w:rsidR="000C48A6" w:rsidRPr="004C12C9" w:rsidRDefault="000C48A6" w:rsidP="00106B6F">
            <w:pPr>
              <w:pStyle w:val="ICFTabletext"/>
            </w:pPr>
            <w:r w:rsidRPr="004C12C9">
              <w:t>Dairy cows</w:t>
            </w:r>
          </w:p>
        </w:tc>
        <w:tc>
          <w:tcPr>
            <w:tcW w:w="3330" w:type="dxa"/>
            <w:vAlign w:val="bottom"/>
          </w:tcPr>
          <w:p w14:paraId="3161C95C" w14:textId="0E5CB052" w:rsidR="000C48A6" w:rsidRPr="004C12C9" w:rsidRDefault="000C48A6" w:rsidP="00B71BAA">
            <w:pPr>
              <w:pStyle w:val="ICFTabletext"/>
              <w:jc w:val="center"/>
            </w:pPr>
            <w:r w:rsidRPr="004C12C9">
              <w:t>4.16</w:t>
            </w:r>
          </w:p>
        </w:tc>
        <w:tc>
          <w:tcPr>
            <w:tcW w:w="3330" w:type="dxa"/>
            <w:vAlign w:val="bottom"/>
          </w:tcPr>
          <w:p w14:paraId="0F76984E" w14:textId="77777777" w:rsidR="000C48A6" w:rsidRPr="004C12C9" w:rsidRDefault="000C48A6" w:rsidP="00B71BAA">
            <w:pPr>
              <w:pStyle w:val="ICFTabletext"/>
              <w:jc w:val="center"/>
            </w:pPr>
            <w:r w:rsidRPr="004C12C9" w:rsidDel="00647E3E">
              <w:t>0.24</w:t>
            </w:r>
          </w:p>
        </w:tc>
      </w:tr>
      <w:tr w:rsidR="000C48A6" w:rsidRPr="004C12C9" w14:paraId="753B441B" w14:textId="77777777" w:rsidTr="00FE3646">
        <w:trPr>
          <w:trHeight w:val="20"/>
        </w:trPr>
        <w:tc>
          <w:tcPr>
            <w:tcW w:w="2515" w:type="dxa"/>
            <w:vAlign w:val="center"/>
          </w:tcPr>
          <w:p w14:paraId="2C9F05C5" w14:textId="77777777" w:rsidR="000C48A6" w:rsidRPr="004C12C9" w:rsidRDefault="000C48A6" w:rsidP="00106B6F">
            <w:pPr>
              <w:pStyle w:val="ICFTabletext"/>
            </w:pPr>
            <w:r w:rsidRPr="004C12C9">
              <w:t>Dairy calves</w:t>
            </w:r>
          </w:p>
        </w:tc>
        <w:tc>
          <w:tcPr>
            <w:tcW w:w="3330" w:type="dxa"/>
            <w:vAlign w:val="bottom"/>
          </w:tcPr>
          <w:p w14:paraId="6BAD21B8" w14:textId="1093679D" w:rsidR="000C48A6" w:rsidRPr="004C12C9" w:rsidRDefault="00785548" w:rsidP="00B71BAA">
            <w:pPr>
              <w:pStyle w:val="ICFTabletext"/>
              <w:jc w:val="center"/>
            </w:pPr>
            <w:r w:rsidRPr="004C12C9">
              <w:t>2.81</w:t>
            </w:r>
          </w:p>
        </w:tc>
        <w:tc>
          <w:tcPr>
            <w:tcW w:w="3330" w:type="dxa"/>
            <w:vAlign w:val="bottom"/>
          </w:tcPr>
          <w:p w14:paraId="6BF370CC" w14:textId="77777777" w:rsidR="000C48A6" w:rsidRPr="004C12C9" w:rsidRDefault="000C48A6" w:rsidP="00B71BAA">
            <w:pPr>
              <w:pStyle w:val="ICFTabletext"/>
              <w:jc w:val="center"/>
            </w:pPr>
            <w:r w:rsidRPr="004C12C9" w:rsidDel="00647E3E">
              <w:t>0.17</w:t>
            </w:r>
          </w:p>
        </w:tc>
      </w:tr>
      <w:tr w:rsidR="000C48A6" w:rsidRPr="004C12C9" w14:paraId="300D6CD5" w14:textId="77777777" w:rsidTr="00FE3646">
        <w:trPr>
          <w:trHeight w:val="20"/>
        </w:trPr>
        <w:tc>
          <w:tcPr>
            <w:tcW w:w="2515" w:type="dxa"/>
            <w:vAlign w:val="bottom"/>
          </w:tcPr>
          <w:p w14:paraId="7DB0C5B4" w14:textId="77AE8670" w:rsidR="000C48A6" w:rsidRPr="004C12C9" w:rsidRDefault="000C48A6" w:rsidP="00106B6F">
            <w:pPr>
              <w:pStyle w:val="ICFTabletext"/>
            </w:pPr>
            <w:r w:rsidRPr="004C12C9" w:rsidDel="00B22283">
              <w:t>Swine</w:t>
            </w:r>
            <w:r w:rsidR="00DC6F14" w:rsidRPr="004C12C9">
              <w:t>,</w:t>
            </w:r>
            <w:r w:rsidRPr="004C12C9" w:rsidDel="00B22283">
              <w:t xml:space="preserve"> &lt;55 lbs </w:t>
            </w:r>
          </w:p>
        </w:tc>
        <w:tc>
          <w:tcPr>
            <w:tcW w:w="3330" w:type="dxa"/>
            <w:vAlign w:val="bottom"/>
          </w:tcPr>
          <w:p w14:paraId="019D7B03" w14:textId="77777777" w:rsidR="000C48A6" w:rsidRPr="004C12C9" w:rsidRDefault="000C48A6" w:rsidP="00B71BAA">
            <w:pPr>
              <w:pStyle w:val="ICFTabletext"/>
              <w:jc w:val="center"/>
            </w:pPr>
            <w:r w:rsidRPr="004C12C9">
              <w:t>3.21</w:t>
            </w:r>
          </w:p>
        </w:tc>
        <w:tc>
          <w:tcPr>
            <w:tcW w:w="3330" w:type="dxa"/>
            <w:vAlign w:val="bottom"/>
          </w:tcPr>
          <w:p w14:paraId="1184D5DE" w14:textId="77777777" w:rsidR="000C48A6" w:rsidRPr="004C12C9" w:rsidRDefault="000C48A6" w:rsidP="00B71BAA">
            <w:pPr>
              <w:pStyle w:val="ICFTabletext"/>
              <w:jc w:val="center"/>
            </w:pPr>
            <w:r w:rsidRPr="004C12C9" w:rsidDel="00647E3E">
              <w:t>0.48</w:t>
            </w:r>
          </w:p>
        </w:tc>
      </w:tr>
      <w:tr w:rsidR="000C48A6" w:rsidRPr="004C12C9" w14:paraId="77954B07" w14:textId="77777777" w:rsidTr="00FE3646">
        <w:trPr>
          <w:trHeight w:val="20"/>
        </w:trPr>
        <w:tc>
          <w:tcPr>
            <w:tcW w:w="2515" w:type="dxa"/>
            <w:vAlign w:val="bottom"/>
          </w:tcPr>
          <w:p w14:paraId="0E14FBCA" w14:textId="7D68632E" w:rsidR="000C48A6" w:rsidRPr="004C12C9" w:rsidRDefault="000C48A6" w:rsidP="00106B6F">
            <w:pPr>
              <w:pStyle w:val="ICFTabletext"/>
            </w:pPr>
            <w:r w:rsidRPr="004C12C9" w:rsidDel="00B22283">
              <w:t>Swine</w:t>
            </w:r>
            <w:r w:rsidR="00DC6F14" w:rsidRPr="004C12C9">
              <w:t>,</w:t>
            </w:r>
            <w:r w:rsidRPr="004C12C9" w:rsidDel="00B22283">
              <w:t xml:space="preserve"> 55-330 lbs </w:t>
            </w:r>
          </w:p>
        </w:tc>
        <w:tc>
          <w:tcPr>
            <w:tcW w:w="3330" w:type="dxa"/>
            <w:vAlign w:val="bottom"/>
          </w:tcPr>
          <w:p w14:paraId="560C2C64" w14:textId="77777777" w:rsidR="000C48A6" w:rsidRPr="004C12C9" w:rsidRDefault="000C48A6" w:rsidP="00B71BAA">
            <w:pPr>
              <w:pStyle w:val="ICFTabletext"/>
              <w:jc w:val="center"/>
            </w:pPr>
            <w:r w:rsidRPr="004C12C9">
              <w:t>1.97</w:t>
            </w:r>
          </w:p>
        </w:tc>
        <w:tc>
          <w:tcPr>
            <w:tcW w:w="3330" w:type="dxa"/>
            <w:vAlign w:val="bottom"/>
          </w:tcPr>
          <w:p w14:paraId="2C0FDCC5" w14:textId="77777777" w:rsidR="000C48A6" w:rsidRPr="004C12C9" w:rsidRDefault="000C48A6" w:rsidP="00B71BAA">
            <w:pPr>
              <w:pStyle w:val="ICFTabletext"/>
              <w:jc w:val="center"/>
            </w:pPr>
            <w:r w:rsidRPr="004C12C9" w:rsidDel="00647E3E">
              <w:t>0.48</w:t>
            </w:r>
          </w:p>
        </w:tc>
      </w:tr>
      <w:tr w:rsidR="000C48A6" w:rsidRPr="004C12C9" w14:paraId="00AFEBA7" w14:textId="77777777" w:rsidTr="00FE3646">
        <w:trPr>
          <w:trHeight w:val="20"/>
        </w:trPr>
        <w:tc>
          <w:tcPr>
            <w:tcW w:w="2515" w:type="dxa"/>
            <w:vAlign w:val="bottom"/>
          </w:tcPr>
          <w:p w14:paraId="356C471A" w14:textId="28B1DC84" w:rsidR="000C48A6" w:rsidRPr="004C12C9" w:rsidRDefault="000C48A6" w:rsidP="00106B6F">
            <w:pPr>
              <w:pStyle w:val="ICFTabletext"/>
            </w:pPr>
            <w:r w:rsidRPr="004C12C9" w:rsidDel="00B22283">
              <w:t>Swine</w:t>
            </w:r>
            <w:r w:rsidR="00DC6F14" w:rsidRPr="004C12C9">
              <w:t>,</w:t>
            </w:r>
            <w:r w:rsidRPr="004C12C9" w:rsidDel="00B22283">
              <w:t xml:space="preserve"> 330+ lbs</w:t>
            </w:r>
          </w:p>
        </w:tc>
        <w:tc>
          <w:tcPr>
            <w:tcW w:w="3330" w:type="dxa"/>
          </w:tcPr>
          <w:p w14:paraId="15F07828" w14:textId="77777777" w:rsidR="000C48A6" w:rsidRPr="004C12C9" w:rsidRDefault="000C48A6" w:rsidP="00B71BAA">
            <w:pPr>
              <w:pStyle w:val="ICFTabletext"/>
              <w:jc w:val="center"/>
            </w:pPr>
            <w:r w:rsidRPr="004C12C9">
              <w:t>1.97</w:t>
            </w:r>
          </w:p>
        </w:tc>
        <w:tc>
          <w:tcPr>
            <w:tcW w:w="3330" w:type="dxa"/>
            <w:vAlign w:val="bottom"/>
          </w:tcPr>
          <w:p w14:paraId="453E437D" w14:textId="77777777" w:rsidR="000C48A6" w:rsidRPr="004C12C9" w:rsidRDefault="000C48A6" w:rsidP="00B71BAA">
            <w:pPr>
              <w:pStyle w:val="ICFTabletext"/>
              <w:jc w:val="center"/>
            </w:pPr>
            <w:r w:rsidRPr="004C12C9" w:rsidDel="00647E3E">
              <w:t>0.48</w:t>
            </w:r>
          </w:p>
        </w:tc>
      </w:tr>
      <w:tr w:rsidR="000C48A6" w:rsidRPr="004C12C9" w14:paraId="6CB8BFF3" w14:textId="77777777" w:rsidTr="00FE3646">
        <w:trPr>
          <w:trHeight w:val="20"/>
        </w:trPr>
        <w:tc>
          <w:tcPr>
            <w:tcW w:w="2515" w:type="dxa"/>
            <w:vAlign w:val="bottom"/>
          </w:tcPr>
          <w:p w14:paraId="77F025F4" w14:textId="77777777" w:rsidR="000C48A6" w:rsidRPr="004C12C9" w:rsidRDefault="000C48A6" w:rsidP="00106B6F">
            <w:pPr>
              <w:pStyle w:val="ICFTabletext"/>
            </w:pPr>
            <w:r w:rsidRPr="004C12C9" w:rsidDel="00B22283">
              <w:t>Poultry, layers</w:t>
            </w:r>
          </w:p>
        </w:tc>
        <w:tc>
          <w:tcPr>
            <w:tcW w:w="3330" w:type="dxa"/>
          </w:tcPr>
          <w:p w14:paraId="52ECFC00" w14:textId="77777777" w:rsidR="000C48A6" w:rsidRPr="004C12C9" w:rsidRDefault="000C48A6" w:rsidP="00B71BAA">
            <w:pPr>
              <w:pStyle w:val="ICFTabletext"/>
              <w:jc w:val="center"/>
            </w:pPr>
            <w:r w:rsidRPr="004C12C9">
              <w:t>3.72</w:t>
            </w:r>
          </w:p>
        </w:tc>
        <w:tc>
          <w:tcPr>
            <w:tcW w:w="3330" w:type="dxa"/>
            <w:vAlign w:val="bottom"/>
          </w:tcPr>
          <w:p w14:paraId="688C62D7" w14:textId="77777777" w:rsidR="000C48A6" w:rsidRPr="004C12C9" w:rsidRDefault="000C48A6" w:rsidP="00B71BAA">
            <w:pPr>
              <w:pStyle w:val="ICFTabletext"/>
              <w:jc w:val="center"/>
            </w:pPr>
            <w:r w:rsidRPr="004C12C9" w:rsidDel="00647E3E">
              <w:t>0.39</w:t>
            </w:r>
          </w:p>
        </w:tc>
      </w:tr>
      <w:tr w:rsidR="000C48A6" w:rsidRPr="004C12C9" w14:paraId="2F8E16AF" w14:textId="77777777" w:rsidTr="00FE3646">
        <w:trPr>
          <w:trHeight w:val="20"/>
        </w:trPr>
        <w:tc>
          <w:tcPr>
            <w:tcW w:w="2515" w:type="dxa"/>
            <w:vAlign w:val="bottom"/>
          </w:tcPr>
          <w:p w14:paraId="06A8B20F" w14:textId="77777777" w:rsidR="000C48A6" w:rsidRPr="004C12C9" w:rsidRDefault="000C48A6" w:rsidP="00106B6F">
            <w:pPr>
              <w:pStyle w:val="ICFTabletext"/>
            </w:pPr>
            <w:r w:rsidRPr="004C12C9" w:rsidDel="00B22283">
              <w:t>Poultry, pullets</w:t>
            </w:r>
          </w:p>
        </w:tc>
        <w:tc>
          <w:tcPr>
            <w:tcW w:w="3330" w:type="dxa"/>
          </w:tcPr>
          <w:p w14:paraId="10C3A8C4" w14:textId="77777777" w:rsidR="000C48A6" w:rsidRPr="004C12C9" w:rsidRDefault="000C48A6" w:rsidP="00B71BAA">
            <w:pPr>
              <w:pStyle w:val="ICFTabletext"/>
              <w:jc w:val="center"/>
            </w:pPr>
            <w:r w:rsidRPr="004C12C9">
              <w:t>3.72</w:t>
            </w:r>
          </w:p>
        </w:tc>
        <w:tc>
          <w:tcPr>
            <w:tcW w:w="3330" w:type="dxa"/>
            <w:vAlign w:val="bottom"/>
          </w:tcPr>
          <w:p w14:paraId="3D2E2D56" w14:textId="77777777" w:rsidR="000C48A6" w:rsidRPr="004C12C9" w:rsidRDefault="000C48A6" w:rsidP="00B71BAA">
            <w:pPr>
              <w:pStyle w:val="ICFTabletext"/>
              <w:jc w:val="center"/>
            </w:pPr>
            <w:r w:rsidRPr="004C12C9" w:rsidDel="00647E3E">
              <w:t>0.39</w:t>
            </w:r>
          </w:p>
        </w:tc>
      </w:tr>
      <w:tr w:rsidR="000C48A6" w:rsidRPr="004C12C9" w14:paraId="186063AB" w14:textId="77777777" w:rsidTr="00FE3646">
        <w:trPr>
          <w:trHeight w:val="20"/>
        </w:trPr>
        <w:tc>
          <w:tcPr>
            <w:tcW w:w="2515" w:type="dxa"/>
            <w:vAlign w:val="bottom"/>
          </w:tcPr>
          <w:p w14:paraId="7908F443" w14:textId="77777777" w:rsidR="000C48A6" w:rsidRPr="004C12C9" w:rsidRDefault="000C48A6" w:rsidP="00106B6F">
            <w:pPr>
              <w:pStyle w:val="ICFTabletext"/>
            </w:pPr>
            <w:r w:rsidRPr="004C12C9" w:rsidDel="00B22283">
              <w:t>Poultry, chickens</w:t>
            </w:r>
          </w:p>
        </w:tc>
        <w:tc>
          <w:tcPr>
            <w:tcW w:w="3330" w:type="dxa"/>
          </w:tcPr>
          <w:p w14:paraId="678FB37C" w14:textId="77777777" w:rsidR="000C48A6" w:rsidRPr="004C12C9" w:rsidRDefault="000C48A6" w:rsidP="00B71BAA">
            <w:pPr>
              <w:pStyle w:val="ICFTabletext"/>
              <w:jc w:val="center"/>
            </w:pPr>
            <w:r w:rsidRPr="004C12C9">
              <w:t>4.02</w:t>
            </w:r>
          </w:p>
        </w:tc>
        <w:tc>
          <w:tcPr>
            <w:tcW w:w="3330" w:type="dxa"/>
            <w:vAlign w:val="bottom"/>
          </w:tcPr>
          <w:p w14:paraId="0EE593B6" w14:textId="77777777" w:rsidR="000C48A6" w:rsidRPr="004C12C9" w:rsidRDefault="000C48A6" w:rsidP="00B71BAA">
            <w:pPr>
              <w:pStyle w:val="ICFTabletext"/>
              <w:jc w:val="center"/>
            </w:pPr>
            <w:r w:rsidRPr="004C12C9" w:rsidDel="00647E3E">
              <w:t>0.39</w:t>
            </w:r>
          </w:p>
        </w:tc>
      </w:tr>
      <w:tr w:rsidR="000C48A6" w:rsidRPr="004C12C9" w14:paraId="7CA2D0EB" w14:textId="77777777" w:rsidTr="00FE3646">
        <w:trPr>
          <w:trHeight w:val="20"/>
        </w:trPr>
        <w:tc>
          <w:tcPr>
            <w:tcW w:w="2515" w:type="dxa"/>
            <w:vAlign w:val="bottom"/>
          </w:tcPr>
          <w:p w14:paraId="44DC5397" w14:textId="77777777" w:rsidR="000C48A6" w:rsidRPr="004C12C9" w:rsidRDefault="000C48A6" w:rsidP="00106B6F">
            <w:pPr>
              <w:pStyle w:val="ICFTabletext"/>
            </w:pPr>
            <w:r w:rsidRPr="004C12C9" w:rsidDel="00B22283">
              <w:t xml:space="preserve">Poultry, broilers </w:t>
            </w:r>
          </w:p>
        </w:tc>
        <w:tc>
          <w:tcPr>
            <w:tcW w:w="3330" w:type="dxa"/>
          </w:tcPr>
          <w:p w14:paraId="537F91BC" w14:textId="77777777" w:rsidR="000C48A6" w:rsidRPr="004C12C9" w:rsidRDefault="000C48A6" w:rsidP="00B71BAA">
            <w:pPr>
              <w:pStyle w:val="ICFTabletext"/>
              <w:jc w:val="center"/>
            </w:pPr>
            <w:r w:rsidRPr="004C12C9">
              <w:t>6.21</w:t>
            </w:r>
          </w:p>
        </w:tc>
        <w:tc>
          <w:tcPr>
            <w:tcW w:w="3330" w:type="dxa"/>
            <w:vAlign w:val="bottom"/>
          </w:tcPr>
          <w:p w14:paraId="6006B6E1" w14:textId="77777777" w:rsidR="000C48A6" w:rsidRPr="004C12C9" w:rsidRDefault="000C48A6" w:rsidP="00B71BAA">
            <w:pPr>
              <w:pStyle w:val="ICFTabletext"/>
              <w:jc w:val="center"/>
            </w:pPr>
            <w:r w:rsidRPr="004C12C9" w:rsidDel="00647E3E">
              <w:t>0.36</w:t>
            </w:r>
          </w:p>
        </w:tc>
      </w:tr>
      <w:tr w:rsidR="000C48A6" w:rsidRPr="004C12C9" w14:paraId="6626FB9E" w14:textId="77777777" w:rsidTr="00FE3646">
        <w:trPr>
          <w:trHeight w:val="20"/>
        </w:trPr>
        <w:tc>
          <w:tcPr>
            <w:tcW w:w="2515" w:type="dxa"/>
            <w:vAlign w:val="bottom"/>
          </w:tcPr>
          <w:p w14:paraId="0D35B8E4" w14:textId="77777777" w:rsidR="000C48A6" w:rsidRPr="004C12C9" w:rsidRDefault="000C48A6" w:rsidP="00106B6F">
            <w:pPr>
              <w:pStyle w:val="ICFTabletext"/>
            </w:pPr>
            <w:r w:rsidRPr="004C12C9" w:rsidDel="00B22283">
              <w:t>Turkeys</w:t>
            </w:r>
          </w:p>
        </w:tc>
        <w:tc>
          <w:tcPr>
            <w:tcW w:w="3330" w:type="dxa"/>
          </w:tcPr>
          <w:p w14:paraId="6102BD7F" w14:textId="77777777" w:rsidR="000C48A6" w:rsidRPr="004C12C9" w:rsidRDefault="000C48A6" w:rsidP="00B71BAA">
            <w:pPr>
              <w:pStyle w:val="ICFTabletext"/>
              <w:jc w:val="center"/>
            </w:pPr>
            <w:r w:rsidRPr="004C12C9">
              <w:t>3.10</w:t>
            </w:r>
          </w:p>
        </w:tc>
        <w:tc>
          <w:tcPr>
            <w:tcW w:w="3330" w:type="dxa"/>
            <w:vAlign w:val="bottom"/>
          </w:tcPr>
          <w:p w14:paraId="412C9398" w14:textId="77777777" w:rsidR="000C48A6" w:rsidRPr="004C12C9" w:rsidRDefault="000C48A6" w:rsidP="00B71BAA">
            <w:pPr>
              <w:pStyle w:val="ICFTabletext"/>
              <w:jc w:val="center"/>
            </w:pPr>
            <w:r w:rsidRPr="004C12C9" w:rsidDel="00647E3E">
              <w:t>0.36</w:t>
            </w:r>
          </w:p>
        </w:tc>
      </w:tr>
    </w:tbl>
    <w:p w14:paraId="008FCE98" w14:textId="6A7B3553" w:rsidR="000C48A6" w:rsidRPr="004C12C9" w:rsidRDefault="00DC6F14" w:rsidP="00106B6F">
      <w:pPr>
        <w:pStyle w:val="TableFooter"/>
      </w:pPr>
      <w:r w:rsidRPr="004C12C9">
        <w:rPr>
          <w:vertAlign w:val="superscript"/>
        </w:rPr>
        <w:t xml:space="preserve">a </w:t>
      </w:r>
      <w:r w:rsidR="000C48A6" w:rsidRPr="004C12C9">
        <w:t xml:space="preserve">Value calculated by averaging feedlot </w:t>
      </w:r>
      <w:r w:rsidR="00BC3A25" w:rsidRPr="004C12C9">
        <w:t>steers</w:t>
      </w:r>
      <w:r w:rsidR="000C48A6" w:rsidRPr="004C12C9">
        <w:t xml:space="preserve"> and feedlot heifers.</w:t>
      </w:r>
    </w:p>
    <w:p w14:paraId="27F549CE" w14:textId="77777777" w:rsidR="000C48A6" w:rsidRPr="004C12C9" w:rsidRDefault="000C48A6" w:rsidP="00E31E37">
      <w:pPr>
        <w:pStyle w:val="Heading4"/>
      </w:pPr>
      <w:r w:rsidRPr="004C12C9">
        <w:t>Methane Conversion Factor</w:t>
      </w:r>
    </w:p>
    <w:p w14:paraId="081D1A3D" w14:textId="72C3D20D" w:rsidR="000C48A6" w:rsidRPr="004C12C9" w:rsidRDefault="000C48A6" w:rsidP="00972CF9">
      <w:r w:rsidRPr="004C12C9">
        <w:t>Methane conversion factors by manure management system were obtained from Table A-162 (for cool climates)</w:t>
      </w:r>
      <w:r w:rsidR="00AB2CFA" w:rsidRPr="004C12C9">
        <w:t xml:space="preserve">, which are based on values from </w:t>
      </w:r>
      <w:r w:rsidR="0028783F" w:rsidRPr="004C12C9">
        <w:t>the 2019 Refinement to the 2006 IPCC Guidelines</w:t>
      </w:r>
      <w:r w:rsidR="006F28F4" w:rsidRPr="004C12C9">
        <w:t>,</w:t>
      </w:r>
      <w:r w:rsidR="006D401D" w:rsidRPr="004C12C9">
        <w:rPr>
          <w:rStyle w:val="FootnoteReference"/>
        </w:rPr>
        <w:footnoteReference w:id="131"/>
      </w:r>
      <w:r w:rsidRPr="004C12C9">
        <w:t xml:space="preserve"> and </w:t>
      </w:r>
      <w:r w:rsidR="00AB2CFA" w:rsidRPr="004C12C9">
        <w:t xml:space="preserve">Table </w:t>
      </w:r>
      <w:r w:rsidRPr="004C12C9">
        <w:t xml:space="preserve">A-163 in the U.S. GHG Inventory, as summarized in </w:t>
      </w:r>
      <w:r w:rsidR="000335AF">
        <w:fldChar w:fldCharType="begin"/>
      </w:r>
      <w:r w:rsidR="000335AF">
        <w:instrText xml:space="preserve"> REF _Ref219842120 \h </w:instrText>
      </w:r>
      <w:r w:rsidR="000335AF">
        <w:fldChar w:fldCharType="separate"/>
      </w:r>
      <w:r w:rsidR="000335AF" w:rsidRPr="004C12C9">
        <w:t xml:space="preserve">Table </w:t>
      </w:r>
      <w:r w:rsidR="000335AF">
        <w:rPr>
          <w:noProof/>
        </w:rPr>
        <w:t>3</w:t>
      </w:r>
      <w:r w:rsidR="000335AF">
        <w:noBreakHyphen/>
      </w:r>
      <w:r w:rsidR="000335AF">
        <w:rPr>
          <w:noProof/>
        </w:rPr>
        <w:t>35</w:t>
      </w:r>
      <w:r w:rsidR="000335AF">
        <w:fldChar w:fldCharType="end"/>
      </w:r>
      <w:r w:rsidRPr="004C12C9">
        <w:fldChar w:fldCharType="begin" w:fldLock="1"/>
      </w:r>
      <w:r w:rsidRPr="004C12C9">
        <w:instrText xml:space="preserve"> REF _Ref184740908 \h </w:instrText>
      </w:r>
      <w:r w:rsidRPr="004C12C9">
        <w:fldChar w:fldCharType="separate"/>
      </w:r>
      <w:r w:rsidRPr="004C12C9">
        <w:fldChar w:fldCharType="end"/>
      </w:r>
      <w:r w:rsidRPr="004C12C9">
        <w:t>.</w:t>
      </w:r>
      <w:r w:rsidR="001C29CF" w:rsidRPr="004C12C9">
        <w:rPr>
          <w:rStyle w:val="FootnoteReference"/>
        </w:rPr>
        <w:t xml:space="preserve"> </w:t>
      </w:r>
      <w:r w:rsidR="001C29CF" w:rsidRPr="004C12C9">
        <w:rPr>
          <w:rStyle w:val="FootnoteReference"/>
        </w:rPr>
        <w:footnoteReference w:id="132"/>
      </w:r>
    </w:p>
    <w:p w14:paraId="5F845031" w14:textId="67BCF15E" w:rsidR="000C48A6" w:rsidRPr="004C12C9" w:rsidRDefault="000C48A6" w:rsidP="00E10943">
      <w:pPr>
        <w:pStyle w:val="Caption"/>
      </w:pPr>
      <w:bookmarkStart w:id="246" w:name="_Ref219842120"/>
      <w:bookmarkStart w:id="247" w:name="_Ref184740908"/>
      <w:r w:rsidRPr="004C12C9">
        <w:lastRenderedPageBreak/>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35</w:t>
      </w:r>
      <w:r w:rsidR="00F72B41">
        <w:fldChar w:fldCharType="end"/>
      </w:r>
      <w:bookmarkEnd w:id="246"/>
      <w:bookmarkEnd w:id="247"/>
      <w:r w:rsidRPr="004C12C9">
        <w:t>. Methane Conversion Factors by Manure Management System</w:t>
      </w:r>
    </w:p>
    <w:tbl>
      <w:tblPr>
        <w:tblW w:w="7010"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0"/>
        <w:gridCol w:w="3510"/>
      </w:tblGrid>
      <w:tr w:rsidR="000C48A6" w:rsidRPr="004C12C9" w14:paraId="4336FD97" w14:textId="77777777" w:rsidTr="007F6E4B">
        <w:trPr>
          <w:trHeight w:val="20"/>
          <w:tblHeader/>
        </w:trPr>
        <w:tc>
          <w:tcPr>
            <w:tcW w:w="3500" w:type="dxa"/>
            <w:shd w:val="clear" w:color="auto" w:fill="D9D9D9" w:themeFill="background1" w:themeFillShade="D9"/>
            <w:vAlign w:val="center"/>
          </w:tcPr>
          <w:p w14:paraId="72054891" w14:textId="77777777" w:rsidR="000C48A6" w:rsidRPr="004C12C9" w:rsidRDefault="000C48A6" w:rsidP="00E10943">
            <w:pPr>
              <w:pStyle w:val="ICFTableHeading"/>
              <w:keepNext/>
              <w:rPr>
                <w:b w:val="0"/>
                <w:color w:val="FFFFFF" w:themeColor="background1"/>
                <w:sz w:val="20"/>
              </w:rPr>
            </w:pPr>
            <w:r w:rsidRPr="004C12C9">
              <w:t>Manure Management Systems</w:t>
            </w:r>
          </w:p>
        </w:tc>
        <w:tc>
          <w:tcPr>
            <w:tcW w:w="3510" w:type="dxa"/>
            <w:shd w:val="clear" w:color="auto" w:fill="D9D9D9" w:themeFill="background1" w:themeFillShade="D9"/>
            <w:vAlign w:val="center"/>
          </w:tcPr>
          <w:p w14:paraId="4FBDE640" w14:textId="77777777" w:rsidR="000C48A6" w:rsidRPr="004C12C9" w:rsidRDefault="000C48A6" w:rsidP="00E10943">
            <w:pPr>
              <w:pStyle w:val="ICFTableHeading"/>
              <w:keepNext/>
              <w:rPr>
                <w:b w:val="0"/>
                <w:color w:val="FFFFFF" w:themeColor="background1"/>
                <w:sz w:val="20"/>
              </w:rPr>
            </w:pPr>
            <w:r w:rsidRPr="004C12C9">
              <w:t>Methane Conversion Factor (%)</w:t>
            </w:r>
          </w:p>
        </w:tc>
      </w:tr>
      <w:tr w:rsidR="000C48A6" w:rsidRPr="004C12C9" w14:paraId="2F88EAFF" w14:textId="77777777" w:rsidTr="00B71BAA">
        <w:trPr>
          <w:trHeight w:val="20"/>
        </w:trPr>
        <w:tc>
          <w:tcPr>
            <w:tcW w:w="3500" w:type="dxa"/>
          </w:tcPr>
          <w:p w14:paraId="2FAB699D" w14:textId="77777777" w:rsidR="000C48A6" w:rsidRPr="004C12C9" w:rsidRDefault="000C48A6" w:rsidP="00E10943">
            <w:pPr>
              <w:pStyle w:val="ICFTabletext"/>
              <w:keepNext/>
            </w:pPr>
            <w:r w:rsidRPr="004C12C9">
              <w:t>Dry lot</w:t>
            </w:r>
          </w:p>
        </w:tc>
        <w:tc>
          <w:tcPr>
            <w:tcW w:w="3510" w:type="dxa"/>
            <w:vAlign w:val="bottom"/>
          </w:tcPr>
          <w:p w14:paraId="5DFF8B1E" w14:textId="77777777" w:rsidR="000C48A6" w:rsidRPr="004C12C9" w:rsidRDefault="000C48A6" w:rsidP="00E10943">
            <w:pPr>
              <w:pStyle w:val="ICFTabletext"/>
              <w:keepNext/>
              <w:jc w:val="center"/>
            </w:pPr>
            <w:r w:rsidRPr="004C12C9">
              <w:t>1.0</w:t>
            </w:r>
          </w:p>
        </w:tc>
      </w:tr>
      <w:tr w:rsidR="000C48A6" w:rsidRPr="004C12C9" w14:paraId="28C89E67" w14:textId="77777777" w:rsidTr="00B71BAA">
        <w:trPr>
          <w:trHeight w:val="20"/>
        </w:trPr>
        <w:tc>
          <w:tcPr>
            <w:tcW w:w="3500" w:type="dxa"/>
          </w:tcPr>
          <w:p w14:paraId="32ABFE19" w14:textId="12C4B0AA" w:rsidR="000C48A6" w:rsidRPr="004C12C9" w:rsidRDefault="000C48A6" w:rsidP="00106B6F">
            <w:pPr>
              <w:pStyle w:val="ICFTabletext"/>
            </w:pPr>
            <w:r w:rsidRPr="004C12C9">
              <w:t>Liquid/slurry</w:t>
            </w:r>
            <w:r w:rsidR="00473AD0" w:rsidRPr="004C12C9">
              <w:rPr>
                <w:vertAlign w:val="superscript"/>
              </w:rPr>
              <w:t>a</w:t>
            </w:r>
          </w:p>
        </w:tc>
        <w:tc>
          <w:tcPr>
            <w:tcW w:w="3510" w:type="dxa"/>
            <w:vAlign w:val="bottom"/>
          </w:tcPr>
          <w:p w14:paraId="0B3FC72C" w14:textId="77777777" w:rsidR="000C48A6" w:rsidRPr="004C12C9" w:rsidRDefault="000C48A6" w:rsidP="00106B6F">
            <w:pPr>
              <w:pStyle w:val="ICFTabletext"/>
              <w:jc w:val="center"/>
            </w:pPr>
            <w:r w:rsidRPr="004C12C9">
              <w:t>24.5</w:t>
            </w:r>
          </w:p>
        </w:tc>
      </w:tr>
      <w:tr w:rsidR="000C48A6" w:rsidRPr="004C12C9" w14:paraId="407F9166" w14:textId="77777777" w:rsidTr="00B71BAA">
        <w:trPr>
          <w:trHeight w:val="20"/>
        </w:trPr>
        <w:tc>
          <w:tcPr>
            <w:tcW w:w="3500" w:type="dxa"/>
          </w:tcPr>
          <w:p w14:paraId="3371B0D5" w14:textId="77777777" w:rsidR="000C48A6" w:rsidRPr="004C12C9" w:rsidRDefault="000C48A6" w:rsidP="00106B6F">
            <w:pPr>
              <w:pStyle w:val="ICFTabletext"/>
            </w:pPr>
            <w:r w:rsidRPr="004C12C9">
              <w:t>Pasture, range, paddock</w:t>
            </w:r>
          </w:p>
        </w:tc>
        <w:tc>
          <w:tcPr>
            <w:tcW w:w="3510" w:type="dxa"/>
            <w:vAlign w:val="bottom"/>
          </w:tcPr>
          <w:p w14:paraId="2B99A5EF" w14:textId="77777777" w:rsidR="000C48A6" w:rsidRPr="004C12C9" w:rsidRDefault="000C48A6" w:rsidP="00106B6F">
            <w:pPr>
              <w:pStyle w:val="ICFTabletext"/>
              <w:jc w:val="center"/>
            </w:pPr>
            <w:r w:rsidRPr="004C12C9">
              <w:t>0.5</w:t>
            </w:r>
          </w:p>
        </w:tc>
      </w:tr>
      <w:tr w:rsidR="000C48A6" w:rsidRPr="004C12C9" w14:paraId="4B8F2A24" w14:textId="77777777" w:rsidTr="00B71BAA">
        <w:trPr>
          <w:trHeight w:val="20"/>
        </w:trPr>
        <w:tc>
          <w:tcPr>
            <w:tcW w:w="3500" w:type="dxa"/>
          </w:tcPr>
          <w:p w14:paraId="78F9CC25" w14:textId="77777777" w:rsidR="000C48A6" w:rsidRPr="004C12C9" w:rsidRDefault="000C48A6" w:rsidP="00106B6F">
            <w:pPr>
              <w:pStyle w:val="ICFTabletext"/>
            </w:pPr>
            <w:r w:rsidRPr="004C12C9">
              <w:t>Solid storage</w:t>
            </w:r>
          </w:p>
        </w:tc>
        <w:tc>
          <w:tcPr>
            <w:tcW w:w="3510" w:type="dxa"/>
            <w:vAlign w:val="bottom"/>
          </w:tcPr>
          <w:p w14:paraId="22199C55" w14:textId="77777777" w:rsidR="000C48A6" w:rsidRPr="004C12C9" w:rsidRDefault="000C48A6" w:rsidP="00106B6F">
            <w:pPr>
              <w:pStyle w:val="ICFTabletext"/>
              <w:jc w:val="center"/>
            </w:pPr>
            <w:r w:rsidRPr="004C12C9">
              <w:t>2.0</w:t>
            </w:r>
          </w:p>
        </w:tc>
      </w:tr>
      <w:tr w:rsidR="000C48A6" w:rsidRPr="004C12C9" w14:paraId="1FFA86B0" w14:textId="77777777" w:rsidTr="00B71BAA">
        <w:trPr>
          <w:trHeight w:val="20"/>
        </w:trPr>
        <w:tc>
          <w:tcPr>
            <w:tcW w:w="3500" w:type="dxa"/>
          </w:tcPr>
          <w:p w14:paraId="4E5088EF" w14:textId="64B2BBF5" w:rsidR="000C48A6" w:rsidRPr="004C12C9" w:rsidRDefault="000C48A6" w:rsidP="00106B6F">
            <w:pPr>
              <w:pStyle w:val="ICFTabletext"/>
            </w:pPr>
            <w:r w:rsidRPr="004C12C9">
              <w:t>Deep pit</w:t>
            </w:r>
            <w:r w:rsidR="00473AD0" w:rsidRPr="004C12C9">
              <w:rPr>
                <w:vertAlign w:val="superscript"/>
              </w:rPr>
              <w:t>a</w:t>
            </w:r>
          </w:p>
        </w:tc>
        <w:tc>
          <w:tcPr>
            <w:tcW w:w="3510" w:type="dxa"/>
            <w:vAlign w:val="bottom"/>
          </w:tcPr>
          <w:p w14:paraId="02A21B36" w14:textId="77777777" w:rsidR="000C48A6" w:rsidRPr="004C12C9" w:rsidRDefault="000C48A6" w:rsidP="00106B6F">
            <w:pPr>
              <w:pStyle w:val="ICFTabletext"/>
              <w:jc w:val="center"/>
            </w:pPr>
            <w:r w:rsidRPr="004C12C9">
              <w:t>24.5</w:t>
            </w:r>
          </w:p>
        </w:tc>
      </w:tr>
      <w:tr w:rsidR="000C48A6" w:rsidRPr="004C12C9" w14:paraId="0D7A51DA" w14:textId="77777777" w:rsidTr="00B71BAA">
        <w:trPr>
          <w:trHeight w:val="20"/>
        </w:trPr>
        <w:tc>
          <w:tcPr>
            <w:tcW w:w="3500" w:type="dxa"/>
          </w:tcPr>
          <w:p w14:paraId="690DDDE3" w14:textId="1D92DA8E" w:rsidR="000C48A6" w:rsidRPr="004C12C9" w:rsidRDefault="000C48A6" w:rsidP="00106B6F">
            <w:pPr>
              <w:pStyle w:val="ICFTabletext"/>
            </w:pPr>
            <w:r w:rsidRPr="004C12C9">
              <w:t>Composting</w:t>
            </w:r>
            <w:r w:rsidR="00473AD0" w:rsidRPr="004C12C9">
              <w:rPr>
                <w:vertAlign w:val="superscript"/>
              </w:rPr>
              <w:t>b</w:t>
            </w:r>
          </w:p>
        </w:tc>
        <w:tc>
          <w:tcPr>
            <w:tcW w:w="3510" w:type="dxa"/>
            <w:vAlign w:val="bottom"/>
          </w:tcPr>
          <w:p w14:paraId="5406370A" w14:textId="77777777" w:rsidR="000C48A6" w:rsidRPr="004C12C9" w:rsidRDefault="000C48A6" w:rsidP="00106B6F">
            <w:pPr>
              <w:pStyle w:val="ICFTabletext"/>
              <w:jc w:val="center"/>
            </w:pPr>
            <w:r w:rsidRPr="004C12C9">
              <w:t>0.8</w:t>
            </w:r>
          </w:p>
        </w:tc>
      </w:tr>
      <w:tr w:rsidR="000C48A6" w:rsidRPr="004C12C9" w14:paraId="03DB72DF" w14:textId="77777777" w:rsidTr="00B71BAA">
        <w:trPr>
          <w:trHeight w:val="20"/>
        </w:trPr>
        <w:tc>
          <w:tcPr>
            <w:tcW w:w="3500" w:type="dxa"/>
          </w:tcPr>
          <w:p w14:paraId="28A2DC28" w14:textId="77777777" w:rsidR="000C48A6" w:rsidRPr="004C12C9" w:rsidRDefault="000C48A6" w:rsidP="00106B6F">
            <w:pPr>
              <w:pStyle w:val="ICFTabletext"/>
            </w:pPr>
            <w:r w:rsidRPr="004C12C9">
              <w:t xml:space="preserve">Cattle deep litter </w:t>
            </w:r>
          </w:p>
        </w:tc>
        <w:tc>
          <w:tcPr>
            <w:tcW w:w="3510" w:type="dxa"/>
            <w:vAlign w:val="bottom"/>
          </w:tcPr>
          <w:p w14:paraId="0AE4BAB5" w14:textId="77777777" w:rsidR="000C48A6" w:rsidRPr="004C12C9" w:rsidRDefault="000C48A6" w:rsidP="00106B6F">
            <w:pPr>
              <w:pStyle w:val="ICFTabletext"/>
              <w:jc w:val="center"/>
            </w:pPr>
            <w:r w:rsidRPr="004C12C9">
              <w:t>20.0</w:t>
            </w:r>
          </w:p>
        </w:tc>
      </w:tr>
      <w:tr w:rsidR="000C48A6" w:rsidRPr="004C12C9" w14:paraId="5C6E52A8" w14:textId="77777777" w:rsidTr="00B71BAA">
        <w:trPr>
          <w:trHeight w:val="20"/>
        </w:trPr>
        <w:tc>
          <w:tcPr>
            <w:tcW w:w="3500" w:type="dxa"/>
          </w:tcPr>
          <w:p w14:paraId="14D28292" w14:textId="77777777" w:rsidR="000C48A6" w:rsidRPr="004C12C9" w:rsidRDefault="000C48A6" w:rsidP="00106B6F">
            <w:pPr>
              <w:pStyle w:val="ICFTabletext"/>
            </w:pPr>
            <w:r w:rsidRPr="004C12C9">
              <w:t>Daily spread</w:t>
            </w:r>
          </w:p>
        </w:tc>
        <w:tc>
          <w:tcPr>
            <w:tcW w:w="3510" w:type="dxa"/>
            <w:vAlign w:val="bottom"/>
          </w:tcPr>
          <w:p w14:paraId="6AE7DF4C" w14:textId="77777777" w:rsidR="000C48A6" w:rsidRPr="004C12C9" w:rsidRDefault="000C48A6" w:rsidP="00106B6F">
            <w:pPr>
              <w:pStyle w:val="ICFTabletext"/>
              <w:jc w:val="center"/>
            </w:pPr>
            <w:r w:rsidRPr="004C12C9" w:rsidDel="00B376A1">
              <w:t>0.1</w:t>
            </w:r>
          </w:p>
        </w:tc>
      </w:tr>
      <w:tr w:rsidR="000C48A6" w:rsidRPr="004C12C9" w14:paraId="47744AE6" w14:textId="77777777" w:rsidTr="00B71BAA">
        <w:trPr>
          <w:trHeight w:val="20"/>
        </w:trPr>
        <w:tc>
          <w:tcPr>
            <w:tcW w:w="3500" w:type="dxa"/>
          </w:tcPr>
          <w:p w14:paraId="0F65CE2D" w14:textId="660E384C" w:rsidR="000C48A6" w:rsidRPr="004C12C9" w:rsidRDefault="000C48A6" w:rsidP="00106B6F">
            <w:pPr>
              <w:pStyle w:val="ICFTabletext"/>
            </w:pPr>
            <w:r w:rsidRPr="004C12C9">
              <w:t>Anaerobic lagoon - liquid</w:t>
            </w:r>
            <w:r w:rsidR="00473AD0" w:rsidRPr="004C12C9">
              <w:rPr>
                <w:vertAlign w:val="superscript"/>
              </w:rPr>
              <w:t>a</w:t>
            </w:r>
          </w:p>
        </w:tc>
        <w:tc>
          <w:tcPr>
            <w:tcW w:w="3510" w:type="dxa"/>
            <w:vAlign w:val="bottom"/>
          </w:tcPr>
          <w:p w14:paraId="4FA35157" w14:textId="77777777" w:rsidR="000C48A6" w:rsidRPr="004C12C9" w:rsidRDefault="000C48A6" w:rsidP="00106B6F">
            <w:pPr>
              <w:pStyle w:val="ICFTabletext"/>
              <w:jc w:val="center"/>
            </w:pPr>
            <w:r w:rsidRPr="004C12C9">
              <w:t>68.3</w:t>
            </w:r>
          </w:p>
        </w:tc>
      </w:tr>
      <w:tr w:rsidR="000C48A6" w:rsidRPr="004C12C9" w14:paraId="4C32AED2" w14:textId="77777777" w:rsidTr="00B71BAA">
        <w:trPr>
          <w:trHeight w:val="20"/>
        </w:trPr>
        <w:tc>
          <w:tcPr>
            <w:tcW w:w="3500" w:type="dxa"/>
          </w:tcPr>
          <w:p w14:paraId="536A40A8" w14:textId="5100DF82" w:rsidR="000C48A6" w:rsidRPr="004C12C9" w:rsidRDefault="000C48A6" w:rsidP="00106B6F">
            <w:pPr>
              <w:pStyle w:val="ICFTabletext"/>
            </w:pPr>
            <w:r w:rsidRPr="004C12C9">
              <w:t>Anaerobic digester</w:t>
            </w:r>
            <w:r w:rsidR="004A32DF" w:rsidRPr="004C12C9">
              <w:rPr>
                <w:vertAlign w:val="superscript"/>
              </w:rPr>
              <w:t>c</w:t>
            </w:r>
          </w:p>
        </w:tc>
        <w:tc>
          <w:tcPr>
            <w:tcW w:w="3510" w:type="dxa"/>
            <w:vAlign w:val="bottom"/>
          </w:tcPr>
          <w:p w14:paraId="2E3F4479" w14:textId="145FC360" w:rsidR="000C48A6" w:rsidRPr="004C12C9" w:rsidRDefault="005D6122" w:rsidP="00106B6F">
            <w:pPr>
              <w:pStyle w:val="ICFTabletext"/>
              <w:jc w:val="center"/>
            </w:pPr>
            <w:r w:rsidRPr="004C12C9">
              <w:t>3.6</w:t>
            </w:r>
          </w:p>
        </w:tc>
      </w:tr>
      <w:tr w:rsidR="000C48A6" w:rsidRPr="004C12C9" w14:paraId="36C5F7F3" w14:textId="77777777" w:rsidTr="00B71BAA">
        <w:trPr>
          <w:trHeight w:val="20"/>
        </w:trPr>
        <w:tc>
          <w:tcPr>
            <w:tcW w:w="3500" w:type="dxa"/>
          </w:tcPr>
          <w:p w14:paraId="4F699876" w14:textId="77777777" w:rsidR="000C48A6" w:rsidRPr="004C12C9" w:rsidRDefault="000C48A6" w:rsidP="00106B6F">
            <w:pPr>
              <w:pStyle w:val="ICFTabletext"/>
            </w:pPr>
            <w:r w:rsidRPr="004C12C9">
              <w:t xml:space="preserve">Poultry without litter </w:t>
            </w:r>
          </w:p>
        </w:tc>
        <w:tc>
          <w:tcPr>
            <w:tcW w:w="3510" w:type="dxa"/>
            <w:vAlign w:val="bottom"/>
          </w:tcPr>
          <w:p w14:paraId="210ACF78" w14:textId="77777777" w:rsidR="000C48A6" w:rsidRPr="004C12C9" w:rsidRDefault="000C48A6" w:rsidP="00106B6F">
            <w:pPr>
              <w:pStyle w:val="ICFTabletext"/>
              <w:jc w:val="center"/>
            </w:pPr>
            <w:r w:rsidRPr="004C12C9" w:rsidDel="00B376A1">
              <w:t>1.5</w:t>
            </w:r>
          </w:p>
        </w:tc>
      </w:tr>
      <w:tr w:rsidR="000C48A6" w:rsidRPr="004C12C9" w14:paraId="708A3128" w14:textId="77777777" w:rsidTr="00B71BAA">
        <w:trPr>
          <w:trHeight w:val="20"/>
        </w:trPr>
        <w:tc>
          <w:tcPr>
            <w:tcW w:w="3500" w:type="dxa"/>
          </w:tcPr>
          <w:p w14:paraId="63C5F872" w14:textId="77777777" w:rsidR="000C48A6" w:rsidRPr="004C12C9" w:rsidRDefault="000C48A6" w:rsidP="00106B6F">
            <w:pPr>
              <w:pStyle w:val="ICFTabletext"/>
            </w:pPr>
            <w:r w:rsidRPr="004C12C9">
              <w:t>Poultry with litter</w:t>
            </w:r>
          </w:p>
        </w:tc>
        <w:tc>
          <w:tcPr>
            <w:tcW w:w="3510" w:type="dxa"/>
            <w:vAlign w:val="bottom"/>
          </w:tcPr>
          <w:p w14:paraId="3CD91F15" w14:textId="77777777" w:rsidR="000C48A6" w:rsidRPr="004C12C9" w:rsidRDefault="000C48A6" w:rsidP="00106B6F">
            <w:pPr>
              <w:pStyle w:val="ICFTabletext"/>
              <w:jc w:val="center"/>
            </w:pPr>
            <w:r w:rsidRPr="004C12C9">
              <w:t>1.5</w:t>
            </w:r>
          </w:p>
        </w:tc>
      </w:tr>
    </w:tbl>
    <w:p w14:paraId="55ED7380" w14:textId="4F597628" w:rsidR="002D23BC" w:rsidRPr="004C12C9" w:rsidRDefault="00473AD0" w:rsidP="00106B6F">
      <w:pPr>
        <w:pStyle w:val="TableFooter"/>
      </w:pPr>
      <w:r w:rsidRPr="004C12C9">
        <w:rPr>
          <w:vertAlign w:val="superscript"/>
        </w:rPr>
        <w:t xml:space="preserve">a </w:t>
      </w:r>
      <w:r w:rsidR="000C48A6" w:rsidRPr="004C12C9">
        <w:t>For liquid systems, methane conversion factors were averaged across livestock types.</w:t>
      </w:r>
    </w:p>
    <w:p w14:paraId="3373C86D" w14:textId="3616C475" w:rsidR="000C48A6" w:rsidRPr="004C12C9" w:rsidRDefault="00473AD0" w:rsidP="00106B6F">
      <w:pPr>
        <w:pStyle w:val="TableFooter"/>
      </w:pPr>
      <w:r w:rsidRPr="004C12C9">
        <w:rPr>
          <w:vertAlign w:val="superscript"/>
        </w:rPr>
        <w:t xml:space="preserve">b </w:t>
      </w:r>
      <w:r w:rsidR="000C48A6" w:rsidRPr="004C12C9">
        <w:t>Value calculated by averaging values across all types of composting systems.</w:t>
      </w:r>
    </w:p>
    <w:p w14:paraId="65A3C8F8" w14:textId="1957A1C6" w:rsidR="004A32DF" w:rsidRPr="004C12C9" w:rsidRDefault="004A32DF" w:rsidP="00106B6F">
      <w:pPr>
        <w:pStyle w:val="TableFooter"/>
      </w:pPr>
      <w:r w:rsidRPr="004C12C9">
        <w:rPr>
          <w:vertAlign w:val="superscript"/>
        </w:rPr>
        <w:t xml:space="preserve">c </w:t>
      </w:r>
      <w:r w:rsidR="006D68AD" w:rsidRPr="004C12C9">
        <w:t xml:space="preserve">Methane conversion factor </w:t>
      </w:r>
      <w:r w:rsidR="00F21F37" w:rsidRPr="004C12C9">
        <w:t>obtained directly from the IPCC 2019 Refinement, Table 10.17</w:t>
      </w:r>
      <w:r w:rsidR="00A52C3B" w:rsidRPr="004C12C9">
        <w:t>.</w:t>
      </w:r>
    </w:p>
    <w:p w14:paraId="7BDCC8F9" w14:textId="77777777" w:rsidR="000C48A6" w:rsidRPr="004C12C9" w:rsidRDefault="000C48A6" w:rsidP="00E31E37">
      <w:pPr>
        <w:pStyle w:val="Heading4"/>
      </w:pPr>
      <w:r w:rsidRPr="004C12C9">
        <w:t>Nitrogen Excretion Rate</w:t>
      </w:r>
    </w:p>
    <w:p w14:paraId="6016F9D2" w14:textId="3054F017" w:rsidR="000C48A6" w:rsidRPr="004C12C9" w:rsidRDefault="000C48A6" w:rsidP="00972CF9">
      <w:pPr>
        <w:rPr>
          <w:rFonts w:eastAsia="Arial"/>
        </w:rPr>
      </w:pPr>
      <w:r w:rsidRPr="004C12C9">
        <w:t xml:space="preserve">The nitrogen excretion rates by animal type were obtained from Tables A-157 and A-158 in the U.S. GHG Inventory and converted to kg N/kg animal liveweight/year, as summarized in </w:t>
      </w:r>
      <w:r w:rsidR="000335AF">
        <w:fldChar w:fldCharType="begin"/>
      </w:r>
      <w:r w:rsidR="000335AF">
        <w:instrText xml:space="preserve"> REF _Ref219842128 \h </w:instrText>
      </w:r>
      <w:r w:rsidR="000335AF">
        <w:fldChar w:fldCharType="separate"/>
      </w:r>
      <w:r w:rsidR="000335AF" w:rsidRPr="004C12C9">
        <w:t xml:space="preserve">Table </w:t>
      </w:r>
      <w:r w:rsidR="000335AF">
        <w:rPr>
          <w:noProof/>
        </w:rPr>
        <w:t>3</w:t>
      </w:r>
      <w:r w:rsidR="000335AF">
        <w:noBreakHyphen/>
      </w:r>
      <w:r w:rsidR="000335AF">
        <w:rPr>
          <w:noProof/>
        </w:rPr>
        <w:t>36</w:t>
      </w:r>
      <w:r w:rsidR="000335AF">
        <w:fldChar w:fldCharType="end"/>
      </w:r>
      <w:r w:rsidR="000335AF">
        <w:t xml:space="preserve"> </w:t>
      </w:r>
      <w:r w:rsidRPr="004C12C9">
        <w:t>below.</w:t>
      </w:r>
      <w:r w:rsidR="001C29CF" w:rsidRPr="004C12C9">
        <w:rPr>
          <w:rStyle w:val="FootnoteReference"/>
        </w:rPr>
        <w:t xml:space="preserve"> </w:t>
      </w:r>
      <w:r w:rsidR="001C29CF" w:rsidRPr="004C12C9">
        <w:rPr>
          <w:rStyle w:val="FootnoteReference"/>
        </w:rPr>
        <w:footnoteReference w:id="133"/>
      </w:r>
    </w:p>
    <w:p w14:paraId="6C7ACB2C" w14:textId="100DE114" w:rsidR="000C48A6" w:rsidRPr="004C12C9" w:rsidRDefault="000C48A6" w:rsidP="00972CF9">
      <w:pPr>
        <w:pStyle w:val="Caption"/>
      </w:pPr>
      <w:bookmarkStart w:id="248" w:name="_Ref219842128"/>
      <w:bookmarkStart w:id="249" w:name="_Ref184740934"/>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36</w:t>
      </w:r>
      <w:r w:rsidR="00F72B41">
        <w:fldChar w:fldCharType="end"/>
      </w:r>
      <w:bookmarkEnd w:id="248"/>
      <w:bookmarkEnd w:id="249"/>
      <w:r w:rsidRPr="004C12C9">
        <w:t>. Nitrogen Excretion Rates by Animal Type</w:t>
      </w:r>
    </w:p>
    <w:tbl>
      <w:tblPr>
        <w:tblW w:w="78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15"/>
        <w:gridCol w:w="5310"/>
      </w:tblGrid>
      <w:tr w:rsidR="000C48A6" w:rsidRPr="004C12C9" w14:paraId="093C9592" w14:textId="77777777" w:rsidTr="007126D9">
        <w:trPr>
          <w:trHeight w:val="180"/>
          <w:tblHeader/>
        </w:trPr>
        <w:tc>
          <w:tcPr>
            <w:tcW w:w="2515" w:type="dxa"/>
            <w:shd w:val="clear" w:color="auto" w:fill="D9D9D9" w:themeFill="background1" w:themeFillShade="D9"/>
            <w:vAlign w:val="center"/>
            <w:hideMark/>
          </w:tcPr>
          <w:p w14:paraId="3DD147AD" w14:textId="77777777" w:rsidR="000C48A6" w:rsidRPr="004C12C9" w:rsidRDefault="000C48A6" w:rsidP="00106B6F">
            <w:pPr>
              <w:pStyle w:val="ICFTableHeading"/>
            </w:pPr>
            <w:r w:rsidRPr="004C12C9">
              <w:t>Livestock Type</w:t>
            </w:r>
          </w:p>
        </w:tc>
        <w:tc>
          <w:tcPr>
            <w:tcW w:w="5310" w:type="dxa"/>
            <w:shd w:val="clear" w:color="auto" w:fill="D9D9D9" w:themeFill="background1" w:themeFillShade="D9"/>
            <w:vAlign w:val="center"/>
            <w:hideMark/>
          </w:tcPr>
          <w:p w14:paraId="3E70D232" w14:textId="7E8A0661" w:rsidR="000C48A6" w:rsidRPr="004C12C9" w:rsidRDefault="000C48A6" w:rsidP="007126D9">
            <w:pPr>
              <w:pStyle w:val="ICFTableHeading"/>
            </w:pPr>
            <w:r w:rsidRPr="004C12C9">
              <w:t>Excreted Nitrogen (kgN/kg animal liveweight/year)</w:t>
            </w:r>
          </w:p>
        </w:tc>
      </w:tr>
      <w:tr w:rsidR="000C48A6" w:rsidRPr="004C12C9" w14:paraId="52442C09" w14:textId="77777777" w:rsidTr="007126D9">
        <w:trPr>
          <w:trHeight w:val="20"/>
        </w:trPr>
        <w:tc>
          <w:tcPr>
            <w:tcW w:w="2515" w:type="dxa"/>
            <w:vAlign w:val="center"/>
          </w:tcPr>
          <w:p w14:paraId="7442A780" w14:textId="77777777" w:rsidR="000C48A6" w:rsidRPr="004C12C9" w:rsidRDefault="000C48A6" w:rsidP="00106B6F">
            <w:pPr>
              <w:pStyle w:val="ICFTabletext"/>
            </w:pPr>
            <w:r w:rsidRPr="004C12C9">
              <w:t>Bulls</w:t>
            </w:r>
          </w:p>
        </w:tc>
        <w:tc>
          <w:tcPr>
            <w:tcW w:w="5310" w:type="dxa"/>
          </w:tcPr>
          <w:p w14:paraId="3C20D2CF" w14:textId="77777777" w:rsidR="000C48A6" w:rsidRPr="004C12C9" w:rsidRDefault="000C48A6" w:rsidP="00106B6F">
            <w:pPr>
              <w:pStyle w:val="ICFTabletext"/>
              <w:jc w:val="center"/>
            </w:pPr>
            <w:r w:rsidRPr="004C12C9">
              <w:t>0.10</w:t>
            </w:r>
          </w:p>
        </w:tc>
      </w:tr>
      <w:tr w:rsidR="000C48A6" w:rsidRPr="004C12C9" w14:paraId="00BC60E9" w14:textId="77777777" w:rsidTr="007126D9">
        <w:trPr>
          <w:trHeight w:val="20"/>
        </w:trPr>
        <w:tc>
          <w:tcPr>
            <w:tcW w:w="2515" w:type="dxa"/>
            <w:vAlign w:val="center"/>
          </w:tcPr>
          <w:p w14:paraId="1C5A3122" w14:textId="77777777" w:rsidR="000C48A6" w:rsidRPr="004C12C9" w:rsidRDefault="000C48A6" w:rsidP="00106B6F">
            <w:pPr>
              <w:pStyle w:val="ICFTabletext"/>
            </w:pPr>
            <w:r w:rsidRPr="004C12C9">
              <w:t>Beef cows</w:t>
            </w:r>
          </w:p>
        </w:tc>
        <w:tc>
          <w:tcPr>
            <w:tcW w:w="5310" w:type="dxa"/>
          </w:tcPr>
          <w:p w14:paraId="4B1BB35A" w14:textId="77777777" w:rsidR="000C48A6" w:rsidRPr="004C12C9" w:rsidRDefault="000C48A6" w:rsidP="00106B6F">
            <w:pPr>
              <w:pStyle w:val="ICFTabletext"/>
              <w:jc w:val="center"/>
            </w:pPr>
            <w:r w:rsidRPr="004C12C9">
              <w:t>0.13</w:t>
            </w:r>
          </w:p>
        </w:tc>
      </w:tr>
      <w:tr w:rsidR="000C48A6" w:rsidRPr="004C12C9" w14:paraId="1B433BDE" w14:textId="77777777" w:rsidTr="007126D9">
        <w:trPr>
          <w:trHeight w:val="20"/>
        </w:trPr>
        <w:tc>
          <w:tcPr>
            <w:tcW w:w="2515" w:type="dxa"/>
            <w:vAlign w:val="center"/>
          </w:tcPr>
          <w:p w14:paraId="55DE7C9F" w14:textId="77777777" w:rsidR="000C48A6" w:rsidRPr="004C12C9" w:rsidRDefault="000C48A6" w:rsidP="00106B6F">
            <w:pPr>
              <w:pStyle w:val="ICFTabletext"/>
            </w:pPr>
            <w:r w:rsidRPr="004C12C9">
              <w:t>Beef heifers</w:t>
            </w:r>
          </w:p>
        </w:tc>
        <w:tc>
          <w:tcPr>
            <w:tcW w:w="5310" w:type="dxa"/>
          </w:tcPr>
          <w:p w14:paraId="535FBF85" w14:textId="0C892409" w:rsidR="000C48A6" w:rsidRPr="004C12C9" w:rsidRDefault="000C48A6" w:rsidP="00106B6F">
            <w:pPr>
              <w:pStyle w:val="ICFTabletext"/>
              <w:jc w:val="center"/>
            </w:pPr>
            <w:r w:rsidRPr="004C12C9">
              <w:t>0.1</w:t>
            </w:r>
            <w:r w:rsidR="0042016E" w:rsidRPr="004C12C9">
              <w:t>4</w:t>
            </w:r>
          </w:p>
        </w:tc>
      </w:tr>
      <w:tr w:rsidR="000C48A6" w:rsidRPr="004C12C9" w14:paraId="29A6309A" w14:textId="77777777" w:rsidTr="007126D9">
        <w:trPr>
          <w:trHeight w:val="20"/>
        </w:trPr>
        <w:tc>
          <w:tcPr>
            <w:tcW w:w="2515" w:type="dxa"/>
            <w:vAlign w:val="center"/>
          </w:tcPr>
          <w:p w14:paraId="7D5C725C" w14:textId="77777777" w:rsidR="000C48A6" w:rsidRPr="004C12C9" w:rsidRDefault="000C48A6" w:rsidP="00106B6F">
            <w:pPr>
              <w:pStyle w:val="ICFTabletext"/>
            </w:pPr>
            <w:r w:rsidRPr="004C12C9">
              <w:t>Steer stockers</w:t>
            </w:r>
          </w:p>
        </w:tc>
        <w:tc>
          <w:tcPr>
            <w:tcW w:w="5310" w:type="dxa"/>
          </w:tcPr>
          <w:p w14:paraId="5E9C34E5" w14:textId="5BE401CA" w:rsidR="000C48A6" w:rsidRPr="004C12C9" w:rsidRDefault="000C48A6" w:rsidP="00106B6F">
            <w:pPr>
              <w:pStyle w:val="ICFTabletext"/>
              <w:jc w:val="center"/>
            </w:pPr>
            <w:r w:rsidRPr="004C12C9">
              <w:t>0.1</w:t>
            </w:r>
            <w:r w:rsidR="00E62775" w:rsidRPr="004C12C9">
              <w:t>3</w:t>
            </w:r>
          </w:p>
        </w:tc>
      </w:tr>
      <w:tr w:rsidR="000C48A6" w:rsidRPr="004C12C9" w14:paraId="6B4E2198" w14:textId="77777777" w:rsidTr="007126D9">
        <w:trPr>
          <w:trHeight w:val="20"/>
        </w:trPr>
        <w:tc>
          <w:tcPr>
            <w:tcW w:w="2515" w:type="dxa"/>
            <w:vAlign w:val="center"/>
          </w:tcPr>
          <w:p w14:paraId="67A33DA3" w14:textId="77777777" w:rsidR="000C48A6" w:rsidRPr="004C12C9" w:rsidRDefault="000C48A6" w:rsidP="00106B6F">
            <w:pPr>
              <w:pStyle w:val="ICFTabletext"/>
            </w:pPr>
            <w:r w:rsidRPr="004C12C9">
              <w:t>Heifer stockers</w:t>
            </w:r>
          </w:p>
        </w:tc>
        <w:tc>
          <w:tcPr>
            <w:tcW w:w="5310" w:type="dxa"/>
          </w:tcPr>
          <w:p w14:paraId="7C80912B" w14:textId="77777777" w:rsidR="000C48A6" w:rsidRPr="004C12C9" w:rsidRDefault="000C48A6" w:rsidP="00106B6F">
            <w:pPr>
              <w:pStyle w:val="ICFTabletext"/>
              <w:jc w:val="center"/>
            </w:pPr>
            <w:r w:rsidRPr="004C12C9">
              <w:t>0.14</w:t>
            </w:r>
          </w:p>
        </w:tc>
      </w:tr>
      <w:tr w:rsidR="000C48A6" w:rsidRPr="004C12C9" w14:paraId="3CBC2518" w14:textId="77777777" w:rsidTr="007126D9">
        <w:trPr>
          <w:trHeight w:val="20"/>
        </w:trPr>
        <w:tc>
          <w:tcPr>
            <w:tcW w:w="2515" w:type="dxa"/>
            <w:vAlign w:val="center"/>
          </w:tcPr>
          <w:p w14:paraId="2F6BB18A" w14:textId="4ED66FE1" w:rsidR="000C48A6" w:rsidRPr="004C12C9" w:rsidRDefault="000C48A6" w:rsidP="00106B6F">
            <w:pPr>
              <w:pStyle w:val="ICFTabletext"/>
            </w:pPr>
            <w:r w:rsidRPr="004C12C9">
              <w:t>Feedlot beef</w:t>
            </w:r>
            <w:r w:rsidR="00B947D4" w:rsidRPr="004C12C9">
              <w:rPr>
                <w:vertAlign w:val="superscript"/>
              </w:rPr>
              <w:t>a</w:t>
            </w:r>
          </w:p>
        </w:tc>
        <w:tc>
          <w:tcPr>
            <w:tcW w:w="5310" w:type="dxa"/>
          </w:tcPr>
          <w:p w14:paraId="5186D592" w14:textId="77777777" w:rsidR="000C48A6" w:rsidRPr="004C12C9" w:rsidRDefault="000C48A6" w:rsidP="00106B6F">
            <w:pPr>
              <w:pStyle w:val="ICFTabletext"/>
              <w:jc w:val="center"/>
            </w:pPr>
            <w:r w:rsidRPr="004C12C9">
              <w:t>0.14</w:t>
            </w:r>
          </w:p>
        </w:tc>
      </w:tr>
      <w:tr w:rsidR="000C48A6" w:rsidRPr="004C12C9" w14:paraId="17BF17F0" w14:textId="77777777" w:rsidTr="007126D9">
        <w:trPr>
          <w:trHeight w:val="20"/>
        </w:trPr>
        <w:tc>
          <w:tcPr>
            <w:tcW w:w="2515" w:type="dxa"/>
            <w:vAlign w:val="center"/>
          </w:tcPr>
          <w:p w14:paraId="18E7E881" w14:textId="77777777" w:rsidR="000C48A6" w:rsidRPr="004C12C9" w:rsidRDefault="000C48A6" w:rsidP="00106B6F">
            <w:pPr>
              <w:pStyle w:val="ICFTabletext"/>
            </w:pPr>
            <w:r w:rsidRPr="004C12C9">
              <w:t xml:space="preserve">Beef calves </w:t>
            </w:r>
          </w:p>
        </w:tc>
        <w:tc>
          <w:tcPr>
            <w:tcW w:w="5310" w:type="dxa"/>
          </w:tcPr>
          <w:p w14:paraId="13CF6E17" w14:textId="77777777" w:rsidR="000C48A6" w:rsidRPr="004C12C9" w:rsidRDefault="000C48A6" w:rsidP="00106B6F">
            <w:pPr>
              <w:pStyle w:val="ICFTabletext"/>
              <w:jc w:val="center"/>
            </w:pPr>
            <w:r w:rsidRPr="004C12C9">
              <w:t>0.16</w:t>
            </w:r>
          </w:p>
        </w:tc>
      </w:tr>
      <w:tr w:rsidR="000C48A6" w:rsidRPr="004C12C9" w14:paraId="5BB5E437" w14:textId="77777777" w:rsidTr="007126D9">
        <w:trPr>
          <w:trHeight w:val="20"/>
        </w:trPr>
        <w:tc>
          <w:tcPr>
            <w:tcW w:w="2515" w:type="dxa"/>
            <w:vAlign w:val="center"/>
          </w:tcPr>
          <w:p w14:paraId="190612C7" w14:textId="77777777" w:rsidR="000C48A6" w:rsidRPr="004C12C9" w:rsidRDefault="000C48A6" w:rsidP="00106B6F">
            <w:pPr>
              <w:pStyle w:val="ICFTabletext"/>
            </w:pPr>
            <w:r w:rsidRPr="004C12C9">
              <w:lastRenderedPageBreak/>
              <w:t>Dairy heifers</w:t>
            </w:r>
          </w:p>
        </w:tc>
        <w:tc>
          <w:tcPr>
            <w:tcW w:w="5310" w:type="dxa"/>
          </w:tcPr>
          <w:p w14:paraId="190B25CD" w14:textId="77777777" w:rsidR="000C48A6" w:rsidRPr="004C12C9" w:rsidRDefault="000C48A6" w:rsidP="00106B6F">
            <w:pPr>
              <w:pStyle w:val="ICFTabletext"/>
              <w:jc w:val="center"/>
            </w:pPr>
            <w:r w:rsidRPr="004C12C9">
              <w:t>0.17</w:t>
            </w:r>
          </w:p>
        </w:tc>
      </w:tr>
      <w:tr w:rsidR="000C48A6" w:rsidRPr="004C12C9" w14:paraId="758BC829" w14:textId="77777777" w:rsidTr="007126D9">
        <w:trPr>
          <w:trHeight w:val="20"/>
        </w:trPr>
        <w:tc>
          <w:tcPr>
            <w:tcW w:w="2515" w:type="dxa"/>
            <w:vAlign w:val="center"/>
          </w:tcPr>
          <w:p w14:paraId="6C00FB67" w14:textId="77777777" w:rsidR="000C48A6" w:rsidRPr="004C12C9" w:rsidRDefault="000C48A6" w:rsidP="00106B6F">
            <w:pPr>
              <w:pStyle w:val="ICFTabletext"/>
            </w:pPr>
            <w:r w:rsidRPr="004C12C9">
              <w:t>Dairy cows</w:t>
            </w:r>
          </w:p>
        </w:tc>
        <w:tc>
          <w:tcPr>
            <w:tcW w:w="5310" w:type="dxa"/>
          </w:tcPr>
          <w:p w14:paraId="7CB98E0F" w14:textId="77777777" w:rsidR="000C48A6" w:rsidRPr="004C12C9" w:rsidRDefault="000C48A6" w:rsidP="00106B6F">
            <w:pPr>
              <w:pStyle w:val="ICFTabletext"/>
              <w:jc w:val="center"/>
            </w:pPr>
            <w:r w:rsidRPr="004C12C9">
              <w:t>0.23</w:t>
            </w:r>
          </w:p>
        </w:tc>
      </w:tr>
      <w:tr w:rsidR="000C48A6" w:rsidRPr="004C12C9" w14:paraId="6A18C51F" w14:textId="77777777" w:rsidTr="007126D9">
        <w:trPr>
          <w:trHeight w:val="20"/>
        </w:trPr>
        <w:tc>
          <w:tcPr>
            <w:tcW w:w="2515" w:type="dxa"/>
            <w:vAlign w:val="center"/>
          </w:tcPr>
          <w:p w14:paraId="0E8AD0B2" w14:textId="77777777" w:rsidR="000C48A6" w:rsidRPr="004C12C9" w:rsidRDefault="000C48A6" w:rsidP="00106B6F">
            <w:pPr>
              <w:pStyle w:val="ICFTabletext"/>
            </w:pPr>
            <w:r w:rsidRPr="004C12C9">
              <w:t>Dairy calves</w:t>
            </w:r>
          </w:p>
        </w:tc>
        <w:tc>
          <w:tcPr>
            <w:tcW w:w="5310" w:type="dxa"/>
          </w:tcPr>
          <w:p w14:paraId="7E75039E" w14:textId="77777777" w:rsidR="000C48A6" w:rsidRPr="004C12C9" w:rsidRDefault="000C48A6" w:rsidP="00106B6F">
            <w:pPr>
              <w:pStyle w:val="ICFTabletext"/>
              <w:jc w:val="center"/>
            </w:pPr>
            <w:r w:rsidRPr="004C12C9">
              <w:t>0.16</w:t>
            </w:r>
          </w:p>
        </w:tc>
      </w:tr>
      <w:tr w:rsidR="000C48A6" w:rsidRPr="004C12C9" w14:paraId="78D267CE" w14:textId="77777777" w:rsidTr="007126D9">
        <w:trPr>
          <w:trHeight w:val="20"/>
        </w:trPr>
        <w:tc>
          <w:tcPr>
            <w:tcW w:w="2515" w:type="dxa"/>
            <w:vAlign w:val="bottom"/>
          </w:tcPr>
          <w:p w14:paraId="534F38DC" w14:textId="5570AA11" w:rsidR="000C48A6" w:rsidRPr="004C12C9" w:rsidRDefault="000C48A6" w:rsidP="00106B6F">
            <w:pPr>
              <w:pStyle w:val="ICFTabletext"/>
            </w:pPr>
            <w:r w:rsidRPr="004C12C9">
              <w:t>Swine</w:t>
            </w:r>
            <w:r w:rsidR="00B947D4" w:rsidRPr="004C12C9">
              <w:t>,</w:t>
            </w:r>
            <w:r w:rsidRPr="004C12C9">
              <w:t xml:space="preserve"> &lt;55 lbs </w:t>
            </w:r>
          </w:p>
        </w:tc>
        <w:tc>
          <w:tcPr>
            <w:tcW w:w="5310" w:type="dxa"/>
          </w:tcPr>
          <w:p w14:paraId="214540C4" w14:textId="77777777" w:rsidR="000C48A6" w:rsidRPr="004C12C9" w:rsidRDefault="000C48A6" w:rsidP="00106B6F">
            <w:pPr>
              <w:pStyle w:val="ICFTabletext"/>
              <w:jc w:val="center"/>
            </w:pPr>
            <w:r w:rsidRPr="004C12C9">
              <w:t>0.34</w:t>
            </w:r>
          </w:p>
        </w:tc>
      </w:tr>
      <w:tr w:rsidR="000C48A6" w:rsidRPr="004C12C9" w14:paraId="725B222D" w14:textId="77777777" w:rsidTr="007126D9">
        <w:trPr>
          <w:trHeight w:val="20"/>
        </w:trPr>
        <w:tc>
          <w:tcPr>
            <w:tcW w:w="2515" w:type="dxa"/>
            <w:vAlign w:val="bottom"/>
          </w:tcPr>
          <w:p w14:paraId="3AE54A6A" w14:textId="5E393859" w:rsidR="000C48A6" w:rsidRPr="004C12C9" w:rsidRDefault="000C48A6" w:rsidP="00106B6F">
            <w:pPr>
              <w:pStyle w:val="ICFTabletext"/>
            </w:pPr>
            <w:r w:rsidRPr="004C12C9">
              <w:t>Swine</w:t>
            </w:r>
            <w:r w:rsidR="00B947D4" w:rsidRPr="004C12C9">
              <w:t>,</w:t>
            </w:r>
            <w:r w:rsidRPr="004C12C9">
              <w:t xml:space="preserve"> 55-330 lbs </w:t>
            </w:r>
          </w:p>
        </w:tc>
        <w:tc>
          <w:tcPr>
            <w:tcW w:w="5310" w:type="dxa"/>
          </w:tcPr>
          <w:p w14:paraId="096492A9" w14:textId="77777777" w:rsidR="000C48A6" w:rsidRPr="004C12C9" w:rsidRDefault="000C48A6" w:rsidP="00106B6F">
            <w:pPr>
              <w:pStyle w:val="ICFTabletext"/>
              <w:jc w:val="center"/>
            </w:pPr>
            <w:r w:rsidRPr="004C12C9">
              <w:t>0.20</w:t>
            </w:r>
          </w:p>
        </w:tc>
      </w:tr>
      <w:tr w:rsidR="000C48A6" w:rsidRPr="004C12C9" w14:paraId="0CCF06AB" w14:textId="77777777" w:rsidTr="007126D9">
        <w:trPr>
          <w:trHeight w:val="20"/>
        </w:trPr>
        <w:tc>
          <w:tcPr>
            <w:tcW w:w="2515" w:type="dxa"/>
            <w:vAlign w:val="bottom"/>
          </w:tcPr>
          <w:p w14:paraId="2D3B0ED0" w14:textId="543396EE" w:rsidR="000C48A6" w:rsidRPr="004C12C9" w:rsidRDefault="000C48A6" w:rsidP="00106B6F">
            <w:pPr>
              <w:pStyle w:val="ICFTabletext"/>
            </w:pPr>
            <w:r w:rsidRPr="004C12C9">
              <w:t>Swine</w:t>
            </w:r>
            <w:r w:rsidR="00B947D4" w:rsidRPr="004C12C9">
              <w:t>,</w:t>
            </w:r>
            <w:r w:rsidRPr="004C12C9">
              <w:t xml:space="preserve"> 330+ lbs</w:t>
            </w:r>
          </w:p>
        </w:tc>
        <w:tc>
          <w:tcPr>
            <w:tcW w:w="5310" w:type="dxa"/>
          </w:tcPr>
          <w:p w14:paraId="4DB3FBC8" w14:textId="77777777" w:rsidR="000C48A6" w:rsidRPr="004C12C9" w:rsidRDefault="000C48A6" w:rsidP="00106B6F">
            <w:pPr>
              <w:pStyle w:val="ICFTabletext"/>
              <w:jc w:val="center"/>
            </w:pPr>
            <w:r w:rsidRPr="004C12C9">
              <w:t>0.20</w:t>
            </w:r>
          </w:p>
        </w:tc>
      </w:tr>
      <w:tr w:rsidR="000C48A6" w:rsidRPr="004C12C9" w14:paraId="62A21938" w14:textId="77777777" w:rsidTr="007126D9">
        <w:trPr>
          <w:trHeight w:val="20"/>
        </w:trPr>
        <w:tc>
          <w:tcPr>
            <w:tcW w:w="2515" w:type="dxa"/>
            <w:vAlign w:val="bottom"/>
          </w:tcPr>
          <w:p w14:paraId="7D3F8DE2" w14:textId="77777777" w:rsidR="000C48A6" w:rsidRPr="004C12C9" w:rsidRDefault="000C48A6" w:rsidP="00106B6F">
            <w:pPr>
              <w:pStyle w:val="ICFTabletext"/>
            </w:pPr>
            <w:r w:rsidRPr="004C12C9">
              <w:t>Poultry, layers</w:t>
            </w:r>
          </w:p>
        </w:tc>
        <w:tc>
          <w:tcPr>
            <w:tcW w:w="5310" w:type="dxa"/>
          </w:tcPr>
          <w:p w14:paraId="0A33070C" w14:textId="77777777" w:rsidR="000C48A6" w:rsidRPr="004C12C9" w:rsidRDefault="000C48A6" w:rsidP="00106B6F">
            <w:pPr>
              <w:pStyle w:val="ICFTabletext"/>
              <w:jc w:val="center"/>
            </w:pPr>
            <w:r w:rsidRPr="004C12C9">
              <w:t>0.29</w:t>
            </w:r>
          </w:p>
        </w:tc>
      </w:tr>
      <w:tr w:rsidR="000C48A6" w:rsidRPr="004C12C9" w14:paraId="4B6CC8C9" w14:textId="77777777" w:rsidTr="007126D9">
        <w:trPr>
          <w:trHeight w:val="20"/>
        </w:trPr>
        <w:tc>
          <w:tcPr>
            <w:tcW w:w="2515" w:type="dxa"/>
            <w:vAlign w:val="bottom"/>
          </w:tcPr>
          <w:p w14:paraId="7FAE6C94" w14:textId="77777777" w:rsidR="000C48A6" w:rsidRPr="004C12C9" w:rsidRDefault="000C48A6" w:rsidP="00106B6F">
            <w:pPr>
              <w:pStyle w:val="ICFTabletext"/>
            </w:pPr>
            <w:r w:rsidRPr="004C12C9">
              <w:t>Poultry, pullets</w:t>
            </w:r>
          </w:p>
        </w:tc>
        <w:tc>
          <w:tcPr>
            <w:tcW w:w="5310" w:type="dxa"/>
          </w:tcPr>
          <w:p w14:paraId="618877E7" w14:textId="77777777" w:rsidR="000C48A6" w:rsidRPr="004C12C9" w:rsidRDefault="000C48A6" w:rsidP="00106B6F">
            <w:pPr>
              <w:pStyle w:val="ICFTabletext"/>
              <w:jc w:val="center"/>
            </w:pPr>
            <w:r w:rsidRPr="004C12C9">
              <w:t>0.29</w:t>
            </w:r>
          </w:p>
        </w:tc>
      </w:tr>
      <w:tr w:rsidR="000C48A6" w:rsidRPr="004C12C9" w14:paraId="727E6500" w14:textId="77777777" w:rsidTr="007126D9">
        <w:trPr>
          <w:trHeight w:val="20"/>
        </w:trPr>
        <w:tc>
          <w:tcPr>
            <w:tcW w:w="2515" w:type="dxa"/>
            <w:vAlign w:val="bottom"/>
          </w:tcPr>
          <w:p w14:paraId="275FA821" w14:textId="77777777" w:rsidR="000C48A6" w:rsidRPr="004C12C9" w:rsidRDefault="000C48A6" w:rsidP="00106B6F">
            <w:pPr>
              <w:pStyle w:val="ICFTabletext"/>
            </w:pPr>
            <w:r w:rsidRPr="004C12C9">
              <w:t>Poultry, chickens</w:t>
            </w:r>
          </w:p>
        </w:tc>
        <w:tc>
          <w:tcPr>
            <w:tcW w:w="5310" w:type="dxa"/>
          </w:tcPr>
          <w:p w14:paraId="1BC1BD0D" w14:textId="77777777" w:rsidR="000C48A6" w:rsidRPr="004C12C9" w:rsidRDefault="000C48A6" w:rsidP="00106B6F">
            <w:pPr>
              <w:pStyle w:val="ICFTabletext"/>
              <w:jc w:val="center"/>
            </w:pPr>
            <w:r w:rsidRPr="004C12C9">
              <w:t>0.40</w:t>
            </w:r>
          </w:p>
        </w:tc>
      </w:tr>
      <w:tr w:rsidR="000C48A6" w:rsidRPr="004C12C9" w14:paraId="2B4FAA8C" w14:textId="77777777" w:rsidTr="007126D9">
        <w:trPr>
          <w:trHeight w:val="20"/>
        </w:trPr>
        <w:tc>
          <w:tcPr>
            <w:tcW w:w="2515" w:type="dxa"/>
            <w:vAlign w:val="bottom"/>
          </w:tcPr>
          <w:p w14:paraId="75F5A390" w14:textId="77777777" w:rsidR="000C48A6" w:rsidRPr="004C12C9" w:rsidRDefault="000C48A6" w:rsidP="00106B6F">
            <w:pPr>
              <w:pStyle w:val="ICFTabletext"/>
            </w:pPr>
            <w:r w:rsidRPr="004C12C9">
              <w:t xml:space="preserve">Poultry, broilers </w:t>
            </w:r>
          </w:p>
        </w:tc>
        <w:tc>
          <w:tcPr>
            <w:tcW w:w="5310" w:type="dxa"/>
          </w:tcPr>
          <w:p w14:paraId="6B90C12C" w14:textId="77777777" w:rsidR="000C48A6" w:rsidRPr="004C12C9" w:rsidRDefault="000C48A6" w:rsidP="00106B6F">
            <w:pPr>
              <w:pStyle w:val="ICFTabletext"/>
              <w:jc w:val="center"/>
            </w:pPr>
            <w:r w:rsidRPr="004C12C9">
              <w:t>0.35</w:t>
            </w:r>
          </w:p>
        </w:tc>
      </w:tr>
      <w:tr w:rsidR="000C48A6" w:rsidRPr="004C12C9" w14:paraId="24CB32A3" w14:textId="77777777" w:rsidTr="007126D9">
        <w:trPr>
          <w:trHeight w:val="70"/>
        </w:trPr>
        <w:tc>
          <w:tcPr>
            <w:tcW w:w="2515" w:type="dxa"/>
            <w:vAlign w:val="bottom"/>
          </w:tcPr>
          <w:p w14:paraId="2A4E968D" w14:textId="77777777" w:rsidR="000C48A6" w:rsidRPr="004C12C9" w:rsidRDefault="000C48A6" w:rsidP="00106B6F">
            <w:pPr>
              <w:pStyle w:val="ICFTabletext"/>
            </w:pPr>
            <w:r w:rsidRPr="004C12C9">
              <w:t>Turkeys</w:t>
            </w:r>
          </w:p>
        </w:tc>
        <w:tc>
          <w:tcPr>
            <w:tcW w:w="5310" w:type="dxa"/>
          </w:tcPr>
          <w:p w14:paraId="23F262F6" w14:textId="77777777" w:rsidR="000C48A6" w:rsidRPr="004C12C9" w:rsidRDefault="000C48A6" w:rsidP="00106B6F">
            <w:pPr>
              <w:pStyle w:val="ICFTabletext"/>
              <w:jc w:val="center"/>
            </w:pPr>
            <w:r w:rsidRPr="004C12C9">
              <w:t>0.23</w:t>
            </w:r>
          </w:p>
        </w:tc>
      </w:tr>
    </w:tbl>
    <w:p w14:paraId="226264B1" w14:textId="721B61E5" w:rsidR="000C48A6" w:rsidRPr="004C12C9" w:rsidRDefault="00B947D4" w:rsidP="00106B6F">
      <w:pPr>
        <w:pStyle w:val="TableFooter"/>
      </w:pPr>
      <w:r w:rsidRPr="004C12C9">
        <w:rPr>
          <w:vertAlign w:val="superscript"/>
        </w:rPr>
        <w:t>a</w:t>
      </w:r>
      <w:r w:rsidR="007F6E4B" w:rsidRPr="004C12C9">
        <w:rPr>
          <w:vertAlign w:val="superscript"/>
        </w:rPr>
        <w:t xml:space="preserve"> </w:t>
      </w:r>
      <w:r w:rsidR="000C48A6" w:rsidRPr="004C12C9">
        <w:t>Value calculated by averaging feedlot stockers and feedlot heifers.</w:t>
      </w:r>
    </w:p>
    <w:p w14:paraId="33BDAD19" w14:textId="77777777" w:rsidR="000C48A6" w:rsidRPr="004C12C9" w:rsidRDefault="000C48A6" w:rsidP="00E31E37">
      <w:pPr>
        <w:pStyle w:val="Heading4"/>
      </w:pPr>
      <w:r w:rsidRPr="004C12C9">
        <w:t>Direct Nitrous Oxide Emissions Factor</w:t>
      </w:r>
    </w:p>
    <w:p w14:paraId="0EA666E9" w14:textId="0AED9089" w:rsidR="000C48A6" w:rsidRPr="004C12C9" w:rsidRDefault="000C48A6" w:rsidP="00972CF9">
      <w:r w:rsidRPr="004C12C9">
        <w:t>Direct nitrous oxide emissions factors by manure management system were obtained from Table A-164 in the U.S. GHG Inventory, as summarized in</w:t>
      </w:r>
      <w:r w:rsidR="000335AF">
        <w:t xml:space="preserve"> </w:t>
      </w:r>
      <w:r w:rsidR="000335AF">
        <w:fldChar w:fldCharType="begin"/>
      </w:r>
      <w:r w:rsidR="000335AF">
        <w:instrText xml:space="preserve"> REF _Ref219842138 \h </w:instrText>
      </w:r>
      <w:r w:rsidR="000335AF">
        <w:fldChar w:fldCharType="separate"/>
      </w:r>
      <w:r w:rsidR="000335AF" w:rsidRPr="004C12C9">
        <w:t xml:space="preserve">Table </w:t>
      </w:r>
      <w:r w:rsidR="000335AF">
        <w:rPr>
          <w:noProof/>
        </w:rPr>
        <w:t>3</w:t>
      </w:r>
      <w:r w:rsidR="000335AF">
        <w:noBreakHyphen/>
      </w:r>
      <w:r w:rsidR="000335AF">
        <w:rPr>
          <w:noProof/>
        </w:rPr>
        <w:t>37</w:t>
      </w:r>
      <w:r w:rsidR="000335AF">
        <w:fldChar w:fldCharType="end"/>
      </w:r>
      <w:r w:rsidRPr="004C12C9">
        <w:t>.</w:t>
      </w:r>
      <w:r w:rsidR="001C29CF" w:rsidRPr="004C12C9">
        <w:rPr>
          <w:rStyle w:val="FootnoteReference"/>
        </w:rPr>
        <w:footnoteReference w:id="134"/>
      </w:r>
      <w:r w:rsidR="00842261" w:rsidRPr="004C12C9">
        <w:t xml:space="preserve"> The value for pasture, range and paddock was obtained from </w:t>
      </w:r>
      <w:r w:rsidR="00D238A9" w:rsidRPr="004C12C9">
        <w:t xml:space="preserve">Table 11.1 of </w:t>
      </w:r>
      <w:r w:rsidR="00842261" w:rsidRPr="004C12C9">
        <w:t>the 2019 Refinement to the 2006 IPCC Guidelines</w:t>
      </w:r>
      <w:r w:rsidR="00D238A9" w:rsidRPr="004C12C9">
        <w:t xml:space="preserve"> and represent</w:t>
      </w:r>
      <w:r w:rsidR="00D90E3F" w:rsidRPr="004C12C9">
        <w:t xml:space="preserve">s direct </w:t>
      </w:r>
      <w:r w:rsidR="0017437C" w:rsidRPr="004C12C9">
        <w:t>N</w:t>
      </w:r>
      <w:r w:rsidR="0017437C" w:rsidRPr="004C12C9">
        <w:rPr>
          <w:vertAlign w:val="subscript"/>
        </w:rPr>
        <w:t>2</w:t>
      </w:r>
      <w:r w:rsidR="0017437C" w:rsidRPr="004C12C9">
        <w:t xml:space="preserve">O </w:t>
      </w:r>
      <w:r w:rsidR="00D90E3F" w:rsidRPr="004C12C9">
        <w:t xml:space="preserve">emissions from </w:t>
      </w:r>
      <w:r w:rsidR="0038471F">
        <w:t>unmanaged manure deposited onto pasture</w:t>
      </w:r>
      <w:r w:rsidR="00D90E3F" w:rsidRPr="004C12C9">
        <w:t xml:space="preserve"> </w:t>
      </w:r>
      <w:r w:rsidR="0038471F">
        <w:t>by grazing</w:t>
      </w:r>
      <w:r w:rsidR="00D90E3F" w:rsidRPr="004C12C9">
        <w:t xml:space="preserve"> </w:t>
      </w:r>
      <w:r w:rsidR="0038471F">
        <w:t xml:space="preserve">or free range </w:t>
      </w:r>
      <w:r w:rsidR="00D90E3F" w:rsidRPr="004C12C9">
        <w:t>cattle, poultry, and pigs.</w:t>
      </w:r>
      <w:r w:rsidR="00842261" w:rsidRPr="004C12C9">
        <w:rPr>
          <w:rStyle w:val="FootnoteReference"/>
        </w:rPr>
        <w:footnoteReference w:id="135"/>
      </w:r>
    </w:p>
    <w:p w14:paraId="20C6AF6B" w14:textId="4D558100" w:rsidR="000C48A6" w:rsidRPr="004C12C9" w:rsidRDefault="000C48A6" w:rsidP="00972CF9">
      <w:pPr>
        <w:pStyle w:val="Caption"/>
        <w:rPr>
          <w:sz w:val="21"/>
          <w:szCs w:val="21"/>
        </w:rPr>
      </w:pPr>
      <w:bookmarkStart w:id="250" w:name="_Ref219842138"/>
      <w:bookmarkStart w:id="251" w:name="_Ref195459038"/>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37</w:t>
      </w:r>
      <w:r w:rsidR="00F72B41">
        <w:fldChar w:fldCharType="end"/>
      </w:r>
      <w:bookmarkEnd w:id="250"/>
      <w:bookmarkEnd w:id="251"/>
      <w:r w:rsidRPr="004C12C9">
        <w:t>. Direct N</w:t>
      </w:r>
      <w:r w:rsidRPr="004C12C9">
        <w:rPr>
          <w:vertAlign w:val="subscript"/>
        </w:rPr>
        <w:t>2</w:t>
      </w:r>
      <w:r w:rsidRPr="004C12C9">
        <w:t xml:space="preserve">O from Manure Management </w:t>
      </w:r>
      <w:r w:rsidRPr="004C12C9" w:rsidDel="008C1E57">
        <w:t xml:space="preserve">by </w:t>
      </w:r>
      <w:r w:rsidRPr="004C12C9">
        <w:t>Manure Management System</w:t>
      </w:r>
    </w:p>
    <w:tbl>
      <w:tblPr>
        <w:tblW w:w="7905"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0"/>
        <w:gridCol w:w="4405"/>
      </w:tblGrid>
      <w:tr w:rsidR="000C48A6" w:rsidRPr="004C12C9" w14:paraId="70CC5CB4" w14:textId="77777777" w:rsidTr="0095371B">
        <w:trPr>
          <w:trHeight w:val="300"/>
          <w:tblHeader/>
        </w:trPr>
        <w:tc>
          <w:tcPr>
            <w:tcW w:w="3500" w:type="dxa"/>
            <w:shd w:val="clear" w:color="auto" w:fill="D9D9D9" w:themeFill="background1" w:themeFillShade="D9"/>
            <w:vAlign w:val="center"/>
          </w:tcPr>
          <w:p w14:paraId="01446D3F" w14:textId="77777777" w:rsidR="000C48A6" w:rsidRPr="004C12C9" w:rsidRDefault="000C48A6" w:rsidP="00106B6F">
            <w:pPr>
              <w:pStyle w:val="ICFTableHeading"/>
            </w:pPr>
            <w:r w:rsidRPr="004C12C9">
              <w:t>Manure Management Systems</w:t>
            </w:r>
          </w:p>
        </w:tc>
        <w:tc>
          <w:tcPr>
            <w:tcW w:w="4405" w:type="dxa"/>
            <w:shd w:val="clear" w:color="auto" w:fill="D9D9D9" w:themeFill="background1" w:themeFillShade="D9"/>
          </w:tcPr>
          <w:p w14:paraId="13319922" w14:textId="1023B592" w:rsidR="000C48A6" w:rsidRPr="004C12C9" w:rsidRDefault="000C48A6" w:rsidP="0095371B">
            <w:pPr>
              <w:pStyle w:val="ICFTableHeading"/>
            </w:pPr>
            <w:r w:rsidRPr="004C12C9">
              <w:t xml:space="preserve">Direct Emission Factor (kgN/kg excreted N) </w:t>
            </w:r>
          </w:p>
        </w:tc>
      </w:tr>
      <w:tr w:rsidR="000C48A6" w:rsidRPr="004C12C9" w14:paraId="3F2A6489" w14:textId="77777777" w:rsidTr="0095371B">
        <w:trPr>
          <w:trHeight w:val="20"/>
        </w:trPr>
        <w:tc>
          <w:tcPr>
            <w:tcW w:w="3500" w:type="dxa"/>
          </w:tcPr>
          <w:p w14:paraId="6B0D5DCC" w14:textId="77777777" w:rsidR="000C48A6" w:rsidRPr="004C12C9" w:rsidRDefault="000C48A6" w:rsidP="00106B6F">
            <w:pPr>
              <w:pStyle w:val="ICFTabletext"/>
            </w:pPr>
            <w:r w:rsidRPr="004C12C9">
              <w:t>Dry lot</w:t>
            </w:r>
          </w:p>
        </w:tc>
        <w:tc>
          <w:tcPr>
            <w:tcW w:w="4405" w:type="dxa"/>
          </w:tcPr>
          <w:p w14:paraId="7AD4576A" w14:textId="77777777" w:rsidR="000C48A6" w:rsidRPr="004C12C9" w:rsidRDefault="000C48A6" w:rsidP="00B71BAA">
            <w:pPr>
              <w:pStyle w:val="ICFTabletext"/>
              <w:jc w:val="center"/>
            </w:pPr>
            <w:r w:rsidRPr="004C12C9">
              <w:t>0.020</w:t>
            </w:r>
          </w:p>
        </w:tc>
      </w:tr>
      <w:tr w:rsidR="000C48A6" w:rsidRPr="004C12C9" w14:paraId="035705EC" w14:textId="77777777" w:rsidTr="0095371B">
        <w:trPr>
          <w:trHeight w:val="20"/>
        </w:trPr>
        <w:tc>
          <w:tcPr>
            <w:tcW w:w="3500" w:type="dxa"/>
          </w:tcPr>
          <w:p w14:paraId="585FAC51" w14:textId="77777777" w:rsidR="000C48A6" w:rsidRPr="004C12C9" w:rsidRDefault="000C48A6" w:rsidP="00106B6F">
            <w:pPr>
              <w:pStyle w:val="ICFTabletext"/>
            </w:pPr>
            <w:r w:rsidRPr="004C12C9">
              <w:t>Liquid/slurry</w:t>
            </w:r>
          </w:p>
        </w:tc>
        <w:tc>
          <w:tcPr>
            <w:tcW w:w="4405" w:type="dxa"/>
          </w:tcPr>
          <w:p w14:paraId="69628361" w14:textId="77777777" w:rsidR="000C48A6" w:rsidRPr="004C12C9" w:rsidRDefault="000C48A6" w:rsidP="00B71BAA">
            <w:pPr>
              <w:pStyle w:val="ICFTabletext"/>
              <w:jc w:val="center"/>
            </w:pPr>
            <w:r w:rsidRPr="004C12C9">
              <w:t>0.005</w:t>
            </w:r>
          </w:p>
        </w:tc>
      </w:tr>
      <w:tr w:rsidR="000C48A6" w:rsidRPr="004C12C9" w14:paraId="71D53E06" w14:textId="77777777" w:rsidTr="0095371B">
        <w:trPr>
          <w:trHeight w:val="20"/>
        </w:trPr>
        <w:tc>
          <w:tcPr>
            <w:tcW w:w="3500" w:type="dxa"/>
          </w:tcPr>
          <w:p w14:paraId="3C8ACE81" w14:textId="3DCDF952" w:rsidR="000C48A6" w:rsidRPr="004C12C9" w:rsidRDefault="000C48A6" w:rsidP="00106B6F">
            <w:pPr>
              <w:pStyle w:val="ICFTabletext"/>
            </w:pPr>
            <w:r w:rsidRPr="004C12C9">
              <w:t>Pasture, range, paddock</w:t>
            </w:r>
          </w:p>
        </w:tc>
        <w:tc>
          <w:tcPr>
            <w:tcW w:w="4405" w:type="dxa"/>
          </w:tcPr>
          <w:p w14:paraId="3421054E" w14:textId="690DF9A2" w:rsidR="000C48A6" w:rsidRPr="004C12C9" w:rsidRDefault="000C48A6" w:rsidP="00B71BAA">
            <w:pPr>
              <w:pStyle w:val="ICFTabletext"/>
              <w:jc w:val="center"/>
            </w:pPr>
            <w:r w:rsidRPr="004C12C9">
              <w:t>0</w:t>
            </w:r>
            <w:r w:rsidR="00E62775" w:rsidRPr="004C12C9">
              <w:t>.004</w:t>
            </w:r>
          </w:p>
        </w:tc>
      </w:tr>
      <w:tr w:rsidR="000C48A6" w:rsidRPr="004C12C9" w14:paraId="7DB72C78" w14:textId="77777777" w:rsidTr="0095371B">
        <w:trPr>
          <w:trHeight w:val="20"/>
        </w:trPr>
        <w:tc>
          <w:tcPr>
            <w:tcW w:w="3500" w:type="dxa"/>
          </w:tcPr>
          <w:p w14:paraId="1CB97154" w14:textId="77777777" w:rsidR="000C48A6" w:rsidRPr="004C12C9" w:rsidRDefault="000C48A6" w:rsidP="00106B6F">
            <w:pPr>
              <w:pStyle w:val="ICFTabletext"/>
            </w:pPr>
            <w:r w:rsidRPr="004C12C9">
              <w:t>Solid storage</w:t>
            </w:r>
          </w:p>
        </w:tc>
        <w:tc>
          <w:tcPr>
            <w:tcW w:w="4405" w:type="dxa"/>
          </w:tcPr>
          <w:p w14:paraId="113D74D1" w14:textId="77777777" w:rsidR="000C48A6" w:rsidRPr="004C12C9" w:rsidRDefault="000C48A6" w:rsidP="00B71BAA">
            <w:pPr>
              <w:pStyle w:val="ICFTabletext"/>
              <w:jc w:val="center"/>
            </w:pPr>
            <w:r w:rsidRPr="004C12C9">
              <w:t>0.010</w:t>
            </w:r>
          </w:p>
        </w:tc>
      </w:tr>
      <w:tr w:rsidR="000C48A6" w:rsidRPr="004C12C9" w14:paraId="5E3A3ADF" w14:textId="77777777" w:rsidTr="0095371B">
        <w:trPr>
          <w:trHeight w:val="20"/>
        </w:trPr>
        <w:tc>
          <w:tcPr>
            <w:tcW w:w="3500" w:type="dxa"/>
          </w:tcPr>
          <w:p w14:paraId="773200C9" w14:textId="77777777" w:rsidR="000C48A6" w:rsidRPr="004C12C9" w:rsidRDefault="000C48A6" w:rsidP="00106B6F">
            <w:pPr>
              <w:pStyle w:val="ICFTabletext"/>
            </w:pPr>
            <w:r w:rsidRPr="004C12C9">
              <w:t xml:space="preserve">Deep pit </w:t>
            </w:r>
          </w:p>
        </w:tc>
        <w:tc>
          <w:tcPr>
            <w:tcW w:w="4405" w:type="dxa"/>
          </w:tcPr>
          <w:p w14:paraId="54550F56" w14:textId="77777777" w:rsidR="000C48A6" w:rsidRPr="004C12C9" w:rsidRDefault="000C48A6" w:rsidP="00B71BAA">
            <w:pPr>
              <w:pStyle w:val="ICFTabletext"/>
              <w:jc w:val="center"/>
            </w:pPr>
            <w:r w:rsidRPr="004C12C9">
              <w:t>0.002</w:t>
            </w:r>
          </w:p>
        </w:tc>
      </w:tr>
      <w:tr w:rsidR="000C48A6" w:rsidRPr="004C12C9" w14:paraId="1B1CB149" w14:textId="77777777" w:rsidTr="0095371B">
        <w:trPr>
          <w:trHeight w:val="20"/>
        </w:trPr>
        <w:tc>
          <w:tcPr>
            <w:tcW w:w="3500" w:type="dxa"/>
          </w:tcPr>
          <w:p w14:paraId="7AF154AD" w14:textId="6E0AB7D4" w:rsidR="000C48A6" w:rsidRPr="004C12C9" w:rsidRDefault="000C48A6" w:rsidP="00106B6F">
            <w:pPr>
              <w:pStyle w:val="ICFTabletext"/>
            </w:pPr>
            <w:r w:rsidRPr="004C12C9">
              <w:t>Composting</w:t>
            </w:r>
            <w:r w:rsidR="00842261" w:rsidRPr="004C12C9">
              <w:rPr>
                <w:vertAlign w:val="superscript"/>
              </w:rPr>
              <w:t>a</w:t>
            </w:r>
          </w:p>
        </w:tc>
        <w:tc>
          <w:tcPr>
            <w:tcW w:w="4405" w:type="dxa"/>
          </w:tcPr>
          <w:p w14:paraId="174A5E9F" w14:textId="77777777" w:rsidR="000C48A6" w:rsidRPr="004C12C9" w:rsidRDefault="000C48A6" w:rsidP="00B71BAA">
            <w:pPr>
              <w:pStyle w:val="ICFTabletext"/>
              <w:jc w:val="center"/>
            </w:pPr>
            <w:r w:rsidRPr="004C12C9">
              <w:t>0.008</w:t>
            </w:r>
          </w:p>
        </w:tc>
      </w:tr>
      <w:tr w:rsidR="000C48A6" w:rsidRPr="004C12C9" w14:paraId="1C7430BE" w14:textId="77777777" w:rsidTr="0095371B">
        <w:trPr>
          <w:trHeight w:val="20"/>
        </w:trPr>
        <w:tc>
          <w:tcPr>
            <w:tcW w:w="3500" w:type="dxa"/>
          </w:tcPr>
          <w:p w14:paraId="36CA07D9" w14:textId="7358ACEC" w:rsidR="000C48A6" w:rsidRPr="004C12C9" w:rsidRDefault="000C48A6" w:rsidP="00106B6F">
            <w:pPr>
              <w:pStyle w:val="ICFTabletext"/>
            </w:pPr>
            <w:r w:rsidRPr="004C12C9">
              <w:t>Cattle deep litter</w:t>
            </w:r>
            <w:r w:rsidR="00842261" w:rsidRPr="004C12C9">
              <w:rPr>
                <w:vertAlign w:val="superscript"/>
              </w:rPr>
              <w:t>b</w:t>
            </w:r>
            <w:r w:rsidRPr="004C12C9">
              <w:t xml:space="preserve"> </w:t>
            </w:r>
            <w:r w:rsidR="009C3048" w:rsidRPr="004C12C9">
              <w:t xml:space="preserve"> </w:t>
            </w:r>
          </w:p>
        </w:tc>
        <w:tc>
          <w:tcPr>
            <w:tcW w:w="4405" w:type="dxa"/>
          </w:tcPr>
          <w:p w14:paraId="7F9BF0DC" w14:textId="77777777" w:rsidR="000C48A6" w:rsidRPr="004C12C9" w:rsidRDefault="000C48A6" w:rsidP="00B71BAA">
            <w:pPr>
              <w:pStyle w:val="ICFTabletext"/>
              <w:jc w:val="center"/>
            </w:pPr>
            <w:r w:rsidRPr="004C12C9">
              <w:t>0.040</w:t>
            </w:r>
          </w:p>
        </w:tc>
      </w:tr>
      <w:tr w:rsidR="000C48A6" w:rsidRPr="004C12C9" w14:paraId="0DFFDF54" w14:textId="77777777" w:rsidTr="0095371B">
        <w:trPr>
          <w:trHeight w:val="20"/>
        </w:trPr>
        <w:tc>
          <w:tcPr>
            <w:tcW w:w="3500" w:type="dxa"/>
          </w:tcPr>
          <w:p w14:paraId="307EB693" w14:textId="77777777" w:rsidR="000C48A6" w:rsidRPr="004C12C9" w:rsidRDefault="000C48A6" w:rsidP="00106B6F">
            <w:pPr>
              <w:pStyle w:val="ICFTabletext"/>
            </w:pPr>
            <w:r w:rsidRPr="004C12C9">
              <w:lastRenderedPageBreak/>
              <w:t>Daily spread</w:t>
            </w:r>
          </w:p>
        </w:tc>
        <w:tc>
          <w:tcPr>
            <w:tcW w:w="4405" w:type="dxa"/>
          </w:tcPr>
          <w:p w14:paraId="082EFF2C" w14:textId="6B47E405" w:rsidR="000C48A6" w:rsidRPr="004C12C9" w:rsidRDefault="000C48A6" w:rsidP="00B71BAA">
            <w:pPr>
              <w:pStyle w:val="ICFTabletext"/>
              <w:jc w:val="center"/>
            </w:pPr>
            <w:r w:rsidRPr="004C12C9">
              <w:t>0</w:t>
            </w:r>
            <w:r w:rsidR="008B072D" w:rsidRPr="004C12C9">
              <w:t>.000</w:t>
            </w:r>
          </w:p>
        </w:tc>
      </w:tr>
      <w:tr w:rsidR="000C48A6" w:rsidRPr="004C12C9" w14:paraId="0783CAF3" w14:textId="77777777" w:rsidTr="0095371B">
        <w:trPr>
          <w:trHeight w:val="20"/>
        </w:trPr>
        <w:tc>
          <w:tcPr>
            <w:tcW w:w="3500" w:type="dxa"/>
          </w:tcPr>
          <w:p w14:paraId="2C2750AA" w14:textId="77777777" w:rsidR="000C48A6" w:rsidRPr="004C12C9" w:rsidRDefault="000C48A6" w:rsidP="00106B6F">
            <w:pPr>
              <w:pStyle w:val="ICFTabletext"/>
            </w:pPr>
            <w:r w:rsidRPr="004C12C9">
              <w:t xml:space="preserve">Anaerobic lagoon </w:t>
            </w:r>
          </w:p>
        </w:tc>
        <w:tc>
          <w:tcPr>
            <w:tcW w:w="4405" w:type="dxa"/>
          </w:tcPr>
          <w:p w14:paraId="7B4E579B" w14:textId="6F9048FF" w:rsidR="000C48A6" w:rsidRPr="004C12C9" w:rsidRDefault="000C48A6" w:rsidP="00B71BAA">
            <w:pPr>
              <w:pStyle w:val="ICFTabletext"/>
              <w:jc w:val="center"/>
            </w:pPr>
            <w:r w:rsidRPr="004C12C9">
              <w:t>0</w:t>
            </w:r>
            <w:r w:rsidR="008B072D" w:rsidRPr="004C12C9">
              <w:t>.000</w:t>
            </w:r>
          </w:p>
        </w:tc>
      </w:tr>
      <w:tr w:rsidR="000C48A6" w:rsidRPr="004C12C9" w14:paraId="250C665A" w14:textId="77777777" w:rsidTr="0095371B">
        <w:trPr>
          <w:trHeight w:val="20"/>
        </w:trPr>
        <w:tc>
          <w:tcPr>
            <w:tcW w:w="3500" w:type="dxa"/>
          </w:tcPr>
          <w:p w14:paraId="660D86A5" w14:textId="77777777" w:rsidR="000C48A6" w:rsidRPr="004C12C9" w:rsidRDefault="000C48A6" w:rsidP="00106B6F">
            <w:pPr>
              <w:pStyle w:val="ICFTabletext"/>
            </w:pPr>
            <w:r w:rsidRPr="004C12C9">
              <w:t>Anaerobic digester</w:t>
            </w:r>
          </w:p>
        </w:tc>
        <w:tc>
          <w:tcPr>
            <w:tcW w:w="4405" w:type="dxa"/>
          </w:tcPr>
          <w:p w14:paraId="2FF354E3" w14:textId="77777777" w:rsidR="000C48A6" w:rsidRPr="004C12C9" w:rsidRDefault="000C48A6" w:rsidP="00B71BAA">
            <w:pPr>
              <w:pStyle w:val="ICFTabletext"/>
              <w:jc w:val="center"/>
            </w:pPr>
            <w:r w:rsidRPr="004C12C9">
              <w:t>0.001</w:t>
            </w:r>
          </w:p>
        </w:tc>
      </w:tr>
      <w:tr w:rsidR="000C48A6" w:rsidRPr="004C12C9" w14:paraId="1C9B0213" w14:textId="77777777" w:rsidTr="0095371B">
        <w:trPr>
          <w:trHeight w:val="20"/>
        </w:trPr>
        <w:tc>
          <w:tcPr>
            <w:tcW w:w="3500" w:type="dxa"/>
          </w:tcPr>
          <w:p w14:paraId="67BF5506" w14:textId="77777777" w:rsidR="000C48A6" w:rsidRPr="004C12C9" w:rsidRDefault="000C48A6" w:rsidP="00106B6F">
            <w:pPr>
              <w:pStyle w:val="ICFTabletext"/>
            </w:pPr>
            <w:r w:rsidRPr="004C12C9">
              <w:t>Poultry without litter</w:t>
            </w:r>
          </w:p>
        </w:tc>
        <w:tc>
          <w:tcPr>
            <w:tcW w:w="4405" w:type="dxa"/>
          </w:tcPr>
          <w:p w14:paraId="322DA837" w14:textId="77777777" w:rsidR="000C48A6" w:rsidRPr="004C12C9" w:rsidRDefault="000C48A6" w:rsidP="00B71BAA">
            <w:pPr>
              <w:pStyle w:val="ICFTabletext"/>
              <w:jc w:val="center"/>
            </w:pPr>
            <w:r w:rsidRPr="004C12C9">
              <w:t>0.001</w:t>
            </w:r>
          </w:p>
        </w:tc>
      </w:tr>
      <w:tr w:rsidR="000C48A6" w:rsidRPr="004C12C9" w14:paraId="0ACE8A36" w14:textId="77777777" w:rsidTr="0095371B">
        <w:trPr>
          <w:trHeight w:val="20"/>
        </w:trPr>
        <w:tc>
          <w:tcPr>
            <w:tcW w:w="3500" w:type="dxa"/>
          </w:tcPr>
          <w:p w14:paraId="01AB604F" w14:textId="77777777" w:rsidR="000C48A6" w:rsidRPr="004C12C9" w:rsidRDefault="000C48A6" w:rsidP="00106B6F">
            <w:pPr>
              <w:pStyle w:val="ICFTabletext"/>
            </w:pPr>
            <w:r w:rsidRPr="004C12C9">
              <w:t>Poultry with litter</w:t>
            </w:r>
          </w:p>
        </w:tc>
        <w:tc>
          <w:tcPr>
            <w:tcW w:w="4405" w:type="dxa"/>
          </w:tcPr>
          <w:p w14:paraId="269A5C2A" w14:textId="77777777" w:rsidR="000C48A6" w:rsidRPr="004C12C9" w:rsidRDefault="000C48A6" w:rsidP="00B71BAA">
            <w:pPr>
              <w:pStyle w:val="ICFTabletext"/>
              <w:jc w:val="center"/>
            </w:pPr>
            <w:r w:rsidRPr="004C12C9">
              <w:t>0.001</w:t>
            </w:r>
          </w:p>
        </w:tc>
      </w:tr>
    </w:tbl>
    <w:p w14:paraId="3098E0A8" w14:textId="038AD0C4" w:rsidR="000C48A6" w:rsidRPr="004C12C9" w:rsidRDefault="00842261" w:rsidP="00106B6F">
      <w:pPr>
        <w:pStyle w:val="TableFooter"/>
      </w:pPr>
      <w:r w:rsidRPr="004C12C9">
        <w:rPr>
          <w:vertAlign w:val="superscript"/>
        </w:rPr>
        <w:t>a</w:t>
      </w:r>
      <w:r w:rsidR="009C3048" w:rsidRPr="004C12C9">
        <w:t xml:space="preserve"> </w:t>
      </w:r>
      <w:r w:rsidR="000C48A6" w:rsidRPr="004C12C9">
        <w:t>Value calculated by averaging values across all types of composting systems.</w:t>
      </w:r>
    </w:p>
    <w:p w14:paraId="73EF58DB" w14:textId="13826F9D" w:rsidR="000C48A6" w:rsidRPr="004C12C9" w:rsidRDefault="00842261" w:rsidP="00106B6F">
      <w:pPr>
        <w:pStyle w:val="TableFooter"/>
      </w:pPr>
      <w:r w:rsidRPr="004C12C9">
        <w:rPr>
          <w:vertAlign w:val="superscript"/>
        </w:rPr>
        <w:t xml:space="preserve">b </w:t>
      </w:r>
      <w:r w:rsidR="000C48A6" w:rsidRPr="004C12C9">
        <w:t>Value calculated by averaging values for active mix and no mix.</w:t>
      </w:r>
    </w:p>
    <w:p w14:paraId="29B09B7C" w14:textId="5370E993" w:rsidR="000C48A6" w:rsidRPr="004C12C9" w:rsidRDefault="000C48A6" w:rsidP="00E31E37">
      <w:pPr>
        <w:pStyle w:val="Heading4"/>
      </w:pPr>
      <w:r w:rsidRPr="004C12C9">
        <w:t xml:space="preserve">Volatilized </w:t>
      </w:r>
      <w:r w:rsidR="008B072D" w:rsidRPr="004C12C9">
        <w:t>N</w:t>
      </w:r>
      <w:r w:rsidRPr="004C12C9">
        <w:t xml:space="preserve">itrogen </w:t>
      </w:r>
      <w:r w:rsidR="008B072D" w:rsidRPr="004C12C9">
        <w:t>L</w:t>
      </w:r>
      <w:r w:rsidRPr="004C12C9">
        <w:t xml:space="preserve">oss </w:t>
      </w:r>
      <w:r w:rsidR="008B072D" w:rsidRPr="004C12C9">
        <w:t>R</w:t>
      </w:r>
      <w:r w:rsidRPr="004C12C9">
        <w:t>ates</w:t>
      </w:r>
    </w:p>
    <w:p w14:paraId="7749BFE8" w14:textId="374CCB9C" w:rsidR="000C48A6" w:rsidRPr="004C12C9" w:rsidRDefault="000C48A6" w:rsidP="00972CF9">
      <w:r w:rsidRPr="004C12C9">
        <w:t>Volatilized nitrogen loss rates by manure management system were obtained from Table A-165 in the U.S. GHG Inventory, as summarized in</w:t>
      </w:r>
      <w:r w:rsidR="000335AF">
        <w:t xml:space="preserve"> </w:t>
      </w:r>
      <w:r w:rsidR="000335AF">
        <w:fldChar w:fldCharType="begin"/>
      </w:r>
      <w:r w:rsidR="000335AF">
        <w:instrText xml:space="preserve"> REF _Ref219842080 \h </w:instrText>
      </w:r>
      <w:r w:rsidR="000335AF">
        <w:fldChar w:fldCharType="separate"/>
      </w:r>
      <w:r w:rsidR="000335AF" w:rsidRPr="004C12C9">
        <w:t xml:space="preserve">Table </w:t>
      </w:r>
      <w:r w:rsidR="000335AF">
        <w:rPr>
          <w:noProof/>
        </w:rPr>
        <w:t>3</w:t>
      </w:r>
      <w:r w:rsidR="000335AF">
        <w:noBreakHyphen/>
      </w:r>
      <w:r w:rsidR="000335AF">
        <w:rPr>
          <w:noProof/>
        </w:rPr>
        <w:t>38</w:t>
      </w:r>
      <w:r w:rsidR="000335AF">
        <w:fldChar w:fldCharType="end"/>
      </w:r>
      <w:r w:rsidRPr="004C12C9">
        <w:t>.</w:t>
      </w:r>
      <w:r w:rsidR="001C29CF" w:rsidRPr="004C12C9">
        <w:rPr>
          <w:rStyle w:val="FootnoteReference"/>
        </w:rPr>
        <w:t xml:space="preserve"> </w:t>
      </w:r>
      <w:r w:rsidR="001C29CF" w:rsidRPr="004C12C9">
        <w:rPr>
          <w:rStyle w:val="FootnoteReference"/>
        </w:rPr>
        <w:footnoteReference w:id="136"/>
      </w:r>
      <w:r w:rsidRPr="004C12C9">
        <w:t xml:space="preserve"> </w:t>
      </w:r>
      <w:r w:rsidR="00E02023" w:rsidRPr="004C12C9">
        <w:t>The value for pasture, range and paddock was obtained from Table 11.</w:t>
      </w:r>
      <w:r w:rsidR="00E1737D" w:rsidRPr="004C12C9">
        <w:t>3</w:t>
      </w:r>
      <w:r w:rsidR="00E02023" w:rsidRPr="004C12C9">
        <w:t xml:space="preserve"> of the 2019 Refinement to the 2006 IPCC Guidelines and represents </w:t>
      </w:r>
      <w:r w:rsidR="00E1737D" w:rsidRPr="004C12C9">
        <w:t>in</w:t>
      </w:r>
      <w:r w:rsidR="00E02023" w:rsidRPr="004C12C9">
        <w:t>direct N</w:t>
      </w:r>
      <w:r w:rsidR="00E02023" w:rsidRPr="004C12C9">
        <w:rPr>
          <w:vertAlign w:val="subscript"/>
        </w:rPr>
        <w:t>2</w:t>
      </w:r>
      <w:r w:rsidR="00E02023" w:rsidRPr="004C12C9">
        <w:t xml:space="preserve">O emissions from </w:t>
      </w:r>
      <w:r w:rsidR="00F36A0E">
        <w:t>manure</w:t>
      </w:r>
      <w:r w:rsidR="0038472C" w:rsidRPr="004C12C9">
        <w:t xml:space="preserve"> deposited by grazing animals</w:t>
      </w:r>
      <w:r w:rsidR="00E02023" w:rsidRPr="004C12C9">
        <w:t>.</w:t>
      </w:r>
      <w:r w:rsidR="00E02023" w:rsidRPr="004C12C9">
        <w:rPr>
          <w:rStyle w:val="FootnoteReference"/>
        </w:rPr>
        <w:footnoteReference w:id="137"/>
      </w:r>
      <w:r w:rsidR="00E1737D" w:rsidRPr="004C12C9">
        <w:t xml:space="preserve"> </w:t>
      </w:r>
      <w:r w:rsidRPr="004C12C9">
        <w:t xml:space="preserve">Some factors are reported as NA because the manure management system </w:t>
      </w:r>
      <w:r w:rsidR="00BE2D62">
        <w:t>does not occur</w:t>
      </w:r>
      <w:r w:rsidRPr="004C12C9">
        <w:t xml:space="preserve"> for the relevant animal type.</w:t>
      </w:r>
    </w:p>
    <w:p w14:paraId="63541BA5" w14:textId="6D20A4F2" w:rsidR="000C48A6" w:rsidRPr="004C12C9" w:rsidRDefault="000C48A6" w:rsidP="00972CF9">
      <w:pPr>
        <w:pStyle w:val="Caption"/>
      </w:pPr>
      <w:bookmarkStart w:id="252" w:name="_Ref219842080"/>
      <w:bookmarkStart w:id="253" w:name="_Ref184660344"/>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38</w:t>
      </w:r>
      <w:r w:rsidR="00F72B41">
        <w:fldChar w:fldCharType="end"/>
      </w:r>
      <w:bookmarkEnd w:id="252"/>
      <w:bookmarkEnd w:id="253"/>
      <w:r w:rsidRPr="004C12C9">
        <w:t xml:space="preserve">. Volatilized </w:t>
      </w:r>
      <w:r w:rsidR="008B072D" w:rsidRPr="004C12C9">
        <w:t>N</w:t>
      </w:r>
      <w:r w:rsidRPr="004C12C9">
        <w:t xml:space="preserve">itrogen </w:t>
      </w:r>
      <w:r w:rsidR="008B072D" w:rsidRPr="004C12C9">
        <w:t>L</w:t>
      </w:r>
      <w:r w:rsidRPr="004C12C9">
        <w:t xml:space="preserve">oss </w:t>
      </w:r>
      <w:r w:rsidR="008B072D" w:rsidRPr="004C12C9">
        <w:t>R</w:t>
      </w:r>
      <w:r w:rsidRPr="004C12C9">
        <w:t>ates</w:t>
      </w:r>
    </w:p>
    <w:tbl>
      <w:tblPr>
        <w:tblW w:w="8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1"/>
        <w:gridCol w:w="1531"/>
        <w:gridCol w:w="1531"/>
        <w:gridCol w:w="1531"/>
        <w:gridCol w:w="1531"/>
      </w:tblGrid>
      <w:tr w:rsidR="000C48A6" w:rsidRPr="004C12C9" w14:paraId="64234DDB" w14:textId="77777777" w:rsidTr="000F1BEA">
        <w:trPr>
          <w:trHeight w:val="300"/>
          <w:tblHeader/>
        </w:trPr>
        <w:tc>
          <w:tcPr>
            <w:tcW w:w="2691" w:type="dxa"/>
            <w:shd w:val="clear" w:color="auto" w:fill="D9D9D9" w:themeFill="background1" w:themeFillShade="D9"/>
            <w:noWrap/>
            <w:vAlign w:val="center"/>
            <w:hideMark/>
          </w:tcPr>
          <w:p w14:paraId="2CB5663B" w14:textId="77777777" w:rsidR="000C48A6" w:rsidRPr="004C12C9" w:rsidRDefault="000C48A6" w:rsidP="00106B6F">
            <w:pPr>
              <w:pStyle w:val="ICFTableHeading"/>
              <w:rPr>
                <w:b w:val="0"/>
                <w:color w:val="FFFFFF" w:themeColor="background1"/>
                <w:sz w:val="20"/>
              </w:rPr>
            </w:pPr>
            <w:r w:rsidRPr="004C12C9">
              <w:t>System Type</w:t>
            </w:r>
          </w:p>
        </w:tc>
        <w:tc>
          <w:tcPr>
            <w:tcW w:w="1531" w:type="dxa"/>
            <w:shd w:val="clear" w:color="auto" w:fill="D9D9D9" w:themeFill="background1" w:themeFillShade="D9"/>
            <w:vAlign w:val="center"/>
          </w:tcPr>
          <w:p w14:paraId="461F9E61" w14:textId="77777777" w:rsidR="000C48A6" w:rsidRPr="004C12C9" w:rsidRDefault="000C48A6" w:rsidP="00106B6F">
            <w:pPr>
              <w:pStyle w:val="ICFTableHeading"/>
              <w:rPr>
                <w:b w:val="0"/>
                <w:color w:val="FFFFFF" w:themeColor="background1"/>
                <w:sz w:val="20"/>
              </w:rPr>
            </w:pPr>
            <w:r w:rsidRPr="004C12C9">
              <w:t>Beef Cattle</w:t>
            </w:r>
          </w:p>
        </w:tc>
        <w:tc>
          <w:tcPr>
            <w:tcW w:w="1531" w:type="dxa"/>
            <w:shd w:val="clear" w:color="auto" w:fill="D9D9D9" w:themeFill="background1" w:themeFillShade="D9"/>
            <w:vAlign w:val="center"/>
          </w:tcPr>
          <w:p w14:paraId="460BCAE0" w14:textId="77777777" w:rsidR="000C48A6" w:rsidRPr="004C12C9" w:rsidRDefault="000C48A6" w:rsidP="00106B6F">
            <w:pPr>
              <w:pStyle w:val="ICFTableHeading"/>
              <w:rPr>
                <w:b w:val="0"/>
                <w:color w:val="FFFFFF" w:themeColor="background1"/>
                <w:sz w:val="20"/>
              </w:rPr>
            </w:pPr>
            <w:r w:rsidRPr="004C12C9">
              <w:t xml:space="preserve">Dairy Cattle </w:t>
            </w:r>
          </w:p>
        </w:tc>
        <w:tc>
          <w:tcPr>
            <w:tcW w:w="1531" w:type="dxa"/>
            <w:shd w:val="clear" w:color="auto" w:fill="D9D9D9" w:themeFill="background1" w:themeFillShade="D9"/>
            <w:vAlign w:val="center"/>
          </w:tcPr>
          <w:p w14:paraId="4D72D2D5" w14:textId="77777777" w:rsidR="000C48A6" w:rsidRPr="004C12C9" w:rsidRDefault="000C48A6" w:rsidP="00106B6F">
            <w:pPr>
              <w:pStyle w:val="ICFTableHeading"/>
              <w:rPr>
                <w:b w:val="0"/>
                <w:color w:val="FFFFFF" w:themeColor="background1"/>
                <w:sz w:val="20"/>
              </w:rPr>
            </w:pPr>
            <w:r w:rsidRPr="004C12C9">
              <w:t>Swine</w:t>
            </w:r>
          </w:p>
        </w:tc>
        <w:tc>
          <w:tcPr>
            <w:tcW w:w="1531" w:type="dxa"/>
            <w:shd w:val="clear" w:color="auto" w:fill="D9D9D9" w:themeFill="background1" w:themeFillShade="D9"/>
            <w:vAlign w:val="center"/>
          </w:tcPr>
          <w:p w14:paraId="490F1EF4" w14:textId="77777777" w:rsidR="000C48A6" w:rsidRPr="004C12C9" w:rsidRDefault="000C48A6" w:rsidP="00106B6F">
            <w:pPr>
              <w:pStyle w:val="ICFTableHeading"/>
              <w:rPr>
                <w:b w:val="0"/>
                <w:color w:val="FFFFFF" w:themeColor="background1"/>
                <w:sz w:val="20"/>
              </w:rPr>
            </w:pPr>
            <w:r w:rsidRPr="004C12C9">
              <w:t>Poultry</w:t>
            </w:r>
          </w:p>
        </w:tc>
      </w:tr>
      <w:tr w:rsidR="000C48A6" w:rsidRPr="004C12C9" w14:paraId="24BA8EDA" w14:textId="77777777" w:rsidTr="000F1BEA">
        <w:trPr>
          <w:trHeight w:val="300"/>
        </w:trPr>
        <w:tc>
          <w:tcPr>
            <w:tcW w:w="2691" w:type="dxa"/>
            <w:noWrap/>
            <w:vAlign w:val="center"/>
          </w:tcPr>
          <w:p w14:paraId="396EB4E2" w14:textId="77777777" w:rsidR="000C48A6" w:rsidRPr="004C12C9" w:rsidRDefault="000C48A6" w:rsidP="00106B6F">
            <w:pPr>
              <w:pStyle w:val="ICFTabletext"/>
            </w:pPr>
            <w:r w:rsidRPr="004C12C9">
              <w:t>Dry lot</w:t>
            </w:r>
          </w:p>
        </w:tc>
        <w:tc>
          <w:tcPr>
            <w:tcW w:w="1531" w:type="dxa"/>
            <w:vAlign w:val="center"/>
          </w:tcPr>
          <w:p w14:paraId="671E1246" w14:textId="77777777" w:rsidR="000C48A6" w:rsidRPr="004C12C9" w:rsidRDefault="000C48A6" w:rsidP="00106B6F">
            <w:pPr>
              <w:pStyle w:val="ICFTabletext"/>
              <w:jc w:val="center"/>
            </w:pPr>
            <w:r w:rsidRPr="004C12C9">
              <w:t>23%</w:t>
            </w:r>
          </w:p>
        </w:tc>
        <w:tc>
          <w:tcPr>
            <w:tcW w:w="1531" w:type="dxa"/>
            <w:vAlign w:val="center"/>
          </w:tcPr>
          <w:p w14:paraId="07AFEEE9" w14:textId="77777777" w:rsidR="000C48A6" w:rsidRPr="004C12C9" w:rsidRDefault="000C48A6" w:rsidP="00106B6F">
            <w:pPr>
              <w:pStyle w:val="ICFTabletext"/>
              <w:jc w:val="center"/>
            </w:pPr>
            <w:r w:rsidRPr="004C12C9">
              <w:t>15%</w:t>
            </w:r>
          </w:p>
        </w:tc>
        <w:tc>
          <w:tcPr>
            <w:tcW w:w="1531" w:type="dxa"/>
            <w:vAlign w:val="center"/>
          </w:tcPr>
          <w:p w14:paraId="036D0E34" w14:textId="77777777" w:rsidR="000C48A6" w:rsidRPr="004C12C9" w:rsidRDefault="000C48A6" w:rsidP="00106B6F">
            <w:pPr>
              <w:pStyle w:val="ICFTabletext"/>
              <w:jc w:val="center"/>
            </w:pPr>
            <w:r w:rsidRPr="004C12C9">
              <w:t>NA</w:t>
            </w:r>
          </w:p>
        </w:tc>
        <w:tc>
          <w:tcPr>
            <w:tcW w:w="1531" w:type="dxa"/>
            <w:vAlign w:val="center"/>
          </w:tcPr>
          <w:p w14:paraId="09C6A527" w14:textId="77777777" w:rsidR="000C48A6" w:rsidRPr="004C12C9" w:rsidRDefault="000C48A6" w:rsidP="00106B6F">
            <w:pPr>
              <w:pStyle w:val="ICFTabletext"/>
              <w:jc w:val="center"/>
            </w:pPr>
            <w:r w:rsidRPr="004C12C9">
              <w:t>NA</w:t>
            </w:r>
          </w:p>
        </w:tc>
      </w:tr>
      <w:tr w:rsidR="000C48A6" w:rsidRPr="004C12C9" w14:paraId="59BAA9E4" w14:textId="77777777" w:rsidTr="000F1BEA">
        <w:trPr>
          <w:trHeight w:val="300"/>
        </w:trPr>
        <w:tc>
          <w:tcPr>
            <w:tcW w:w="2691" w:type="dxa"/>
            <w:noWrap/>
            <w:vAlign w:val="center"/>
          </w:tcPr>
          <w:p w14:paraId="24071830" w14:textId="77777777" w:rsidR="000C48A6" w:rsidRPr="004C12C9" w:rsidRDefault="000C48A6" w:rsidP="00106B6F">
            <w:pPr>
              <w:pStyle w:val="ICFTabletext"/>
            </w:pPr>
            <w:r w:rsidRPr="004C12C9">
              <w:t>Liquid/slurry</w:t>
            </w:r>
          </w:p>
        </w:tc>
        <w:tc>
          <w:tcPr>
            <w:tcW w:w="1531" w:type="dxa"/>
            <w:vAlign w:val="center"/>
          </w:tcPr>
          <w:p w14:paraId="3F37BEDB" w14:textId="77777777" w:rsidR="000C48A6" w:rsidRPr="004C12C9" w:rsidRDefault="000C48A6" w:rsidP="00106B6F">
            <w:pPr>
              <w:pStyle w:val="ICFTabletext"/>
              <w:jc w:val="center"/>
            </w:pPr>
            <w:r w:rsidRPr="004C12C9">
              <w:t>26%</w:t>
            </w:r>
          </w:p>
        </w:tc>
        <w:tc>
          <w:tcPr>
            <w:tcW w:w="1531" w:type="dxa"/>
            <w:vAlign w:val="center"/>
          </w:tcPr>
          <w:p w14:paraId="58A1B418" w14:textId="77777777" w:rsidR="000C48A6" w:rsidRPr="004C12C9" w:rsidRDefault="000C48A6" w:rsidP="00106B6F">
            <w:pPr>
              <w:pStyle w:val="ICFTabletext"/>
              <w:jc w:val="center"/>
            </w:pPr>
            <w:r w:rsidRPr="004C12C9">
              <w:t>26%</w:t>
            </w:r>
          </w:p>
        </w:tc>
        <w:tc>
          <w:tcPr>
            <w:tcW w:w="1531" w:type="dxa"/>
            <w:vAlign w:val="center"/>
          </w:tcPr>
          <w:p w14:paraId="4E86E312" w14:textId="77777777" w:rsidR="000C48A6" w:rsidRPr="004C12C9" w:rsidRDefault="000C48A6" w:rsidP="00106B6F">
            <w:pPr>
              <w:pStyle w:val="ICFTabletext"/>
              <w:jc w:val="center"/>
            </w:pPr>
            <w:r w:rsidRPr="004C12C9">
              <w:t>26%</w:t>
            </w:r>
          </w:p>
        </w:tc>
        <w:tc>
          <w:tcPr>
            <w:tcW w:w="1531" w:type="dxa"/>
            <w:vAlign w:val="center"/>
          </w:tcPr>
          <w:p w14:paraId="27C20807" w14:textId="77777777" w:rsidR="000C48A6" w:rsidRPr="004C12C9" w:rsidRDefault="000C48A6" w:rsidP="00106B6F">
            <w:pPr>
              <w:pStyle w:val="ICFTabletext"/>
              <w:jc w:val="center"/>
            </w:pPr>
            <w:r w:rsidRPr="004C12C9">
              <w:t>26%</w:t>
            </w:r>
          </w:p>
        </w:tc>
      </w:tr>
      <w:tr w:rsidR="000C48A6" w:rsidRPr="004C12C9" w14:paraId="63314498" w14:textId="77777777" w:rsidTr="000F1BEA">
        <w:trPr>
          <w:trHeight w:val="300"/>
        </w:trPr>
        <w:tc>
          <w:tcPr>
            <w:tcW w:w="2691" w:type="dxa"/>
            <w:noWrap/>
            <w:vAlign w:val="center"/>
          </w:tcPr>
          <w:p w14:paraId="69147641" w14:textId="77777777" w:rsidR="000C48A6" w:rsidRPr="004C12C9" w:rsidRDefault="000C48A6" w:rsidP="00106B6F">
            <w:pPr>
              <w:pStyle w:val="ICFTabletext"/>
            </w:pPr>
            <w:r w:rsidRPr="004C12C9">
              <w:t>Pasture, range, paddock</w:t>
            </w:r>
          </w:p>
        </w:tc>
        <w:tc>
          <w:tcPr>
            <w:tcW w:w="1531" w:type="dxa"/>
            <w:vAlign w:val="center"/>
          </w:tcPr>
          <w:p w14:paraId="51098111" w14:textId="0F7A1301" w:rsidR="000C48A6" w:rsidRPr="004C12C9" w:rsidRDefault="00245A4C" w:rsidP="00106B6F">
            <w:pPr>
              <w:pStyle w:val="ICFTabletext"/>
              <w:jc w:val="center"/>
            </w:pPr>
            <w:r w:rsidRPr="004C12C9">
              <w:t>21</w:t>
            </w:r>
            <w:r w:rsidR="000C48A6" w:rsidRPr="004C12C9">
              <w:t>%</w:t>
            </w:r>
          </w:p>
        </w:tc>
        <w:tc>
          <w:tcPr>
            <w:tcW w:w="1531" w:type="dxa"/>
            <w:vAlign w:val="center"/>
          </w:tcPr>
          <w:p w14:paraId="74A940C4" w14:textId="4A3332F1" w:rsidR="000C48A6" w:rsidRPr="004C12C9" w:rsidRDefault="00245A4C" w:rsidP="00106B6F">
            <w:pPr>
              <w:pStyle w:val="ICFTabletext"/>
              <w:jc w:val="center"/>
            </w:pPr>
            <w:r w:rsidRPr="004C12C9">
              <w:t>21</w:t>
            </w:r>
            <w:r w:rsidR="000C48A6" w:rsidRPr="004C12C9">
              <w:t>%</w:t>
            </w:r>
          </w:p>
        </w:tc>
        <w:tc>
          <w:tcPr>
            <w:tcW w:w="1531" w:type="dxa"/>
            <w:vAlign w:val="center"/>
          </w:tcPr>
          <w:p w14:paraId="1C268602" w14:textId="7D607699" w:rsidR="000C48A6" w:rsidRPr="004C12C9" w:rsidRDefault="00245A4C" w:rsidP="00106B6F">
            <w:pPr>
              <w:pStyle w:val="ICFTabletext"/>
              <w:jc w:val="center"/>
            </w:pPr>
            <w:r w:rsidRPr="004C12C9">
              <w:t>21</w:t>
            </w:r>
            <w:r w:rsidR="000C48A6" w:rsidRPr="004C12C9">
              <w:t>%</w:t>
            </w:r>
          </w:p>
        </w:tc>
        <w:tc>
          <w:tcPr>
            <w:tcW w:w="1531" w:type="dxa"/>
            <w:vAlign w:val="center"/>
          </w:tcPr>
          <w:p w14:paraId="0CEFB64C" w14:textId="0B467C99" w:rsidR="000C48A6" w:rsidRPr="004C12C9" w:rsidRDefault="00245A4C" w:rsidP="00106B6F">
            <w:pPr>
              <w:pStyle w:val="ICFTabletext"/>
              <w:jc w:val="center"/>
            </w:pPr>
            <w:r w:rsidRPr="004C12C9">
              <w:t>21</w:t>
            </w:r>
            <w:r w:rsidR="000C48A6" w:rsidRPr="004C12C9">
              <w:t>%</w:t>
            </w:r>
          </w:p>
        </w:tc>
      </w:tr>
      <w:tr w:rsidR="000C48A6" w:rsidRPr="004C12C9" w14:paraId="78F8775E" w14:textId="77777777" w:rsidTr="000F1BEA">
        <w:trPr>
          <w:trHeight w:val="300"/>
        </w:trPr>
        <w:tc>
          <w:tcPr>
            <w:tcW w:w="2691" w:type="dxa"/>
            <w:noWrap/>
            <w:vAlign w:val="center"/>
          </w:tcPr>
          <w:p w14:paraId="742163E4" w14:textId="77777777" w:rsidR="000C48A6" w:rsidRPr="004C12C9" w:rsidRDefault="000C48A6" w:rsidP="00106B6F">
            <w:pPr>
              <w:pStyle w:val="ICFTabletext"/>
            </w:pPr>
            <w:r w:rsidRPr="004C12C9">
              <w:t>Solid storage</w:t>
            </w:r>
          </w:p>
        </w:tc>
        <w:tc>
          <w:tcPr>
            <w:tcW w:w="1531" w:type="dxa"/>
            <w:vAlign w:val="center"/>
          </w:tcPr>
          <w:p w14:paraId="40021884" w14:textId="77777777" w:rsidR="000C48A6" w:rsidRPr="004C12C9" w:rsidRDefault="000C48A6" w:rsidP="00106B6F">
            <w:pPr>
              <w:pStyle w:val="ICFTabletext"/>
              <w:jc w:val="center"/>
            </w:pPr>
            <w:r w:rsidRPr="004C12C9">
              <w:t>45%</w:t>
            </w:r>
          </w:p>
        </w:tc>
        <w:tc>
          <w:tcPr>
            <w:tcW w:w="1531" w:type="dxa"/>
            <w:vAlign w:val="center"/>
          </w:tcPr>
          <w:p w14:paraId="2B734F01" w14:textId="77777777" w:rsidR="000C48A6" w:rsidRPr="004C12C9" w:rsidRDefault="000C48A6" w:rsidP="00106B6F">
            <w:pPr>
              <w:pStyle w:val="ICFTabletext"/>
              <w:jc w:val="center"/>
            </w:pPr>
            <w:r w:rsidRPr="004C12C9">
              <w:t>27%</w:t>
            </w:r>
          </w:p>
        </w:tc>
        <w:tc>
          <w:tcPr>
            <w:tcW w:w="1531" w:type="dxa"/>
            <w:vAlign w:val="center"/>
          </w:tcPr>
          <w:p w14:paraId="01AAA50C" w14:textId="77777777" w:rsidR="000C48A6" w:rsidRPr="004C12C9" w:rsidRDefault="000C48A6" w:rsidP="00106B6F">
            <w:pPr>
              <w:pStyle w:val="ICFTabletext"/>
              <w:jc w:val="center"/>
            </w:pPr>
            <w:r w:rsidRPr="004C12C9">
              <w:t>45%</w:t>
            </w:r>
          </w:p>
        </w:tc>
        <w:tc>
          <w:tcPr>
            <w:tcW w:w="1531" w:type="dxa"/>
            <w:vAlign w:val="center"/>
          </w:tcPr>
          <w:p w14:paraId="0A8A5C02" w14:textId="77777777" w:rsidR="000C48A6" w:rsidRPr="004C12C9" w:rsidRDefault="000C48A6" w:rsidP="00106B6F">
            <w:pPr>
              <w:pStyle w:val="ICFTabletext"/>
              <w:jc w:val="center"/>
            </w:pPr>
            <w:r w:rsidRPr="004C12C9">
              <w:t>8%</w:t>
            </w:r>
          </w:p>
        </w:tc>
      </w:tr>
      <w:tr w:rsidR="000C48A6" w:rsidRPr="004C12C9" w14:paraId="35BEE96C" w14:textId="77777777" w:rsidTr="000F1BEA">
        <w:trPr>
          <w:trHeight w:val="300"/>
        </w:trPr>
        <w:tc>
          <w:tcPr>
            <w:tcW w:w="2691" w:type="dxa"/>
            <w:noWrap/>
            <w:vAlign w:val="center"/>
          </w:tcPr>
          <w:p w14:paraId="6F083C49" w14:textId="77777777" w:rsidR="000C48A6" w:rsidRPr="004C12C9" w:rsidRDefault="000C48A6" w:rsidP="00106B6F">
            <w:pPr>
              <w:pStyle w:val="ICFTabletext"/>
            </w:pPr>
            <w:r w:rsidRPr="004C12C9">
              <w:t>Deep pit</w:t>
            </w:r>
          </w:p>
        </w:tc>
        <w:tc>
          <w:tcPr>
            <w:tcW w:w="1531" w:type="dxa"/>
            <w:vAlign w:val="center"/>
          </w:tcPr>
          <w:p w14:paraId="29FDA3D9" w14:textId="77777777" w:rsidR="000C48A6" w:rsidRPr="004C12C9" w:rsidRDefault="000C48A6" w:rsidP="00106B6F">
            <w:pPr>
              <w:pStyle w:val="ICFTabletext"/>
              <w:jc w:val="center"/>
            </w:pPr>
            <w:r w:rsidRPr="004C12C9">
              <w:t>25%</w:t>
            </w:r>
          </w:p>
        </w:tc>
        <w:tc>
          <w:tcPr>
            <w:tcW w:w="1531" w:type="dxa"/>
            <w:vAlign w:val="center"/>
          </w:tcPr>
          <w:p w14:paraId="028381E5" w14:textId="77777777" w:rsidR="000C48A6" w:rsidRPr="004C12C9" w:rsidRDefault="000C48A6" w:rsidP="00106B6F">
            <w:pPr>
              <w:pStyle w:val="ICFTabletext"/>
              <w:jc w:val="center"/>
            </w:pPr>
            <w:r w:rsidRPr="004C12C9">
              <w:t>24%</w:t>
            </w:r>
          </w:p>
        </w:tc>
        <w:tc>
          <w:tcPr>
            <w:tcW w:w="1531" w:type="dxa"/>
            <w:vAlign w:val="center"/>
          </w:tcPr>
          <w:p w14:paraId="0A1ADB4D" w14:textId="77777777" w:rsidR="000C48A6" w:rsidRPr="004C12C9" w:rsidRDefault="000C48A6" w:rsidP="00106B6F">
            <w:pPr>
              <w:pStyle w:val="ICFTabletext"/>
              <w:jc w:val="center"/>
            </w:pPr>
            <w:r w:rsidRPr="004C12C9">
              <w:t>34%</w:t>
            </w:r>
          </w:p>
        </w:tc>
        <w:tc>
          <w:tcPr>
            <w:tcW w:w="1531" w:type="dxa"/>
            <w:vAlign w:val="center"/>
          </w:tcPr>
          <w:p w14:paraId="435BD9CA" w14:textId="77777777" w:rsidR="000C48A6" w:rsidRPr="004C12C9" w:rsidRDefault="000C48A6" w:rsidP="00106B6F">
            <w:pPr>
              <w:pStyle w:val="ICFTabletext"/>
              <w:jc w:val="center"/>
            </w:pPr>
            <w:r w:rsidRPr="004C12C9">
              <w:t>NA</w:t>
            </w:r>
          </w:p>
        </w:tc>
      </w:tr>
      <w:tr w:rsidR="000C48A6" w:rsidRPr="004C12C9" w14:paraId="5C9B7AAA" w14:textId="77777777" w:rsidTr="000F1BEA">
        <w:trPr>
          <w:trHeight w:val="300"/>
        </w:trPr>
        <w:tc>
          <w:tcPr>
            <w:tcW w:w="2691" w:type="dxa"/>
            <w:noWrap/>
            <w:vAlign w:val="center"/>
          </w:tcPr>
          <w:p w14:paraId="780DB6FD" w14:textId="77777777" w:rsidR="000C48A6" w:rsidRPr="004C12C9" w:rsidRDefault="000C48A6" w:rsidP="00106B6F">
            <w:pPr>
              <w:pStyle w:val="ICFTabletext"/>
            </w:pPr>
            <w:r w:rsidRPr="004C12C9">
              <w:t>Composting</w:t>
            </w:r>
          </w:p>
        </w:tc>
        <w:tc>
          <w:tcPr>
            <w:tcW w:w="1531" w:type="dxa"/>
            <w:vAlign w:val="center"/>
          </w:tcPr>
          <w:p w14:paraId="4131F12F" w14:textId="77777777" w:rsidR="000C48A6" w:rsidRPr="004C12C9" w:rsidRDefault="000C48A6" w:rsidP="00106B6F">
            <w:pPr>
              <w:pStyle w:val="ICFTabletext"/>
              <w:jc w:val="center"/>
            </w:pPr>
            <w:r w:rsidRPr="004C12C9">
              <w:t>65%</w:t>
            </w:r>
          </w:p>
        </w:tc>
        <w:tc>
          <w:tcPr>
            <w:tcW w:w="1531" w:type="dxa"/>
            <w:vAlign w:val="center"/>
          </w:tcPr>
          <w:p w14:paraId="33FE79DB" w14:textId="77777777" w:rsidR="000C48A6" w:rsidRPr="004C12C9" w:rsidRDefault="000C48A6" w:rsidP="00106B6F">
            <w:pPr>
              <w:pStyle w:val="ICFTabletext"/>
              <w:jc w:val="center"/>
            </w:pPr>
            <w:r w:rsidRPr="004C12C9">
              <w:t>NA</w:t>
            </w:r>
          </w:p>
        </w:tc>
        <w:tc>
          <w:tcPr>
            <w:tcW w:w="1531" w:type="dxa"/>
            <w:vAlign w:val="center"/>
          </w:tcPr>
          <w:p w14:paraId="4495A1F9" w14:textId="77777777" w:rsidR="000C48A6" w:rsidRPr="004C12C9" w:rsidRDefault="000C48A6" w:rsidP="00106B6F">
            <w:pPr>
              <w:pStyle w:val="ICFTabletext"/>
              <w:jc w:val="center"/>
            </w:pPr>
            <w:r w:rsidRPr="004C12C9">
              <w:t>NA</w:t>
            </w:r>
          </w:p>
        </w:tc>
        <w:tc>
          <w:tcPr>
            <w:tcW w:w="1531" w:type="dxa"/>
            <w:vAlign w:val="center"/>
          </w:tcPr>
          <w:p w14:paraId="3B739803" w14:textId="77777777" w:rsidR="000C48A6" w:rsidRPr="004C12C9" w:rsidRDefault="000C48A6" w:rsidP="00106B6F">
            <w:pPr>
              <w:pStyle w:val="ICFTabletext"/>
              <w:jc w:val="center"/>
            </w:pPr>
            <w:r w:rsidRPr="004C12C9">
              <w:t>65%</w:t>
            </w:r>
          </w:p>
        </w:tc>
      </w:tr>
      <w:tr w:rsidR="000C48A6" w:rsidRPr="004C12C9" w14:paraId="6C8F8E53" w14:textId="77777777" w:rsidTr="000F1BEA">
        <w:trPr>
          <w:trHeight w:val="300"/>
        </w:trPr>
        <w:tc>
          <w:tcPr>
            <w:tcW w:w="2691" w:type="dxa"/>
            <w:noWrap/>
            <w:vAlign w:val="center"/>
          </w:tcPr>
          <w:p w14:paraId="53BDA1D9" w14:textId="77777777" w:rsidR="000C48A6" w:rsidRPr="004C12C9" w:rsidRDefault="000C48A6" w:rsidP="00106B6F">
            <w:pPr>
              <w:pStyle w:val="ICFTabletext"/>
            </w:pPr>
            <w:r w:rsidRPr="004C12C9">
              <w:t xml:space="preserve">Cattle deep litter </w:t>
            </w:r>
          </w:p>
        </w:tc>
        <w:tc>
          <w:tcPr>
            <w:tcW w:w="1531" w:type="dxa"/>
            <w:vAlign w:val="center"/>
          </w:tcPr>
          <w:p w14:paraId="2CF6F6B9" w14:textId="77777777" w:rsidR="000C48A6" w:rsidRPr="004C12C9" w:rsidRDefault="000C48A6" w:rsidP="00106B6F">
            <w:pPr>
              <w:pStyle w:val="ICFTabletext"/>
              <w:jc w:val="center"/>
            </w:pPr>
            <w:r w:rsidRPr="004C12C9">
              <w:t>25%</w:t>
            </w:r>
          </w:p>
        </w:tc>
        <w:tc>
          <w:tcPr>
            <w:tcW w:w="1531" w:type="dxa"/>
            <w:vAlign w:val="center"/>
          </w:tcPr>
          <w:p w14:paraId="1963D879" w14:textId="77777777" w:rsidR="000C48A6" w:rsidRPr="004C12C9" w:rsidRDefault="000C48A6" w:rsidP="00106B6F">
            <w:pPr>
              <w:pStyle w:val="ICFTabletext"/>
              <w:jc w:val="center"/>
            </w:pPr>
            <w:r w:rsidRPr="004C12C9">
              <w:t>NA</w:t>
            </w:r>
          </w:p>
        </w:tc>
        <w:tc>
          <w:tcPr>
            <w:tcW w:w="1531" w:type="dxa"/>
            <w:vAlign w:val="center"/>
          </w:tcPr>
          <w:p w14:paraId="26745574" w14:textId="77777777" w:rsidR="000C48A6" w:rsidRPr="004C12C9" w:rsidRDefault="000C48A6" w:rsidP="00106B6F">
            <w:pPr>
              <w:pStyle w:val="ICFTabletext"/>
              <w:jc w:val="center"/>
            </w:pPr>
            <w:r w:rsidRPr="004C12C9">
              <w:t>NA</w:t>
            </w:r>
          </w:p>
        </w:tc>
        <w:tc>
          <w:tcPr>
            <w:tcW w:w="1531" w:type="dxa"/>
            <w:vAlign w:val="center"/>
          </w:tcPr>
          <w:p w14:paraId="57FEFF28" w14:textId="77777777" w:rsidR="000C48A6" w:rsidRPr="004C12C9" w:rsidRDefault="000C48A6" w:rsidP="00106B6F">
            <w:pPr>
              <w:pStyle w:val="ICFTabletext"/>
              <w:jc w:val="center"/>
            </w:pPr>
            <w:r w:rsidRPr="004C12C9">
              <w:t>NA</w:t>
            </w:r>
          </w:p>
        </w:tc>
      </w:tr>
      <w:tr w:rsidR="000C48A6" w:rsidRPr="004C12C9" w14:paraId="5093E2EA" w14:textId="77777777" w:rsidTr="000F1BEA">
        <w:trPr>
          <w:trHeight w:val="300"/>
        </w:trPr>
        <w:tc>
          <w:tcPr>
            <w:tcW w:w="2691" w:type="dxa"/>
            <w:noWrap/>
            <w:vAlign w:val="center"/>
          </w:tcPr>
          <w:p w14:paraId="5A53FC76" w14:textId="77777777" w:rsidR="000C48A6" w:rsidRPr="004C12C9" w:rsidRDefault="000C48A6" w:rsidP="00106B6F">
            <w:pPr>
              <w:pStyle w:val="ICFTabletext"/>
            </w:pPr>
            <w:r w:rsidRPr="004C12C9">
              <w:t>Daily spread</w:t>
            </w:r>
          </w:p>
        </w:tc>
        <w:tc>
          <w:tcPr>
            <w:tcW w:w="1531" w:type="dxa"/>
            <w:vAlign w:val="center"/>
          </w:tcPr>
          <w:p w14:paraId="630933E0" w14:textId="77777777" w:rsidR="000C48A6" w:rsidRPr="004C12C9" w:rsidRDefault="000C48A6" w:rsidP="00106B6F">
            <w:pPr>
              <w:pStyle w:val="ICFTabletext"/>
              <w:jc w:val="center"/>
            </w:pPr>
            <w:r w:rsidRPr="004C12C9">
              <w:t>7%</w:t>
            </w:r>
          </w:p>
        </w:tc>
        <w:tc>
          <w:tcPr>
            <w:tcW w:w="1531" w:type="dxa"/>
            <w:vAlign w:val="center"/>
          </w:tcPr>
          <w:p w14:paraId="7317FFA0" w14:textId="77777777" w:rsidR="000C48A6" w:rsidRPr="004C12C9" w:rsidRDefault="000C48A6" w:rsidP="00106B6F">
            <w:pPr>
              <w:pStyle w:val="ICFTabletext"/>
              <w:jc w:val="center"/>
            </w:pPr>
            <w:r w:rsidRPr="004C12C9">
              <w:t>10%</w:t>
            </w:r>
          </w:p>
        </w:tc>
        <w:tc>
          <w:tcPr>
            <w:tcW w:w="1531" w:type="dxa"/>
            <w:vAlign w:val="center"/>
          </w:tcPr>
          <w:p w14:paraId="7AB68280" w14:textId="77777777" w:rsidR="000C48A6" w:rsidRPr="004C12C9" w:rsidRDefault="000C48A6" w:rsidP="00106B6F">
            <w:pPr>
              <w:pStyle w:val="ICFTabletext"/>
              <w:jc w:val="center"/>
            </w:pPr>
            <w:r w:rsidRPr="004C12C9">
              <w:t>NA</w:t>
            </w:r>
          </w:p>
        </w:tc>
        <w:tc>
          <w:tcPr>
            <w:tcW w:w="1531" w:type="dxa"/>
            <w:vAlign w:val="center"/>
          </w:tcPr>
          <w:p w14:paraId="46B95F90" w14:textId="77777777" w:rsidR="000C48A6" w:rsidRPr="004C12C9" w:rsidRDefault="000C48A6" w:rsidP="00106B6F">
            <w:pPr>
              <w:pStyle w:val="ICFTabletext"/>
              <w:jc w:val="center"/>
            </w:pPr>
            <w:r w:rsidRPr="004C12C9">
              <w:t>NA</w:t>
            </w:r>
          </w:p>
        </w:tc>
      </w:tr>
      <w:tr w:rsidR="000C48A6" w:rsidRPr="004C12C9" w14:paraId="4211A7B5" w14:textId="77777777" w:rsidTr="000F1BEA">
        <w:trPr>
          <w:trHeight w:val="300"/>
        </w:trPr>
        <w:tc>
          <w:tcPr>
            <w:tcW w:w="2691" w:type="dxa"/>
            <w:noWrap/>
            <w:vAlign w:val="center"/>
          </w:tcPr>
          <w:p w14:paraId="54750F69" w14:textId="77777777" w:rsidR="000C48A6" w:rsidRPr="004C12C9" w:rsidRDefault="000C48A6" w:rsidP="00106B6F">
            <w:pPr>
              <w:pStyle w:val="ICFTabletext"/>
            </w:pPr>
            <w:r w:rsidRPr="004C12C9">
              <w:t>Anaerobic lagoon</w:t>
            </w:r>
          </w:p>
        </w:tc>
        <w:tc>
          <w:tcPr>
            <w:tcW w:w="1531" w:type="dxa"/>
            <w:vAlign w:val="center"/>
          </w:tcPr>
          <w:p w14:paraId="29DD1845" w14:textId="77777777" w:rsidR="000C48A6" w:rsidRPr="004C12C9" w:rsidRDefault="000C48A6" w:rsidP="00106B6F">
            <w:pPr>
              <w:pStyle w:val="ICFTabletext"/>
              <w:jc w:val="center"/>
            </w:pPr>
            <w:r w:rsidRPr="004C12C9">
              <w:t>NA</w:t>
            </w:r>
          </w:p>
        </w:tc>
        <w:tc>
          <w:tcPr>
            <w:tcW w:w="1531" w:type="dxa"/>
            <w:vAlign w:val="center"/>
          </w:tcPr>
          <w:p w14:paraId="21F8E2D7" w14:textId="77777777" w:rsidR="000C48A6" w:rsidRPr="004C12C9" w:rsidRDefault="000C48A6" w:rsidP="00106B6F">
            <w:pPr>
              <w:pStyle w:val="ICFTabletext"/>
              <w:jc w:val="center"/>
            </w:pPr>
            <w:r w:rsidRPr="004C12C9">
              <w:t>43%</w:t>
            </w:r>
          </w:p>
        </w:tc>
        <w:tc>
          <w:tcPr>
            <w:tcW w:w="1531" w:type="dxa"/>
            <w:vAlign w:val="center"/>
          </w:tcPr>
          <w:p w14:paraId="6423086D" w14:textId="77777777" w:rsidR="000C48A6" w:rsidRPr="004C12C9" w:rsidRDefault="000C48A6" w:rsidP="00106B6F">
            <w:pPr>
              <w:pStyle w:val="ICFTabletext"/>
              <w:jc w:val="center"/>
            </w:pPr>
            <w:r w:rsidRPr="004C12C9">
              <w:t>58%</w:t>
            </w:r>
          </w:p>
        </w:tc>
        <w:tc>
          <w:tcPr>
            <w:tcW w:w="1531" w:type="dxa"/>
            <w:vAlign w:val="center"/>
          </w:tcPr>
          <w:p w14:paraId="2F0731E3" w14:textId="77777777" w:rsidR="000C48A6" w:rsidRPr="004C12C9" w:rsidRDefault="000C48A6" w:rsidP="00106B6F">
            <w:pPr>
              <w:pStyle w:val="ICFTabletext"/>
              <w:jc w:val="center"/>
            </w:pPr>
            <w:r w:rsidRPr="004C12C9">
              <w:t>54%</w:t>
            </w:r>
          </w:p>
        </w:tc>
      </w:tr>
      <w:tr w:rsidR="000C48A6" w:rsidRPr="004C12C9" w14:paraId="0E5E1B74" w14:textId="77777777" w:rsidTr="000F1BEA">
        <w:trPr>
          <w:trHeight w:val="300"/>
        </w:trPr>
        <w:tc>
          <w:tcPr>
            <w:tcW w:w="2691" w:type="dxa"/>
            <w:noWrap/>
            <w:vAlign w:val="center"/>
          </w:tcPr>
          <w:p w14:paraId="3A5BA737" w14:textId="23AAEA30" w:rsidR="000C48A6" w:rsidRPr="004C12C9" w:rsidRDefault="000C48A6" w:rsidP="00106B6F">
            <w:pPr>
              <w:pStyle w:val="ICFTabletext"/>
            </w:pPr>
            <w:r w:rsidRPr="004C12C9">
              <w:t>Anaerobic digester</w:t>
            </w:r>
            <w:r w:rsidR="008B072D" w:rsidRPr="004C12C9">
              <w:rPr>
                <w:vertAlign w:val="superscript"/>
              </w:rPr>
              <w:t>a</w:t>
            </w:r>
          </w:p>
        </w:tc>
        <w:tc>
          <w:tcPr>
            <w:tcW w:w="1531" w:type="dxa"/>
            <w:vAlign w:val="center"/>
          </w:tcPr>
          <w:p w14:paraId="692AC85D" w14:textId="77777777" w:rsidR="000C48A6" w:rsidRPr="004C12C9" w:rsidRDefault="000C48A6" w:rsidP="00106B6F">
            <w:pPr>
              <w:pStyle w:val="ICFTabletext"/>
              <w:jc w:val="center"/>
            </w:pPr>
            <w:r w:rsidRPr="004C12C9">
              <w:t>0%</w:t>
            </w:r>
          </w:p>
        </w:tc>
        <w:tc>
          <w:tcPr>
            <w:tcW w:w="1531" w:type="dxa"/>
            <w:vAlign w:val="center"/>
          </w:tcPr>
          <w:p w14:paraId="29557A64" w14:textId="77777777" w:rsidR="000C48A6" w:rsidRPr="004C12C9" w:rsidRDefault="000C48A6" w:rsidP="00106B6F">
            <w:pPr>
              <w:pStyle w:val="ICFTabletext"/>
              <w:jc w:val="center"/>
            </w:pPr>
            <w:r w:rsidRPr="004C12C9">
              <w:t>0%</w:t>
            </w:r>
          </w:p>
        </w:tc>
        <w:tc>
          <w:tcPr>
            <w:tcW w:w="1531" w:type="dxa"/>
            <w:vAlign w:val="center"/>
          </w:tcPr>
          <w:p w14:paraId="4F4529AA" w14:textId="77777777" w:rsidR="000C48A6" w:rsidRPr="004C12C9" w:rsidRDefault="000C48A6" w:rsidP="00106B6F">
            <w:pPr>
              <w:pStyle w:val="ICFTabletext"/>
              <w:jc w:val="center"/>
            </w:pPr>
            <w:r w:rsidRPr="004C12C9">
              <w:t>0%</w:t>
            </w:r>
          </w:p>
        </w:tc>
        <w:tc>
          <w:tcPr>
            <w:tcW w:w="1531" w:type="dxa"/>
            <w:vAlign w:val="center"/>
          </w:tcPr>
          <w:p w14:paraId="2B5C48B5" w14:textId="77777777" w:rsidR="000C48A6" w:rsidRPr="004C12C9" w:rsidRDefault="000C48A6" w:rsidP="00106B6F">
            <w:pPr>
              <w:pStyle w:val="ICFTabletext"/>
              <w:jc w:val="center"/>
            </w:pPr>
            <w:r w:rsidRPr="004C12C9">
              <w:t>0%</w:t>
            </w:r>
          </w:p>
        </w:tc>
      </w:tr>
      <w:tr w:rsidR="000C48A6" w:rsidRPr="004C12C9" w14:paraId="35A2436D" w14:textId="77777777" w:rsidTr="000F1BEA">
        <w:trPr>
          <w:trHeight w:val="300"/>
        </w:trPr>
        <w:tc>
          <w:tcPr>
            <w:tcW w:w="2691" w:type="dxa"/>
            <w:noWrap/>
            <w:vAlign w:val="center"/>
          </w:tcPr>
          <w:p w14:paraId="4B4FE07F" w14:textId="77777777" w:rsidR="000C48A6" w:rsidRPr="004C12C9" w:rsidRDefault="000C48A6" w:rsidP="00106B6F">
            <w:pPr>
              <w:pStyle w:val="ICFTabletext"/>
            </w:pPr>
            <w:r w:rsidRPr="004C12C9">
              <w:t>Poultry with litter</w:t>
            </w:r>
          </w:p>
        </w:tc>
        <w:tc>
          <w:tcPr>
            <w:tcW w:w="1531" w:type="dxa"/>
            <w:vAlign w:val="center"/>
          </w:tcPr>
          <w:p w14:paraId="52643A2F" w14:textId="77777777" w:rsidR="000C48A6" w:rsidRPr="004C12C9" w:rsidRDefault="000C48A6" w:rsidP="00106B6F">
            <w:pPr>
              <w:pStyle w:val="ICFTabletext"/>
              <w:jc w:val="center"/>
            </w:pPr>
            <w:r w:rsidRPr="004C12C9">
              <w:t>NA</w:t>
            </w:r>
          </w:p>
        </w:tc>
        <w:tc>
          <w:tcPr>
            <w:tcW w:w="1531" w:type="dxa"/>
            <w:vAlign w:val="center"/>
          </w:tcPr>
          <w:p w14:paraId="6A18F2F1" w14:textId="77777777" w:rsidR="000C48A6" w:rsidRPr="004C12C9" w:rsidRDefault="000C48A6" w:rsidP="00106B6F">
            <w:pPr>
              <w:pStyle w:val="ICFTabletext"/>
              <w:jc w:val="center"/>
            </w:pPr>
            <w:r w:rsidRPr="004C12C9">
              <w:t>NA</w:t>
            </w:r>
          </w:p>
        </w:tc>
        <w:tc>
          <w:tcPr>
            <w:tcW w:w="1531" w:type="dxa"/>
            <w:vAlign w:val="center"/>
          </w:tcPr>
          <w:p w14:paraId="5A2CE788" w14:textId="77777777" w:rsidR="000C48A6" w:rsidRPr="004C12C9" w:rsidRDefault="000C48A6" w:rsidP="00106B6F">
            <w:pPr>
              <w:pStyle w:val="ICFTabletext"/>
              <w:jc w:val="center"/>
            </w:pPr>
            <w:r w:rsidRPr="004C12C9">
              <w:t>NA</w:t>
            </w:r>
          </w:p>
        </w:tc>
        <w:tc>
          <w:tcPr>
            <w:tcW w:w="1531" w:type="dxa"/>
            <w:vAlign w:val="center"/>
          </w:tcPr>
          <w:p w14:paraId="07BB4066" w14:textId="77777777" w:rsidR="000C48A6" w:rsidRPr="004C12C9" w:rsidRDefault="000C48A6" w:rsidP="00106B6F">
            <w:pPr>
              <w:pStyle w:val="ICFTabletext"/>
              <w:jc w:val="center"/>
            </w:pPr>
            <w:r w:rsidRPr="004C12C9">
              <w:t>26%</w:t>
            </w:r>
          </w:p>
        </w:tc>
      </w:tr>
      <w:tr w:rsidR="000C48A6" w:rsidRPr="004C12C9" w14:paraId="47F67FBD" w14:textId="77777777" w:rsidTr="000F1BEA">
        <w:trPr>
          <w:trHeight w:val="300"/>
        </w:trPr>
        <w:tc>
          <w:tcPr>
            <w:tcW w:w="2691" w:type="dxa"/>
            <w:noWrap/>
            <w:vAlign w:val="center"/>
          </w:tcPr>
          <w:p w14:paraId="2D01732E" w14:textId="77777777" w:rsidR="000C48A6" w:rsidRPr="004C12C9" w:rsidRDefault="000C48A6" w:rsidP="00106B6F">
            <w:pPr>
              <w:pStyle w:val="ICFTabletext"/>
            </w:pPr>
            <w:r w:rsidRPr="004C12C9">
              <w:lastRenderedPageBreak/>
              <w:t>Poultry without litter</w:t>
            </w:r>
          </w:p>
        </w:tc>
        <w:tc>
          <w:tcPr>
            <w:tcW w:w="1531" w:type="dxa"/>
            <w:vAlign w:val="center"/>
          </w:tcPr>
          <w:p w14:paraId="2BAC8999" w14:textId="77777777" w:rsidR="000C48A6" w:rsidRPr="004C12C9" w:rsidRDefault="000C48A6" w:rsidP="00106B6F">
            <w:pPr>
              <w:pStyle w:val="ICFTabletext"/>
              <w:jc w:val="center"/>
            </w:pPr>
            <w:r w:rsidRPr="004C12C9">
              <w:t>NA</w:t>
            </w:r>
          </w:p>
        </w:tc>
        <w:tc>
          <w:tcPr>
            <w:tcW w:w="1531" w:type="dxa"/>
            <w:vAlign w:val="center"/>
          </w:tcPr>
          <w:p w14:paraId="15277CEA" w14:textId="77777777" w:rsidR="000C48A6" w:rsidRPr="004C12C9" w:rsidRDefault="000C48A6" w:rsidP="00106B6F">
            <w:pPr>
              <w:pStyle w:val="ICFTabletext"/>
              <w:jc w:val="center"/>
            </w:pPr>
            <w:r w:rsidRPr="004C12C9">
              <w:t>NA</w:t>
            </w:r>
          </w:p>
        </w:tc>
        <w:tc>
          <w:tcPr>
            <w:tcW w:w="1531" w:type="dxa"/>
            <w:vAlign w:val="center"/>
          </w:tcPr>
          <w:p w14:paraId="26EFD7AE" w14:textId="77777777" w:rsidR="000C48A6" w:rsidRPr="004C12C9" w:rsidRDefault="000C48A6" w:rsidP="00106B6F">
            <w:pPr>
              <w:pStyle w:val="ICFTabletext"/>
              <w:jc w:val="center"/>
            </w:pPr>
            <w:r w:rsidRPr="004C12C9">
              <w:t>NA</w:t>
            </w:r>
          </w:p>
        </w:tc>
        <w:tc>
          <w:tcPr>
            <w:tcW w:w="1531" w:type="dxa"/>
            <w:vAlign w:val="center"/>
          </w:tcPr>
          <w:p w14:paraId="5A31EA4D" w14:textId="77777777" w:rsidR="000C48A6" w:rsidRPr="004C12C9" w:rsidRDefault="000C48A6" w:rsidP="00106B6F">
            <w:pPr>
              <w:pStyle w:val="ICFTabletext"/>
              <w:jc w:val="center"/>
            </w:pPr>
            <w:r w:rsidRPr="004C12C9">
              <w:t>34%</w:t>
            </w:r>
          </w:p>
        </w:tc>
      </w:tr>
    </w:tbl>
    <w:p w14:paraId="568F417D" w14:textId="0D0E4440" w:rsidR="000C48A6" w:rsidRPr="004C12C9" w:rsidRDefault="00F31C35" w:rsidP="00106B6F">
      <w:pPr>
        <w:pStyle w:val="TableFooter"/>
        <w:rPr>
          <w:rFonts w:eastAsiaTheme="majorEastAsia"/>
        </w:rPr>
      </w:pPr>
      <w:r w:rsidRPr="004C12C9">
        <w:rPr>
          <w:vertAlign w:val="superscript"/>
        </w:rPr>
        <w:t xml:space="preserve"> </w:t>
      </w:r>
      <w:r w:rsidR="008B072D" w:rsidRPr="004C12C9">
        <w:rPr>
          <w:vertAlign w:val="superscript"/>
        </w:rPr>
        <w:t>a</w:t>
      </w:r>
      <w:r w:rsidRPr="004C12C9">
        <w:rPr>
          <w:vertAlign w:val="superscript"/>
        </w:rPr>
        <w:t xml:space="preserve"> </w:t>
      </w:r>
      <w:r w:rsidR="000C48A6" w:rsidRPr="004C12C9">
        <w:rPr>
          <w:rFonts w:eastAsiaTheme="majorEastAsia"/>
        </w:rPr>
        <w:t>Indirect emissions from anaerobic digestion are assumed to be zero (rather than NA).</w:t>
      </w:r>
    </w:p>
    <w:p w14:paraId="50D02B5B" w14:textId="5CFBB15D" w:rsidR="000C48A6" w:rsidRPr="004C12C9" w:rsidRDefault="000C48A6" w:rsidP="00E31E37">
      <w:pPr>
        <w:pStyle w:val="Heading4"/>
      </w:pPr>
      <w:r w:rsidRPr="004C12C9">
        <w:t xml:space="preserve">Leaching and </w:t>
      </w:r>
      <w:r w:rsidR="008B072D" w:rsidRPr="004C12C9">
        <w:t>R</w:t>
      </w:r>
      <w:r w:rsidRPr="004C12C9">
        <w:t xml:space="preserve">unoff </w:t>
      </w:r>
      <w:r w:rsidR="008B072D" w:rsidRPr="004C12C9">
        <w:t>L</w:t>
      </w:r>
      <w:r w:rsidRPr="004C12C9">
        <w:t xml:space="preserve">oss </w:t>
      </w:r>
      <w:r w:rsidR="008B072D" w:rsidRPr="004C12C9">
        <w:t>R</w:t>
      </w:r>
      <w:r w:rsidRPr="004C12C9">
        <w:t>ates</w:t>
      </w:r>
    </w:p>
    <w:p w14:paraId="5D1C1ED2" w14:textId="45547665" w:rsidR="000C48A6" w:rsidRPr="004C12C9" w:rsidRDefault="000C48A6" w:rsidP="00972CF9">
      <w:r w:rsidRPr="004C12C9">
        <w:t>Leaching and runoff loss rates by manure management system for the Midwest region were obtained from Table A-165 in the U.S. GHG Inventory, as summarized in</w:t>
      </w:r>
      <w:r w:rsidR="000335AF">
        <w:t xml:space="preserve"> </w:t>
      </w:r>
      <w:r w:rsidR="000335AF">
        <w:fldChar w:fldCharType="begin"/>
      </w:r>
      <w:r w:rsidR="000335AF">
        <w:instrText xml:space="preserve"> REF _Ref219842089 \h </w:instrText>
      </w:r>
      <w:r w:rsidR="000335AF">
        <w:fldChar w:fldCharType="separate"/>
      </w:r>
      <w:r w:rsidR="000335AF" w:rsidRPr="004C12C9">
        <w:t xml:space="preserve">Table </w:t>
      </w:r>
      <w:r w:rsidR="000335AF">
        <w:rPr>
          <w:noProof/>
        </w:rPr>
        <w:t>3</w:t>
      </w:r>
      <w:r w:rsidR="000335AF">
        <w:noBreakHyphen/>
      </w:r>
      <w:r w:rsidR="000335AF">
        <w:rPr>
          <w:noProof/>
        </w:rPr>
        <w:t>39</w:t>
      </w:r>
      <w:r w:rsidR="000335AF">
        <w:fldChar w:fldCharType="end"/>
      </w:r>
      <w:r w:rsidRPr="004C12C9">
        <w:t>.</w:t>
      </w:r>
      <w:r w:rsidR="001C29CF" w:rsidRPr="004C12C9">
        <w:rPr>
          <w:rStyle w:val="FootnoteReference"/>
        </w:rPr>
        <w:footnoteReference w:id="138"/>
      </w:r>
      <w:r w:rsidR="001C29CF" w:rsidRPr="004C12C9">
        <w:t xml:space="preserve"> </w:t>
      </w:r>
      <w:r w:rsidR="009C250E" w:rsidRPr="004C12C9">
        <w:t>The value for pasture, range and paddock was obtained from Table 11.3 of the 2019 Refinement to the 2006 IPCC Guidelines and represents indirect N</w:t>
      </w:r>
      <w:r w:rsidR="009C250E" w:rsidRPr="004C12C9">
        <w:rPr>
          <w:vertAlign w:val="subscript"/>
        </w:rPr>
        <w:t>2</w:t>
      </w:r>
      <w:r w:rsidR="009C250E" w:rsidRPr="004C12C9">
        <w:t xml:space="preserve">O emissions from </w:t>
      </w:r>
      <w:r w:rsidR="004C1D9D" w:rsidRPr="004C12C9">
        <w:t>leaching and runoff in wet climates</w:t>
      </w:r>
      <w:r w:rsidR="009C250E" w:rsidRPr="004C12C9">
        <w:t>.</w:t>
      </w:r>
      <w:r w:rsidR="009C250E" w:rsidRPr="004C12C9">
        <w:rPr>
          <w:rStyle w:val="FootnoteReference"/>
        </w:rPr>
        <w:footnoteReference w:id="139"/>
      </w:r>
      <w:r w:rsidR="009C250E" w:rsidRPr="004C12C9">
        <w:t xml:space="preserve"> </w:t>
      </w:r>
      <w:r w:rsidRPr="004C12C9">
        <w:t xml:space="preserve">Some factors are reported as NA because the manure management system </w:t>
      </w:r>
      <w:r w:rsidR="00CE6678">
        <w:t>does not occur</w:t>
      </w:r>
      <w:r w:rsidRPr="004C12C9">
        <w:t xml:space="preserve"> for the relevant animal type.</w:t>
      </w:r>
    </w:p>
    <w:p w14:paraId="1AD7332F" w14:textId="69ED998C" w:rsidR="000C48A6" w:rsidRPr="004C12C9" w:rsidRDefault="000C48A6" w:rsidP="00972CF9">
      <w:pPr>
        <w:pStyle w:val="Caption"/>
      </w:pPr>
      <w:bookmarkStart w:id="254" w:name="_Ref219842089"/>
      <w:bookmarkStart w:id="255" w:name="_Ref184742075"/>
      <w:r w:rsidRPr="004C12C9">
        <w:t xml:space="preserve">Table </w:t>
      </w:r>
      <w:r w:rsidR="00F72B41">
        <w:fldChar w:fldCharType="begin"/>
      </w:r>
      <w:r w:rsidR="00F72B41">
        <w:instrText xml:space="preserve"> STYLEREF 2 \s </w:instrText>
      </w:r>
      <w:r w:rsidR="00F72B41">
        <w:fldChar w:fldCharType="separate"/>
      </w:r>
      <w:r w:rsidR="00F72B41">
        <w:rPr>
          <w:noProof/>
        </w:rPr>
        <w:t>3</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39</w:t>
      </w:r>
      <w:r w:rsidR="00F72B41">
        <w:fldChar w:fldCharType="end"/>
      </w:r>
      <w:bookmarkEnd w:id="254"/>
      <w:bookmarkEnd w:id="255"/>
      <w:r w:rsidRPr="004C12C9">
        <w:t xml:space="preserve">. Loss </w:t>
      </w:r>
      <w:r w:rsidR="008B072D" w:rsidRPr="004C12C9">
        <w:t>R</w:t>
      </w:r>
      <w:r w:rsidRPr="004C12C9">
        <w:t xml:space="preserve">ates for </w:t>
      </w:r>
      <w:r w:rsidR="008B072D" w:rsidRPr="004C12C9">
        <w:t>L</w:t>
      </w:r>
      <w:r w:rsidRPr="004C12C9">
        <w:t xml:space="preserve">eaching and </w:t>
      </w:r>
      <w:r w:rsidR="008B072D" w:rsidRPr="004C12C9">
        <w:t>R</w:t>
      </w:r>
      <w:r w:rsidRPr="004C12C9">
        <w:t>unoff</w:t>
      </w:r>
    </w:p>
    <w:tbl>
      <w:tblPr>
        <w:tblW w:w="8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1530"/>
        <w:gridCol w:w="1531"/>
        <w:gridCol w:w="1531"/>
        <w:gridCol w:w="1531"/>
      </w:tblGrid>
      <w:tr w:rsidR="000C48A6" w:rsidRPr="004C12C9" w14:paraId="6240A925" w14:textId="77777777" w:rsidTr="009C250E">
        <w:trPr>
          <w:trHeight w:val="300"/>
          <w:tblHeader/>
        </w:trPr>
        <w:tc>
          <w:tcPr>
            <w:tcW w:w="2692" w:type="dxa"/>
            <w:shd w:val="clear" w:color="auto" w:fill="D9D9D9" w:themeFill="background1" w:themeFillShade="D9"/>
            <w:noWrap/>
            <w:vAlign w:val="center"/>
            <w:hideMark/>
          </w:tcPr>
          <w:p w14:paraId="4CD36432" w14:textId="77777777" w:rsidR="000C48A6" w:rsidRPr="004C12C9" w:rsidRDefault="000C48A6" w:rsidP="00106B6F">
            <w:pPr>
              <w:pStyle w:val="ICFTableHeading"/>
              <w:rPr>
                <w:b w:val="0"/>
                <w:color w:val="FFFFFF" w:themeColor="background1"/>
                <w:sz w:val="20"/>
              </w:rPr>
            </w:pPr>
            <w:r w:rsidRPr="004C12C9">
              <w:t>System Type</w:t>
            </w:r>
          </w:p>
        </w:tc>
        <w:tc>
          <w:tcPr>
            <w:tcW w:w="1530" w:type="dxa"/>
            <w:shd w:val="clear" w:color="auto" w:fill="D9D9D9" w:themeFill="background1" w:themeFillShade="D9"/>
            <w:vAlign w:val="center"/>
          </w:tcPr>
          <w:p w14:paraId="64B7AF00" w14:textId="77777777" w:rsidR="000C48A6" w:rsidRPr="004C12C9" w:rsidRDefault="000C48A6" w:rsidP="00106B6F">
            <w:pPr>
              <w:pStyle w:val="ICFTableHeading"/>
              <w:rPr>
                <w:b w:val="0"/>
                <w:color w:val="FFFFFF" w:themeColor="background1"/>
                <w:sz w:val="20"/>
              </w:rPr>
            </w:pPr>
            <w:r w:rsidRPr="004C12C9">
              <w:t>Beef Cattle</w:t>
            </w:r>
          </w:p>
        </w:tc>
        <w:tc>
          <w:tcPr>
            <w:tcW w:w="1531" w:type="dxa"/>
            <w:shd w:val="clear" w:color="auto" w:fill="D9D9D9" w:themeFill="background1" w:themeFillShade="D9"/>
            <w:vAlign w:val="center"/>
          </w:tcPr>
          <w:p w14:paraId="75C16EDC" w14:textId="77777777" w:rsidR="000C48A6" w:rsidRPr="004C12C9" w:rsidRDefault="000C48A6" w:rsidP="00106B6F">
            <w:pPr>
              <w:pStyle w:val="ICFTableHeading"/>
              <w:rPr>
                <w:b w:val="0"/>
                <w:color w:val="FFFFFF" w:themeColor="background1"/>
                <w:sz w:val="20"/>
              </w:rPr>
            </w:pPr>
            <w:r w:rsidRPr="004C12C9">
              <w:t xml:space="preserve">Dairy Cattle </w:t>
            </w:r>
          </w:p>
        </w:tc>
        <w:tc>
          <w:tcPr>
            <w:tcW w:w="1531" w:type="dxa"/>
            <w:shd w:val="clear" w:color="auto" w:fill="D9D9D9" w:themeFill="background1" w:themeFillShade="D9"/>
            <w:vAlign w:val="center"/>
          </w:tcPr>
          <w:p w14:paraId="18C6E24A" w14:textId="77777777" w:rsidR="000C48A6" w:rsidRPr="004C12C9" w:rsidRDefault="000C48A6" w:rsidP="00106B6F">
            <w:pPr>
              <w:pStyle w:val="ICFTableHeading"/>
              <w:rPr>
                <w:b w:val="0"/>
                <w:color w:val="FFFFFF" w:themeColor="background1"/>
                <w:sz w:val="20"/>
              </w:rPr>
            </w:pPr>
            <w:r w:rsidRPr="004C12C9">
              <w:t>Swine</w:t>
            </w:r>
          </w:p>
        </w:tc>
        <w:tc>
          <w:tcPr>
            <w:tcW w:w="1531" w:type="dxa"/>
            <w:shd w:val="clear" w:color="auto" w:fill="D9D9D9" w:themeFill="background1" w:themeFillShade="D9"/>
            <w:vAlign w:val="center"/>
          </w:tcPr>
          <w:p w14:paraId="20E3E7CF" w14:textId="77777777" w:rsidR="000C48A6" w:rsidRPr="004C12C9" w:rsidRDefault="000C48A6" w:rsidP="00106B6F">
            <w:pPr>
              <w:pStyle w:val="ICFTableHeading"/>
              <w:rPr>
                <w:b w:val="0"/>
                <w:color w:val="FFFFFF" w:themeColor="background1"/>
                <w:sz w:val="20"/>
              </w:rPr>
            </w:pPr>
            <w:r w:rsidRPr="004C12C9">
              <w:t>Poultry</w:t>
            </w:r>
          </w:p>
        </w:tc>
      </w:tr>
      <w:tr w:rsidR="000C48A6" w:rsidRPr="004C12C9" w14:paraId="46EB5F6A" w14:textId="77777777" w:rsidTr="00106B6F">
        <w:trPr>
          <w:trHeight w:val="300"/>
        </w:trPr>
        <w:tc>
          <w:tcPr>
            <w:tcW w:w="2692" w:type="dxa"/>
            <w:noWrap/>
            <w:vAlign w:val="center"/>
          </w:tcPr>
          <w:p w14:paraId="65A5CC14" w14:textId="77777777" w:rsidR="000C48A6" w:rsidRPr="004C12C9" w:rsidRDefault="000C48A6" w:rsidP="00106B6F">
            <w:pPr>
              <w:pStyle w:val="ICFTabletext"/>
            </w:pPr>
            <w:r w:rsidRPr="004C12C9">
              <w:t>Dry lot</w:t>
            </w:r>
          </w:p>
        </w:tc>
        <w:tc>
          <w:tcPr>
            <w:tcW w:w="1530" w:type="dxa"/>
            <w:vAlign w:val="center"/>
          </w:tcPr>
          <w:p w14:paraId="2492FABA" w14:textId="77777777" w:rsidR="000C48A6" w:rsidRPr="004C12C9" w:rsidRDefault="000C48A6" w:rsidP="00106B6F">
            <w:pPr>
              <w:pStyle w:val="ICFTabletext"/>
              <w:jc w:val="center"/>
            </w:pPr>
            <w:r w:rsidRPr="004C12C9">
              <w:t>1.9%</w:t>
            </w:r>
          </w:p>
        </w:tc>
        <w:tc>
          <w:tcPr>
            <w:tcW w:w="1531" w:type="dxa"/>
            <w:vAlign w:val="center"/>
          </w:tcPr>
          <w:p w14:paraId="35A974C8" w14:textId="77777777" w:rsidR="000C48A6" w:rsidRPr="004C12C9" w:rsidRDefault="000C48A6" w:rsidP="00106B6F">
            <w:pPr>
              <w:pStyle w:val="ICFTabletext"/>
              <w:jc w:val="center"/>
            </w:pPr>
            <w:r w:rsidRPr="004C12C9">
              <w:t>0.9%</w:t>
            </w:r>
          </w:p>
        </w:tc>
        <w:tc>
          <w:tcPr>
            <w:tcW w:w="1531" w:type="dxa"/>
            <w:vAlign w:val="center"/>
          </w:tcPr>
          <w:p w14:paraId="40F1F3E0" w14:textId="77777777" w:rsidR="000C48A6" w:rsidRPr="004C12C9" w:rsidRDefault="000C48A6" w:rsidP="00106B6F">
            <w:pPr>
              <w:pStyle w:val="ICFTabletext"/>
              <w:jc w:val="center"/>
            </w:pPr>
            <w:r w:rsidRPr="004C12C9">
              <w:t>NA</w:t>
            </w:r>
          </w:p>
        </w:tc>
        <w:tc>
          <w:tcPr>
            <w:tcW w:w="1531" w:type="dxa"/>
            <w:vAlign w:val="center"/>
          </w:tcPr>
          <w:p w14:paraId="1D259C56" w14:textId="77777777" w:rsidR="000C48A6" w:rsidRPr="004C12C9" w:rsidRDefault="000C48A6" w:rsidP="00106B6F">
            <w:pPr>
              <w:pStyle w:val="ICFTabletext"/>
              <w:jc w:val="center"/>
            </w:pPr>
            <w:r w:rsidRPr="004C12C9">
              <w:t>NA</w:t>
            </w:r>
          </w:p>
        </w:tc>
      </w:tr>
      <w:tr w:rsidR="000C48A6" w:rsidRPr="004C12C9" w14:paraId="2CA5875F" w14:textId="77777777" w:rsidTr="00106B6F">
        <w:trPr>
          <w:trHeight w:val="300"/>
        </w:trPr>
        <w:tc>
          <w:tcPr>
            <w:tcW w:w="2692" w:type="dxa"/>
            <w:noWrap/>
            <w:vAlign w:val="center"/>
          </w:tcPr>
          <w:p w14:paraId="4EB84CFC" w14:textId="77777777" w:rsidR="000C48A6" w:rsidRPr="004C12C9" w:rsidRDefault="000C48A6" w:rsidP="00106B6F">
            <w:pPr>
              <w:pStyle w:val="ICFTabletext"/>
            </w:pPr>
            <w:r w:rsidRPr="004C12C9">
              <w:t>Liquid/slurry</w:t>
            </w:r>
          </w:p>
        </w:tc>
        <w:tc>
          <w:tcPr>
            <w:tcW w:w="1530" w:type="dxa"/>
            <w:vAlign w:val="center"/>
          </w:tcPr>
          <w:p w14:paraId="0F6E3378" w14:textId="77777777" w:rsidR="000C48A6" w:rsidRPr="004C12C9" w:rsidRDefault="000C48A6" w:rsidP="00106B6F">
            <w:pPr>
              <w:pStyle w:val="ICFTabletext"/>
              <w:jc w:val="center"/>
            </w:pPr>
            <w:r w:rsidRPr="004C12C9">
              <w:t>0%</w:t>
            </w:r>
          </w:p>
        </w:tc>
        <w:tc>
          <w:tcPr>
            <w:tcW w:w="1531" w:type="dxa"/>
            <w:vAlign w:val="center"/>
          </w:tcPr>
          <w:p w14:paraId="11B946DB" w14:textId="77777777" w:rsidR="000C48A6" w:rsidRPr="004C12C9" w:rsidRDefault="000C48A6" w:rsidP="00106B6F">
            <w:pPr>
              <w:pStyle w:val="ICFTabletext"/>
              <w:jc w:val="center"/>
            </w:pPr>
            <w:r w:rsidRPr="004C12C9">
              <w:t>0.4%</w:t>
            </w:r>
          </w:p>
        </w:tc>
        <w:tc>
          <w:tcPr>
            <w:tcW w:w="1531" w:type="dxa"/>
            <w:vAlign w:val="center"/>
          </w:tcPr>
          <w:p w14:paraId="0BE0053F" w14:textId="77777777" w:rsidR="000C48A6" w:rsidRPr="004C12C9" w:rsidRDefault="000C48A6" w:rsidP="00106B6F">
            <w:pPr>
              <w:pStyle w:val="ICFTabletext"/>
              <w:jc w:val="center"/>
            </w:pPr>
            <w:r w:rsidRPr="004C12C9">
              <w:t>0.4%</w:t>
            </w:r>
          </w:p>
        </w:tc>
        <w:tc>
          <w:tcPr>
            <w:tcW w:w="1531" w:type="dxa"/>
            <w:vAlign w:val="center"/>
          </w:tcPr>
          <w:p w14:paraId="2C35F284" w14:textId="77777777" w:rsidR="000C48A6" w:rsidRPr="004C12C9" w:rsidRDefault="000C48A6" w:rsidP="00106B6F">
            <w:pPr>
              <w:pStyle w:val="ICFTabletext"/>
              <w:jc w:val="center"/>
            </w:pPr>
            <w:r w:rsidRPr="004C12C9">
              <w:t>0.4%</w:t>
            </w:r>
          </w:p>
        </w:tc>
      </w:tr>
      <w:tr w:rsidR="000C48A6" w:rsidRPr="004C12C9" w14:paraId="7E87BFD8" w14:textId="77777777" w:rsidTr="00106B6F">
        <w:trPr>
          <w:trHeight w:val="300"/>
        </w:trPr>
        <w:tc>
          <w:tcPr>
            <w:tcW w:w="2692" w:type="dxa"/>
            <w:noWrap/>
            <w:vAlign w:val="center"/>
          </w:tcPr>
          <w:p w14:paraId="6547240C" w14:textId="77777777" w:rsidR="000C48A6" w:rsidRPr="004C12C9" w:rsidRDefault="000C48A6" w:rsidP="00106B6F">
            <w:pPr>
              <w:pStyle w:val="ICFTabletext"/>
            </w:pPr>
            <w:r w:rsidRPr="004C12C9">
              <w:t>Pasture, range, paddock</w:t>
            </w:r>
          </w:p>
        </w:tc>
        <w:tc>
          <w:tcPr>
            <w:tcW w:w="1530" w:type="dxa"/>
            <w:vAlign w:val="center"/>
          </w:tcPr>
          <w:p w14:paraId="753EC6B5" w14:textId="600F08E7" w:rsidR="000C48A6" w:rsidRPr="004C12C9" w:rsidRDefault="009C250E" w:rsidP="00106B6F">
            <w:pPr>
              <w:pStyle w:val="ICFTabletext"/>
              <w:jc w:val="center"/>
            </w:pPr>
            <w:r w:rsidRPr="004C12C9">
              <w:t>24</w:t>
            </w:r>
            <w:r w:rsidR="000C48A6" w:rsidRPr="004C12C9">
              <w:t>%</w:t>
            </w:r>
          </w:p>
        </w:tc>
        <w:tc>
          <w:tcPr>
            <w:tcW w:w="1531" w:type="dxa"/>
            <w:vAlign w:val="center"/>
          </w:tcPr>
          <w:p w14:paraId="045A129B" w14:textId="7445161F" w:rsidR="000C48A6" w:rsidRPr="004C12C9" w:rsidRDefault="009C250E" w:rsidP="00106B6F">
            <w:pPr>
              <w:pStyle w:val="ICFTabletext"/>
              <w:jc w:val="center"/>
            </w:pPr>
            <w:r w:rsidRPr="004C12C9">
              <w:t>24</w:t>
            </w:r>
            <w:r w:rsidR="000C48A6" w:rsidRPr="004C12C9">
              <w:t>%</w:t>
            </w:r>
          </w:p>
        </w:tc>
        <w:tc>
          <w:tcPr>
            <w:tcW w:w="1531" w:type="dxa"/>
            <w:vAlign w:val="center"/>
          </w:tcPr>
          <w:p w14:paraId="0E8879BC" w14:textId="63004C0E" w:rsidR="000C48A6" w:rsidRPr="004C12C9" w:rsidRDefault="009C250E" w:rsidP="00106B6F">
            <w:pPr>
              <w:pStyle w:val="ICFTabletext"/>
              <w:jc w:val="center"/>
            </w:pPr>
            <w:r w:rsidRPr="004C12C9">
              <w:t>24</w:t>
            </w:r>
            <w:r w:rsidR="000C48A6" w:rsidRPr="004C12C9">
              <w:t>%</w:t>
            </w:r>
          </w:p>
        </w:tc>
        <w:tc>
          <w:tcPr>
            <w:tcW w:w="1531" w:type="dxa"/>
            <w:vAlign w:val="center"/>
          </w:tcPr>
          <w:p w14:paraId="24B2E855" w14:textId="4AABBB61" w:rsidR="000C48A6" w:rsidRPr="004C12C9" w:rsidRDefault="009C250E" w:rsidP="00106B6F">
            <w:pPr>
              <w:pStyle w:val="ICFTabletext"/>
              <w:jc w:val="center"/>
            </w:pPr>
            <w:r w:rsidRPr="004C12C9">
              <w:t>24</w:t>
            </w:r>
            <w:r w:rsidR="000C48A6" w:rsidRPr="004C12C9">
              <w:t>%</w:t>
            </w:r>
          </w:p>
        </w:tc>
      </w:tr>
      <w:tr w:rsidR="000C48A6" w:rsidRPr="004C12C9" w14:paraId="3981B751" w14:textId="77777777" w:rsidTr="00106B6F">
        <w:trPr>
          <w:trHeight w:val="300"/>
        </w:trPr>
        <w:tc>
          <w:tcPr>
            <w:tcW w:w="2692" w:type="dxa"/>
            <w:noWrap/>
            <w:vAlign w:val="center"/>
          </w:tcPr>
          <w:p w14:paraId="38D7BFCC" w14:textId="77777777" w:rsidR="000C48A6" w:rsidRPr="004C12C9" w:rsidRDefault="000C48A6" w:rsidP="00106B6F">
            <w:pPr>
              <w:pStyle w:val="ICFTabletext"/>
            </w:pPr>
            <w:r w:rsidRPr="004C12C9">
              <w:t>Solid storage</w:t>
            </w:r>
          </w:p>
        </w:tc>
        <w:tc>
          <w:tcPr>
            <w:tcW w:w="1530" w:type="dxa"/>
            <w:vAlign w:val="center"/>
          </w:tcPr>
          <w:p w14:paraId="47E5D88A" w14:textId="77777777" w:rsidR="000C48A6" w:rsidRPr="004C12C9" w:rsidRDefault="000C48A6" w:rsidP="00106B6F">
            <w:pPr>
              <w:pStyle w:val="ICFTabletext"/>
              <w:jc w:val="center"/>
            </w:pPr>
            <w:r w:rsidRPr="004C12C9">
              <w:t>0.02%</w:t>
            </w:r>
          </w:p>
        </w:tc>
        <w:tc>
          <w:tcPr>
            <w:tcW w:w="1531" w:type="dxa"/>
            <w:vAlign w:val="center"/>
          </w:tcPr>
          <w:p w14:paraId="57B10165" w14:textId="77777777" w:rsidR="000C48A6" w:rsidRPr="004C12C9" w:rsidRDefault="000C48A6" w:rsidP="00106B6F">
            <w:pPr>
              <w:pStyle w:val="ICFTabletext"/>
              <w:jc w:val="center"/>
            </w:pPr>
            <w:r w:rsidRPr="004C12C9">
              <w:t>0%</w:t>
            </w:r>
          </w:p>
        </w:tc>
        <w:tc>
          <w:tcPr>
            <w:tcW w:w="1531" w:type="dxa"/>
            <w:vAlign w:val="center"/>
          </w:tcPr>
          <w:p w14:paraId="3C8F62AC" w14:textId="77777777" w:rsidR="000C48A6" w:rsidRPr="004C12C9" w:rsidRDefault="000C48A6" w:rsidP="00106B6F">
            <w:pPr>
              <w:pStyle w:val="ICFTabletext"/>
              <w:jc w:val="center"/>
            </w:pPr>
            <w:r w:rsidRPr="004C12C9">
              <w:t>0%</w:t>
            </w:r>
          </w:p>
        </w:tc>
        <w:tc>
          <w:tcPr>
            <w:tcW w:w="1531" w:type="dxa"/>
            <w:vAlign w:val="center"/>
          </w:tcPr>
          <w:p w14:paraId="63C9384C" w14:textId="77777777" w:rsidR="000C48A6" w:rsidRPr="004C12C9" w:rsidRDefault="000C48A6" w:rsidP="00106B6F">
            <w:pPr>
              <w:pStyle w:val="ICFTabletext"/>
              <w:jc w:val="center"/>
            </w:pPr>
            <w:r w:rsidRPr="004C12C9">
              <w:t>0%</w:t>
            </w:r>
          </w:p>
        </w:tc>
      </w:tr>
      <w:tr w:rsidR="000C48A6" w:rsidRPr="004C12C9" w14:paraId="2C4A564B" w14:textId="77777777" w:rsidTr="00106B6F">
        <w:trPr>
          <w:trHeight w:val="300"/>
        </w:trPr>
        <w:tc>
          <w:tcPr>
            <w:tcW w:w="2692" w:type="dxa"/>
            <w:noWrap/>
            <w:vAlign w:val="center"/>
          </w:tcPr>
          <w:p w14:paraId="406273FF" w14:textId="77777777" w:rsidR="000C48A6" w:rsidRPr="004C12C9" w:rsidRDefault="000C48A6" w:rsidP="00106B6F">
            <w:pPr>
              <w:pStyle w:val="ICFTabletext"/>
            </w:pPr>
            <w:r w:rsidRPr="004C12C9">
              <w:t>Deep pit</w:t>
            </w:r>
          </w:p>
        </w:tc>
        <w:tc>
          <w:tcPr>
            <w:tcW w:w="1530" w:type="dxa"/>
            <w:vAlign w:val="center"/>
          </w:tcPr>
          <w:p w14:paraId="1C08C1C0" w14:textId="77777777" w:rsidR="000C48A6" w:rsidRPr="004C12C9" w:rsidRDefault="000C48A6" w:rsidP="00106B6F">
            <w:pPr>
              <w:pStyle w:val="ICFTabletext"/>
              <w:jc w:val="center"/>
            </w:pPr>
            <w:r w:rsidRPr="004C12C9">
              <w:t>0%</w:t>
            </w:r>
          </w:p>
        </w:tc>
        <w:tc>
          <w:tcPr>
            <w:tcW w:w="1531" w:type="dxa"/>
            <w:vAlign w:val="center"/>
          </w:tcPr>
          <w:p w14:paraId="16FD9A80" w14:textId="77777777" w:rsidR="000C48A6" w:rsidRPr="004C12C9" w:rsidRDefault="000C48A6" w:rsidP="00106B6F">
            <w:pPr>
              <w:pStyle w:val="ICFTabletext"/>
              <w:jc w:val="center"/>
            </w:pPr>
            <w:r w:rsidRPr="004C12C9">
              <w:t>0%</w:t>
            </w:r>
          </w:p>
        </w:tc>
        <w:tc>
          <w:tcPr>
            <w:tcW w:w="1531" w:type="dxa"/>
            <w:vAlign w:val="center"/>
          </w:tcPr>
          <w:p w14:paraId="1A1CD960" w14:textId="77777777" w:rsidR="000C48A6" w:rsidRPr="004C12C9" w:rsidRDefault="000C48A6" w:rsidP="00106B6F">
            <w:pPr>
              <w:pStyle w:val="ICFTabletext"/>
              <w:jc w:val="center"/>
            </w:pPr>
            <w:r w:rsidRPr="004C12C9">
              <w:t>0%</w:t>
            </w:r>
          </w:p>
        </w:tc>
        <w:tc>
          <w:tcPr>
            <w:tcW w:w="1531" w:type="dxa"/>
            <w:vAlign w:val="center"/>
          </w:tcPr>
          <w:p w14:paraId="5FCBE62E" w14:textId="77777777" w:rsidR="000C48A6" w:rsidRPr="004C12C9" w:rsidRDefault="000C48A6" w:rsidP="00106B6F">
            <w:pPr>
              <w:pStyle w:val="ICFTabletext"/>
              <w:jc w:val="center"/>
            </w:pPr>
            <w:r w:rsidRPr="004C12C9">
              <w:t>NA</w:t>
            </w:r>
          </w:p>
        </w:tc>
      </w:tr>
      <w:tr w:rsidR="000C48A6" w:rsidRPr="004C12C9" w14:paraId="7F11A617" w14:textId="77777777" w:rsidTr="00106B6F">
        <w:trPr>
          <w:trHeight w:val="300"/>
        </w:trPr>
        <w:tc>
          <w:tcPr>
            <w:tcW w:w="2692" w:type="dxa"/>
            <w:noWrap/>
            <w:vAlign w:val="center"/>
          </w:tcPr>
          <w:p w14:paraId="3ADD3E15" w14:textId="77777777" w:rsidR="000C48A6" w:rsidRPr="004C12C9" w:rsidRDefault="000C48A6" w:rsidP="00106B6F">
            <w:pPr>
              <w:pStyle w:val="ICFTabletext"/>
            </w:pPr>
            <w:r w:rsidRPr="004C12C9">
              <w:t>Composting</w:t>
            </w:r>
          </w:p>
        </w:tc>
        <w:tc>
          <w:tcPr>
            <w:tcW w:w="1530" w:type="dxa"/>
            <w:vAlign w:val="center"/>
          </w:tcPr>
          <w:p w14:paraId="54A3865E" w14:textId="77777777" w:rsidR="000C48A6" w:rsidRPr="004C12C9" w:rsidRDefault="000C48A6" w:rsidP="00106B6F">
            <w:pPr>
              <w:pStyle w:val="ICFTabletext"/>
              <w:jc w:val="center"/>
            </w:pPr>
            <w:r w:rsidRPr="004C12C9">
              <w:t>0.06%</w:t>
            </w:r>
          </w:p>
        </w:tc>
        <w:tc>
          <w:tcPr>
            <w:tcW w:w="1531" w:type="dxa"/>
            <w:vAlign w:val="center"/>
          </w:tcPr>
          <w:p w14:paraId="20669CB7" w14:textId="77777777" w:rsidR="000C48A6" w:rsidRPr="004C12C9" w:rsidRDefault="000C48A6" w:rsidP="00106B6F">
            <w:pPr>
              <w:pStyle w:val="ICFTabletext"/>
              <w:jc w:val="center"/>
            </w:pPr>
            <w:r w:rsidRPr="004C12C9">
              <w:t>NA</w:t>
            </w:r>
          </w:p>
        </w:tc>
        <w:tc>
          <w:tcPr>
            <w:tcW w:w="1531" w:type="dxa"/>
            <w:vAlign w:val="center"/>
          </w:tcPr>
          <w:p w14:paraId="1B96E6C8" w14:textId="77777777" w:rsidR="000C48A6" w:rsidRPr="004C12C9" w:rsidRDefault="000C48A6" w:rsidP="00106B6F">
            <w:pPr>
              <w:pStyle w:val="ICFTabletext"/>
              <w:jc w:val="center"/>
            </w:pPr>
            <w:r w:rsidRPr="004C12C9">
              <w:t>NA</w:t>
            </w:r>
          </w:p>
        </w:tc>
        <w:tc>
          <w:tcPr>
            <w:tcW w:w="1531" w:type="dxa"/>
            <w:vAlign w:val="center"/>
          </w:tcPr>
          <w:p w14:paraId="07205962" w14:textId="77777777" w:rsidR="000C48A6" w:rsidRPr="004C12C9" w:rsidRDefault="000C48A6" w:rsidP="00106B6F">
            <w:pPr>
              <w:pStyle w:val="ICFTabletext"/>
              <w:jc w:val="center"/>
            </w:pPr>
            <w:r w:rsidRPr="004C12C9">
              <w:t>0.06%</w:t>
            </w:r>
          </w:p>
        </w:tc>
      </w:tr>
      <w:tr w:rsidR="000C48A6" w:rsidRPr="004C12C9" w14:paraId="364FCBDE" w14:textId="77777777" w:rsidTr="00106B6F">
        <w:trPr>
          <w:trHeight w:val="300"/>
        </w:trPr>
        <w:tc>
          <w:tcPr>
            <w:tcW w:w="2692" w:type="dxa"/>
            <w:noWrap/>
            <w:vAlign w:val="center"/>
          </w:tcPr>
          <w:p w14:paraId="631DC7F9" w14:textId="77777777" w:rsidR="000C48A6" w:rsidRPr="004C12C9" w:rsidRDefault="000C48A6" w:rsidP="00106B6F">
            <w:pPr>
              <w:pStyle w:val="ICFTabletext"/>
            </w:pPr>
            <w:r w:rsidRPr="004C12C9">
              <w:t xml:space="preserve">Cattle deep litter </w:t>
            </w:r>
          </w:p>
        </w:tc>
        <w:tc>
          <w:tcPr>
            <w:tcW w:w="1530" w:type="dxa"/>
            <w:vAlign w:val="center"/>
          </w:tcPr>
          <w:p w14:paraId="088D92F9" w14:textId="77777777" w:rsidR="000C48A6" w:rsidRPr="004C12C9" w:rsidRDefault="000C48A6" w:rsidP="00106B6F">
            <w:pPr>
              <w:pStyle w:val="ICFTabletext"/>
              <w:jc w:val="center"/>
            </w:pPr>
            <w:r w:rsidRPr="004C12C9">
              <w:t>0.035%</w:t>
            </w:r>
          </w:p>
        </w:tc>
        <w:tc>
          <w:tcPr>
            <w:tcW w:w="1531" w:type="dxa"/>
            <w:vAlign w:val="center"/>
          </w:tcPr>
          <w:p w14:paraId="3A4C0312" w14:textId="77777777" w:rsidR="000C48A6" w:rsidRPr="004C12C9" w:rsidRDefault="000C48A6" w:rsidP="00106B6F">
            <w:pPr>
              <w:pStyle w:val="ICFTabletext"/>
              <w:jc w:val="center"/>
            </w:pPr>
            <w:r w:rsidRPr="004C12C9">
              <w:t>NA</w:t>
            </w:r>
          </w:p>
        </w:tc>
        <w:tc>
          <w:tcPr>
            <w:tcW w:w="1531" w:type="dxa"/>
            <w:vAlign w:val="center"/>
          </w:tcPr>
          <w:p w14:paraId="111E8E40" w14:textId="77777777" w:rsidR="000C48A6" w:rsidRPr="004C12C9" w:rsidRDefault="000C48A6" w:rsidP="00106B6F">
            <w:pPr>
              <w:pStyle w:val="ICFTabletext"/>
              <w:jc w:val="center"/>
            </w:pPr>
            <w:r w:rsidRPr="004C12C9">
              <w:t>NA</w:t>
            </w:r>
          </w:p>
        </w:tc>
        <w:tc>
          <w:tcPr>
            <w:tcW w:w="1531" w:type="dxa"/>
            <w:vAlign w:val="center"/>
          </w:tcPr>
          <w:p w14:paraId="5C43F661" w14:textId="77777777" w:rsidR="000C48A6" w:rsidRPr="004C12C9" w:rsidRDefault="000C48A6" w:rsidP="00106B6F">
            <w:pPr>
              <w:pStyle w:val="ICFTabletext"/>
              <w:jc w:val="center"/>
            </w:pPr>
            <w:r w:rsidRPr="004C12C9">
              <w:t>NA</w:t>
            </w:r>
          </w:p>
        </w:tc>
      </w:tr>
      <w:tr w:rsidR="000C48A6" w:rsidRPr="004C12C9" w14:paraId="418D3971" w14:textId="77777777" w:rsidTr="00106B6F">
        <w:trPr>
          <w:trHeight w:val="300"/>
        </w:trPr>
        <w:tc>
          <w:tcPr>
            <w:tcW w:w="2692" w:type="dxa"/>
            <w:noWrap/>
            <w:vAlign w:val="center"/>
          </w:tcPr>
          <w:p w14:paraId="2E4CDB51" w14:textId="77777777" w:rsidR="000C48A6" w:rsidRPr="004C12C9" w:rsidRDefault="000C48A6" w:rsidP="00106B6F">
            <w:pPr>
              <w:pStyle w:val="ICFTabletext"/>
            </w:pPr>
            <w:r w:rsidRPr="004C12C9">
              <w:t>Daily spread</w:t>
            </w:r>
          </w:p>
        </w:tc>
        <w:tc>
          <w:tcPr>
            <w:tcW w:w="1530" w:type="dxa"/>
            <w:vAlign w:val="center"/>
          </w:tcPr>
          <w:p w14:paraId="558679D5" w14:textId="77777777" w:rsidR="000C48A6" w:rsidRPr="004C12C9" w:rsidRDefault="000C48A6" w:rsidP="00106B6F">
            <w:pPr>
              <w:pStyle w:val="ICFTabletext"/>
              <w:jc w:val="center"/>
            </w:pPr>
            <w:r w:rsidRPr="004C12C9">
              <w:t>0%</w:t>
            </w:r>
          </w:p>
        </w:tc>
        <w:tc>
          <w:tcPr>
            <w:tcW w:w="1531" w:type="dxa"/>
            <w:vAlign w:val="center"/>
          </w:tcPr>
          <w:p w14:paraId="22FCBE31" w14:textId="77777777" w:rsidR="000C48A6" w:rsidRPr="004C12C9" w:rsidRDefault="000C48A6" w:rsidP="00106B6F">
            <w:pPr>
              <w:pStyle w:val="ICFTabletext"/>
              <w:jc w:val="center"/>
            </w:pPr>
            <w:r w:rsidRPr="004C12C9">
              <w:t>0%</w:t>
            </w:r>
          </w:p>
        </w:tc>
        <w:tc>
          <w:tcPr>
            <w:tcW w:w="1531" w:type="dxa"/>
            <w:vAlign w:val="center"/>
          </w:tcPr>
          <w:p w14:paraId="55192129" w14:textId="77777777" w:rsidR="000C48A6" w:rsidRPr="004C12C9" w:rsidRDefault="000C48A6" w:rsidP="00106B6F">
            <w:pPr>
              <w:pStyle w:val="ICFTabletext"/>
              <w:jc w:val="center"/>
            </w:pPr>
            <w:r w:rsidRPr="004C12C9">
              <w:t>NA</w:t>
            </w:r>
          </w:p>
        </w:tc>
        <w:tc>
          <w:tcPr>
            <w:tcW w:w="1531" w:type="dxa"/>
            <w:vAlign w:val="center"/>
          </w:tcPr>
          <w:p w14:paraId="401A070C" w14:textId="77777777" w:rsidR="000C48A6" w:rsidRPr="004C12C9" w:rsidRDefault="000C48A6" w:rsidP="00106B6F">
            <w:pPr>
              <w:pStyle w:val="ICFTabletext"/>
              <w:jc w:val="center"/>
            </w:pPr>
            <w:r w:rsidRPr="004C12C9">
              <w:t>NA</w:t>
            </w:r>
          </w:p>
        </w:tc>
      </w:tr>
      <w:tr w:rsidR="000C48A6" w:rsidRPr="004C12C9" w14:paraId="60FFD737" w14:textId="77777777" w:rsidTr="00106B6F">
        <w:trPr>
          <w:trHeight w:val="300"/>
        </w:trPr>
        <w:tc>
          <w:tcPr>
            <w:tcW w:w="2692" w:type="dxa"/>
            <w:noWrap/>
            <w:vAlign w:val="center"/>
          </w:tcPr>
          <w:p w14:paraId="61E174F9" w14:textId="77777777" w:rsidR="000C48A6" w:rsidRPr="004C12C9" w:rsidRDefault="000C48A6" w:rsidP="00106B6F">
            <w:pPr>
              <w:pStyle w:val="ICFTabletext"/>
            </w:pPr>
            <w:r w:rsidRPr="004C12C9">
              <w:t>Anaerobic lagoon</w:t>
            </w:r>
          </w:p>
        </w:tc>
        <w:tc>
          <w:tcPr>
            <w:tcW w:w="1530" w:type="dxa"/>
            <w:vAlign w:val="center"/>
          </w:tcPr>
          <w:p w14:paraId="215154E4" w14:textId="77777777" w:rsidR="000C48A6" w:rsidRPr="004C12C9" w:rsidRDefault="000C48A6" w:rsidP="00106B6F">
            <w:pPr>
              <w:pStyle w:val="ICFTabletext"/>
              <w:jc w:val="center"/>
            </w:pPr>
            <w:r w:rsidRPr="004C12C9">
              <w:t>NA</w:t>
            </w:r>
          </w:p>
        </w:tc>
        <w:tc>
          <w:tcPr>
            <w:tcW w:w="1531" w:type="dxa"/>
            <w:vAlign w:val="center"/>
          </w:tcPr>
          <w:p w14:paraId="48327FE6" w14:textId="77777777" w:rsidR="000C48A6" w:rsidRPr="004C12C9" w:rsidRDefault="000C48A6" w:rsidP="00106B6F">
            <w:pPr>
              <w:pStyle w:val="ICFTabletext"/>
              <w:jc w:val="center"/>
            </w:pPr>
            <w:r w:rsidRPr="004C12C9">
              <w:t>0.4%</w:t>
            </w:r>
          </w:p>
        </w:tc>
        <w:tc>
          <w:tcPr>
            <w:tcW w:w="1531" w:type="dxa"/>
            <w:vAlign w:val="center"/>
          </w:tcPr>
          <w:p w14:paraId="546188EC" w14:textId="77777777" w:rsidR="000C48A6" w:rsidRPr="004C12C9" w:rsidRDefault="000C48A6" w:rsidP="00106B6F">
            <w:pPr>
              <w:pStyle w:val="ICFTabletext"/>
              <w:jc w:val="center"/>
            </w:pPr>
            <w:r w:rsidRPr="004C12C9">
              <w:t>0.4%</w:t>
            </w:r>
          </w:p>
        </w:tc>
        <w:tc>
          <w:tcPr>
            <w:tcW w:w="1531" w:type="dxa"/>
            <w:vAlign w:val="center"/>
          </w:tcPr>
          <w:p w14:paraId="3CCEB4EE" w14:textId="77777777" w:rsidR="000C48A6" w:rsidRPr="004C12C9" w:rsidRDefault="000C48A6" w:rsidP="00106B6F">
            <w:pPr>
              <w:pStyle w:val="ICFTabletext"/>
              <w:jc w:val="center"/>
            </w:pPr>
            <w:r w:rsidRPr="004C12C9">
              <w:t>0.4%</w:t>
            </w:r>
          </w:p>
        </w:tc>
      </w:tr>
      <w:tr w:rsidR="000C48A6" w:rsidRPr="004C12C9" w14:paraId="7F15248C" w14:textId="77777777" w:rsidTr="00106B6F">
        <w:trPr>
          <w:trHeight w:val="300"/>
        </w:trPr>
        <w:tc>
          <w:tcPr>
            <w:tcW w:w="2692" w:type="dxa"/>
            <w:noWrap/>
            <w:vAlign w:val="center"/>
          </w:tcPr>
          <w:p w14:paraId="51F04121" w14:textId="026468C3" w:rsidR="000C48A6" w:rsidRPr="004C12C9" w:rsidRDefault="000C48A6" w:rsidP="00106B6F">
            <w:pPr>
              <w:pStyle w:val="ICFTabletext"/>
            </w:pPr>
            <w:r w:rsidRPr="004C12C9">
              <w:t>Anaerobic digester</w:t>
            </w:r>
            <w:r w:rsidR="00A715D4" w:rsidRPr="004C12C9">
              <w:rPr>
                <w:vertAlign w:val="superscript"/>
              </w:rPr>
              <w:t>a</w:t>
            </w:r>
          </w:p>
        </w:tc>
        <w:tc>
          <w:tcPr>
            <w:tcW w:w="1530" w:type="dxa"/>
            <w:vAlign w:val="center"/>
          </w:tcPr>
          <w:p w14:paraId="08FF7B43" w14:textId="77777777" w:rsidR="000C48A6" w:rsidRPr="004C12C9" w:rsidRDefault="000C48A6" w:rsidP="00106B6F">
            <w:pPr>
              <w:pStyle w:val="ICFTabletext"/>
              <w:jc w:val="center"/>
            </w:pPr>
            <w:r w:rsidRPr="004C12C9">
              <w:t>0%</w:t>
            </w:r>
          </w:p>
        </w:tc>
        <w:tc>
          <w:tcPr>
            <w:tcW w:w="1531" w:type="dxa"/>
            <w:vAlign w:val="center"/>
          </w:tcPr>
          <w:p w14:paraId="4C287EDF" w14:textId="77777777" w:rsidR="000C48A6" w:rsidRPr="004C12C9" w:rsidRDefault="000C48A6" w:rsidP="00106B6F">
            <w:pPr>
              <w:pStyle w:val="ICFTabletext"/>
              <w:jc w:val="center"/>
            </w:pPr>
            <w:r w:rsidRPr="004C12C9">
              <w:t>0%</w:t>
            </w:r>
          </w:p>
        </w:tc>
        <w:tc>
          <w:tcPr>
            <w:tcW w:w="1531" w:type="dxa"/>
            <w:vAlign w:val="center"/>
          </w:tcPr>
          <w:p w14:paraId="4898206E" w14:textId="77777777" w:rsidR="000C48A6" w:rsidRPr="004C12C9" w:rsidRDefault="000C48A6" w:rsidP="00106B6F">
            <w:pPr>
              <w:pStyle w:val="ICFTabletext"/>
              <w:jc w:val="center"/>
            </w:pPr>
            <w:r w:rsidRPr="004C12C9">
              <w:t>0%</w:t>
            </w:r>
          </w:p>
        </w:tc>
        <w:tc>
          <w:tcPr>
            <w:tcW w:w="1531" w:type="dxa"/>
            <w:vAlign w:val="center"/>
          </w:tcPr>
          <w:p w14:paraId="0F20F9A0" w14:textId="77777777" w:rsidR="000C48A6" w:rsidRPr="004C12C9" w:rsidRDefault="000C48A6" w:rsidP="00106B6F">
            <w:pPr>
              <w:pStyle w:val="ICFTabletext"/>
              <w:jc w:val="center"/>
            </w:pPr>
            <w:r w:rsidRPr="004C12C9">
              <w:t>0%</w:t>
            </w:r>
          </w:p>
        </w:tc>
      </w:tr>
      <w:tr w:rsidR="000C48A6" w:rsidRPr="004C12C9" w14:paraId="731E0D4C" w14:textId="77777777" w:rsidTr="00106B6F">
        <w:trPr>
          <w:trHeight w:val="300"/>
        </w:trPr>
        <w:tc>
          <w:tcPr>
            <w:tcW w:w="2692" w:type="dxa"/>
            <w:noWrap/>
            <w:vAlign w:val="center"/>
          </w:tcPr>
          <w:p w14:paraId="6927FC41" w14:textId="77777777" w:rsidR="000C48A6" w:rsidRPr="004C12C9" w:rsidRDefault="000C48A6" w:rsidP="00106B6F">
            <w:pPr>
              <w:pStyle w:val="ICFTabletext"/>
            </w:pPr>
            <w:r w:rsidRPr="004C12C9">
              <w:t>Poultry with litter</w:t>
            </w:r>
          </w:p>
        </w:tc>
        <w:tc>
          <w:tcPr>
            <w:tcW w:w="1530" w:type="dxa"/>
            <w:vAlign w:val="center"/>
          </w:tcPr>
          <w:p w14:paraId="3E052AF2" w14:textId="77777777" w:rsidR="000C48A6" w:rsidRPr="004C12C9" w:rsidRDefault="000C48A6" w:rsidP="00106B6F">
            <w:pPr>
              <w:pStyle w:val="ICFTabletext"/>
              <w:jc w:val="center"/>
            </w:pPr>
            <w:r w:rsidRPr="004C12C9">
              <w:t>NA</w:t>
            </w:r>
          </w:p>
        </w:tc>
        <w:tc>
          <w:tcPr>
            <w:tcW w:w="1531" w:type="dxa"/>
            <w:vAlign w:val="center"/>
          </w:tcPr>
          <w:p w14:paraId="674D5DE1" w14:textId="77777777" w:rsidR="000C48A6" w:rsidRPr="004C12C9" w:rsidRDefault="000C48A6" w:rsidP="00106B6F">
            <w:pPr>
              <w:pStyle w:val="ICFTabletext"/>
              <w:jc w:val="center"/>
            </w:pPr>
            <w:r w:rsidRPr="004C12C9">
              <w:t>NA</w:t>
            </w:r>
          </w:p>
        </w:tc>
        <w:tc>
          <w:tcPr>
            <w:tcW w:w="1531" w:type="dxa"/>
            <w:vAlign w:val="center"/>
          </w:tcPr>
          <w:p w14:paraId="1E176405" w14:textId="77777777" w:rsidR="000C48A6" w:rsidRPr="004C12C9" w:rsidRDefault="000C48A6" w:rsidP="00106B6F">
            <w:pPr>
              <w:pStyle w:val="ICFTabletext"/>
              <w:jc w:val="center"/>
            </w:pPr>
            <w:r w:rsidRPr="004C12C9">
              <w:t>NA</w:t>
            </w:r>
          </w:p>
        </w:tc>
        <w:tc>
          <w:tcPr>
            <w:tcW w:w="1531" w:type="dxa"/>
            <w:vAlign w:val="center"/>
          </w:tcPr>
          <w:p w14:paraId="0264E126" w14:textId="77777777" w:rsidR="000C48A6" w:rsidRPr="004C12C9" w:rsidRDefault="000C48A6" w:rsidP="00106B6F">
            <w:pPr>
              <w:pStyle w:val="ICFTabletext"/>
              <w:jc w:val="center"/>
            </w:pPr>
            <w:r w:rsidRPr="004C12C9">
              <w:t>0%</w:t>
            </w:r>
          </w:p>
        </w:tc>
      </w:tr>
      <w:tr w:rsidR="000C48A6" w:rsidRPr="004C12C9" w14:paraId="6FD7D3AD" w14:textId="77777777" w:rsidTr="00106B6F">
        <w:trPr>
          <w:trHeight w:val="300"/>
        </w:trPr>
        <w:tc>
          <w:tcPr>
            <w:tcW w:w="2692" w:type="dxa"/>
            <w:noWrap/>
            <w:vAlign w:val="center"/>
          </w:tcPr>
          <w:p w14:paraId="62F11A0A" w14:textId="77777777" w:rsidR="000C48A6" w:rsidRPr="004C12C9" w:rsidRDefault="000C48A6" w:rsidP="00106B6F">
            <w:pPr>
              <w:pStyle w:val="ICFTabletext"/>
            </w:pPr>
            <w:r w:rsidRPr="004C12C9">
              <w:t>Poultry without litter</w:t>
            </w:r>
          </w:p>
        </w:tc>
        <w:tc>
          <w:tcPr>
            <w:tcW w:w="1530" w:type="dxa"/>
            <w:vAlign w:val="center"/>
          </w:tcPr>
          <w:p w14:paraId="5680E519" w14:textId="77777777" w:rsidR="000C48A6" w:rsidRPr="004C12C9" w:rsidRDefault="000C48A6" w:rsidP="00106B6F">
            <w:pPr>
              <w:pStyle w:val="ICFTabletext"/>
              <w:jc w:val="center"/>
            </w:pPr>
            <w:r w:rsidRPr="004C12C9">
              <w:t>NA</w:t>
            </w:r>
          </w:p>
        </w:tc>
        <w:tc>
          <w:tcPr>
            <w:tcW w:w="1531" w:type="dxa"/>
            <w:vAlign w:val="center"/>
          </w:tcPr>
          <w:p w14:paraId="29E1C667" w14:textId="77777777" w:rsidR="000C48A6" w:rsidRPr="004C12C9" w:rsidRDefault="000C48A6" w:rsidP="00106B6F">
            <w:pPr>
              <w:pStyle w:val="ICFTabletext"/>
              <w:jc w:val="center"/>
            </w:pPr>
            <w:r w:rsidRPr="004C12C9">
              <w:t>NA</w:t>
            </w:r>
          </w:p>
        </w:tc>
        <w:tc>
          <w:tcPr>
            <w:tcW w:w="1531" w:type="dxa"/>
            <w:vAlign w:val="center"/>
          </w:tcPr>
          <w:p w14:paraId="55851A7C" w14:textId="77777777" w:rsidR="000C48A6" w:rsidRPr="004C12C9" w:rsidRDefault="000C48A6" w:rsidP="00106B6F">
            <w:pPr>
              <w:pStyle w:val="ICFTabletext"/>
              <w:jc w:val="center"/>
            </w:pPr>
            <w:r w:rsidRPr="004C12C9">
              <w:t>NA</w:t>
            </w:r>
          </w:p>
        </w:tc>
        <w:tc>
          <w:tcPr>
            <w:tcW w:w="1531" w:type="dxa"/>
            <w:vAlign w:val="center"/>
          </w:tcPr>
          <w:p w14:paraId="6E55E24F" w14:textId="77777777" w:rsidR="000C48A6" w:rsidRPr="004C12C9" w:rsidRDefault="000C48A6" w:rsidP="00106B6F">
            <w:pPr>
              <w:pStyle w:val="ICFTabletext"/>
              <w:jc w:val="center"/>
            </w:pPr>
            <w:r w:rsidRPr="004C12C9">
              <w:t>0%</w:t>
            </w:r>
          </w:p>
        </w:tc>
      </w:tr>
    </w:tbl>
    <w:p w14:paraId="45E0921A" w14:textId="1CDCFEC9" w:rsidR="000C48A6" w:rsidRPr="004C12C9" w:rsidRDefault="00F31C35" w:rsidP="00106B6F">
      <w:pPr>
        <w:pStyle w:val="TableFooter"/>
        <w:rPr>
          <w:rFonts w:eastAsiaTheme="majorEastAsia"/>
        </w:rPr>
      </w:pPr>
      <w:r w:rsidRPr="004C12C9">
        <w:rPr>
          <w:vertAlign w:val="superscript"/>
        </w:rPr>
        <w:t xml:space="preserve">a </w:t>
      </w:r>
      <w:r w:rsidR="000C48A6" w:rsidRPr="004C12C9">
        <w:rPr>
          <w:rFonts w:eastAsiaTheme="majorEastAsia"/>
        </w:rPr>
        <w:t>Indirect emissions from anaerobic digestion are assumed to be zero (rather than NA).</w:t>
      </w:r>
    </w:p>
    <w:p w14:paraId="369E892E" w14:textId="35B25A07" w:rsidR="000C48A6" w:rsidRPr="004C12C9" w:rsidRDefault="00A70AA0" w:rsidP="00E31E37">
      <w:pPr>
        <w:pStyle w:val="Heading4"/>
      </w:pPr>
      <w:r w:rsidRPr="004C12C9">
        <w:t>Limitations</w:t>
      </w:r>
    </w:p>
    <w:p w14:paraId="6C032DA0" w14:textId="5AA59686" w:rsidR="0095371B" w:rsidRPr="004C12C9" w:rsidRDefault="0095371B" w:rsidP="0095371B">
      <w:r w:rsidRPr="004C12C9">
        <w:t>Key limitations of the methodology used to quantify emissions from manure management include:</w:t>
      </w:r>
    </w:p>
    <w:p w14:paraId="0047433F" w14:textId="3CAC8362" w:rsidR="0095371B" w:rsidRPr="004C12C9" w:rsidRDefault="0095371B" w:rsidP="003B5F7F">
      <w:pPr>
        <w:pStyle w:val="ListParagraph"/>
        <w:numPr>
          <w:ilvl w:val="0"/>
          <w:numId w:val="18"/>
        </w:numPr>
      </w:pPr>
      <w:r w:rsidRPr="004C12C9">
        <w:lastRenderedPageBreak/>
        <w:t xml:space="preserve">Although the number of animals may change from year to year, users are required to provide the average annual number of livestock over the lifespan of the project. The </w:t>
      </w:r>
      <w:r w:rsidR="00B42D3D" w:rsidRPr="004C12C9">
        <w:t xml:space="preserve">calculator </w:t>
      </w:r>
      <w:r w:rsidRPr="004C12C9">
        <w:t xml:space="preserve">also does not adjust for lifetimes under </w:t>
      </w:r>
      <w:r w:rsidR="00241636" w:rsidRPr="004C12C9">
        <w:t>one</w:t>
      </w:r>
      <w:r w:rsidRPr="004C12C9">
        <w:t xml:space="preserve"> year</w:t>
      </w:r>
      <w:r w:rsidR="00FF68D0">
        <w:t>, such as for broilers,</w:t>
      </w:r>
      <w:r w:rsidRPr="004C12C9">
        <w:t xml:space="preserve"> or any standard annual losses to stock.</w:t>
      </w:r>
    </w:p>
    <w:p w14:paraId="38ACBEA3" w14:textId="771EFD95" w:rsidR="0095371B" w:rsidRPr="004C12C9" w:rsidRDefault="0095371B" w:rsidP="003B5F7F">
      <w:pPr>
        <w:pStyle w:val="ListParagraph"/>
        <w:numPr>
          <w:ilvl w:val="0"/>
          <w:numId w:val="18"/>
        </w:numPr>
      </w:pPr>
      <w:r w:rsidRPr="004C12C9">
        <w:t>E</w:t>
      </w:r>
      <w:r w:rsidR="00BA4878" w:rsidRPr="004C12C9">
        <w:t>mission factors for manure management are primarily derived from national averages as reported in the U</w:t>
      </w:r>
      <w:r w:rsidR="00241636" w:rsidRPr="004C12C9">
        <w:t>.</w:t>
      </w:r>
      <w:r w:rsidR="00BA4878" w:rsidRPr="004C12C9">
        <w:t>S</w:t>
      </w:r>
      <w:r w:rsidR="00241636" w:rsidRPr="004C12C9">
        <w:t>.</w:t>
      </w:r>
      <w:r w:rsidR="00BA4878" w:rsidRPr="004C12C9">
        <w:t xml:space="preserve"> </w:t>
      </w:r>
      <w:r w:rsidR="00A715D4" w:rsidRPr="004C12C9">
        <w:t>GHG</w:t>
      </w:r>
      <w:r w:rsidR="00BA4878" w:rsidRPr="004C12C9">
        <w:t xml:space="preserve"> Inventory, with limited regional specificity. Emissions from manure management can vary significantly among individual operations due to differences in manure handling systems, storage practices, and climate conditions. </w:t>
      </w:r>
      <w:r w:rsidR="00F2149C" w:rsidRPr="004C12C9">
        <w:t>Multiple</w:t>
      </w:r>
      <w:r w:rsidR="00BA4878" w:rsidRPr="004C12C9">
        <w:t xml:space="preserve"> management decisions also influence emissions from manure management, including the type of </w:t>
      </w:r>
      <w:r w:rsidR="00AB7ABE" w:rsidRPr="004C12C9">
        <w:t>storage</w:t>
      </w:r>
      <w:r w:rsidR="00BA4878" w:rsidRPr="004C12C9">
        <w:t>, frequency of manure collection, and treatment methods employed.</w:t>
      </w:r>
      <w:r w:rsidR="004E57F4">
        <w:t xml:space="preserve"> </w:t>
      </w:r>
      <w:r w:rsidR="004046D4">
        <w:t>National values, where used, could therefore be improved if</w:t>
      </w:r>
      <w:r w:rsidR="007D0100">
        <w:t>,</w:t>
      </w:r>
      <w:r w:rsidR="004046D4">
        <w:t xml:space="preserve"> in the future, regional values become available. </w:t>
      </w:r>
    </w:p>
    <w:p w14:paraId="2FF6FF59" w14:textId="389257EE" w:rsidR="0095371B" w:rsidRPr="004C12C9" w:rsidRDefault="00BA4878" w:rsidP="003B5F7F">
      <w:pPr>
        <w:pStyle w:val="ListParagraph"/>
        <w:numPr>
          <w:ilvl w:val="0"/>
          <w:numId w:val="18"/>
        </w:numPr>
      </w:pPr>
      <w:r w:rsidRPr="004C12C9">
        <w:t xml:space="preserve">The method included in this </w:t>
      </w:r>
      <w:r w:rsidR="005F4B33" w:rsidRPr="004C12C9">
        <w:t>calculator</w:t>
      </w:r>
      <w:r w:rsidRPr="004C12C9">
        <w:t xml:space="preserve"> only evaluates emissions based on the number of livestock and general manure management system types. It does not account for site-specific variations in management practices </w:t>
      </w:r>
      <w:r w:rsidR="007B75CB">
        <w:t xml:space="preserve">such as varying lengths of manure storage time </w:t>
      </w:r>
      <w:r w:rsidRPr="004C12C9">
        <w:t>or technological interventions that may reduce emissions. Additionally, it does not evaluate emissions on a per unit of product basis, and therefore does not reflect the production efficiency of livestock operations.</w:t>
      </w:r>
      <w:r w:rsidR="00406CFF">
        <w:t xml:space="preserve"> A user could compare tool outputs to data on production to assess how the emissions intensity is changing over time. </w:t>
      </w:r>
    </w:p>
    <w:p w14:paraId="70A3DFCB" w14:textId="2D4CE861" w:rsidR="0095371B" w:rsidRPr="004C12C9" w:rsidRDefault="00BA4878" w:rsidP="003B5F7F">
      <w:pPr>
        <w:pStyle w:val="ListParagraph"/>
        <w:numPr>
          <w:ilvl w:val="0"/>
          <w:numId w:val="18"/>
        </w:numPr>
      </w:pPr>
      <w:r w:rsidRPr="004C12C9">
        <w:t>Climate conditions, particularly temperature and precipitation, significant</w:t>
      </w:r>
      <w:r w:rsidR="00406CFF">
        <w:t>ly</w:t>
      </w:r>
      <w:r w:rsidRPr="004C12C9">
        <w:t xml:space="preserve"> impact emissions from manure management systems</w:t>
      </w:r>
      <w:r w:rsidR="002104FA">
        <w:t xml:space="preserve"> and this is reflected in the climate specific methane conversion factor</w:t>
      </w:r>
      <w:r w:rsidRPr="004C12C9">
        <w:t xml:space="preserve">. The use of </w:t>
      </w:r>
      <w:r w:rsidR="002D383A">
        <w:t xml:space="preserve">cool </w:t>
      </w:r>
      <w:r w:rsidR="002B0FA2">
        <w:t xml:space="preserve">dry </w:t>
      </w:r>
      <w:r w:rsidR="002D383A">
        <w:t xml:space="preserve">climate </w:t>
      </w:r>
      <w:r w:rsidR="00750833">
        <w:t xml:space="preserve">specific </w:t>
      </w:r>
      <w:r w:rsidR="00CB40DC">
        <w:t>parameters has been used for</w:t>
      </w:r>
      <w:r w:rsidR="002B0FA2">
        <w:t xml:space="preserve"> the methane conversion factor</w:t>
      </w:r>
      <w:r w:rsidR="00640BF9">
        <w:t>.</w:t>
      </w:r>
    </w:p>
    <w:p w14:paraId="1B43EB0D" w14:textId="5F31EC79" w:rsidR="00435A4E" w:rsidRPr="004C12C9" w:rsidRDefault="004E49F6" w:rsidP="003B5F7F">
      <w:pPr>
        <w:pStyle w:val="ListParagraph"/>
        <w:numPr>
          <w:ilvl w:val="0"/>
          <w:numId w:val="18"/>
        </w:numPr>
      </w:pPr>
      <w:r w:rsidRPr="004C12C9">
        <w:t>Th</w:t>
      </w:r>
      <w:r w:rsidR="00C06290" w:rsidRPr="004C12C9">
        <w:t>e methodology applied by this</w:t>
      </w:r>
      <w:r w:rsidRPr="004C12C9">
        <w:t xml:space="preserve"> calculator generally aligns with the method employed by the Animal Feedlot GHG Calculator by calculating both methane and nitrous oxide emissions from manure management and the land application of manure. However, unlike the Animal Feedlot GHG Calculator, this calculator quantifies </w:t>
      </w:r>
      <w:r w:rsidR="00307D63">
        <w:t>indirect N</w:t>
      </w:r>
      <w:r w:rsidR="00307D63" w:rsidRPr="004A4044">
        <w:rPr>
          <w:vertAlign w:val="subscript"/>
        </w:rPr>
        <w:t>2</w:t>
      </w:r>
      <w:r w:rsidR="00307D63">
        <w:t xml:space="preserve">O </w:t>
      </w:r>
      <w:r w:rsidR="00307D63" w:rsidRPr="004C12C9">
        <w:t xml:space="preserve">emissions </w:t>
      </w:r>
      <w:r w:rsidR="004A4044">
        <w:t xml:space="preserve">from manure management and </w:t>
      </w:r>
      <w:r w:rsidR="00036CB7">
        <w:t>direct and indirect N</w:t>
      </w:r>
      <w:r w:rsidR="00036CB7" w:rsidRPr="004A4044">
        <w:rPr>
          <w:vertAlign w:val="subscript"/>
        </w:rPr>
        <w:t>2</w:t>
      </w:r>
      <w:r w:rsidR="00036CB7">
        <w:t xml:space="preserve">O </w:t>
      </w:r>
      <w:r w:rsidRPr="004C12C9">
        <w:t xml:space="preserve">emissions from manure </w:t>
      </w:r>
      <w:r w:rsidR="00036CB7">
        <w:t>deposited by grazing animals</w:t>
      </w:r>
      <w:r w:rsidR="00C572E2">
        <w:t xml:space="preserve"> </w:t>
      </w:r>
      <w:r w:rsidR="00036CB7">
        <w:t>onto</w:t>
      </w:r>
      <w:r w:rsidR="00036CB7" w:rsidRPr="004C12C9">
        <w:t xml:space="preserve"> </w:t>
      </w:r>
      <w:r w:rsidRPr="004C12C9">
        <w:t xml:space="preserve">pasture, while it does not quantify emissions avoided from alfalfa. </w:t>
      </w:r>
      <w:r w:rsidR="00C06290" w:rsidRPr="004C12C9">
        <w:t>As a result,</w:t>
      </w:r>
      <w:r w:rsidR="00953D8A" w:rsidRPr="004C12C9">
        <w:t xml:space="preserve"> emission results</w:t>
      </w:r>
      <w:r w:rsidR="00580B79" w:rsidRPr="004C12C9">
        <w:t xml:space="preserve"> will</w:t>
      </w:r>
      <w:r w:rsidR="00953D8A" w:rsidRPr="004C12C9">
        <w:t xml:space="preserve"> differ from results generated using </w:t>
      </w:r>
      <w:r w:rsidR="002E320A" w:rsidRPr="004C12C9">
        <w:t>MPCA’s</w:t>
      </w:r>
      <w:r w:rsidR="00953D8A" w:rsidRPr="004C12C9">
        <w:t xml:space="preserve"> Animal Feedlot GHG Calculator.</w:t>
      </w:r>
      <w:r w:rsidR="00953D8A" w:rsidRPr="004C12C9">
        <w:rPr>
          <w:rStyle w:val="FootnoteReference"/>
        </w:rPr>
        <w:footnoteReference w:id="140"/>
      </w:r>
      <w:r w:rsidR="00435A4E" w:rsidRPr="004C12C9">
        <w:br w:type="page"/>
      </w:r>
    </w:p>
    <w:p w14:paraId="4C0A38B3" w14:textId="2D3CF271" w:rsidR="00972240" w:rsidRPr="004C12C9" w:rsidRDefault="00FC5F6E" w:rsidP="005D3020">
      <w:pPr>
        <w:pStyle w:val="Heading2"/>
      </w:pPr>
      <w:bookmarkStart w:id="256" w:name="_Toc219887785"/>
      <w:r w:rsidRPr="004C12C9">
        <w:lastRenderedPageBreak/>
        <w:t xml:space="preserve">Mitigation </w:t>
      </w:r>
      <w:r w:rsidR="009F29F6" w:rsidRPr="004C12C9">
        <w:t>and Adaptation</w:t>
      </w:r>
      <w:bookmarkEnd w:id="256"/>
    </w:p>
    <w:p w14:paraId="359198C7" w14:textId="79AE9F9E" w:rsidR="00B339D5" w:rsidRPr="004C12C9" w:rsidRDefault="00972240" w:rsidP="00972240">
      <w:pPr>
        <w:pStyle w:val="Heading3"/>
      </w:pPr>
      <w:bookmarkStart w:id="257" w:name="_Ref196896129"/>
      <w:bookmarkStart w:id="258" w:name="_Toc219887786"/>
      <w:r w:rsidRPr="004C12C9">
        <w:t xml:space="preserve">Mitigation </w:t>
      </w:r>
      <w:r w:rsidR="00FC5F6E" w:rsidRPr="004C12C9">
        <w:t>Measures</w:t>
      </w:r>
      <w:bookmarkEnd w:id="257"/>
      <w:bookmarkEnd w:id="258"/>
    </w:p>
    <w:p w14:paraId="6442A630" w14:textId="2C1FF19B" w:rsidR="00DD297D" w:rsidRPr="004C12C9" w:rsidRDefault="00397EFB" w:rsidP="00972CF9">
      <w:r w:rsidRPr="004C12C9">
        <w:t xml:space="preserve">The </w:t>
      </w:r>
      <w:r w:rsidR="00EF3D03" w:rsidRPr="004C12C9">
        <w:t>calculator</w:t>
      </w:r>
      <w:r w:rsidRPr="004C12C9">
        <w:t xml:space="preserve"> includes 146 </w:t>
      </w:r>
      <w:r w:rsidR="006307F6" w:rsidRPr="004C12C9">
        <w:t xml:space="preserve">measures that are proven to be effective at reducing GHG emissions. </w:t>
      </w:r>
      <w:r w:rsidR="000C4708" w:rsidRPr="004C12C9">
        <w:t xml:space="preserve">Measures were identified from industry, academic, and regulatory publications. Only those measures with robust and meaningful data </w:t>
      </w:r>
      <w:r w:rsidR="00C93589" w:rsidRPr="004C12C9">
        <w:t>that</w:t>
      </w:r>
      <w:r w:rsidR="000C4708" w:rsidRPr="004C12C9">
        <w:t xml:space="preserve"> demonstrate an appreciable GHG reduction at the </w:t>
      </w:r>
      <w:r w:rsidR="00C1008B" w:rsidRPr="004C12C9">
        <w:t>project level</w:t>
      </w:r>
      <w:r w:rsidR="000C4708" w:rsidRPr="004C12C9">
        <w:t xml:space="preserve"> </w:t>
      </w:r>
      <w:r w:rsidR="00FE4400" w:rsidRPr="004C12C9">
        <w:t>are included in the</w:t>
      </w:r>
      <w:r w:rsidR="000C4708" w:rsidRPr="004C12C9">
        <w:t xml:space="preserve"> </w:t>
      </w:r>
      <w:r w:rsidR="00EF3D03" w:rsidRPr="004C12C9">
        <w:t>calculator</w:t>
      </w:r>
      <w:r w:rsidR="00C1008B" w:rsidRPr="004C12C9">
        <w:t>.</w:t>
      </w:r>
      <w:r w:rsidR="00F4714D" w:rsidRPr="004C12C9">
        <w:t xml:space="preserve"> </w:t>
      </w:r>
      <w:r w:rsidR="006307F6" w:rsidRPr="004C12C9">
        <w:t xml:space="preserve">The measures are </w:t>
      </w:r>
      <w:r w:rsidR="001C7B65" w:rsidRPr="004C12C9">
        <w:t>categorized by</w:t>
      </w:r>
      <w:r w:rsidR="00291D63" w:rsidRPr="004C12C9">
        <w:t xml:space="preserve"> </w:t>
      </w:r>
      <w:r w:rsidR="0011553A" w:rsidRPr="004C12C9">
        <w:t>the</w:t>
      </w:r>
      <w:r w:rsidR="00555883" w:rsidRPr="004C12C9">
        <w:t xml:space="preserve"> </w:t>
      </w:r>
      <w:r w:rsidR="000571CC" w:rsidRPr="004C12C9">
        <w:t>emission source</w:t>
      </w:r>
      <w:r w:rsidR="0011553A" w:rsidRPr="004C12C9">
        <w:t xml:space="preserve">s </w:t>
      </w:r>
      <w:r w:rsidR="001C7B65" w:rsidRPr="004C12C9">
        <w:t xml:space="preserve">identified in the </w:t>
      </w:r>
      <w:r w:rsidR="00EF3D03" w:rsidRPr="004C12C9">
        <w:t>calculator</w:t>
      </w:r>
      <w:r w:rsidR="001C7B65" w:rsidRPr="004C12C9">
        <w:t>.</w:t>
      </w:r>
      <w:r w:rsidR="009A7CD0" w:rsidRPr="004C12C9">
        <w:t xml:space="preserve"> While some measures may reduce emissions across more than one source, </w:t>
      </w:r>
      <w:r w:rsidR="00DD57E6" w:rsidRPr="004C12C9">
        <w:t xml:space="preserve">the </w:t>
      </w:r>
      <w:r w:rsidR="00EF3D03" w:rsidRPr="004C12C9">
        <w:t>calculator</w:t>
      </w:r>
      <w:r w:rsidR="00DD57E6" w:rsidRPr="004C12C9">
        <w:t xml:space="preserve"> </w:t>
      </w:r>
      <w:r w:rsidR="008C18C0" w:rsidRPr="004C12C9">
        <w:t>categorizes each measure according to</w:t>
      </w:r>
      <w:r w:rsidR="00DD57E6" w:rsidRPr="004C12C9">
        <w:t xml:space="preserve"> the primary source </w:t>
      </w:r>
      <w:r w:rsidR="008C18C0" w:rsidRPr="004C12C9">
        <w:t>through</w:t>
      </w:r>
      <w:r w:rsidR="00DD57E6" w:rsidRPr="004C12C9">
        <w:t xml:space="preserve"> which emission reductions are expected.</w:t>
      </w:r>
    </w:p>
    <w:p w14:paraId="734A4D12" w14:textId="4D85AFE9" w:rsidR="000C5A84" w:rsidRPr="004C12C9" w:rsidRDefault="00DD297D" w:rsidP="00972CF9">
      <w:r w:rsidRPr="004C12C9">
        <w:t>The measures included in th</w:t>
      </w:r>
      <w:r w:rsidR="003C7B75" w:rsidRPr="004C12C9">
        <w:t>e</w:t>
      </w:r>
      <w:r w:rsidRPr="004C12C9">
        <w:t xml:space="preserve"> </w:t>
      </w:r>
      <w:r w:rsidR="00DA22C7" w:rsidRPr="004C12C9">
        <w:t>calculator</w:t>
      </w:r>
      <w:r w:rsidRPr="004C12C9">
        <w:t xml:space="preserve"> are diverse</w:t>
      </w:r>
      <w:r w:rsidR="002B0B74" w:rsidRPr="004C12C9">
        <w:t xml:space="preserve">. </w:t>
      </w:r>
      <w:r w:rsidR="00EB00F5" w:rsidRPr="004C12C9">
        <w:t>Use</w:t>
      </w:r>
      <w:r w:rsidR="00552337" w:rsidRPr="004C12C9">
        <w:t xml:space="preserve">rs can </w:t>
      </w:r>
      <w:r w:rsidR="00213E14" w:rsidRPr="004C12C9">
        <w:t>use</w:t>
      </w:r>
      <w:r w:rsidR="00EB00F5" w:rsidRPr="004C12C9">
        <w:t xml:space="preserve"> the </w:t>
      </w:r>
      <w:r w:rsidR="00844A34" w:rsidRPr="004C12C9">
        <w:t>column</w:t>
      </w:r>
      <w:r w:rsidR="00292D39" w:rsidRPr="004C12C9">
        <w:t xml:space="preserve"> </w:t>
      </w:r>
      <w:r w:rsidR="00EB00F5" w:rsidRPr="004C12C9">
        <w:t>filter</w:t>
      </w:r>
      <w:r w:rsidR="00292D39" w:rsidRPr="004C12C9">
        <w:t xml:space="preserve">s to </w:t>
      </w:r>
      <w:r w:rsidR="00C91F49" w:rsidRPr="004C12C9">
        <w:t>narrow the</w:t>
      </w:r>
      <w:r w:rsidR="000E28A7" w:rsidRPr="004C12C9">
        <w:t xml:space="preserve"> list of measure</w:t>
      </w:r>
      <w:r w:rsidR="00CB7894" w:rsidRPr="004C12C9">
        <w:t>s</w:t>
      </w:r>
      <w:r w:rsidR="000E28A7" w:rsidRPr="004C12C9">
        <w:t xml:space="preserve"> to only those </w:t>
      </w:r>
      <w:r w:rsidR="00C810BD" w:rsidRPr="004C12C9">
        <w:t>emission sources</w:t>
      </w:r>
      <w:r w:rsidR="00CB7894" w:rsidRPr="004C12C9">
        <w:t xml:space="preserve"> </w:t>
      </w:r>
      <w:r w:rsidR="007119EF" w:rsidRPr="004C12C9">
        <w:t>applicable to</w:t>
      </w:r>
      <w:r w:rsidR="00CB7894" w:rsidRPr="004C12C9">
        <w:t xml:space="preserve"> </w:t>
      </w:r>
      <w:r w:rsidR="00C112DA" w:rsidRPr="004C12C9">
        <w:t>their</w:t>
      </w:r>
      <w:r w:rsidR="000C7475" w:rsidRPr="004C12C9">
        <w:t xml:space="preserve"> project.</w:t>
      </w:r>
      <w:r w:rsidR="0097274C" w:rsidRPr="004C12C9">
        <w:t xml:space="preserve"> Once the </w:t>
      </w:r>
      <w:r w:rsidR="00F9520B" w:rsidRPr="004C12C9">
        <w:t>measure list is filtered,</w:t>
      </w:r>
      <w:r w:rsidR="002C4FF6" w:rsidRPr="004C12C9">
        <w:t xml:space="preserve"> users should</w:t>
      </w:r>
      <w:r w:rsidR="00F9520B" w:rsidRPr="004C12C9">
        <w:t xml:space="preserve"> </w:t>
      </w:r>
      <w:r w:rsidR="004656DB" w:rsidRPr="004C12C9">
        <w:t>carefully review the measure description</w:t>
      </w:r>
      <w:r w:rsidR="00557B7A" w:rsidRPr="004C12C9">
        <w:t>s</w:t>
      </w:r>
      <w:r w:rsidR="004656DB" w:rsidRPr="004C12C9">
        <w:t xml:space="preserve"> </w:t>
      </w:r>
      <w:r w:rsidR="00596CB0" w:rsidRPr="004C12C9">
        <w:t>to determine which measures are</w:t>
      </w:r>
      <w:r w:rsidR="00F9520B" w:rsidRPr="004C12C9">
        <w:t xml:space="preserve"> </w:t>
      </w:r>
      <w:r w:rsidR="00557B7A" w:rsidRPr="004C12C9">
        <w:t xml:space="preserve">most applicable to </w:t>
      </w:r>
      <w:r w:rsidR="00115F10" w:rsidRPr="004C12C9">
        <w:t>their</w:t>
      </w:r>
      <w:r w:rsidR="00557B7A" w:rsidRPr="004C12C9">
        <w:t xml:space="preserve"> project and support </w:t>
      </w:r>
      <w:r w:rsidR="00115F10" w:rsidRPr="004C12C9">
        <w:t>their</w:t>
      </w:r>
      <w:r w:rsidR="00557B7A" w:rsidRPr="004C12C9">
        <w:t xml:space="preserve"> GHG reduction goals. </w:t>
      </w:r>
      <w:r w:rsidR="00F65AD5" w:rsidRPr="004C12C9">
        <w:t>Use</w:t>
      </w:r>
      <w:r w:rsidR="008B3140" w:rsidRPr="004C12C9">
        <w:t>rs can then use</w:t>
      </w:r>
      <w:r w:rsidR="00F65AD5" w:rsidRPr="004C12C9">
        <w:t xml:space="preserve"> the drop-down menu </w:t>
      </w:r>
      <w:r w:rsidR="00573DAE" w:rsidRPr="004C12C9">
        <w:t>under the Select column to</w:t>
      </w:r>
      <w:r w:rsidR="00D55700" w:rsidRPr="004C12C9">
        <w:t xml:space="preserve"> choose the measures </w:t>
      </w:r>
      <w:r w:rsidR="00C95AC0" w:rsidRPr="004C12C9">
        <w:t>they intend to</w:t>
      </w:r>
      <w:r w:rsidR="00EE0409" w:rsidRPr="004C12C9">
        <w:t xml:space="preserve"> implement </w:t>
      </w:r>
      <w:r w:rsidR="009A6DCC" w:rsidRPr="004C12C9">
        <w:t>as part of their</w:t>
      </w:r>
      <w:r w:rsidR="00EE0409" w:rsidRPr="004C12C9">
        <w:t xml:space="preserve"> project.</w:t>
      </w:r>
      <w:r w:rsidR="00076099">
        <w:t xml:space="preserve"> </w:t>
      </w:r>
      <w:r w:rsidR="00720D97">
        <w:t>S</w:t>
      </w:r>
      <w:r w:rsidR="00576807" w:rsidRPr="004C12C9">
        <w:t xml:space="preserve">electing measures </w:t>
      </w:r>
      <w:r w:rsidR="006E4AEE" w:rsidRPr="004C12C9">
        <w:t xml:space="preserve">provides documentation </w:t>
      </w:r>
      <w:r w:rsidR="001A0B5D" w:rsidRPr="004C12C9">
        <w:t xml:space="preserve">of user actions that will be implemented to </w:t>
      </w:r>
      <w:r w:rsidR="00EB00B0" w:rsidRPr="004C12C9">
        <w:t xml:space="preserve">reduce GHG emissions. The list of selected measures </w:t>
      </w:r>
      <w:r w:rsidR="0003507A" w:rsidRPr="004C12C9">
        <w:t xml:space="preserve">can be used to develop </w:t>
      </w:r>
      <w:r w:rsidR="0097141A" w:rsidRPr="004C12C9">
        <w:t xml:space="preserve">a comprehensive set of mitigation strategies </w:t>
      </w:r>
      <w:r w:rsidR="00E3751C" w:rsidRPr="004C12C9">
        <w:t xml:space="preserve">or </w:t>
      </w:r>
      <w:r w:rsidR="00182248" w:rsidRPr="004C12C9">
        <w:t>guiding policies</w:t>
      </w:r>
      <w:r w:rsidR="00863A0B" w:rsidRPr="004C12C9">
        <w:t xml:space="preserve"> for project design and implementation</w:t>
      </w:r>
      <w:r w:rsidR="00182248" w:rsidRPr="004C12C9">
        <w:t xml:space="preserve">. Many of the measures </w:t>
      </w:r>
      <w:r w:rsidR="000539B0" w:rsidRPr="004C12C9">
        <w:t>may also achieve “co-benefits</w:t>
      </w:r>
      <w:r w:rsidR="00943E94" w:rsidRPr="004C12C9">
        <w:t>,</w:t>
      </w:r>
      <w:r w:rsidR="000539B0" w:rsidRPr="004C12C9">
        <w:t>”</w:t>
      </w:r>
      <w:r w:rsidR="00863A0B" w:rsidRPr="004C12C9">
        <w:t xml:space="preserve"> </w:t>
      </w:r>
      <w:r w:rsidR="003D2B77" w:rsidRPr="004C12C9">
        <w:t>or additional benefits beyond GHG reduction</w:t>
      </w:r>
      <w:r w:rsidR="00B5100C" w:rsidRPr="004C12C9">
        <w:t xml:space="preserve"> </w:t>
      </w:r>
      <w:r w:rsidR="00727A3D" w:rsidRPr="004C12C9">
        <w:t>(e.g.,</w:t>
      </w:r>
      <w:r w:rsidR="00B5100C" w:rsidRPr="004C12C9">
        <w:t xml:space="preserve"> water conservation</w:t>
      </w:r>
      <w:r w:rsidR="00727A3D" w:rsidRPr="004C12C9">
        <w:t>,</w:t>
      </w:r>
      <w:r w:rsidR="00B5100C" w:rsidRPr="004C12C9">
        <w:t xml:space="preserve"> improved air quality</w:t>
      </w:r>
      <w:r w:rsidR="00727A3D" w:rsidRPr="004C12C9">
        <w:t>)</w:t>
      </w:r>
      <w:r w:rsidR="00863A0B" w:rsidRPr="004C12C9">
        <w:t>, and may therefore be</w:t>
      </w:r>
      <w:r w:rsidR="00B5100C" w:rsidRPr="004C12C9">
        <w:t xml:space="preserve"> </w:t>
      </w:r>
      <w:r w:rsidR="00630AD4" w:rsidRPr="004C12C9">
        <w:t xml:space="preserve">important to </w:t>
      </w:r>
      <w:r w:rsidR="00E2058F" w:rsidRPr="004C12C9">
        <w:t>acknowledge</w:t>
      </w:r>
      <w:r w:rsidR="00630AD4" w:rsidRPr="004C12C9">
        <w:t xml:space="preserve"> </w:t>
      </w:r>
      <w:r w:rsidR="006D0A8F" w:rsidRPr="004C12C9">
        <w:t xml:space="preserve">in other project </w:t>
      </w:r>
      <w:r w:rsidR="00C0212B" w:rsidRPr="004C12C9">
        <w:t>documentation.</w:t>
      </w:r>
    </w:p>
    <w:p w14:paraId="74EE770A" w14:textId="0EBB4D2F" w:rsidR="004D740E" w:rsidRPr="004C12C9" w:rsidRDefault="00CA0DB0" w:rsidP="00972CF9">
      <w:r w:rsidRPr="004C12C9">
        <w:t xml:space="preserve">The calculator </w:t>
      </w:r>
      <w:r w:rsidR="00736923">
        <w:t xml:space="preserve">allows users to </w:t>
      </w:r>
      <w:r w:rsidRPr="004C12C9">
        <w:t>quantif</w:t>
      </w:r>
      <w:r w:rsidR="00736923">
        <w:t>y</w:t>
      </w:r>
      <w:r w:rsidRPr="004C12C9">
        <w:t xml:space="preserve"> potential GHG reductions achieved by </w:t>
      </w:r>
      <w:r>
        <w:t>select</w:t>
      </w:r>
      <w:r w:rsidRPr="004C12C9">
        <w:t xml:space="preserve"> measures. </w:t>
      </w:r>
      <w:r>
        <w:t xml:space="preserve">These quantifiable measures are denoted on the Mitigation tab and are </w:t>
      </w:r>
      <w:r w:rsidR="00736923">
        <w:t>discussed further</w:t>
      </w:r>
      <w:r>
        <w:t xml:space="preserve"> in Section </w:t>
      </w:r>
      <w:r>
        <w:fldChar w:fldCharType="begin"/>
      </w:r>
      <w:r>
        <w:instrText xml:space="preserve"> REF _Ref219842383 \r \h </w:instrText>
      </w:r>
      <w:r>
        <w:fldChar w:fldCharType="separate"/>
      </w:r>
      <w:r>
        <w:t>4.2</w:t>
      </w:r>
      <w:r>
        <w:fldChar w:fldCharType="end"/>
      </w:r>
      <w:r>
        <w:t xml:space="preserve">. </w:t>
      </w:r>
      <w:r w:rsidR="00676D0F">
        <w:t>For measures not currently quantified in the calculator</w:t>
      </w:r>
      <w:r w:rsidR="00542938" w:rsidRPr="004C12C9">
        <w:t xml:space="preserve">, users may </w:t>
      </w:r>
      <w:r w:rsidR="000D647A" w:rsidRPr="004C12C9">
        <w:t xml:space="preserve">quantify </w:t>
      </w:r>
      <w:r w:rsidR="00D8109E" w:rsidRPr="004C12C9">
        <w:t xml:space="preserve">potential GHG reductions of their selected measures </w:t>
      </w:r>
      <w:r w:rsidR="0001286A" w:rsidRPr="004C12C9">
        <w:t xml:space="preserve">by using the </w:t>
      </w:r>
      <w:r w:rsidR="0074120A" w:rsidRPr="004C12C9">
        <w:t xml:space="preserve">calculator </w:t>
      </w:r>
      <w:r w:rsidR="0001286A" w:rsidRPr="004C12C9">
        <w:t xml:space="preserve">to run </w:t>
      </w:r>
      <w:r w:rsidR="00981EC4" w:rsidRPr="004C12C9">
        <w:t xml:space="preserve">multiple scenarios and/or by </w:t>
      </w:r>
      <w:r w:rsidR="00D8109E" w:rsidRPr="004C12C9">
        <w:t xml:space="preserve">using external </w:t>
      </w:r>
      <w:r w:rsidR="005903E8" w:rsidRPr="004C12C9">
        <w:t>resources.</w:t>
      </w:r>
      <w:r w:rsidR="00D8109E" w:rsidRPr="004C12C9">
        <w:t xml:space="preserve"> </w:t>
      </w:r>
      <w:r w:rsidR="00FF6EE5" w:rsidRPr="004C12C9">
        <w:fldChar w:fldCharType="begin" w:fldLock="1"/>
      </w:r>
      <w:r w:rsidR="00FF6EE5" w:rsidRPr="004C12C9">
        <w:instrText xml:space="preserve"> REF _Ref195698498 \h </w:instrText>
      </w:r>
      <w:r w:rsidR="00FF6EE5" w:rsidRPr="004C12C9">
        <w:fldChar w:fldCharType="separate"/>
      </w:r>
      <w:r w:rsidR="00127094" w:rsidRPr="004C12C9">
        <w:t>Table 4</w:t>
      </w:r>
      <w:r w:rsidR="00127094" w:rsidRPr="004C12C9">
        <w:noBreakHyphen/>
        <w:t>1</w:t>
      </w:r>
      <w:r w:rsidR="00FF6EE5" w:rsidRPr="004C12C9">
        <w:fldChar w:fldCharType="end"/>
      </w:r>
      <w:r w:rsidR="006B084E" w:rsidRPr="004C12C9">
        <w:t xml:space="preserve"> </w:t>
      </w:r>
      <w:r w:rsidR="000F48A3" w:rsidRPr="004C12C9">
        <w:t>summarizes</w:t>
      </w:r>
      <w:r w:rsidR="006B084E" w:rsidRPr="004C12C9">
        <w:t xml:space="preserve"> </w:t>
      </w:r>
      <w:r w:rsidR="00660727" w:rsidRPr="004C12C9">
        <w:t>models</w:t>
      </w:r>
      <w:r w:rsidR="005903E8" w:rsidRPr="004C12C9">
        <w:t xml:space="preserve"> and </w:t>
      </w:r>
      <w:r w:rsidR="000905B8" w:rsidRPr="004C12C9">
        <w:t>calculation</w:t>
      </w:r>
      <w:r w:rsidR="005903E8" w:rsidRPr="004C12C9">
        <w:t xml:space="preserve"> methods that may be leveraged </w:t>
      </w:r>
      <w:r w:rsidR="00B8787C" w:rsidRPr="004C12C9">
        <w:t xml:space="preserve">for </w:t>
      </w:r>
      <w:r w:rsidR="006D5E3B" w:rsidRPr="004C12C9">
        <w:t>quantification support</w:t>
      </w:r>
      <w:r w:rsidR="00695923" w:rsidRPr="004C12C9">
        <w:t xml:space="preserve"> at the project</w:t>
      </w:r>
      <w:r w:rsidR="00134EE7" w:rsidRPr="004C12C9">
        <w:t xml:space="preserve"> </w:t>
      </w:r>
      <w:r w:rsidR="00695923" w:rsidRPr="004C12C9">
        <w:t>level</w:t>
      </w:r>
      <w:r w:rsidR="000905B8" w:rsidRPr="004C12C9">
        <w:t xml:space="preserve">. </w:t>
      </w:r>
      <w:r w:rsidR="00EC5904" w:rsidRPr="004C12C9">
        <w:t xml:space="preserve">Resources are presented in </w:t>
      </w:r>
      <w:r w:rsidR="00622FE6" w:rsidRPr="004C12C9">
        <w:t>alphabetical</w:t>
      </w:r>
      <w:r w:rsidR="00EC5904" w:rsidRPr="004C12C9">
        <w:t xml:space="preserve"> order</w:t>
      </w:r>
      <w:r w:rsidR="00622FE6" w:rsidRPr="004C12C9">
        <w:t>, and e</w:t>
      </w:r>
      <w:r w:rsidR="008E6BE4" w:rsidRPr="004C12C9">
        <w:t>mission source(s) addressed</w:t>
      </w:r>
      <w:r w:rsidR="00622FE6" w:rsidRPr="004C12C9">
        <w:t xml:space="preserve"> by each resource </w:t>
      </w:r>
      <w:r w:rsidR="000F48A3" w:rsidRPr="004C12C9">
        <w:t>identified</w:t>
      </w:r>
      <w:r w:rsidR="00622FE6" w:rsidRPr="004C12C9">
        <w:t>. While the list of resources</w:t>
      </w:r>
      <w:r w:rsidR="005476D6" w:rsidRPr="004C12C9">
        <w:t xml:space="preserve"> presented in </w:t>
      </w:r>
      <w:r w:rsidR="003A320B" w:rsidRPr="004C12C9">
        <w:fldChar w:fldCharType="begin" w:fldLock="1"/>
      </w:r>
      <w:r w:rsidR="003A320B" w:rsidRPr="004C12C9">
        <w:instrText xml:space="preserve"> REF _Ref195698498 \h </w:instrText>
      </w:r>
      <w:r w:rsidR="003A320B" w:rsidRPr="004C12C9">
        <w:fldChar w:fldCharType="separate"/>
      </w:r>
      <w:r w:rsidR="00127094" w:rsidRPr="004C12C9">
        <w:t>Table 4</w:t>
      </w:r>
      <w:r w:rsidR="00127094" w:rsidRPr="004C12C9">
        <w:noBreakHyphen/>
        <w:t>1</w:t>
      </w:r>
      <w:r w:rsidR="003A320B" w:rsidRPr="004C12C9">
        <w:fldChar w:fldCharType="end"/>
      </w:r>
      <w:r w:rsidR="005476D6" w:rsidRPr="004C12C9">
        <w:t xml:space="preserve"> is comprehensive, </w:t>
      </w:r>
      <w:r w:rsidR="003233EC" w:rsidRPr="004C12C9">
        <w:t>additional guidance and models are continually being developed</w:t>
      </w:r>
      <w:r w:rsidR="00820098" w:rsidRPr="004C12C9">
        <w:t xml:space="preserve"> and </w:t>
      </w:r>
      <w:r w:rsidR="00DA4E13" w:rsidRPr="004C12C9">
        <w:t xml:space="preserve">may be used to </w:t>
      </w:r>
      <w:r w:rsidR="000A44A8" w:rsidRPr="004C12C9">
        <w:t xml:space="preserve">support </w:t>
      </w:r>
      <w:r w:rsidR="00DA4E13" w:rsidRPr="004C12C9">
        <w:t>measure quantification</w:t>
      </w:r>
      <w:r w:rsidR="004D740E" w:rsidRPr="004C12C9">
        <w:t>.</w:t>
      </w:r>
    </w:p>
    <w:p w14:paraId="430F3C4C" w14:textId="41D83F70" w:rsidR="004D740E" w:rsidRPr="004C12C9" w:rsidRDefault="004D740E" w:rsidP="00972CF9">
      <w:pPr>
        <w:pStyle w:val="Caption"/>
      </w:pPr>
      <w:bookmarkStart w:id="259" w:name="_Ref195698498"/>
      <w:r w:rsidRPr="004C12C9">
        <w:t xml:space="preserve">Table </w:t>
      </w:r>
      <w:r w:rsidR="00F72B41">
        <w:fldChar w:fldCharType="begin"/>
      </w:r>
      <w:r w:rsidR="00F72B41">
        <w:instrText xml:space="preserve"> STYLEREF 2 \s </w:instrText>
      </w:r>
      <w:r w:rsidR="00F72B41">
        <w:fldChar w:fldCharType="separate"/>
      </w:r>
      <w:r w:rsidR="00F72B41">
        <w:rPr>
          <w:noProof/>
        </w:rPr>
        <w:t>4</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1</w:t>
      </w:r>
      <w:r w:rsidR="00F72B41">
        <w:fldChar w:fldCharType="end"/>
      </w:r>
      <w:bookmarkEnd w:id="259"/>
      <w:r w:rsidR="009E3F44" w:rsidRPr="004C12C9">
        <w:t>.</w:t>
      </w:r>
      <w:r w:rsidRPr="004C12C9">
        <w:t xml:space="preserve"> Additional Resources to Support GHG Reduction Measure Quantification</w:t>
      </w:r>
    </w:p>
    <w:tbl>
      <w:tblPr>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5310"/>
        <w:gridCol w:w="1980"/>
      </w:tblGrid>
      <w:tr w:rsidR="005167AA" w:rsidRPr="004C12C9" w14:paraId="42DE296F" w14:textId="77777777" w:rsidTr="002E320A">
        <w:trPr>
          <w:cantSplit/>
          <w:trHeight w:val="274"/>
          <w:tblHeader/>
        </w:trPr>
        <w:tc>
          <w:tcPr>
            <w:tcW w:w="2785" w:type="dxa"/>
            <w:shd w:val="clear" w:color="auto" w:fill="D9D9D9" w:themeFill="background1" w:themeFillShade="D9"/>
            <w:noWrap/>
            <w:vAlign w:val="center"/>
            <w:hideMark/>
          </w:tcPr>
          <w:p w14:paraId="4FCE74D5" w14:textId="77777777" w:rsidR="005167AA" w:rsidRPr="004C12C9" w:rsidRDefault="005167AA" w:rsidP="00955544">
            <w:pPr>
              <w:pStyle w:val="ICFTableHeading"/>
              <w:rPr>
                <w:rFonts w:asciiTheme="minorHAnsi" w:hAnsiTheme="minorHAnsi" w:cstheme="minorHAnsi"/>
                <w:szCs w:val="22"/>
              </w:rPr>
            </w:pPr>
            <w:r w:rsidRPr="004C12C9">
              <w:rPr>
                <w:rFonts w:asciiTheme="minorHAnsi" w:hAnsiTheme="minorHAnsi" w:cstheme="minorHAnsi"/>
                <w:szCs w:val="22"/>
              </w:rPr>
              <w:t>Name</w:t>
            </w:r>
          </w:p>
        </w:tc>
        <w:tc>
          <w:tcPr>
            <w:tcW w:w="5310" w:type="dxa"/>
            <w:shd w:val="clear" w:color="auto" w:fill="D9D9D9" w:themeFill="background1" w:themeFillShade="D9"/>
            <w:vAlign w:val="center"/>
          </w:tcPr>
          <w:p w14:paraId="3E64E147" w14:textId="77777777" w:rsidR="005167AA" w:rsidRPr="004C12C9" w:rsidRDefault="005167AA" w:rsidP="00955544">
            <w:pPr>
              <w:pStyle w:val="ICFTableHeading"/>
              <w:rPr>
                <w:rFonts w:asciiTheme="minorHAnsi" w:hAnsiTheme="minorHAnsi" w:cstheme="minorHAnsi"/>
                <w:szCs w:val="22"/>
              </w:rPr>
            </w:pPr>
            <w:r w:rsidRPr="004C12C9">
              <w:rPr>
                <w:rFonts w:asciiTheme="minorHAnsi" w:hAnsiTheme="minorHAnsi" w:cstheme="minorHAnsi"/>
                <w:szCs w:val="22"/>
              </w:rPr>
              <w:t>Description</w:t>
            </w:r>
          </w:p>
        </w:tc>
        <w:tc>
          <w:tcPr>
            <w:tcW w:w="1980" w:type="dxa"/>
            <w:shd w:val="clear" w:color="auto" w:fill="D9D9D9" w:themeFill="background1" w:themeFillShade="D9"/>
            <w:vAlign w:val="center"/>
          </w:tcPr>
          <w:p w14:paraId="3F2328B9" w14:textId="72A62C43" w:rsidR="005167AA" w:rsidRPr="004C12C9" w:rsidRDefault="005167AA" w:rsidP="00955544">
            <w:pPr>
              <w:pStyle w:val="ICFTableHeading"/>
              <w:rPr>
                <w:rFonts w:asciiTheme="minorHAnsi" w:hAnsiTheme="minorHAnsi" w:cstheme="minorHAnsi"/>
                <w:szCs w:val="22"/>
              </w:rPr>
            </w:pPr>
            <w:r w:rsidRPr="004C12C9">
              <w:rPr>
                <w:rFonts w:asciiTheme="minorHAnsi" w:hAnsiTheme="minorHAnsi" w:cstheme="minorHAnsi"/>
                <w:szCs w:val="22"/>
              </w:rPr>
              <w:t xml:space="preserve">Emission </w:t>
            </w:r>
            <w:r w:rsidR="006B0E6E" w:rsidRPr="004C12C9">
              <w:rPr>
                <w:rFonts w:asciiTheme="minorHAnsi" w:hAnsiTheme="minorHAnsi" w:cstheme="minorHAnsi"/>
                <w:szCs w:val="22"/>
              </w:rPr>
              <w:t>Source</w:t>
            </w:r>
            <w:r w:rsidRPr="004C12C9">
              <w:rPr>
                <w:rFonts w:asciiTheme="minorHAnsi" w:hAnsiTheme="minorHAnsi" w:cstheme="minorHAnsi"/>
                <w:szCs w:val="22"/>
              </w:rPr>
              <w:t>(s)</w:t>
            </w:r>
          </w:p>
        </w:tc>
      </w:tr>
      <w:tr w:rsidR="005167AA" w:rsidRPr="004C12C9" w14:paraId="14ABBE58" w14:textId="77777777" w:rsidTr="002E320A">
        <w:trPr>
          <w:cantSplit/>
          <w:trHeight w:val="274"/>
        </w:trPr>
        <w:tc>
          <w:tcPr>
            <w:tcW w:w="2785" w:type="dxa"/>
            <w:noWrap/>
            <w:vAlign w:val="center"/>
          </w:tcPr>
          <w:p w14:paraId="5FE85433" w14:textId="05885BFE" w:rsidR="005167AA" w:rsidRPr="004C12C9" w:rsidRDefault="005167AA" w:rsidP="00DA4E13">
            <w:pPr>
              <w:pStyle w:val="ICFTabletext"/>
              <w:rPr>
                <w:rFonts w:asciiTheme="minorHAnsi" w:hAnsiTheme="minorHAnsi" w:cstheme="minorHAnsi"/>
                <w:sz w:val="20"/>
                <w:szCs w:val="18"/>
              </w:rPr>
            </w:pPr>
            <w:hyperlink r:id="rId26" w:history="1">
              <w:r w:rsidRPr="004C12C9">
                <w:rPr>
                  <w:rStyle w:val="Hyperlink"/>
                  <w:rFonts w:asciiTheme="minorHAnsi" w:hAnsiTheme="minorHAnsi" w:cstheme="minorHAnsi"/>
                  <w:sz w:val="20"/>
                  <w:szCs w:val="18"/>
                </w:rPr>
                <w:t>AVoided Emissions and Generation Tool (AVERT)</w:t>
              </w:r>
            </w:hyperlink>
          </w:p>
        </w:tc>
        <w:tc>
          <w:tcPr>
            <w:tcW w:w="5310" w:type="dxa"/>
            <w:vAlign w:val="center"/>
          </w:tcPr>
          <w:p w14:paraId="6EF3104D" w14:textId="310EBFC2" w:rsidR="005167AA" w:rsidRPr="004C12C9" w:rsidRDefault="005167AA"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AVERT analyzes emission impacts of energy efficiency and renewable energy policies and programs in the electric power sector.</w:t>
            </w:r>
          </w:p>
        </w:tc>
        <w:tc>
          <w:tcPr>
            <w:tcW w:w="1980" w:type="dxa"/>
            <w:vAlign w:val="center"/>
          </w:tcPr>
          <w:p w14:paraId="7DC549C3" w14:textId="37502C80" w:rsidR="005167AA" w:rsidRPr="004C12C9" w:rsidRDefault="00E43252"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Building energy consumption</w:t>
            </w:r>
          </w:p>
        </w:tc>
      </w:tr>
      <w:tr w:rsidR="005167AA" w:rsidRPr="004C12C9" w14:paraId="06B0905C" w14:textId="77777777" w:rsidTr="002E320A">
        <w:trPr>
          <w:cantSplit/>
          <w:trHeight w:val="274"/>
        </w:trPr>
        <w:tc>
          <w:tcPr>
            <w:tcW w:w="2785" w:type="dxa"/>
            <w:noWrap/>
            <w:vAlign w:val="center"/>
          </w:tcPr>
          <w:p w14:paraId="1BB1FD3A" w14:textId="701826E8" w:rsidR="005167AA" w:rsidRPr="004C12C9" w:rsidRDefault="005167AA" w:rsidP="00DA4E13">
            <w:pPr>
              <w:pStyle w:val="ICFTabletext"/>
              <w:rPr>
                <w:rFonts w:asciiTheme="minorHAnsi" w:hAnsiTheme="minorHAnsi" w:cstheme="minorHAnsi"/>
                <w:sz w:val="20"/>
                <w:szCs w:val="18"/>
              </w:rPr>
            </w:pPr>
            <w:hyperlink r:id="rId27" w:history="1">
              <w:r w:rsidRPr="004C12C9">
                <w:rPr>
                  <w:rStyle w:val="Hyperlink"/>
                  <w:rFonts w:asciiTheme="minorHAnsi" w:hAnsiTheme="minorHAnsi" w:cstheme="minorHAnsi"/>
                  <w:sz w:val="20"/>
                  <w:szCs w:val="18"/>
                </w:rPr>
                <w:t>California Emissions Estimator Model (CalEEMod)</w:t>
              </w:r>
            </w:hyperlink>
          </w:p>
        </w:tc>
        <w:tc>
          <w:tcPr>
            <w:tcW w:w="5310" w:type="dxa"/>
            <w:vAlign w:val="center"/>
          </w:tcPr>
          <w:p w14:paraId="164C69F2" w14:textId="0353FAB5" w:rsidR="005167AA" w:rsidRPr="004C12C9" w:rsidRDefault="00E03B4E"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CalEEMod q</w:t>
            </w:r>
            <w:r w:rsidR="005167AA" w:rsidRPr="004C12C9">
              <w:rPr>
                <w:rFonts w:asciiTheme="minorHAnsi" w:hAnsiTheme="minorHAnsi" w:cstheme="minorHAnsi"/>
                <w:sz w:val="20"/>
                <w:szCs w:val="18"/>
              </w:rPr>
              <w:t>uantifies emissions reductions from numerous project- and plan-level GHG reduction measures.</w:t>
            </w:r>
            <w:r w:rsidR="005167AA" w:rsidRPr="004C12C9">
              <w:rPr>
                <w:rFonts w:asciiTheme="minorHAnsi" w:hAnsiTheme="minorHAnsi" w:cstheme="minorHAnsi"/>
                <w:sz w:val="20"/>
                <w:szCs w:val="18"/>
                <w:vertAlign w:val="superscript"/>
              </w:rPr>
              <w:t>a</w:t>
            </w:r>
            <w:r w:rsidR="005167AA" w:rsidRPr="004C12C9">
              <w:rPr>
                <w:rFonts w:asciiTheme="minorHAnsi" w:hAnsiTheme="minorHAnsi" w:cstheme="minorHAnsi"/>
                <w:sz w:val="20"/>
                <w:szCs w:val="18"/>
              </w:rPr>
              <w:t xml:space="preserve"> </w:t>
            </w:r>
          </w:p>
        </w:tc>
        <w:tc>
          <w:tcPr>
            <w:tcW w:w="1980" w:type="dxa"/>
            <w:vAlign w:val="center"/>
          </w:tcPr>
          <w:p w14:paraId="0C893485" w14:textId="5F746C68" w:rsidR="005167AA" w:rsidRPr="004C12C9" w:rsidRDefault="005167AA"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All</w:t>
            </w:r>
            <w:r w:rsidR="00C63089" w:rsidRPr="004C12C9">
              <w:rPr>
                <w:rFonts w:asciiTheme="minorHAnsi" w:hAnsiTheme="minorHAnsi" w:cstheme="minorHAnsi"/>
                <w:sz w:val="20"/>
                <w:szCs w:val="18"/>
              </w:rPr>
              <w:t xml:space="preserve"> except </w:t>
            </w:r>
            <w:r w:rsidR="00E63466" w:rsidRPr="004C12C9">
              <w:rPr>
                <w:rFonts w:asciiTheme="minorHAnsi" w:hAnsiTheme="minorHAnsi" w:cstheme="minorHAnsi"/>
                <w:sz w:val="20"/>
                <w:szCs w:val="18"/>
              </w:rPr>
              <w:t>Material inputs; Coal production; Natural gas and oil products; Industrial processes</w:t>
            </w:r>
          </w:p>
        </w:tc>
      </w:tr>
      <w:tr w:rsidR="005167AA" w:rsidRPr="004C12C9" w14:paraId="69BCD588" w14:textId="77777777" w:rsidTr="002E320A">
        <w:trPr>
          <w:cantSplit/>
          <w:trHeight w:val="274"/>
        </w:trPr>
        <w:tc>
          <w:tcPr>
            <w:tcW w:w="2785" w:type="dxa"/>
            <w:noWrap/>
            <w:vAlign w:val="center"/>
          </w:tcPr>
          <w:p w14:paraId="3E9EDC2F" w14:textId="43649311" w:rsidR="005167AA" w:rsidRPr="004C12C9" w:rsidRDefault="005167AA" w:rsidP="00DA4E13">
            <w:pPr>
              <w:pStyle w:val="ICFTabletext"/>
              <w:rPr>
                <w:rFonts w:asciiTheme="minorHAnsi" w:hAnsiTheme="minorHAnsi" w:cstheme="minorHAnsi"/>
                <w:sz w:val="20"/>
                <w:szCs w:val="18"/>
              </w:rPr>
            </w:pPr>
            <w:hyperlink r:id="rId28" w:history="1">
              <w:r w:rsidRPr="004C12C9">
                <w:rPr>
                  <w:rStyle w:val="Hyperlink"/>
                  <w:rFonts w:asciiTheme="minorHAnsi" w:hAnsiTheme="minorHAnsi" w:cstheme="minorHAnsi"/>
                  <w:sz w:val="20"/>
                  <w:szCs w:val="18"/>
                </w:rPr>
                <w:t>California’s Climate Investments Quantification, Benefits, and Reporting Materials</w:t>
              </w:r>
            </w:hyperlink>
          </w:p>
        </w:tc>
        <w:tc>
          <w:tcPr>
            <w:tcW w:w="5310" w:type="dxa"/>
            <w:vAlign w:val="center"/>
          </w:tcPr>
          <w:p w14:paraId="6F71CAD7" w14:textId="1C6EB69D" w:rsidR="005167AA" w:rsidRPr="004C12C9" w:rsidRDefault="004404FD" w:rsidP="00DA4E13">
            <w:pPr>
              <w:pStyle w:val="ICFTabletext"/>
              <w:rPr>
                <w:rFonts w:asciiTheme="minorHAnsi" w:hAnsiTheme="minorHAnsi" w:cstheme="minorHAnsi"/>
                <w:sz w:val="20"/>
                <w:szCs w:val="18"/>
                <w:vertAlign w:val="superscript"/>
              </w:rPr>
            </w:pPr>
            <w:r w:rsidRPr="004C12C9">
              <w:rPr>
                <w:rFonts w:asciiTheme="minorHAnsi" w:hAnsiTheme="minorHAnsi" w:cstheme="minorHAnsi"/>
                <w:sz w:val="20"/>
                <w:szCs w:val="18"/>
              </w:rPr>
              <w:t>Repository that i</w:t>
            </w:r>
            <w:r w:rsidR="005167AA" w:rsidRPr="004C12C9">
              <w:rPr>
                <w:rFonts w:asciiTheme="minorHAnsi" w:hAnsiTheme="minorHAnsi" w:cstheme="minorHAnsi"/>
                <w:sz w:val="20"/>
                <w:szCs w:val="18"/>
              </w:rPr>
              <w:t>ncludes quantification methods and tools for various sectors, including Transportation and Sustainable Communities, Clean Energy and Energy Efficiency, and Natural Resources and Waste Diversion.</w:t>
            </w:r>
            <w:r w:rsidR="005167AA" w:rsidRPr="004C12C9">
              <w:rPr>
                <w:rFonts w:asciiTheme="minorHAnsi" w:hAnsiTheme="minorHAnsi" w:cstheme="minorHAnsi"/>
                <w:sz w:val="20"/>
                <w:szCs w:val="18"/>
                <w:vertAlign w:val="superscript"/>
              </w:rPr>
              <w:t>a</w:t>
            </w:r>
          </w:p>
        </w:tc>
        <w:tc>
          <w:tcPr>
            <w:tcW w:w="1980" w:type="dxa"/>
            <w:vAlign w:val="center"/>
          </w:tcPr>
          <w:p w14:paraId="7B7F9D27" w14:textId="29A44C92" w:rsidR="005167AA" w:rsidRPr="004C12C9" w:rsidRDefault="00260418"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All except Material inputs; </w:t>
            </w:r>
            <w:r w:rsidR="00E63466" w:rsidRPr="004C12C9">
              <w:rPr>
                <w:rFonts w:asciiTheme="minorHAnsi" w:hAnsiTheme="minorHAnsi" w:cstheme="minorHAnsi"/>
                <w:sz w:val="20"/>
                <w:szCs w:val="18"/>
              </w:rPr>
              <w:t>C</w:t>
            </w:r>
            <w:r w:rsidRPr="004C12C9">
              <w:rPr>
                <w:rFonts w:asciiTheme="minorHAnsi" w:hAnsiTheme="minorHAnsi" w:cstheme="minorHAnsi"/>
                <w:sz w:val="20"/>
                <w:szCs w:val="18"/>
              </w:rPr>
              <w:t xml:space="preserve">oal production; </w:t>
            </w:r>
            <w:r w:rsidR="00E63466" w:rsidRPr="004C12C9">
              <w:rPr>
                <w:rFonts w:asciiTheme="minorHAnsi" w:hAnsiTheme="minorHAnsi" w:cstheme="minorHAnsi"/>
                <w:sz w:val="20"/>
                <w:szCs w:val="18"/>
              </w:rPr>
              <w:t>N</w:t>
            </w:r>
            <w:r w:rsidRPr="004C12C9">
              <w:rPr>
                <w:rFonts w:asciiTheme="minorHAnsi" w:hAnsiTheme="minorHAnsi" w:cstheme="minorHAnsi"/>
                <w:sz w:val="20"/>
                <w:szCs w:val="18"/>
              </w:rPr>
              <w:t>atural gas and oil products; Industrial process</w:t>
            </w:r>
            <w:r w:rsidR="00E00D8D" w:rsidRPr="004C12C9">
              <w:rPr>
                <w:rFonts w:asciiTheme="minorHAnsi" w:hAnsiTheme="minorHAnsi" w:cstheme="minorHAnsi"/>
                <w:sz w:val="20"/>
                <w:szCs w:val="18"/>
              </w:rPr>
              <w:t>e</w:t>
            </w:r>
            <w:r w:rsidRPr="004C12C9">
              <w:rPr>
                <w:rFonts w:asciiTheme="minorHAnsi" w:hAnsiTheme="minorHAnsi" w:cstheme="minorHAnsi"/>
                <w:sz w:val="20"/>
                <w:szCs w:val="18"/>
              </w:rPr>
              <w:t>s</w:t>
            </w:r>
          </w:p>
        </w:tc>
      </w:tr>
      <w:tr w:rsidR="005167AA" w:rsidRPr="004C12C9" w14:paraId="219CEA29" w14:textId="77777777" w:rsidTr="002E320A">
        <w:trPr>
          <w:cantSplit/>
          <w:trHeight w:val="274"/>
        </w:trPr>
        <w:tc>
          <w:tcPr>
            <w:tcW w:w="2785" w:type="dxa"/>
            <w:noWrap/>
            <w:vAlign w:val="center"/>
          </w:tcPr>
          <w:p w14:paraId="0C589FB2" w14:textId="114D785C" w:rsidR="005167AA" w:rsidRPr="004C12C9" w:rsidRDefault="005630B6" w:rsidP="00DA4E13">
            <w:pPr>
              <w:pStyle w:val="ICFTabletext"/>
              <w:rPr>
                <w:rFonts w:asciiTheme="minorHAnsi" w:hAnsiTheme="minorHAnsi" w:cstheme="minorHAnsi"/>
                <w:sz w:val="20"/>
                <w:szCs w:val="18"/>
              </w:rPr>
            </w:pPr>
            <w:hyperlink r:id="rId29" w:history="1">
              <w:r w:rsidRPr="004C12C9">
                <w:rPr>
                  <w:rStyle w:val="Hyperlink"/>
                  <w:rFonts w:asciiTheme="minorHAnsi" w:hAnsiTheme="minorHAnsi" w:cstheme="minorHAnsi"/>
                  <w:sz w:val="20"/>
                  <w:szCs w:val="18"/>
                </w:rPr>
                <w:t>Clean Energy Emission Reduction (CLEER) Tool</w:t>
              </w:r>
            </w:hyperlink>
          </w:p>
        </w:tc>
        <w:tc>
          <w:tcPr>
            <w:tcW w:w="5310" w:type="dxa"/>
            <w:vAlign w:val="center"/>
          </w:tcPr>
          <w:p w14:paraId="3EF3289C" w14:textId="7098AB1C" w:rsidR="005167AA" w:rsidRPr="004C12C9" w:rsidRDefault="00734C7F"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CLEER Tool calculates emissions reduced or avoided from clean energy activities based on internationally accepted GHG estimation methodologies.</w:t>
            </w:r>
          </w:p>
        </w:tc>
        <w:tc>
          <w:tcPr>
            <w:tcW w:w="1980" w:type="dxa"/>
            <w:vAlign w:val="center"/>
          </w:tcPr>
          <w:p w14:paraId="1169C450" w14:textId="7ED71788" w:rsidR="005167AA" w:rsidRPr="004C12C9" w:rsidRDefault="005630B6"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Building energy consumption</w:t>
            </w:r>
          </w:p>
        </w:tc>
      </w:tr>
      <w:tr w:rsidR="005167AA" w:rsidRPr="004C12C9" w14:paraId="68BD8209" w14:textId="77777777" w:rsidTr="002E320A">
        <w:trPr>
          <w:cantSplit/>
          <w:trHeight w:val="274"/>
        </w:trPr>
        <w:tc>
          <w:tcPr>
            <w:tcW w:w="2785" w:type="dxa"/>
            <w:noWrap/>
            <w:vAlign w:val="center"/>
          </w:tcPr>
          <w:p w14:paraId="1BCFEA1C" w14:textId="32DADF22" w:rsidR="005167AA" w:rsidRPr="004C12C9" w:rsidRDefault="00CE3419" w:rsidP="00DA4E13">
            <w:pPr>
              <w:pStyle w:val="ICFTabletext"/>
              <w:rPr>
                <w:rFonts w:asciiTheme="minorHAnsi" w:hAnsiTheme="minorHAnsi" w:cstheme="minorHAnsi"/>
                <w:sz w:val="20"/>
                <w:szCs w:val="18"/>
              </w:rPr>
            </w:pPr>
            <w:hyperlink r:id="rId30" w:history="1">
              <w:r w:rsidRPr="004C12C9">
                <w:rPr>
                  <w:rStyle w:val="Hyperlink"/>
                  <w:rFonts w:asciiTheme="minorHAnsi" w:hAnsiTheme="minorHAnsi" w:cstheme="minorHAnsi"/>
                  <w:sz w:val="20"/>
                  <w:szCs w:val="18"/>
                </w:rPr>
                <w:t>COMET-Farm</w:t>
              </w:r>
            </w:hyperlink>
          </w:p>
        </w:tc>
        <w:tc>
          <w:tcPr>
            <w:tcW w:w="5310" w:type="dxa"/>
            <w:vAlign w:val="center"/>
          </w:tcPr>
          <w:p w14:paraId="1254E507" w14:textId="2E6411B6" w:rsidR="005167AA" w:rsidRPr="004C12C9" w:rsidRDefault="0064652B"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COMET-Farm can be used to estimate the impact of agricultural practices on soil carbon storage and </w:t>
            </w:r>
            <w:r w:rsidR="00D57781" w:rsidRPr="004C12C9">
              <w:rPr>
                <w:rFonts w:asciiTheme="minorHAnsi" w:hAnsiTheme="minorHAnsi" w:cstheme="minorHAnsi"/>
                <w:sz w:val="20"/>
                <w:szCs w:val="18"/>
              </w:rPr>
              <w:t>GHG</w:t>
            </w:r>
            <w:r w:rsidRPr="004C12C9">
              <w:rPr>
                <w:rFonts w:asciiTheme="minorHAnsi" w:hAnsiTheme="minorHAnsi" w:cstheme="minorHAnsi"/>
                <w:sz w:val="20"/>
                <w:szCs w:val="18"/>
              </w:rPr>
              <w:t xml:space="preserve"> emissions. The tool can simulate changes in GHG emissions </w:t>
            </w:r>
            <w:r w:rsidR="00D57781" w:rsidRPr="004C12C9">
              <w:rPr>
                <w:rFonts w:asciiTheme="minorHAnsi" w:hAnsiTheme="minorHAnsi" w:cstheme="minorHAnsi"/>
                <w:sz w:val="20"/>
                <w:szCs w:val="18"/>
              </w:rPr>
              <w:t>because</w:t>
            </w:r>
            <w:r w:rsidRPr="004C12C9">
              <w:rPr>
                <w:rFonts w:asciiTheme="minorHAnsi" w:hAnsiTheme="minorHAnsi" w:cstheme="minorHAnsi"/>
                <w:sz w:val="20"/>
                <w:szCs w:val="18"/>
              </w:rPr>
              <w:t xml:space="preserve"> of grazing.</w:t>
            </w:r>
          </w:p>
        </w:tc>
        <w:tc>
          <w:tcPr>
            <w:tcW w:w="1980" w:type="dxa"/>
            <w:vAlign w:val="center"/>
          </w:tcPr>
          <w:p w14:paraId="5DE30180" w14:textId="4C911CA2" w:rsidR="005167AA" w:rsidRPr="004C12C9" w:rsidRDefault="00455224"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Enteric fermentation; </w:t>
            </w:r>
            <w:r w:rsidR="004B6D9C" w:rsidRPr="004C12C9">
              <w:rPr>
                <w:rFonts w:asciiTheme="minorHAnsi" w:hAnsiTheme="minorHAnsi" w:cstheme="minorHAnsi"/>
                <w:sz w:val="20"/>
                <w:szCs w:val="18"/>
              </w:rPr>
              <w:t>Manure management</w:t>
            </w:r>
          </w:p>
        </w:tc>
      </w:tr>
      <w:tr w:rsidR="005167AA" w:rsidRPr="004C12C9" w14:paraId="3FBC420D" w14:textId="77777777" w:rsidTr="002E320A">
        <w:trPr>
          <w:cantSplit/>
          <w:trHeight w:val="274"/>
        </w:trPr>
        <w:tc>
          <w:tcPr>
            <w:tcW w:w="2785" w:type="dxa"/>
            <w:noWrap/>
            <w:vAlign w:val="center"/>
          </w:tcPr>
          <w:p w14:paraId="49327ABF" w14:textId="7BDC7A31" w:rsidR="005167AA" w:rsidRPr="004C12C9" w:rsidRDefault="00267A90" w:rsidP="00DA4E13">
            <w:pPr>
              <w:pStyle w:val="ICFTabletext"/>
              <w:rPr>
                <w:rFonts w:asciiTheme="minorHAnsi" w:hAnsiTheme="minorHAnsi" w:cstheme="minorHAnsi"/>
                <w:sz w:val="20"/>
                <w:szCs w:val="18"/>
              </w:rPr>
            </w:pPr>
            <w:hyperlink r:id="rId31" w:history="1">
              <w:r w:rsidRPr="004C12C9">
                <w:rPr>
                  <w:rStyle w:val="Hyperlink"/>
                  <w:rFonts w:asciiTheme="minorHAnsi" w:hAnsiTheme="minorHAnsi" w:cstheme="minorHAnsi"/>
                  <w:sz w:val="20"/>
                  <w:szCs w:val="18"/>
                </w:rPr>
                <w:t>COMET-Planner</w:t>
              </w:r>
            </w:hyperlink>
          </w:p>
        </w:tc>
        <w:tc>
          <w:tcPr>
            <w:tcW w:w="5310" w:type="dxa"/>
            <w:vAlign w:val="center"/>
          </w:tcPr>
          <w:p w14:paraId="309BC54F" w14:textId="47C59259" w:rsidR="005167AA" w:rsidRPr="004C12C9" w:rsidRDefault="00926155"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COMET-Planner evaluates potential carbon sequestration and GHG reduction from adopting various conservation practices</w:t>
            </w:r>
            <w:r w:rsidR="003A48DB" w:rsidRPr="004C12C9">
              <w:rPr>
                <w:rFonts w:asciiTheme="minorHAnsi" w:hAnsiTheme="minorHAnsi" w:cstheme="minorHAnsi"/>
                <w:sz w:val="20"/>
                <w:szCs w:val="18"/>
              </w:rPr>
              <w:t>.</w:t>
            </w:r>
          </w:p>
        </w:tc>
        <w:tc>
          <w:tcPr>
            <w:tcW w:w="1980" w:type="dxa"/>
            <w:vAlign w:val="center"/>
          </w:tcPr>
          <w:p w14:paraId="62ED2BF5" w14:textId="1E5B15B2" w:rsidR="005167AA" w:rsidRPr="004C12C9" w:rsidRDefault="00B5228A"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Land use change (construction/ operations)</w:t>
            </w:r>
          </w:p>
        </w:tc>
      </w:tr>
      <w:tr w:rsidR="005167AA" w:rsidRPr="004C12C9" w14:paraId="51E3B4B5" w14:textId="77777777" w:rsidTr="002E320A">
        <w:trPr>
          <w:cantSplit/>
          <w:trHeight w:val="274"/>
        </w:trPr>
        <w:tc>
          <w:tcPr>
            <w:tcW w:w="2785" w:type="dxa"/>
            <w:noWrap/>
            <w:vAlign w:val="center"/>
          </w:tcPr>
          <w:p w14:paraId="343EC3B7" w14:textId="0089B2BE" w:rsidR="005167AA" w:rsidRPr="004C12C9" w:rsidRDefault="00E30BE2" w:rsidP="00DA4E13">
            <w:pPr>
              <w:pStyle w:val="ICFTabletext"/>
              <w:rPr>
                <w:rFonts w:asciiTheme="minorHAnsi" w:hAnsiTheme="minorHAnsi" w:cstheme="minorHAnsi"/>
                <w:sz w:val="20"/>
                <w:szCs w:val="18"/>
              </w:rPr>
            </w:pPr>
            <w:hyperlink r:id="rId32" w:history="1">
              <w:r w:rsidRPr="004C12C9">
                <w:rPr>
                  <w:rStyle w:val="Hyperlink"/>
                  <w:rFonts w:asciiTheme="minorHAnsi" w:hAnsiTheme="minorHAnsi" w:cstheme="minorHAnsi"/>
                  <w:sz w:val="20"/>
                  <w:szCs w:val="18"/>
                </w:rPr>
                <w:t>Cool Farm</w:t>
              </w:r>
            </w:hyperlink>
          </w:p>
        </w:tc>
        <w:tc>
          <w:tcPr>
            <w:tcW w:w="5310" w:type="dxa"/>
            <w:vAlign w:val="center"/>
          </w:tcPr>
          <w:p w14:paraId="66E718E6" w14:textId="2B8BE97E" w:rsidR="005167AA" w:rsidRPr="004C12C9" w:rsidRDefault="00E03B4E"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Cool Farms provides carbon accounting </w:t>
            </w:r>
            <w:r w:rsidR="00CD2DB1" w:rsidRPr="004C12C9">
              <w:rPr>
                <w:rFonts w:asciiTheme="minorHAnsi" w:hAnsiTheme="minorHAnsi" w:cstheme="minorHAnsi"/>
                <w:sz w:val="20"/>
                <w:szCs w:val="18"/>
              </w:rPr>
              <w:t>for agriculture, covering emissions from on-farm mobile source combustion, cropland nutrient management, livestock, manure storage and treatment, and land</w:t>
            </w:r>
            <w:r w:rsidR="00A32DBD" w:rsidRPr="004C12C9">
              <w:rPr>
                <w:rFonts w:asciiTheme="minorHAnsi" w:hAnsiTheme="minorHAnsi" w:cstheme="minorHAnsi"/>
                <w:sz w:val="20"/>
                <w:szCs w:val="18"/>
              </w:rPr>
              <w:t xml:space="preserve"> </w:t>
            </w:r>
            <w:r w:rsidR="00CD2DB1" w:rsidRPr="004C12C9">
              <w:rPr>
                <w:rFonts w:asciiTheme="minorHAnsi" w:hAnsiTheme="minorHAnsi" w:cstheme="minorHAnsi"/>
                <w:sz w:val="20"/>
                <w:szCs w:val="18"/>
              </w:rPr>
              <w:t>use change.</w:t>
            </w:r>
          </w:p>
        </w:tc>
        <w:tc>
          <w:tcPr>
            <w:tcW w:w="1980" w:type="dxa"/>
            <w:vAlign w:val="center"/>
          </w:tcPr>
          <w:p w14:paraId="4AB30C17" w14:textId="65963302" w:rsidR="005167AA" w:rsidRPr="004C12C9" w:rsidRDefault="00CD2DB1"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Land use change (operations)</w:t>
            </w:r>
            <w:r w:rsidR="00FE7E60" w:rsidRPr="004C12C9">
              <w:rPr>
                <w:rFonts w:asciiTheme="minorHAnsi" w:hAnsiTheme="minorHAnsi" w:cstheme="minorHAnsi"/>
                <w:sz w:val="20"/>
                <w:szCs w:val="18"/>
              </w:rPr>
              <w:t>; Enteric fermentation; Manure management</w:t>
            </w:r>
          </w:p>
        </w:tc>
      </w:tr>
      <w:tr w:rsidR="005167AA" w:rsidRPr="004C12C9" w14:paraId="36093C24" w14:textId="77777777" w:rsidTr="002E320A">
        <w:trPr>
          <w:cantSplit/>
          <w:trHeight w:val="274"/>
        </w:trPr>
        <w:tc>
          <w:tcPr>
            <w:tcW w:w="2785" w:type="dxa"/>
            <w:noWrap/>
            <w:vAlign w:val="center"/>
          </w:tcPr>
          <w:p w14:paraId="2798623E" w14:textId="754C7EE4" w:rsidR="005167AA" w:rsidRPr="004C12C9" w:rsidRDefault="00E650CF" w:rsidP="00DA4E13">
            <w:pPr>
              <w:pStyle w:val="ICFTabletext"/>
              <w:rPr>
                <w:rFonts w:asciiTheme="minorHAnsi" w:hAnsiTheme="minorHAnsi" w:cstheme="minorHAnsi"/>
                <w:sz w:val="20"/>
                <w:szCs w:val="18"/>
              </w:rPr>
            </w:pPr>
            <w:hyperlink r:id="rId33" w:history="1">
              <w:r w:rsidRPr="004C12C9">
                <w:rPr>
                  <w:rStyle w:val="Hyperlink"/>
                  <w:rFonts w:asciiTheme="minorHAnsi" w:hAnsiTheme="minorHAnsi" w:cstheme="minorHAnsi"/>
                  <w:sz w:val="20"/>
                  <w:szCs w:val="18"/>
                </w:rPr>
                <w:t>Coo</w:t>
              </w:r>
              <w:r w:rsidR="004776A3" w:rsidRPr="004C12C9">
                <w:rPr>
                  <w:rStyle w:val="Hyperlink"/>
                  <w:rFonts w:asciiTheme="minorHAnsi" w:hAnsiTheme="minorHAnsi" w:cstheme="minorHAnsi"/>
                  <w:sz w:val="20"/>
                  <w:szCs w:val="18"/>
                </w:rPr>
                <w:t>l Roof Calculator</w:t>
              </w:r>
            </w:hyperlink>
            <w:r w:rsidR="004776A3" w:rsidRPr="004C12C9">
              <w:rPr>
                <w:rFonts w:asciiTheme="minorHAnsi" w:hAnsiTheme="minorHAnsi" w:cstheme="minorHAnsi"/>
                <w:sz w:val="20"/>
                <w:szCs w:val="18"/>
              </w:rPr>
              <w:t xml:space="preserve"> </w:t>
            </w:r>
          </w:p>
        </w:tc>
        <w:tc>
          <w:tcPr>
            <w:tcW w:w="5310" w:type="dxa"/>
            <w:vAlign w:val="center"/>
          </w:tcPr>
          <w:p w14:paraId="1BFD99E0" w14:textId="21CA8C25" w:rsidR="005167AA" w:rsidRPr="004C12C9" w:rsidRDefault="00F174EA"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Cool Roof Calculator estimates cooling and heating savings for flat roofs with non-black surfaces.</w:t>
            </w:r>
          </w:p>
        </w:tc>
        <w:tc>
          <w:tcPr>
            <w:tcW w:w="1980" w:type="dxa"/>
            <w:vAlign w:val="center"/>
          </w:tcPr>
          <w:p w14:paraId="6B04E670" w14:textId="03A858AB" w:rsidR="005167AA" w:rsidRPr="004C12C9" w:rsidRDefault="00A146D2"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Building energy consumption</w:t>
            </w:r>
          </w:p>
        </w:tc>
      </w:tr>
      <w:tr w:rsidR="005167AA" w:rsidRPr="004C12C9" w14:paraId="76B64482" w14:textId="77777777" w:rsidTr="002E320A">
        <w:trPr>
          <w:cantSplit/>
          <w:trHeight w:val="274"/>
        </w:trPr>
        <w:tc>
          <w:tcPr>
            <w:tcW w:w="2785" w:type="dxa"/>
            <w:noWrap/>
            <w:vAlign w:val="center"/>
          </w:tcPr>
          <w:p w14:paraId="1B5508D2" w14:textId="0C93F517" w:rsidR="005167AA" w:rsidRPr="004C12C9" w:rsidRDefault="00FF6C44" w:rsidP="00DA4E13">
            <w:pPr>
              <w:pStyle w:val="ICFTabletext"/>
              <w:rPr>
                <w:rFonts w:asciiTheme="minorHAnsi" w:hAnsiTheme="minorHAnsi" w:cstheme="minorHAnsi"/>
                <w:sz w:val="20"/>
                <w:szCs w:val="18"/>
              </w:rPr>
            </w:pPr>
            <w:hyperlink r:id="rId34" w:history="1">
              <w:r w:rsidRPr="004C12C9">
                <w:rPr>
                  <w:rStyle w:val="Hyperlink"/>
                  <w:rFonts w:asciiTheme="minorHAnsi" w:hAnsiTheme="minorHAnsi" w:cstheme="minorHAnsi"/>
                  <w:sz w:val="20"/>
                  <w:szCs w:val="18"/>
                </w:rPr>
                <w:t>Embodied Carbon in Construction Calculator (EC3)</w:t>
              </w:r>
            </w:hyperlink>
          </w:p>
        </w:tc>
        <w:tc>
          <w:tcPr>
            <w:tcW w:w="5310" w:type="dxa"/>
            <w:vAlign w:val="center"/>
          </w:tcPr>
          <w:p w14:paraId="28402EAA" w14:textId="0D033C75" w:rsidR="005167AA" w:rsidRPr="004C12C9" w:rsidRDefault="00792A5E"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EC3 </w:t>
            </w:r>
            <w:r w:rsidR="00E03DB7" w:rsidRPr="004C12C9">
              <w:rPr>
                <w:rFonts w:asciiTheme="minorHAnsi" w:hAnsiTheme="minorHAnsi" w:cstheme="minorHAnsi"/>
                <w:sz w:val="20"/>
                <w:szCs w:val="18"/>
              </w:rPr>
              <w:t xml:space="preserve">can be used to assess </w:t>
            </w:r>
            <w:r w:rsidR="00231C05" w:rsidRPr="004C12C9">
              <w:rPr>
                <w:rFonts w:asciiTheme="minorHAnsi" w:hAnsiTheme="minorHAnsi" w:cstheme="minorHAnsi"/>
                <w:sz w:val="20"/>
                <w:szCs w:val="18"/>
              </w:rPr>
              <w:t>reductions in embodied carbon.</w:t>
            </w:r>
          </w:p>
        </w:tc>
        <w:tc>
          <w:tcPr>
            <w:tcW w:w="1980" w:type="dxa"/>
            <w:vAlign w:val="center"/>
          </w:tcPr>
          <w:p w14:paraId="414B0972" w14:textId="7A9D8A5E" w:rsidR="005167AA" w:rsidRPr="004C12C9" w:rsidRDefault="00231C05"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w:t>
            </w:r>
          </w:p>
        </w:tc>
      </w:tr>
      <w:tr w:rsidR="005167AA" w:rsidRPr="004C12C9" w14:paraId="275817BB" w14:textId="77777777" w:rsidTr="002E320A">
        <w:trPr>
          <w:cantSplit/>
          <w:trHeight w:val="274"/>
        </w:trPr>
        <w:tc>
          <w:tcPr>
            <w:tcW w:w="2785" w:type="dxa"/>
            <w:noWrap/>
            <w:vAlign w:val="center"/>
          </w:tcPr>
          <w:p w14:paraId="496F3739" w14:textId="400CC317" w:rsidR="005167AA" w:rsidRPr="004C12C9" w:rsidRDefault="00E721A6" w:rsidP="00DA4E13">
            <w:pPr>
              <w:pStyle w:val="ICFTabletext"/>
              <w:rPr>
                <w:rFonts w:asciiTheme="minorHAnsi" w:hAnsiTheme="minorHAnsi" w:cstheme="minorHAnsi"/>
                <w:sz w:val="20"/>
                <w:szCs w:val="18"/>
              </w:rPr>
            </w:pPr>
            <w:hyperlink r:id="rId35" w:history="1">
              <w:r w:rsidRPr="004C12C9">
                <w:rPr>
                  <w:rStyle w:val="Hyperlink"/>
                  <w:rFonts w:asciiTheme="minorHAnsi" w:hAnsiTheme="minorHAnsi" w:cstheme="minorHAnsi"/>
                  <w:sz w:val="20"/>
                  <w:szCs w:val="18"/>
                </w:rPr>
                <w:t>Fuel &amp; Fire Tools (FFT)</w:t>
              </w:r>
            </w:hyperlink>
          </w:p>
        </w:tc>
        <w:tc>
          <w:tcPr>
            <w:tcW w:w="5310" w:type="dxa"/>
            <w:vAlign w:val="center"/>
          </w:tcPr>
          <w:p w14:paraId="4AA65342" w14:textId="65423C16" w:rsidR="005167AA" w:rsidRPr="004C12C9" w:rsidRDefault="00E721A6"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FFT </w:t>
            </w:r>
            <w:r w:rsidR="005D13A9" w:rsidRPr="004C12C9">
              <w:rPr>
                <w:rFonts w:asciiTheme="minorHAnsi" w:hAnsiTheme="minorHAnsi" w:cstheme="minorHAnsi"/>
                <w:sz w:val="20"/>
                <w:szCs w:val="18"/>
              </w:rPr>
              <w:t>allow</w:t>
            </w:r>
            <w:r w:rsidR="009E33E4" w:rsidRPr="004C12C9">
              <w:rPr>
                <w:rFonts w:asciiTheme="minorHAnsi" w:hAnsiTheme="minorHAnsi" w:cstheme="minorHAnsi"/>
                <w:sz w:val="20"/>
                <w:szCs w:val="18"/>
              </w:rPr>
              <w:t>s</w:t>
            </w:r>
            <w:r w:rsidR="005D13A9" w:rsidRPr="004C12C9">
              <w:rPr>
                <w:rFonts w:asciiTheme="minorHAnsi" w:hAnsiTheme="minorHAnsi" w:cstheme="minorHAnsi"/>
                <w:sz w:val="20"/>
                <w:szCs w:val="18"/>
              </w:rPr>
              <w:t xml:space="preserve"> users to model the impacts of prescribed and wildland fires. They can also be used to evaluate the effectiveness of fuel treatments.</w:t>
            </w:r>
          </w:p>
        </w:tc>
        <w:tc>
          <w:tcPr>
            <w:tcW w:w="1980" w:type="dxa"/>
            <w:vAlign w:val="center"/>
          </w:tcPr>
          <w:p w14:paraId="69D4E4BD" w14:textId="0066BE68" w:rsidR="005167AA" w:rsidRPr="004C12C9" w:rsidRDefault="005D13A9"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Land use change (operations)</w:t>
            </w:r>
          </w:p>
        </w:tc>
      </w:tr>
      <w:tr w:rsidR="005167AA" w:rsidRPr="004C12C9" w14:paraId="7E27E374" w14:textId="77777777" w:rsidTr="002E320A">
        <w:trPr>
          <w:cantSplit/>
          <w:trHeight w:val="274"/>
        </w:trPr>
        <w:tc>
          <w:tcPr>
            <w:tcW w:w="2785" w:type="dxa"/>
            <w:noWrap/>
            <w:vAlign w:val="center"/>
          </w:tcPr>
          <w:p w14:paraId="79931814" w14:textId="0D16346B" w:rsidR="005167AA" w:rsidRPr="004C12C9" w:rsidRDefault="00A92635" w:rsidP="00DA4E13">
            <w:pPr>
              <w:pStyle w:val="ICFTabletext"/>
              <w:rPr>
                <w:rFonts w:asciiTheme="minorHAnsi" w:hAnsiTheme="minorHAnsi" w:cstheme="minorHAnsi"/>
                <w:sz w:val="20"/>
                <w:szCs w:val="18"/>
              </w:rPr>
            </w:pPr>
            <w:hyperlink r:id="rId36" w:history="1">
              <w:r w:rsidRPr="004C12C9">
                <w:rPr>
                  <w:rStyle w:val="Hyperlink"/>
                  <w:rFonts w:asciiTheme="minorHAnsi" w:hAnsiTheme="minorHAnsi" w:cstheme="minorHAnsi"/>
                  <w:sz w:val="20"/>
                  <w:szCs w:val="18"/>
                </w:rPr>
                <w:t>EPA GHG Emission Factor Hub</w:t>
              </w:r>
            </w:hyperlink>
            <w:r w:rsidRPr="004C12C9">
              <w:rPr>
                <w:rFonts w:asciiTheme="minorHAnsi" w:hAnsiTheme="minorHAnsi" w:cstheme="minorHAnsi"/>
                <w:sz w:val="20"/>
                <w:szCs w:val="18"/>
              </w:rPr>
              <w:t xml:space="preserve"> </w:t>
            </w:r>
          </w:p>
        </w:tc>
        <w:tc>
          <w:tcPr>
            <w:tcW w:w="5310" w:type="dxa"/>
            <w:vAlign w:val="center"/>
          </w:tcPr>
          <w:p w14:paraId="1B0FAB7B" w14:textId="491FD1F3" w:rsidR="005167AA" w:rsidRPr="004C12C9" w:rsidRDefault="003F43A5"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The Emission Factor Hub p</w:t>
            </w:r>
            <w:r w:rsidR="005F44B5" w:rsidRPr="004C12C9">
              <w:rPr>
                <w:rFonts w:asciiTheme="minorHAnsi" w:hAnsiTheme="minorHAnsi" w:cstheme="minorHAnsi"/>
                <w:sz w:val="20"/>
                <w:szCs w:val="18"/>
              </w:rPr>
              <w:t xml:space="preserve">rovides a regularly updated and easy-to-use set of default emission factors for GHG reporting. </w:t>
            </w:r>
          </w:p>
        </w:tc>
        <w:tc>
          <w:tcPr>
            <w:tcW w:w="1980" w:type="dxa"/>
            <w:vAlign w:val="center"/>
          </w:tcPr>
          <w:p w14:paraId="43325D08" w14:textId="46F9C2CF" w:rsidR="005167AA" w:rsidRPr="004C12C9" w:rsidRDefault="00690AB8" w:rsidP="00DA4E13">
            <w:pPr>
              <w:pStyle w:val="ICFTabletext"/>
              <w:rPr>
                <w:rFonts w:asciiTheme="minorHAnsi" w:hAnsiTheme="minorHAnsi" w:cstheme="minorHAnsi"/>
                <w:sz w:val="20"/>
                <w:szCs w:val="18"/>
              </w:rPr>
            </w:pPr>
            <w:r w:rsidRPr="004C12C9">
              <w:rPr>
                <w:rFonts w:asciiTheme="minorHAnsi" w:hAnsiTheme="minorHAnsi" w:cstheme="minorHAnsi"/>
                <w:sz w:val="20"/>
                <w:szCs w:val="18"/>
              </w:rPr>
              <w:t>All (potentially)</w:t>
            </w:r>
          </w:p>
        </w:tc>
      </w:tr>
      <w:tr w:rsidR="0047076C" w:rsidRPr="004C12C9" w14:paraId="507A070C" w14:textId="77777777" w:rsidTr="002E320A">
        <w:trPr>
          <w:cantSplit/>
          <w:trHeight w:val="274"/>
        </w:trPr>
        <w:tc>
          <w:tcPr>
            <w:tcW w:w="2785" w:type="dxa"/>
            <w:noWrap/>
            <w:vAlign w:val="center"/>
          </w:tcPr>
          <w:p w14:paraId="5B4DDA64" w14:textId="2CA7ED76" w:rsidR="0047076C" w:rsidRPr="004C12C9" w:rsidRDefault="0047076C" w:rsidP="0047076C">
            <w:pPr>
              <w:pStyle w:val="ICFTabletext"/>
              <w:rPr>
                <w:rFonts w:asciiTheme="minorHAnsi" w:hAnsiTheme="minorHAnsi" w:cstheme="minorHAnsi"/>
                <w:sz w:val="20"/>
                <w:szCs w:val="18"/>
              </w:rPr>
            </w:pPr>
            <w:hyperlink r:id="rId37" w:history="1">
              <w:r w:rsidRPr="004C12C9">
                <w:rPr>
                  <w:rStyle w:val="Hyperlink"/>
                  <w:rFonts w:asciiTheme="minorHAnsi" w:hAnsiTheme="minorHAnsi" w:cstheme="minorHAnsi"/>
                  <w:sz w:val="20"/>
                  <w:szCs w:val="18"/>
                </w:rPr>
                <w:t>Greenhouse gases, Regulated Emissions, and Energy use in Technologies Model (GREET)</w:t>
              </w:r>
            </w:hyperlink>
          </w:p>
        </w:tc>
        <w:tc>
          <w:tcPr>
            <w:tcW w:w="5310" w:type="dxa"/>
            <w:vAlign w:val="center"/>
          </w:tcPr>
          <w:p w14:paraId="54C014E7" w14:textId="7F5A1507"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GREET calculates GHG emissions by lifecycle stage through the different pathway options of a product or fuel. </w:t>
            </w:r>
          </w:p>
        </w:tc>
        <w:tc>
          <w:tcPr>
            <w:tcW w:w="1980" w:type="dxa"/>
            <w:vAlign w:val="center"/>
          </w:tcPr>
          <w:p w14:paraId="67EED54E" w14:textId="0B282BFC"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All (potentially)</w:t>
            </w:r>
          </w:p>
        </w:tc>
      </w:tr>
      <w:tr w:rsidR="0047076C" w:rsidRPr="004C12C9" w14:paraId="3F1CFD9A" w14:textId="77777777" w:rsidTr="002E320A">
        <w:trPr>
          <w:cantSplit/>
          <w:trHeight w:val="274"/>
        </w:trPr>
        <w:tc>
          <w:tcPr>
            <w:tcW w:w="2785" w:type="dxa"/>
            <w:noWrap/>
            <w:vAlign w:val="center"/>
          </w:tcPr>
          <w:p w14:paraId="05C87D05" w14:textId="1C20D11F" w:rsidR="0047076C" w:rsidRPr="004C12C9" w:rsidRDefault="0047076C" w:rsidP="0047076C">
            <w:pPr>
              <w:pStyle w:val="ICFTabletext"/>
              <w:rPr>
                <w:rFonts w:asciiTheme="minorHAnsi" w:hAnsiTheme="minorHAnsi" w:cstheme="minorHAnsi"/>
                <w:sz w:val="20"/>
                <w:szCs w:val="18"/>
              </w:rPr>
            </w:pPr>
            <w:hyperlink r:id="rId38" w:history="1">
              <w:r w:rsidRPr="004C12C9">
                <w:rPr>
                  <w:rStyle w:val="Hyperlink"/>
                  <w:rFonts w:asciiTheme="minorHAnsi" w:hAnsiTheme="minorHAnsi" w:cstheme="minorHAnsi"/>
                  <w:sz w:val="20"/>
                  <w:szCs w:val="18"/>
                </w:rPr>
                <w:t>Handbook for Analyzing Greenhouse Gas Emission Reductions, Assessing Climate Vulnerabilities, and Advancing Health and Equity</w:t>
              </w:r>
            </w:hyperlink>
          </w:p>
        </w:tc>
        <w:tc>
          <w:tcPr>
            <w:tcW w:w="5310" w:type="dxa"/>
            <w:vAlign w:val="center"/>
          </w:tcPr>
          <w:p w14:paraId="7770DBC4" w14:textId="6214C805" w:rsidR="0047076C" w:rsidRPr="004C12C9" w:rsidRDefault="0047076C" w:rsidP="0047076C">
            <w:pPr>
              <w:pStyle w:val="ICFTabletext"/>
              <w:rPr>
                <w:rFonts w:asciiTheme="minorHAnsi" w:hAnsiTheme="minorHAnsi" w:cstheme="minorHAnsi"/>
                <w:sz w:val="20"/>
                <w:szCs w:val="18"/>
                <w:vertAlign w:val="superscript"/>
              </w:rPr>
            </w:pPr>
            <w:r w:rsidRPr="004C12C9">
              <w:rPr>
                <w:rFonts w:asciiTheme="minorHAnsi" w:hAnsiTheme="minorHAnsi" w:cstheme="minorHAnsi"/>
                <w:sz w:val="20"/>
                <w:szCs w:val="18"/>
              </w:rPr>
              <w:t>Handbook that provides methods and defaults to quantify various GHG reduction measures.</w:t>
            </w:r>
            <w:r w:rsidRPr="004C12C9">
              <w:rPr>
                <w:rFonts w:asciiTheme="minorHAnsi" w:hAnsiTheme="minorHAnsi" w:cstheme="minorHAnsi"/>
                <w:sz w:val="20"/>
                <w:szCs w:val="18"/>
                <w:vertAlign w:val="superscript"/>
              </w:rPr>
              <w:t>a</w:t>
            </w:r>
          </w:p>
        </w:tc>
        <w:tc>
          <w:tcPr>
            <w:tcW w:w="1980" w:type="dxa"/>
            <w:vAlign w:val="center"/>
          </w:tcPr>
          <w:p w14:paraId="3FABDBD3" w14:textId="1E99DFE0"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All except Material inputs; Coal production; Natural gas and oil products; Industrial processes</w:t>
            </w:r>
          </w:p>
        </w:tc>
      </w:tr>
      <w:tr w:rsidR="0047076C" w:rsidRPr="004C12C9" w14:paraId="68DC11DC" w14:textId="77777777" w:rsidTr="002E320A">
        <w:trPr>
          <w:cantSplit/>
          <w:trHeight w:val="274"/>
        </w:trPr>
        <w:tc>
          <w:tcPr>
            <w:tcW w:w="2785" w:type="dxa"/>
            <w:noWrap/>
            <w:vAlign w:val="center"/>
          </w:tcPr>
          <w:p w14:paraId="5639CF84" w14:textId="42EA9195" w:rsidR="0047076C" w:rsidRPr="004C12C9" w:rsidRDefault="0047076C" w:rsidP="0047076C">
            <w:pPr>
              <w:pStyle w:val="ICFTabletext"/>
              <w:rPr>
                <w:rFonts w:asciiTheme="minorHAnsi" w:hAnsiTheme="minorHAnsi" w:cstheme="minorHAnsi"/>
                <w:sz w:val="20"/>
                <w:szCs w:val="18"/>
              </w:rPr>
            </w:pPr>
            <w:hyperlink r:id="rId39" w:history="1">
              <w:r w:rsidRPr="004C12C9">
                <w:rPr>
                  <w:rStyle w:val="Hyperlink"/>
                  <w:rFonts w:asciiTheme="minorHAnsi" w:hAnsiTheme="minorHAnsi" w:cstheme="minorHAnsi"/>
                  <w:sz w:val="20"/>
                  <w:szCs w:val="18"/>
                </w:rPr>
                <w:t>Handbook for Estimating Transportation Greenhouse Gases for Integration into the Planning Process</w:t>
              </w:r>
            </w:hyperlink>
          </w:p>
        </w:tc>
        <w:tc>
          <w:tcPr>
            <w:tcW w:w="5310" w:type="dxa"/>
            <w:vAlign w:val="center"/>
          </w:tcPr>
          <w:p w14:paraId="02DADB3D" w14:textId="7A1100AA"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Handbook that describes the types of analyses that may be conducted in the context of statewide transportation planning and provides an overview of primary GHG estimation methods.</w:t>
            </w:r>
          </w:p>
        </w:tc>
        <w:tc>
          <w:tcPr>
            <w:tcW w:w="1980" w:type="dxa"/>
            <w:vAlign w:val="center"/>
          </w:tcPr>
          <w:p w14:paraId="2119764C" w14:textId="23547DAC"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On-road vehicles</w:t>
            </w:r>
          </w:p>
        </w:tc>
      </w:tr>
      <w:tr w:rsidR="0047076C" w:rsidRPr="004C12C9" w14:paraId="5F0A7B9A" w14:textId="77777777" w:rsidTr="002E320A">
        <w:trPr>
          <w:cantSplit/>
          <w:trHeight w:val="274"/>
        </w:trPr>
        <w:tc>
          <w:tcPr>
            <w:tcW w:w="2785" w:type="dxa"/>
            <w:noWrap/>
            <w:vAlign w:val="center"/>
          </w:tcPr>
          <w:p w14:paraId="5DA60401" w14:textId="1525562D" w:rsidR="0047076C" w:rsidRPr="004C12C9" w:rsidRDefault="0047076C" w:rsidP="0047076C">
            <w:pPr>
              <w:pStyle w:val="ICFTabletext"/>
              <w:rPr>
                <w:rFonts w:asciiTheme="minorHAnsi" w:hAnsiTheme="minorHAnsi" w:cstheme="minorHAnsi"/>
                <w:sz w:val="20"/>
                <w:szCs w:val="18"/>
              </w:rPr>
            </w:pPr>
            <w:hyperlink r:id="rId40" w:history="1">
              <w:r w:rsidRPr="004C12C9">
                <w:rPr>
                  <w:rStyle w:val="Hyperlink"/>
                  <w:rFonts w:asciiTheme="minorHAnsi" w:hAnsiTheme="minorHAnsi" w:cstheme="minorHAnsi"/>
                  <w:sz w:val="20"/>
                  <w:szCs w:val="18"/>
                </w:rPr>
                <w:t>HFCVille</w:t>
              </w:r>
            </w:hyperlink>
          </w:p>
        </w:tc>
        <w:tc>
          <w:tcPr>
            <w:tcW w:w="5310" w:type="dxa"/>
            <w:vAlign w:val="center"/>
          </w:tcPr>
          <w:p w14:paraId="44F48775" w14:textId="59CE52D4"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HFCVille identifies where lower GWP substances and alternative technologies are readily available to replace high-GWP HFC use.</w:t>
            </w:r>
          </w:p>
        </w:tc>
        <w:tc>
          <w:tcPr>
            <w:tcW w:w="1980" w:type="dxa"/>
            <w:vAlign w:val="center"/>
          </w:tcPr>
          <w:p w14:paraId="73FD7F53" w14:textId="47B8FE08"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HFC leakage</w:t>
            </w:r>
          </w:p>
        </w:tc>
      </w:tr>
      <w:tr w:rsidR="0047076C" w:rsidRPr="004C12C9" w14:paraId="1F1D5286" w14:textId="77777777" w:rsidTr="002E320A">
        <w:trPr>
          <w:cantSplit/>
          <w:trHeight w:val="274"/>
        </w:trPr>
        <w:tc>
          <w:tcPr>
            <w:tcW w:w="2785" w:type="dxa"/>
            <w:noWrap/>
            <w:vAlign w:val="center"/>
          </w:tcPr>
          <w:p w14:paraId="6B8E297F" w14:textId="28A5E544" w:rsidR="0047076C" w:rsidRPr="004C12C9" w:rsidRDefault="0047076C" w:rsidP="0047076C">
            <w:pPr>
              <w:pStyle w:val="ICFTabletext"/>
              <w:rPr>
                <w:rFonts w:asciiTheme="minorHAnsi" w:hAnsiTheme="minorHAnsi" w:cstheme="minorHAnsi"/>
                <w:sz w:val="20"/>
                <w:szCs w:val="18"/>
              </w:rPr>
            </w:pPr>
            <w:hyperlink r:id="rId41" w:history="1">
              <w:r w:rsidRPr="004C12C9">
                <w:rPr>
                  <w:rStyle w:val="Hyperlink"/>
                  <w:rFonts w:asciiTheme="minorHAnsi" w:hAnsiTheme="minorHAnsi" w:cstheme="minorHAnsi"/>
                  <w:sz w:val="20"/>
                  <w:szCs w:val="18"/>
                </w:rPr>
                <w:t>Impact Estimator for Buildings</w:t>
              </w:r>
            </w:hyperlink>
          </w:p>
        </w:tc>
        <w:tc>
          <w:tcPr>
            <w:tcW w:w="5310" w:type="dxa"/>
            <w:vAlign w:val="center"/>
          </w:tcPr>
          <w:p w14:paraId="47DAE998" w14:textId="4AE192E5"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Impact Estimator for Buildings evaluates whole buildings using LCA methodology. The estimator integrates most lifecycle stages and can evaluate implications of design choices.</w:t>
            </w:r>
          </w:p>
        </w:tc>
        <w:tc>
          <w:tcPr>
            <w:tcW w:w="1980" w:type="dxa"/>
            <w:vAlign w:val="center"/>
          </w:tcPr>
          <w:p w14:paraId="34403AD2" w14:textId="33867A9A"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 Building energy consumption</w:t>
            </w:r>
          </w:p>
        </w:tc>
      </w:tr>
      <w:tr w:rsidR="0047076C" w:rsidRPr="004C12C9" w14:paraId="7196A0EC" w14:textId="77777777" w:rsidTr="002E320A">
        <w:trPr>
          <w:cantSplit/>
          <w:trHeight w:val="274"/>
        </w:trPr>
        <w:tc>
          <w:tcPr>
            <w:tcW w:w="2785" w:type="dxa"/>
            <w:noWrap/>
            <w:vAlign w:val="center"/>
          </w:tcPr>
          <w:p w14:paraId="42F3960D" w14:textId="60E699E5" w:rsidR="0047076C" w:rsidRPr="004C12C9" w:rsidRDefault="0047076C" w:rsidP="0047076C">
            <w:pPr>
              <w:pStyle w:val="ICFTabletext"/>
              <w:rPr>
                <w:rFonts w:asciiTheme="minorHAnsi" w:hAnsiTheme="minorHAnsi" w:cstheme="minorHAnsi"/>
                <w:sz w:val="20"/>
                <w:szCs w:val="18"/>
              </w:rPr>
            </w:pPr>
            <w:hyperlink r:id="rId42" w:history="1">
              <w:r w:rsidRPr="004C12C9">
                <w:rPr>
                  <w:rStyle w:val="Hyperlink"/>
                  <w:rFonts w:asciiTheme="minorHAnsi" w:hAnsiTheme="minorHAnsi" w:cstheme="minorHAnsi"/>
                  <w:sz w:val="20"/>
                  <w:szCs w:val="18"/>
                </w:rPr>
                <w:t>Infrastructure Carbon Estimator (ICE)</w:t>
              </w:r>
            </w:hyperlink>
          </w:p>
        </w:tc>
        <w:tc>
          <w:tcPr>
            <w:tcW w:w="5310" w:type="dxa"/>
            <w:vAlign w:val="center"/>
          </w:tcPr>
          <w:p w14:paraId="15D0537B" w14:textId="7153BA47"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ICE evaluates energy and emission impacts of transportation alternatives and quantifies direct and indirect emissions from construction and operation activities.</w:t>
            </w:r>
          </w:p>
        </w:tc>
        <w:tc>
          <w:tcPr>
            <w:tcW w:w="1980" w:type="dxa"/>
            <w:vAlign w:val="center"/>
          </w:tcPr>
          <w:p w14:paraId="741F5897" w14:textId="4898EF8C"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 Construction waste; On-road vehicles</w:t>
            </w:r>
          </w:p>
        </w:tc>
      </w:tr>
      <w:tr w:rsidR="0047076C" w:rsidRPr="004C12C9" w14:paraId="2B7B0CBB" w14:textId="77777777" w:rsidTr="002E320A">
        <w:trPr>
          <w:cantSplit/>
          <w:trHeight w:val="274"/>
        </w:trPr>
        <w:tc>
          <w:tcPr>
            <w:tcW w:w="2785" w:type="dxa"/>
            <w:noWrap/>
            <w:vAlign w:val="center"/>
          </w:tcPr>
          <w:p w14:paraId="3AA8788B" w14:textId="7CE7A39D" w:rsidR="0047076C" w:rsidRPr="004C12C9" w:rsidRDefault="0047076C" w:rsidP="0047076C">
            <w:pPr>
              <w:pStyle w:val="ICFTabletext"/>
              <w:rPr>
                <w:rFonts w:asciiTheme="minorHAnsi" w:hAnsiTheme="minorHAnsi" w:cstheme="minorHAnsi"/>
                <w:sz w:val="20"/>
                <w:szCs w:val="18"/>
              </w:rPr>
            </w:pPr>
            <w:hyperlink r:id="rId43" w:history="1">
              <w:r w:rsidRPr="004C12C9">
                <w:rPr>
                  <w:rStyle w:val="Hyperlink"/>
                  <w:rFonts w:asciiTheme="minorHAnsi" w:hAnsiTheme="minorHAnsi" w:cstheme="minorHAnsi"/>
                  <w:sz w:val="20"/>
                  <w:szCs w:val="18"/>
                </w:rPr>
                <w:t>i-Tree Tools</w:t>
              </w:r>
            </w:hyperlink>
            <w:r w:rsidRPr="004C12C9">
              <w:rPr>
                <w:rFonts w:asciiTheme="minorHAnsi" w:hAnsiTheme="minorHAnsi" w:cstheme="minorHAnsi"/>
                <w:sz w:val="20"/>
                <w:szCs w:val="18"/>
              </w:rPr>
              <w:t xml:space="preserve"> </w:t>
            </w:r>
          </w:p>
        </w:tc>
        <w:tc>
          <w:tcPr>
            <w:tcW w:w="5310" w:type="dxa"/>
            <w:vAlign w:val="center"/>
          </w:tcPr>
          <w:p w14:paraId="6C253B3E" w14:textId="709F4E08"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i-Tree is a software suite that provides urban and rural forestry analysis and benefits assessment tools.</w:t>
            </w:r>
          </w:p>
        </w:tc>
        <w:tc>
          <w:tcPr>
            <w:tcW w:w="1980" w:type="dxa"/>
            <w:vAlign w:val="center"/>
          </w:tcPr>
          <w:p w14:paraId="6B5EB60D" w14:textId="2121B927"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Land use change (construction/ operations)</w:t>
            </w:r>
          </w:p>
        </w:tc>
      </w:tr>
      <w:tr w:rsidR="0047076C" w:rsidRPr="004C12C9" w14:paraId="63B4F082" w14:textId="77777777" w:rsidTr="002E320A">
        <w:trPr>
          <w:cantSplit/>
          <w:trHeight w:val="274"/>
        </w:trPr>
        <w:tc>
          <w:tcPr>
            <w:tcW w:w="2785" w:type="dxa"/>
            <w:noWrap/>
            <w:vAlign w:val="center"/>
          </w:tcPr>
          <w:p w14:paraId="7FD9AECC" w14:textId="1794E526" w:rsidR="0047076C" w:rsidRPr="004C12C9" w:rsidRDefault="0047076C" w:rsidP="0047076C">
            <w:pPr>
              <w:pStyle w:val="ICFTabletext"/>
              <w:rPr>
                <w:rFonts w:asciiTheme="minorHAnsi" w:hAnsiTheme="minorHAnsi" w:cstheme="minorHAnsi"/>
                <w:sz w:val="20"/>
                <w:szCs w:val="18"/>
              </w:rPr>
            </w:pPr>
            <w:hyperlink r:id="rId44" w:history="1">
              <w:r w:rsidRPr="004C12C9">
                <w:rPr>
                  <w:rStyle w:val="Hyperlink"/>
                  <w:rFonts w:asciiTheme="minorHAnsi" w:hAnsiTheme="minorHAnsi" w:cstheme="minorHAnsi"/>
                  <w:sz w:val="20"/>
                  <w:szCs w:val="18"/>
                </w:rPr>
                <w:t>LCA Pave Tool</w:t>
              </w:r>
            </w:hyperlink>
          </w:p>
        </w:tc>
        <w:tc>
          <w:tcPr>
            <w:tcW w:w="5310" w:type="dxa"/>
            <w:vAlign w:val="center"/>
          </w:tcPr>
          <w:p w14:paraId="5D13C0E4" w14:textId="382C7383"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LCA Pave Tool estimates emissions impacts from pavement materials.</w:t>
            </w:r>
          </w:p>
        </w:tc>
        <w:tc>
          <w:tcPr>
            <w:tcW w:w="1980" w:type="dxa"/>
            <w:vAlign w:val="center"/>
          </w:tcPr>
          <w:p w14:paraId="59DBE389" w14:textId="7273CA16"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w:t>
            </w:r>
          </w:p>
        </w:tc>
      </w:tr>
      <w:tr w:rsidR="0047076C" w:rsidRPr="004C12C9" w14:paraId="0E0C48C5" w14:textId="77777777" w:rsidTr="002E320A">
        <w:trPr>
          <w:cantSplit/>
          <w:trHeight w:val="274"/>
        </w:trPr>
        <w:tc>
          <w:tcPr>
            <w:tcW w:w="2785" w:type="dxa"/>
            <w:noWrap/>
            <w:vAlign w:val="center"/>
          </w:tcPr>
          <w:p w14:paraId="2F7BA117" w14:textId="7941285E" w:rsidR="0047076C" w:rsidRPr="002D20AB" w:rsidRDefault="0047076C" w:rsidP="0047076C">
            <w:pPr>
              <w:pStyle w:val="ICFTabletext"/>
              <w:rPr>
                <w:rFonts w:asciiTheme="minorHAnsi" w:hAnsiTheme="minorHAnsi" w:cstheme="minorHAnsi"/>
                <w:sz w:val="20"/>
                <w:szCs w:val="18"/>
                <w:lang w:val="fr-FR"/>
              </w:rPr>
            </w:pPr>
            <w:hyperlink r:id="rId45" w:history="1">
              <w:r w:rsidRPr="002D20AB">
                <w:rPr>
                  <w:rStyle w:val="Hyperlink"/>
                  <w:rFonts w:asciiTheme="minorHAnsi" w:hAnsiTheme="minorHAnsi" w:cstheme="minorHAnsi"/>
                  <w:sz w:val="20"/>
                  <w:szCs w:val="18"/>
                  <w:lang w:val="fr-FR"/>
                </w:rPr>
                <w:t>Minnesota Infrastructure Carbon Estimator (MICE)</w:t>
              </w:r>
            </w:hyperlink>
          </w:p>
        </w:tc>
        <w:tc>
          <w:tcPr>
            <w:tcW w:w="5310" w:type="dxa"/>
            <w:vAlign w:val="center"/>
          </w:tcPr>
          <w:p w14:paraId="34DFBE7B" w14:textId="6961DFDA"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MICE evaluates energy and emission impacts of transportation alternatives in Minnesota and quantifies direct and indirect emissions from construction and operation activities.</w:t>
            </w:r>
          </w:p>
        </w:tc>
        <w:tc>
          <w:tcPr>
            <w:tcW w:w="1980" w:type="dxa"/>
            <w:vAlign w:val="center"/>
          </w:tcPr>
          <w:p w14:paraId="069B4755" w14:textId="64B541DE"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On-road vehicles</w:t>
            </w:r>
          </w:p>
        </w:tc>
      </w:tr>
      <w:tr w:rsidR="0047076C" w:rsidRPr="004C12C9" w14:paraId="4788F80A" w14:textId="77777777" w:rsidTr="002E320A">
        <w:trPr>
          <w:cantSplit/>
          <w:trHeight w:val="274"/>
        </w:trPr>
        <w:tc>
          <w:tcPr>
            <w:tcW w:w="2785" w:type="dxa"/>
            <w:noWrap/>
            <w:vAlign w:val="center"/>
          </w:tcPr>
          <w:p w14:paraId="08506C96" w14:textId="1CF1B662" w:rsidR="0047076C" w:rsidRPr="004C12C9" w:rsidRDefault="0047076C" w:rsidP="0047076C">
            <w:pPr>
              <w:pStyle w:val="ICFTabletext"/>
              <w:rPr>
                <w:rFonts w:asciiTheme="minorHAnsi" w:hAnsiTheme="minorHAnsi" w:cstheme="minorHAnsi"/>
                <w:sz w:val="20"/>
                <w:szCs w:val="18"/>
              </w:rPr>
            </w:pPr>
            <w:hyperlink r:id="rId46" w:history="1">
              <w:r w:rsidRPr="004C12C9">
                <w:rPr>
                  <w:rStyle w:val="Hyperlink"/>
                  <w:rFonts w:asciiTheme="minorHAnsi" w:hAnsiTheme="minorHAnsi" w:cstheme="minorHAnsi"/>
                  <w:sz w:val="20"/>
                  <w:szCs w:val="18"/>
                </w:rPr>
                <w:t>One Click LCA</w:t>
              </w:r>
            </w:hyperlink>
          </w:p>
        </w:tc>
        <w:tc>
          <w:tcPr>
            <w:tcW w:w="5310" w:type="dxa"/>
            <w:vAlign w:val="center"/>
          </w:tcPr>
          <w:p w14:paraId="106260C1" w14:textId="203197BB"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One Click LCA provides software to support construction professionals reduce carbon, costs, and material use.</w:t>
            </w:r>
          </w:p>
        </w:tc>
        <w:tc>
          <w:tcPr>
            <w:tcW w:w="1980" w:type="dxa"/>
            <w:vAlign w:val="center"/>
          </w:tcPr>
          <w:p w14:paraId="292690AD" w14:textId="2DDFDCF1"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 Building energy consumption</w:t>
            </w:r>
          </w:p>
        </w:tc>
      </w:tr>
      <w:tr w:rsidR="0047076C" w:rsidRPr="004C12C9" w14:paraId="2224144C" w14:textId="77777777" w:rsidTr="002E320A">
        <w:trPr>
          <w:cantSplit/>
          <w:trHeight w:val="274"/>
        </w:trPr>
        <w:tc>
          <w:tcPr>
            <w:tcW w:w="2785" w:type="dxa"/>
            <w:noWrap/>
            <w:vAlign w:val="center"/>
          </w:tcPr>
          <w:p w14:paraId="46688E77" w14:textId="7D3C3E07" w:rsidR="0047076C" w:rsidRPr="004C12C9" w:rsidRDefault="0047076C" w:rsidP="0047076C">
            <w:pPr>
              <w:pStyle w:val="ICFTabletext"/>
              <w:rPr>
                <w:rFonts w:asciiTheme="minorHAnsi" w:hAnsiTheme="minorHAnsi" w:cstheme="minorHAnsi"/>
                <w:sz w:val="20"/>
                <w:szCs w:val="18"/>
              </w:rPr>
            </w:pPr>
            <w:hyperlink r:id="rId47" w:history="1">
              <w:r w:rsidRPr="004C12C9">
                <w:rPr>
                  <w:rStyle w:val="Hyperlink"/>
                  <w:rFonts w:asciiTheme="minorHAnsi" w:hAnsiTheme="minorHAnsi" w:cstheme="minorHAnsi"/>
                  <w:sz w:val="20"/>
                  <w:szCs w:val="18"/>
                </w:rPr>
                <w:t>OpenLCA</w:t>
              </w:r>
            </w:hyperlink>
          </w:p>
        </w:tc>
        <w:tc>
          <w:tcPr>
            <w:tcW w:w="5310" w:type="dxa"/>
            <w:vAlign w:val="center"/>
          </w:tcPr>
          <w:p w14:paraId="342E5135" w14:textId="77F7A431"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OpenLCA provides a variety of impact assessment methods that allow users to quantify and evaluate the environmental impacts associated with a product.</w:t>
            </w:r>
          </w:p>
        </w:tc>
        <w:tc>
          <w:tcPr>
            <w:tcW w:w="1980" w:type="dxa"/>
            <w:vAlign w:val="center"/>
          </w:tcPr>
          <w:p w14:paraId="6FEE4042" w14:textId="3A096FD5"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w:t>
            </w:r>
          </w:p>
        </w:tc>
      </w:tr>
      <w:tr w:rsidR="0047076C" w:rsidRPr="004C12C9" w14:paraId="7D3E503A" w14:textId="77777777" w:rsidTr="002E320A">
        <w:trPr>
          <w:cantSplit/>
          <w:trHeight w:val="274"/>
        </w:trPr>
        <w:tc>
          <w:tcPr>
            <w:tcW w:w="2785" w:type="dxa"/>
            <w:noWrap/>
            <w:vAlign w:val="center"/>
          </w:tcPr>
          <w:p w14:paraId="5D2B65E0" w14:textId="13D6C9E1" w:rsidR="0047076C" w:rsidRPr="004C12C9" w:rsidRDefault="0047076C" w:rsidP="0047076C">
            <w:pPr>
              <w:pStyle w:val="ICFTabletext"/>
              <w:rPr>
                <w:rFonts w:asciiTheme="minorHAnsi" w:hAnsiTheme="minorHAnsi" w:cstheme="minorHAnsi"/>
                <w:sz w:val="20"/>
                <w:szCs w:val="18"/>
              </w:rPr>
            </w:pPr>
            <w:hyperlink r:id="rId48" w:history="1">
              <w:r w:rsidRPr="004C12C9">
                <w:rPr>
                  <w:rStyle w:val="Hyperlink"/>
                  <w:rFonts w:asciiTheme="minorHAnsi" w:hAnsiTheme="minorHAnsi" w:cstheme="minorHAnsi"/>
                  <w:sz w:val="20"/>
                  <w:szCs w:val="18"/>
                </w:rPr>
                <w:t>Quantifying Greenhouse Gas Emissions from Transit</w:t>
              </w:r>
            </w:hyperlink>
          </w:p>
        </w:tc>
        <w:tc>
          <w:tcPr>
            <w:tcW w:w="5310" w:type="dxa"/>
            <w:vAlign w:val="center"/>
          </w:tcPr>
          <w:p w14:paraId="64F01A0A" w14:textId="01422A32"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Report that provides a method for quantifying GHG reductions from mode shift achieved by transit policies.</w:t>
            </w:r>
          </w:p>
        </w:tc>
        <w:tc>
          <w:tcPr>
            <w:tcW w:w="1980" w:type="dxa"/>
            <w:vAlign w:val="center"/>
          </w:tcPr>
          <w:p w14:paraId="6A23DF67" w14:textId="1B51988D"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On-road vehicles</w:t>
            </w:r>
          </w:p>
        </w:tc>
      </w:tr>
      <w:tr w:rsidR="0047076C" w:rsidRPr="004C12C9" w14:paraId="17B21F08" w14:textId="77777777" w:rsidTr="002E320A">
        <w:trPr>
          <w:cantSplit/>
          <w:trHeight w:val="274"/>
        </w:trPr>
        <w:tc>
          <w:tcPr>
            <w:tcW w:w="2785" w:type="dxa"/>
            <w:noWrap/>
            <w:vAlign w:val="center"/>
          </w:tcPr>
          <w:p w14:paraId="5A98AACB" w14:textId="7E41041A" w:rsidR="0047076C" w:rsidRPr="004C12C9" w:rsidRDefault="0047076C" w:rsidP="0047076C">
            <w:pPr>
              <w:pStyle w:val="ICFTabletext"/>
              <w:rPr>
                <w:rFonts w:asciiTheme="minorHAnsi" w:hAnsiTheme="minorHAnsi" w:cstheme="minorHAnsi"/>
                <w:sz w:val="20"/>
                <w:szCs w:val="18"/>
              </w:rPr>
            </w:pPr>
            <w:hyperlink r:id="rId49" w:history="1">
              <w:r w:rsidRPr="004C12C9">
                <w:rPr>
                  <w:rStyle w:val="Hyperlink"/>
                  <w:rFonts w:asciiTheme="minorHAnsi" w:hAnsiTheme="minorHAnsi" w:cstheme="minorHAnsi"/>
                  <w:sz w:val="20"/>
                  <w:szCs w:val="18"/>
                </w:rPr>
                <w:t>Transit Greenhouse Gas Emissions Estimator v2.0</w:t>
              </w:r>
            </w:hyperlink>
          </w:p>
        </w:tc>
        <w:tc>
          <w:tcPr>
            <w:tcW w:w="5310" w:type="dxa"/>
            <w:vAlign w:val="center"/>
          </w:tcPr>
          <w:p w14:paraId="2DDD12FA" w14:textId="3109C3DC"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The Transit GHG Emissions Estimator is a Microsoft Excel-based tool that allows users to estimate the GHG emissions generated from a project across selected transit modes.</w:t>
            </w:r>
          </w:p>
        </w:tc>
        <w:tc>
          <w:tcPr>
            <w:tcW w:w="1980" w:type="dxa"/>
            <w:vAlign w:val="center"/>
          </w:tcPr>
          <w:p w14:paraId="152DC382" w14:textId="3000218A"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On-road vehicles</w:t>
            </w:r>
          </w:p>
        </w:tc>
      </w:tr>
      <w:tr w:rsidR="0047076C" w:rsidRPr="004C12C9" w14:paraId="03FF812F" w14:textId="77777777" w:rsidTr="002E320A">
        <w:trPr>
          <w:cantSplit/>
          <w:trHeight w:val="274"/>
        </w:trPr>
        <w:tc>
          <w:tcPr>
            <w:tcW w:w="2785" w:type="dxa"/>
            <w:noWrap/>
            <w:vAlign w:val="center"/>
          </w:tcPr>
          <w:p w14:paraId="49D2BD5F" w14:textId="0FE52004" w:rsidR="0047076C" w:rsidRPr="004C12C9" w:rsidRDefault="0047076C" w:rsidP="0047076C">
            <w:pPr>
              <w:pStyle w:val="ICFTabletext"/>
              <w:rPr>
                <w:rFonts w:asciiTheme="minorHAnsi" w:hAnsiTheme="minorHAnsi" w:cstheme="minorHAnsi"/>
                <w:sz w:val="20"/>
                <w:szCs w:val="18"/>
              </w:rPr>
            </w:pPr>
            <w:hyperlink r:id="rId50" w:history="1">
              <w:r w:rsidRPr="004C12C9">
                <w:rPr>
                  <w:rStyle w:val="Hyperlink"/>
                  <w:rFonts w:asciiTheme="minorHAnsi" w:hAnsiTheme="minorHAnsi" w:cstheme="minorHAnsi"/>
                  <w:sz w:val="20"/>
                  <w:szCs w:val="18"/>
                </w:rPr>
                <w:t>US Environmentally-Extended Input-Output (USEEIO) Models</w:t>
              </w:r>
            </w:hyperlink>
          </w:p>
        </w:tc>
        <w:tc>
          <w:tcPr>
            <w:tcW w:w="5310" w:type="dxa"/>
            <w:vAlign w:val="center"/>
          </w:tcPr>
          <w:p w14:paraId="34B7C306" w14:textId="018C3AB4"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USEEIO is a suite of models that provide emission factors for the production or consumption of goods and services.</w:t>
            </w:r>
          </w:p>
        </w:tc>
        <w:tc>
          <w:tcPr>
            <w:tcW w:w="1980" w:type="dxa"/>
            <w:vAlign w:val="center"/>
          </w:tcPr>
          <w:p w14:paraId="08C18B09" w14:textId="1D478F46"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Material inputs</w:t>
            </w:r>
          </w:p>
        </w:tc>
      </w:tr>
      <w:tr w:rsidR="0047076C" w:rsidRPr="004C12C9" w14:paraId="4DF89F9A" w14:textId="77777777" w:rsidTr="002E320A">
        <w:trPr>
          <w:cantSplit/>
          <w:trHeight w:val="274"/>
        </w:trPr>
        <w:tc>
          <w:tcPr>
            <w:tcW w:w="2785" w:type="dxa"/>
            <w:noWrap/>
            <w:vAlign w:val="center"/>
          </w:tcPr>
          <w:p w14:paraId="7C0BA24A" w14:textId="78D395AD" w:rsidR="0047076C" w:rsidRPr="004C12C9" w:rsidRDefault="0047076C" w:rsidP="0047076C">
            <w:pPr>
              <w:pStyle w:val="ICFTabletext"/>
              <w:rPr>
                <w:rFonts w:asciiTheme="minorHAnsi" w:hAnsiTheme="minorHAnsi" w:cstheme="minorHAnsi"/>
                <w:sz w:val="20"/>
                <w:szCs w:val="18"/>
              </w:rPr>
            </w:pPr>
            <w:hyperlink r:id="rId51" w:anchor=":~:text=Waste%20Reduction%20Model%20%28WARM%29%20EPA%20created%20the%20Waste,economic%20impacts%20from%20several%20different%20waste%20management%20practices." w:history="1">
              <w:r w:rsidRPr="004C12C9">
                <w:rPr>
                  <w:rStyle w:val="Hyperlink"/>
                  <w:rFonts w:asciiTheme="minorHAnsi" w:hAnsiTheme="minorHAnsi" w:cstheme="minorHAnsi"/>
                  <w:sz w:val="20"/>
                  <w:szCs w:val="18"/>
                </w:rPr>
                <w:t>Waste Reduction Model (WARM)</w:t>
              </w:r>
            </w:hyperlink>
          </w:p>
        </w:tc>
        <w:tc>
          <w:tcPr>
            <w:tcW w:w="5310" w:type="dxa"/>
            <w:vAlign w:val="center"/>
          </w:tcPr>
          <w:p w14:paraId="655DF641" w14:textId="3D62FCE2"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WARM provides high-level estimates of GHG emissions from solid waste reuse, recycling, composting, incineration, anaerobic digestion, and landfilling.</w:t>
            </w:r>
          </w:p>
        </w:tc>
        <w:tc>
          <w:tcPr>
            <w:tcW w:w="1980" w:type="dxa"/>
            <w:vAlign w:val="center"/>
          </w:tcPr>
          <w:p w14:paraId="60BD01BD" w14:textId="3D86F6C2" w:rsidR="0047076C" w:rsidRPr="004C12C9" w:rsidRDefault="0047076C" w:rsidP="0047076C">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Material inputs; Construction waste; Treatment of waste off-site </w:t>
            </w:r>
          </w:p>
        </w:tc>
      </w:tr>
    </w:tbl>
    <w:p w14:paraId="5C98A85F" w14:textId="11571564" w:rsidR="005167AA" w:rsidRPr="004C12C9" w:rsidRDefault="005167AA" w:rsidP="00DA4E13">
      <w:pPr>
        <w:pStyle w:val="TableFooter"/>
      </w:pPr>
      <w:r w:rsidRPr="004C12C9">
        <w:rPr>
          <w:vertAlign w:val="superscript"/>
        </w:rPr>
        <w:t>a</w:t>
      </w:r>
      <w:r w:rsidRPr="004C12C9">
        <w:t xml:space="preserve"> Resource was originally developed for application in California. While some emission factors and </w:t>
      </w:r>
      <w:r w:rsidR="00645225" w:rsidRPr="004C12C9">
        <w:t>defaults</w:t>
      </w:r>
      <w:r w:rsidRPr="004C12C9">
        <w:t xml:space="preserve"> may not be </w:t>
      </w:r>
      <w:r w:rsidR="00645225" w:rsidRPr="004C12C9">
        <w:t>appropriate</w:t>
      </w:r>
      <w:r w:rsidRPr="004C12C9">
        <w:t xml:space="preserve"> to projects in </w:t>
      </w:r>
      <w:r w:rsidR="00645225" w:rsidRPr="004C12C9">
        <w:t>Minnesota</w:t>
      </w:r>
      <w:r w:rsidRPr="004C12C9">
        <w:t xml:space="preserve">, the underlying quantification methods </w:t>
      </w:r>
      <w:r w:rsidR="00645225" w:rsidRPr="004C12C9">
        <w:t>may be</w:t>
      </w:r>
      <w:r w:rsidRPr="004C12C9">
        <w:t xml:space="preserve"> universally applicable.</w:t>
      </w:r>
    </w:p>
    <w:p w14:paraId="3CFE8AEC" w14:textId="1B3FD126" w:rsidR="00F01E18" w:rsidRDefault="00F01E18" w:rsidP="002E320A">
      <w:pPr>
        <w:pStyle w:val="Heading3"/>
      </w:pPr>
      <w:bookmarkStart w:id="260" w:name="_Ref219842383"/>
      <w:bookmarkStart w:id="261" w:name="_Toc219887787"/>
      <w:r>
        <w:t>Quantified Reductions</w:t>
      </w:r>
      <w:bookmarkEnd w:id="260"/>
      <w:bookmarkEnd w:id="261"/>
    </w:p>
    <w:p w14:paraId="0B791E62" w14:textId="4187AD20" w:rsidR="00F01E18" w:rsidRDefault="001B27F6" w:rsidP="00F01E18">
      <w:r>
        <w:t>Mitigation measure reductions are</w:t>
      </w:r>
      <w:r w:rsidR="00DE29A2">
        <w:t xml:space="preserve"> quantified based on data entered in the Project Background and User Inputs tabs as well as methods and assumptions used throughout the calculator. In some cases, additional data inputs</w:t>
      </w:r>
      <w:r w:rsidR="007500F1">
        <w:t xml:space="preserve"> are required to quantify reductions. The measures</w:t>
      </w:r>
      <w:r w:rsidR="00547CA5">
        <w:t xml:space="preserve"> listed in </w:t>
      </w:r>
      <w:r w:rsidR="00547CA5">
        <w:fldChar w:fldCharType="begin"/>
      </w:r>
      <w:r w:rsidR="00547CA5">
        <w:instrText xml:space="preserve"> REF _Ref219842504 \h </w:instrText>
      </w:r>
      <w:r w:rsidR="00547CA5">
        <w:fldChar w:fldCharType="separate"/>
      </w:r>
      <w:r w:rsidR="00547CA5">
        <w:t xml:space="preserve">Table </w:t>
      </w:r>
      <w:r w:rsidR="00547CA5">
        <w:rPr>
          <w:noProof/>
        </w:rPr>
        <w:t>4</w:t>
      </w:r>
      <w:r w:rsidR="00547CA5">
        <w:noBreakHyphen/>
      </w:r>
      <w:r w:rsidR="00547CA5">
        <w:rPr>
          <w:noProof/>
        </w:rPr>
        <w:t>2</w:t>
      </w:r>
      <w:r w:rsidR="00547CA5">
        <w:fldChar w:fldCharType="end"/>
      </w:r>
      <w:r w:rsidR="007500F1">
        <w:t xml:space="preserve"> </w:t>
      </w:r>
      <w:r w:rsidR="00547CA5">
        <w:t>are available</w:t>
      </w:r>
      <w:r>
        <w:t xml:space="preserve"> for quantification.</w:t>
      </w:r>
    </w:p>
    <w:p w14:paraId="21025EA6" w14:textId="166ACC87" w:rsidR="00AE7F5E" w:rsidRDefault="00F72B41" w:rsidP="000028A1">
      <w:pPr>
        <w:pStyle w:val="Caption"/>
      </w:pPr>
      <w:bookmarkStart w:id="262" w:name="_Ref219842504"/>
      <w:r>
        <w:lastRenderedPageBreak/>
        <w:t xml:space="preserve">Table </w:t>
      </w:r>
      <w:r>
        <w:fldChar w:fldCharType="begin"/>
      </w:r>
      <w:r>
        <w:instrText xml:space="preserve"> STYLEREF 2 \s </w:instrText>
      </w:r>
      <w:r>
        <w:fldChar w:fldCharType="separate"/>
      </w:r>
      <w:r>
        <w:rPr>
          <w:noProof/>
        </w:rPr>
        <w:t>4</w:t>
      </w:r>
      <w:r>
        <w:fldChar w:fldCharType="end"/>
      </w:r>
      <w:r>
        <w:noBreakHyphen/>
      </w:r>
      <w:r>
        <w:fldChar w:fldCharType="begin"/>
      </w:r>
      <w:r>
        <w:instrText xml:space="preserve"> SEQ Table \* ARABIC \s 2 </w:instrText>
      </w:r>
      <w:r>
        <w:fldChar w:fldCharType="separate"/>
      </w:r>
      <w:r>
        <w:rPr>
          <w:noProof/>
        </w:rPr>
        <w:t>2</w:t>
      </w:r>
      <w:r>
        <w:fldChar w:fldCharType="end"/>
      </w:r>
      <w:bookmarkEnd w:id="262"/>
      <w:r>
        <w:t xml:space="preserve">. </w:t>
      </w:r>
      <w:r w:rsidR="00514C81">
        <w:t>Quantifiable Mitigation Measures</w:t>
      </w:r>
    </w:p>
    <w:tbl>
      <w:tblPr>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5"/>
        <w:gridCol w:w="1170"/>
        <w:gridCol w:w="2520"/>
        <w:gridCol w:w="2520"/>
        <w:gridCol w:w="2250"/>
      </w:tblGrid>
      <w:tr w:rsidR="00E95625" w:rsidRPr="004C12C9" w14:paraId="481AEC89" w14:textId="77777777" w:rsidTr="005B5112">
        <w:trPr>
          <w:trHeight w:val="300"/>
          <w:tblHeader/>
        </w:trPr>
        <w:tc>
          <w:tcPr>
            <w:tcW w:w="1615" w:type="dxa"/>
            <w:shd w:val="clear" w:color="auto" w:fill="D9D9D9" w:themeFill="background1" w:themeFillShade="D9"/>
            <w:noWrap/>
            <w:vAlign w:val="center"/>
            <w:hideMark/>
          </w:tcPr>
          <w:p w14:paraId="4A7828DC" w14:textId="0837E324" w:rsidR="00D82C8B" w:rsidRPr="004C12C9" w:rsidRDefault="00D82C8B" w:rsidP="00E95625">
            <w:pPr>
              <w:pStyle w:val="ICFTableHeading"/>
              <w:rPr>
                <w:b w:val="0"/>
                <w:color w:val="FFFFFF" w:themeColor="background1"/>
                <w:sz w:val="20"/>
              </w:rPr>
            </w:pPr>
            <w:r w:rsidRPr="006C323B">
              <w:t>Emissions Source</w:t>
            </w:r>
          </w:p>
        </w:tc>
        <w:tc>
          <w:tcPr>
            <w:tcW w:w="1170" w:type="dxa"/>
            <w:shd w:val="clear" w:color="auto" w:fill="D9D9D9" w:themeFill="background1" w:themeFillShade="D9"/>
            <w:vAlign w:val="center"/>
          </w:tcPr>
          <w:p w14:paraId="7EC463A6" w14:textId="5EBCDF0A" w:rsidR="00D82C8B" w:rsidRPr="004C12C9" w:rsidRDefault="00D82C8B" w:rsidP="00E95625">
            <w:pPr>
              <w:pStyle w:val="ICFTableHeading"/>
              <w:rPr>
                <w:b w:val="0"/>
                <w:color w:val="FFFFFF" w:themeColor="background1"/>
                <w:sz w:val="20"/>
              </w:rPr>
            </w:pPr>
            <w:r w:rsidRPr="0074341E">
              <w:t>ID</w:t>
            </w:r>
          </w:p>
        </w:tc>
        <w:tc>
          <w:tcPr>
            <w:tcW w:w="2520" w:type="dxa"/>
            <w:shd w:val="clear" w:color="auto" w:fill="D9D9D9" w:themeFill="background1" w:themeFillShade="D9"/>
            <w:vAlign w:val="center"/>
          </w:tcPr>
          <w:p w14:paraId="4F2FCE71" w14:textId="0EC57AAC" w:rsidR="00D82C8B" w:rsidRPr="004C12C9" w:rsidRDefault="00D82C8B" w:rsidP="00E95625">
            <w:pPr>
              <w:pStyle w:val="ICFTableHeading"/>
              <w:rPr>
                <w:b w:val="0"/>
                <w:color w:val="FFFFFF" w:themeColor="background1"/>
                <w:sz w:val="20"/>
              </w:rPr>
            </w:pPr>
            <w:r w:rsidRPr="0074341E">
              <w:t>Measure Title</w:t>
            </w:r>
          </w:p>
        </w:tc>
        <w:tc>
          <w:tcPr>
            <w:tcW w:w="2520" w:type="dxa"/>
            <w:shd w:val="clear" w:color="auto" w:fill="D9D9D9" w:themeFill="background1" w:themeFillShade="D9"/>
            <w:vAlign w:val="center"/>
          </w:tcPr>
          <w:p w14:paraId="780F97B2" w14:textId="48FFCB83" w:rsidR="00D82C8B" w:rsidRPr="004C12C9" w:rsidRDefault="00D82C8B" w:rsidP="00E95625">
            <w:pPr>
              <w:pStyle w:val="ICFTableHeading"/>
              <w:rPr>
                <w:b w:val="0"/>
                <w:color w:val="FFFFFF" w:themeColor="background1"/>
                <w:sz w:val="20"/>
              </w:rPr>
            </w:pPr>
            <w:r w:rsidRPr="0074341E">
              <w:t>Baseline Scenario</w:t>
            </w:r>
          </w:p>
        </w:tc>
        <w:tc>
          <w:tcPr>
            <w:tcW w:w="2250" w:type="dxa"/>
            <w:shd w:val="clear" w:color="auto" w:fill="D9D9D9" w:themeFill="background1" w:themeFillShade="D9"/>
            <w:vAlign w:val="center"/>
          </w:tcPr>
          <w:p w14:paraId="093B6EEB" w14:textId="182F2ED1" w:rsidR="00D82C8B" w:rsidRPr="004C12C9" w:rsidRDefault="00D82C8B" w:rsidP="00E95625">
            <w:pPr>
              <w:pStyle w:val="ICFTableHeading"/>
              <w:rPr>
                <w:b w:val="0"/>
                <w:color w:val="FFFFFF" w:themeColor="background1"/>
                <w:sz w:val="20"/>
              </w:rPr>
            </w:pPr>
            <w:r w:rsidRPr="0074341E">
              <w:t>Additional Inputs Required</w:t>
            </w:r>
          </w:p>
        </w:tc>
      </w:tr>
      <w:tr w:rsidR="00E95625" w:rsidRPr="004C12C9" w14:paraId="4A856588" w14:textId="77777777" w:rsidTr="005B5112">
        <w:trPr>
          <w:trHeight w:val="300"/>
        </w:trPr>
        <w:tc>
          <w:tcPr>
            <w:tcW w:w="1615" w:type="dxa"/>
            <w:noWrap/>
          </w:tcPr>
          <w:p w14:paraId="4BF12254" w14:textId="3F345FBD" w:rsidR="00D82C8B" w:rsidRPr="004C12C9" w:rsidRDefault="00D82C8B" w:rsidP="00D82C8B">
            <w:pPr>
              <w:pStyle w:val="ICFTabletext"/>
            </w:pPr>
            <w:r w:rsidRPr="003346A8">
              <w:t>Employee commuting</w:t>
            </w:r>
          </w:p>
        </w:tc>
        <w:tc>
          <w:tcPr>
            <w:tcW w:w="1170" w:type="dxa"/>
          </w:tcPr>
          <w:p w14:paraId="7CBED331" w14:textId="417CB786" w:rsidR="00D82C8B" w:rsidRPr="004C12C9" w:rsidRDefault="00D82C8B" w:rsidP="002602DA">
            <w:pPr>
              <w:pStyle w:val="ICFTabletext"/>
            </w:pPr>
            <w:r w:rsidRPr="003346A8">
              <w:t>M-1C-02</w:t>
            </w:r>
          </w:p>
        </w:tc>
        <w:tc>
          <w:tcPr>
            <w:tcW w:w="2520" w:type="dxa"/>
          </w:tcPr>
          <w:p w14:paraId="3FB90778" w14:textId="5FB42D86" w:rsidR="00D82C8B" w:rsidRPr="004C12C9" w:rsidRDefault="00D82C8B" w:rsidP="002602DA">
            <w:pPr>
              <w:pStyle w:val="ICFTabletext"/>
            </w:pPr>
            <w:r w:rsidRPr="003346A8">
              <w:t>Develop a Ride Share Program for Construction Contractors</w:t>
            </w:r>
          </w:p>
        </w:tc>
        <w:tc>
          <w:tcPr>
            <w:tcW w:w="2520" w:type="dxa"/>
          </w:tcPr>
          <w:p w14:paraId="38606C6C" w14:textId="168E85D1" w:rsidR="00D82C8B" w:rsidRPr="004C12C9" w:rsidRDefault="00D82C8B" w:rsidP="002602DA">
            <w:pPr>
              <w:pStyle w:val="ICFTabletext"/>
            </w:pPr>
            <w:r w:rsidRPr="003346A8">
              <w:t>Employees commute using a single occupancy vehicle</w:t>
            </w:r>
          </w:p>
        </w:tc>
        <w:tc>
          <w:tcPr>
            <w:tcW w:w="2250" w:type="dxa"/>
          </w:tcPr>
          <w:p w14:paraId="662C3F4D" w14:textId="74B070EC" w:rsidR="00D82C8B" w:rsidRPr="004C12C9" w:rsidRDefault="00D82C8B" w:rsidP="002602DA">
            <w:pPr>
              <w:pStyle w:val="ICFTabletext"/>
            </w:pPr>
            <w:r w:rsidRPr="003346A8">
              <w:t>Percent of employees participating in rideshare program</w:t>
            </w:r>
          </w:p>
        </w:tc>
      </w:tr>
      <w:tr w:rsidR="00E50321" w:rsidRPr="004C12C9" w14:paraId="68F80229" w14:textId="77777777" w:rsidTr="005B5112">
        <w:trPr>
          <w:trHeight w:val="300"/>
        </w:trPr>
        <w:tc>
          <w:tcPr>
            <w:tcW w:w="1615" w:type="dxa"/>
            <w:vMerge w:val="restart"/>
            <w:noWrap/>
          </w:tcPr>
          <w:p w14:paraId="7A94F635" w14:textId="28B72399" w:rsidR="00E50321" w:rsidRPr="004C12C9" w:rsidRDefault="00E50321" w:rsidP="00D82C8B">
            <w:pPr>
              <w:pStyle w:val="ICFTabletext"/>
            </w:pPr>
            <w:r>
              <w:t>Construction equipment</w:t>
            </w:r>
          </w:p>
        </w:tc>
        <w:tc>
          <w:tcPr>
            <w:tcW w:w="1170" w:type="dxa"/>
          </w:tcPr>
          <w:p w14:paraId="3FB64D5C" w14:textId="1014093D" w:rsidR="00E50321" w:rsidRPr="004C12C9" w:rsidRDefault="00E50321" w:rsidP="002602DA">
            <w:pPr>
              <w:pStyle w:val="ICFTabletext"/>
            </w:pPr>
            <w:r>
              <w:t>M-1D-01</w:t>
            </w:r>
          </w:p>
        </w:tc>
        <w:tc>
          <w:tcPr>
            <w:tcW w:w="2520" w:type="dxa"/>
          </w:tcPr>
          <w:p w14:paraId="4FC290DF" w14:textId="50EB700F" w:rsidR="00E50321" w:rsidRPr="004C12C9" w:rsidRDefault="00E50321" w:rsidP="002602DA">
            <w:pPr>
              <w:pStyle w:val="ICFTabletext"/>
            </w:pPr>
            <w:r>
              <w:t>Use Renewable Diesel</w:t>
            </w:r>
          </w:p>
        </w:tc>
        <w:tc>
          <w:tcPr>
            <w:tcW w:w="2520" w:type="dxa"/>
            <w:vMerge w:val="restart"/>
          </w:tcPr>
          <w:p w14:paraId="763C9BAB" w14:textId="197E5A6B" w:rsidR="00E50321" w:rsidRPr="004C12C9" w:rsidRDefault="00E50321" w:rsidP="002602DA">
            <w:pPr>
              <w:pStyle w:val="ICFTabletext"/>
            </w:pPr>
            <w:r>
              <w:t>Equipment uses diesel</w:t>
            </w:r>
          </w:p>
        </w:tc>
        <w:tc>
          <w:tcPr>
            <w:tcW w:w="2250" w:type="dxa"/>
          </w:tcPr>
          <w:p w14:paraId="0E2CD51A" w14:textId="2BA317CC" w:rsidR="00E50321" w:rsidRPr="004C12C9" w:rsidRDefault="00E50321" w:rsidP="002602DA">
            <w:pPr>
              <w:pStyle w:val="ICFTabletext"/>
            </w:pPr>
            <w:r>
              <w:t>N/A</w:t>
            </w:r>
          </w:p>
        </w:tc>
      </w:tr>
      <w:tr w:rsidR="00E50321" w:rsidRPr="004C12C9" w14:paraId="091FA585" w14:textId="77777777" w:rsidTr="005B5112">
        <w:trPr>
          <w:trHeight w:val="300"/>
        </w:trPr>
        <w:tc>
          <w:tcPr>
            <w:tcW w:w="1615" w:type="dxa"/>
            <w:vMerge/>
            <w:noWrap/>
          </w:tcPr>
          <w:p w14:paraId="141E60BC" w14:textId="77777777" w:rsidR="00E50321" w:rsidRPr="006C323B" w:rsidRDefault="00E50321" w:rsidP="00D82C8B">
            <w:pPr>
              <w:pStyle w:val="ICFTabletext"/>
            </w:pPr>
          </w:p>
        </w:tc>
        <w:tc>
          <w:tcPr>
            <w:tcW w:w="1170" w:type="dxa"/>
          </w:tcPr>
          <w:p w14:paraId="6C71BA86" w14:textId="2AD4C082" w:rsidR="00E50321" w:rsidRPr="006C323B" w:rsidRDefault="00E50321" w:rsidP="002602DA">
            <w:pPr>
              <w:pStyle w:val="ICFTabletext"/>
            </w:pPr>
            <w:r>
              <w:t>M-1D-02</w:t>
            </w:r>
          </w:p>
        </w:tc>
        <w:tc>
          <w:tcPr>
            <w:tcW w:w="2520" w:type="dxa"/>
          </w:tcPr>
          <w:p w14:paraId="620DA9A7" w14:textId="3EE9F512" w:rsidR="00E50321" w:rsidRPr="006C323B" w:rsidRDefault="00E50321" w:rsidP="002602DA">
            <w:pPr>
              <w:pStyle w:val="ICFTabletext"/>
            </w:pPr>
            <w:r>
              <w:t>Use Electric or Hybrid Powered Equipment</w:t>
            </w:r>
          </w:p>
        </w:tc>
        <w:tc>
          <w:tcPr>
            <w:tcW w:w="2520" w:type="dxa"/>
            <w:vMerge/>
          </w:tcPr>
          <w:p w14:paraId="413258FD" w14:textId="77777777" w:rsidR="00E50321" w:rsidRPr="006C323B" w:rsidRDefault="00E50321" w:rsidP="002602DA">
            <w:pPr>
              <w:pStyle w:val="ICFTabletext"/>
            </w:pPr>
          </w:p>
        </w:tc>
        <w:tc>
          <w:tcPr>
            <w:tcW w:w="2250" w:type="dxa"/>
          </w:tcPr>
          <w:p w14:paraId="438CBC46" w14:textId="306B9612" w:rsidR="00E50321" w:rsidRPr="006C323B" w:rsidRDefault="00E50321" w:rsidP="002602DA">
            <w:pPr>
              <w:pStyle w:val="ICFTabletext"/>
            </w:pPr>
            <w:r>
              <w:t>N/A</w:t>
            </w:r>
          </w:p>
        </w:tc>
      </w:tr>
      <w:tr w:rsidR="00E50321" w:rsidRPr="004C12C9" w14:paraId="660D4B96" w14:textId="77777777" w:rsidTr="005B5112">
        <w:trPr>
          <w:trHeight w:val="300"/>
        </w:trPr>
        <w:tc>
          <w:tcPr>
            <w:tcW w:w="1615" w:type="dxa"/>
            <w:vMerge w:val="restart"/>
            <w:noWrap/>
          </w:tcPr>
          <w:p w14:paraId="636299C7" w14:textId="2BA7C961" w:rsidR="00E50321" w:rsidRPr="006C323B" w:rsidRDefault="00E50321" w:rsidP="00A57522">
            <w:pPr>
              <w:pStyle w:val="ICFTabletext"/>
            </w:pPr>
            <w:r>
              <w:t>Land use change</w:t>
            </w:r>
          </w:p>
        </w:tc>
        <w:tc>
          <w:tcPr>
            <w:tcW w:w="1170" w:type="dxa"/>
          </w:tcPr>
          <w:p w14:paraId="58B2603A" w14:textId="5EE56514" w:rsidR="00E50321" w:rsidRDefault="00E50321" w:rsidP="002602DA">
            <w:pPr>
              <w:pStyle w:val="ICFTabletext"/>
            </w:pPr>
            <w:r>
              <w:t>M-1E-01</w:t>
            </w:r>
          </w:p>
        </w:tc>
        <w:tc>
          <w:tcPr>
            <w:tcW w:w="2520" w:type="dxa"/>
          </w:tcPr>
          <w:p w14:paraId="4E22715A" w14:textId="21639E1D" w:rsidR="00E50321" w:rsidRDefault="00E50321" w:rsidP="002602DA">
            <w:pPr>
              <w:pStyle w:val="ICFTabletext"/>
            </w:pPr>
            <w:r>
              <w:t>Create New Open Space with Native Vegetation and Habitat</w:t>
            </w:r>
          </w:p>
        </w:tc>
        <w:tc>
          <w:tcPr>
            <w:tcW w:w="2520" w:type="dxa"/>
          </w:tcPr>
          <w:p w14:paraId="1A637332" w14:textId="05B57CF4" w:rsidR="00E50321" w:rsidRPr="006C323B" w:rsidRDefault="00E50321" w:rsidP="002602DA">
            <w:pPr>
              <w:pStyle w:val="ICFTabletext"/>
            </w:pPr>
            <w:r>
              <w:t>Land was previously an impervious surface</w:t>
            </w:r>
          </w:p>
        </w:tc>
        <w:tc>
          <w:tcPr>
            <w:tcW w:w="2250" w:type="dxa"/>
          </w:tcPr>
          <w:p w14:paraId="74471569" w14:textId="1E875BE2" w:rsidR="00E50321" w:rsidRDefault="00E50321" w:rsidP="002602DA">
            <w:pPr>
              <w:pStyle w:val="ICFTabletext"/>
            </w:pPr>
            <w:r>
              <w:t>Acres of previously developed land converted to vegetated open spaces</w:t>
            </w:r>
          </w:p>
        </w:tc>
      </w:tr>
      <w:tr w:rsidR="00E50321" w:rsidRPr="004C12C9" w14:paraId="309FD2A2" w14:textId="77777777" w:rsidTr="005B5112">
        <w:trPr>
          <w:trHeight w:val="300"/>
        </w:trPr>
        <w:tc>
          <w:tcPr>
            <w:tcW w:w="1615" w:type="dxa"/>
            <w:vMerge/>
            <w:noWrap/>
          </w:tcPr>
          <w:p w14:paraId="515E674F" w14:textId="77777777" w:rsidR="00E50321" w:rsidRPr="006C323B" w:rsidRDefault="00E50321" w:rsidP="00A57522">
            <w:pPr>
              <w:pStyle w:val="ICFTabletext"/>
            </w:pPr>
          </w:p>
        </w:tc>
        <w:tc>
          <w:tcPr>
            <w:tcW w:w="1170" w:type="dxa"/>
          </w:tcPr>
          <w:p w14:paraId="2DAE1D30" w14:textId="49DCAC44" w:rsidR="00E50321" w:rsidRDefault="00E50321" w:rsidP="002602DA">
            <w:pPr>
              <w:pStyle w:val="ICFTabletext"/>
            </w:pPr>
            <w:r>
              <w:t>M-1E-02</w:t>
            </w:r>
          </w:p>
        </w:tc>
        <w:tc>
          <w:tcPr>
            <w:tcW w:w="2520" w:type="dxa"/>
          </w:tcPr>
          <w:p w14:paraId="0BA28BF7" w14:textId="31C98B44" w:rsidR="00E50321" w:rsidRDefault="00E50321" w:rsidP="002602DA">
            <w:pPr>
              <w:pStyle w:val="ICFTabletext"/>
            </w:pPr>
            <w:r>
              <w:t>Expand Urban Tree Planting</w:t>
            </w:r>
          </w:p>
        </w:tc>
        <w:tc>
          <w:tcPr>
            <w:tcW w:w="2520" w:type="dxa"/>
          </w:tcPr>
          <w:p w14:paraId="75E027D1" w14:textId="1BF06C06" w:rsidR="00E50321" w:rsidRPr="006C323B" w:rsidRDefault="00E50321" w:rsidP="002602DA">
            <w:pPr>
              <w:pStyle w:val="ICFTabletext"/>
            </w:pPr>
            <w:r>
              <w:t>No trees are planted</w:t>
            </w:r>
          </w:p>
        </w:tc>
        <w:tc>
          <w:tcPr>
            <w:tcW w:w="2250" w:type="dxa"/>
          </w:tcPr>
          <w:p w14:paraId="336479C2" w14:textId="716CDE1F" w:rsidR="00E50321" w:rsidRDefault="00E50321" w:rsidP="002602DA">
            <w:pPr>
              <w:pStyle w:val="ICFTabletext"/>
            </w:pPr>
            <w:r>
              <w:t>N/A</w:t>
            </w:r>
          </w:p>
        </w:tc>
      </w:tr>
      <w:tr w:rsidR="00E50321" w:rsidRPr="004C12C9" w14:paraId="3FB30ABF" w14:textId="77777777" w:rsidTr="005B5112">
        <w:trPr>
          <w:trHeight w:val="300"/>
        </w:trPr>
        <w:tc>
          <w:tcPr>
            <w:tcW w:w="1615" w:type="dxa"/>
            <w:vMerge/>
            <w:noWrap/>
          </w:tcPr>
          <w:p w14:paraId="2D7552E4" w14:textId="77777777" w:rsidR="00E50321" w:rsidRPr="006C323B" w:rsidRDefault="00E50321" w:rsidP="00A57522">
            <w:pPr>
              <w:pStyle w:val="ICFTabletext"/>
            </w:pPr>
          </w:p>
        </w:tc>
        <w:tc>
          <w:tcPr>
            <w:tcW w:w="1170" w:type="dxa"/>
          </w:tcPr>
          <w:p w14:paraId="08F9D1D1" w14:textId="78923116" w:rsidR="00E50321" w:rsidRDefault="00E50321" w:rsidP="002602DA">
            <w:pPr>
              <w:pStyle w:val="ICFTabletext"/>
            </w:pPr>
            <w:r>
              <w:t>M-1E-06</w:t>
            </w:r>
          </w:p>
        </w:tc>
        <w:tc>
          <w:tcPr>
            <w:tcW w:w="2520" w:type="dxa"/>
          </w:tcPr>
          <w:p w14:paraId="72F3025C" w14:textId="1B721381" w:rsidR="00E50321" w:rsidRDefault="00E50321" w:rsidP="002602DA">
            <w:pPr>
              <w:pStyle w:val="ICFTabletext"/>
            </w:pPr>
            <w:r>
              <w:t>Afforestation</w:t>
            </w:r>
          </w:p>
        </w:tc>
        <w:tc>
          <w:tcPr>
            <w:tcW w:w="2520" w:type="dxa"/>
          </w:tcPr>
          <w:p w14:paraId="6FAE6F8A" w14:textId="0262EEBE" w:rsidR="00E50321" w:rsidRPr="006C323B" w:rsidRDefault="00E50321" w:rsidP="002602DA">
            <w:pPr>
              <w:pStyle w:val="ICFTabletext"/>
            </w:pPr>
            <w:r>
              <w:t>Prior land type provided by user</w:t>
            </w:r>
          </w:p>
        </w:tc>
        <w:tc>
          <w:tcPr>
            <w:tcW w:w="2250" w:type="dxa"/>
          </w:tcPr>
          <w:p w14:paraId="11FA0589" w14:textId="286DAF50" w:rsidR="00E50321" w:rsidRDefault="00E50321" w:rsidP="002602DA">
            <w:pPr>
              <w:pStyle w:val="ICFTabletext"/>
            </w:pPr>
            <w:r>
              <w:t>Acres of land reforested and land use type(s) prior to reforestation</w:t>
            </w:r>
          </w:p>
        </w:tc>
      </w:tr>
      <w:tr w:rsidR="00E50321" w:rsidRPr="004C12C9" w14:paraId="39AE53E6" w14:textId="77777777" w:rsidTr="005B5112">
        <w:trPr>
          <w:trHeight w:val="300"/>
        </w:trPr>
        <w:tc>
          <w:tcPr>
            <w:tcW w:w="1615" w:type="dxa"/>
            <w:vMerge w:val="restart"/>
            <w:noWrap/>
          </w:tcPr>
          <w:p w14:paraId="39F4B15D" w14:textId="12EB6410" w:rsidR="00E50321" w:rsidRPr="006C323B" w:rsidRDefault="00E50321" w:rsidP="00A57522">
            <w:pPr>
              <w:pStyle w:val="ICFTabletext"/>
            </w:pPr>
            <w:r>
              <w:t>Building energy consumption</w:t>
            </w:r>
          </w:p>
        </w:tc>
        <w:tc>
          <w:tcPr>
            <w:tcW w:w="1170" w:type="dxa"/>
          </w:tcPr>
          <w:p w14:paraId="7B450FA7" w14:textId="6B6A75AE" w:rsidR="00E50321" w:rsidRDefault="00E50321" w:rsidP="002602DA">
            <w:pPr>
              <w:pStyle w:val="ICFTabletext"/>
            </w:pPr>
            <w:r>
              <w:t>M-2A-22</w:t>
            </w:r>
          </w:p>
        </w:tc>
        <w:tc>
          <w:tcPr>
            <w:tcW w:w="2520" w:type="dxa"/>
          </w:tcPr>
          <w:p w14:paraId="237675D4" w14:textId="6E317311" w:rsidR="00E50321" w:rsidRDefault="00E50321" w:rsidP="002602DA">
            <w:pPr>
              <w:pStyle w:val="ICFTabletext"/>
            </w:pPr>
            <w:r>
              <w:t>Establish Onsite Renewable Energy Systems</w:t>
            </w:r>
          </w:p>
        </w:tc>
        <w:tc>
          <w:tcPr>
            <w:tcW w:w="2520" w:type="dxa"/>
          </w:tcPr>
          <w:p w14:paraId="1292F8BF" w14:textId="7A1851E0" w:rsidR="00E50321" w:rsidRPr="006C323B" w:rsidRDefault="00E50321" w:rsidP="002602DA">
            <w:pPr>
              <w:pStyle w:val="ICFTabletext"/>
            </w:pPr>
            <w:r w:rsidRPr="008845C9">
              <w:t>100% of electricity is from the electricity provider</w:t>
            </w:r>
          </w:p>
        </w:tc>
        <w:tc>
          <w:tcPr>
            <w:tcW w:w="2250" w:type="dxa"/>
          </w:tcPr>
          <w:p w14:paraId="2B5D69BD" w14:textId="120A0493" w:rsidR="00E50321" w:rsidRDefault="00E50321" w:rsidP="002602DA">
            <w:pPr>
              <w:pStyle w:val="ICFTabletext"/>
            </w:pPr>
            <w:r>
              <w:t>N/A</w:t>
            </w:r>
          </w:p>
        </w:tc>
      </w:tr>
      <w:tr w:rsidR="00E50321" w:rsidRPr="004C12C9" w14:paraId="7EC0E5D7" w14:textId="77777777" w:rsidTr="005B5112">
        <w:trPr>
          <w:trHeight w:val="300"/>
        </w:trPr>
        <w:tc>
          <w:tcPr>
            <w:tcW w:w="1615" w:type="dxa"/>
            <w:vMerge/>
            <w:noWrap/>
          </w:tcPr>
          <w:p w14:paraId="76E1D75C" w14:textId="77777777" w:rsidR="00E50321" w:rsidRPr="006C323B" w:rsidRDefault="00E50321" w:rsidP="00A57522">
            <w:pPr>
              <w:pStyle w:val="ICFTabletext"/>
            </w:pPr>
          </w:p>
        </w:tc>
        <w:tc>
          <w:tcPr>
            <w:tcW w:w="1170" w:type="dxa"/>
          </w:tcPr>
          <w:p w14:paraId="510FD749" w14:textId="202AD680" w:rsidR="00E50321" w:rsidRDefault="00E50321" w:rsidP="002602DA">
            <w:pPr>
              <w:pStyle w:val="ICFTabletext"/>
            </w:pPr>
            <w:r>
              <w:t>M-2A</w:t>
            </w:r>
            <w:r w:rsidR="005B5112">
              <w:t>-</w:t>
            </w:r>
            <w:r>
              <w:t>23</w:t>
            </w:r>
          </w:p>
        </w:tc>
        <w:tc>
          <w:tcPr>
            <w:tcW w:w="2520" w:type="dxa"/>
          </w:tcPr>
          <w:p w14:paraId="67C2F6E4" w14:textId="2B10AA34" w:rsidR="00E50321" w:rsidRDefault="00E50321" w:rsidP="002602DA">
            <w:pPr>
              <w:pStyle w:val="ICFTabletext"/>
            </w:pPr>
            <w:r>
              <w:t>Use Renewable Natural Gas or Green Hydrogen Fuel</w:t>
            </w:r>
          </w:p>
        </w:tc>
        <w:tc>
          <w:tcPr>
            <w:tcW w:w="2520" w:type="dxa"/>
          </w:tcPr>
          <w:p w14:paraId="3D866DD5" w14:textId="395E4E9A" w:rsidR="00E50321" w:rsidRPr="006C323B" w:rsidRDefault="00E50321" w:rsidP="002602DA">
            <w:pPr>
              <w:pStyle w:val="ICFTabletext"/>
            </w:pPr>
            <w:r w:rsidRPr="008845C9">
              <w:t>0% of building natural gas consumption is supplied from renewable sources</w:t>
            </w:r>
          </w:p>
        </w:tc>
        <w:tc>
          <w:tcPr>
            <w:tcW w:w="2250" w:type="dxa"/>
          </w:tcPr>
          <w:p w14:paraId="69305885" w14:textId="71FA4F3F" w:rsidR="00E50321" w:rsidRDefault="00E50321" w:rsidP="002602DA">
            <w:pPr>
              <w:pStyle w:val="ICFTabletext"/>
            </w:pPr>
            <w:r>
              <w:t>N/A</w:t>
            </w:r>
          </w:p>
        </w:tc>
      </w:tr>
      <w:tr w:rsidR="00E95625" w:rsidRPr="004C12C9" w14:paraId="10C8830E" w14:textId="77777777" w:rsidTr="005B5112">
        <w:trPr>
          <w:trHeight w:val="300"/>
        </w:trPr>
        <w:tc>
          <w:tcPr>
            <w:tcW w:w="1615" w:type="dxa"/>
            <w:vMerge w:val="restart"/>
            <w:noWrap/>
          </w:tcPr>
          <w:p w14:paraId="3A7FF70E" w14:textId="2ABF13E8" w:rsidR="00E95625" w:rsidRPr="006C323B" w:rsidRDefault="00E95625" w:rsidP="00A57522">
            <w:pPr>
              <w:pStyle w:val="ICFTabletext"/>
            </w:pPr>
            <w:r>
              <w:t>Natural gas and petroleum systems</w:t>
            </w:r>
          </w:p>
        </w:tc>
        <w:tc>
          <w:tcPr>
            <w:tcW w:w="1170" w:type="dxa"/>
          </w:tcPr>
          <w:p w14:paraId="5A35A322" w14:textId="7F6B7408" w:rsidR="00E95625" w:rsidRDefault="00E95625" w:rsidP="002602DA">
            <w:pPr>
              <w:pStyle w:val="ICFTabletext"/>
            </w:pPr>
            <w:r>
              <w:t>M-2C-01</w:t>
            </w:r>
          </w:p>
        </w:tc>
        <w:tc>
          <w:tcPr>
            <w:tcW w:w="2520" w:type="dxa"/>
          </w:tcPr>
          <w:p w14:paraId="56C04164" w14:textId="584F656B" w:rsidR="00E95625" w:rsidRDefault="00E95625" w:rsidP="002602DA">
            <w:pPr>
              <w:pStyle w:val="ICFTabletext"/>
            </w:pPr>
            <w:r>
              <w:t>Conduct Regular Maintenance</w:t>
            </w:r>
          </w:p>
        </w:tc>
        <w:tc>
          <w:tcPr>
            <w:tcW w:w="2520" w:type="dxa"/>
            <w:vMerge w:val="restart"/>
          </w:tcPr>
          <w:p w14:paraId="289984B4" w14:textId="78F2A64A" w:rsidR="00E95625" w:rsidRPr="006C323B" w:rsidRDefault="00E95625" w:rsidP="002602DA">
            <w:pPr>
              <w:pStyle w:val="ICFTabletext"/>
            </w:pPr>
            <w:r w:rsidRPr="0015429E">
              <w:t>0% reduction in leakage and venting emissions</w:t>
            </w:r>
          </w:p>
        </w:tc>
        <w:tc>
          <w:tcPr>
            <w:tcW w:w="2250" w:type="dxa"/>
          </w:tcPr>
          <w:p w14:paraId="2484AC08" w14:textId="0FE25EB8" w:rsidR="00E95625" w:rsidRDefault="00E95625" w:rsidP="002602DA">
            <w:pPr>
              <w:pStyle w:val="ICFTabletext"/>
            </w:pPr>
            <w:r>
              <w:t>N/A</w:t>
            </w:r>
          </w:p>
        </w:tc>
      </w:tr>
      <w:tr w:rsidR="00E95625" w:rsidRPr="004C12C9" w14:paraId="3806823F" w14:textId="77777777" w:rsidTr="005B5112">
        <w:trPr>
          <w:trHeight w:val="300"/>
        </w:trPr>
        <w:tc>
          <w:tcPr>
            <w:tcW w:w="1615" w:type="dxa"/>
            <w:vMerge/>
            <w:noWrap/>
          </w:tcPr>
          <w:p w14:paraId="2A136A52" w14:textId="77777777" w:rsidR="00E95625" w:rsidRPr="006C323B" w:rsidRDefault="00E95625" w:rsidP="00A57522">
            <w:pPr>
              <w:pStyle w:val="ICFTabletext"/>
            </w:pPr>
          </w:p>
        </w:tc>
        <w:tc>
          <w:tcPr>
            <w:tcW w:w="1170" w:type="dxa"/>
          </w:tcPr>
          <w:p w14:paraId="45E297D7" w14:textId="7A5879CE" w:rsidR="00E95625" w:rsidRDefault="00E95625" w:rsidP="002602DA">
            <w:pPr>
              <w:pStyle w:val="ICFTabletext"/>
            </w:pPr>
            <w:r>
              <w:t>M-2C-02</w:t>
            </w:r>
          </w:p>
        </w:tc>
        <w:tc>
          <w:tcPr>
            <w:tcW w:w="2520" w:type="dxa"/>
          </w:tcPr>
          <w:p w14:paraId="20E7FAF5" w14:textId="2F45C02F" w:rsidR="00E95625" w:rsidRDefault="00E95625" w:rsidP="002602DA">
            <w:pPr>
              <w:pStyle w:val="ICFTabletext"/>
            </w:pPr>
            <w:r>
              <w:t>Ensure Proper Systemwide Management</w:t>
            </w:r>
          </w:p>
        </w:tc>
        <w:tc>
          <w:tcPr>
            <w:tcW w:w="2520" w:type="dxa"/>
            <w:vMerge/>
          </w:tcPr>
          <w:p w14:paraId="7E935966" w14:textId="77777777" w:rsidR="00E95625" w:rsidRPr="006C323B" w:rsidRDefault="00E95625" w:rsidP="002602DA">
            <w:pPr>
              <w:pStyle w:val="ICFTabletext"/>
            </w:pPr>
          </w:p>
        </w:tc>
        <w:tc>
          <w:tcPr>
            <w:tcW w:w="2250" w:type="dxa"/>
          </w:tcPr>
          <w:p w14:paraId="75D99A6F" w14:textId="21EA97BA" w:rsidR="00E95625" w:rsidRDefault="00E95625" w:rsidP="002602DA">
            <w:pPr>
              <w:pStyle w:val="ICFTabletext"/>
            </w:pPr>
            <w:r>
              <w:t>N/A</w:t>
            </w:r>
          </w:p>
        </w:tc>
      </w:tr>
      <w:tr w:rsidR="00E95625" w:rsidRPr="004C12C9" w14:paraId="2EC94D30" w14:textId="77777777" w:rsidTr="005B5112">
        <w:trPr>
          <w:trHeight w:val="300"/>
        </w:trPr>
        <w:tc>
          <w:tcPr>
            <w:tcW w:w="1615" w:type="dxa"/>
            <w:vMerge/>
            <w:noWrap/>
          </w:tcPr>
          <w:p w14:paraId="4B35AC67" w14:textId="77777777" w:rsidR="00E95625" w:rsidRPr="006C323B" w:rsidRDefault="00E95625" w:rsidP="00A57522">
            <w:pPr>
              <w:pStyle w:val="ICFTabletext"/>
            </w:pPr>
          </w:p>
        </w:tc>
        <w:tc>
          <w:tcPr>
            <w:tcW w:w="1170" w:type="dxa"/>
          </w:tcPr>
          <w:p w14:paraId="6523C2B5" w14:textId="3FCB8D71" w:rsidR="00E95625" w:rsidRDefault="00E95625" w:rsidP="002602DA">
            <w:pPr>
              <w:pStyle w:val="ICFTabletext"/>
            </w:pPr>
            <w:r>
              <w:t>M-2C-03</w:t>
            </w:r>
          </w:p>
        </w:tc>
        <w:tc>
          <w:tcPr>
            <w:tcW w:w="2520" w:type="dxa"/>
          </w:tcPr>
          <w:p w14:paraId="27F18B0C" w14:textId="7EFDFDD7" w:rsidR="00E95625" w:rsidRDefault="00E95625" w:rsidP="002602DA">
            <w:pPr>
              <w:pStyle w:val="ICFTabletext"/>
            </w:pPr>
            <w:r>
              <w:t>Design New Pipelines to Minimize Leaks</w:t>
            </w:r>
          </w:p>
        </w:tc>
        <w:tc>
          <w:tcPr>
            <w:tcW w:w="2520" w:type="dxa"/>
            <w:vMerge/>
          </w:tcPr>
          <w:p w14:paraId="78701769" w14:textId="77777777" w:rsidR="00E95625" w:rsidRPr="006C323B" w:rsidRDefault="00E95625" w:rsidP="002602DA">
            <w:pPr>
              <w:pStyle w:val="ICFTabletext"/>
            </w:pPr>
          </w:p>
        </w:tc>
        <w:tc>
          <w:tcPr>
            <w:tcW w:w="2250" w:type="dxa"/>
          </w:tcPr>
          <w:p w14:paraId="7F3EFEFE" w14:textId="7100207B" w:rsidR="00E95625" w:rsidRDefault="00E95625" w:rsidP="002602DA">
            <w:pPr>
              <w:pStyle w:val="ICFTabletext"/>
            </w:pPr>
            <w:r>
              <w:t>N/A</w:t>
            </w:r>
          </w:p>
        </w:tc>
      </w:tr>
      <w:tr w:rsidR="00E95625" w:rsidRPr="004C12C9" w14:paraId="2ED5EB38" w14:textId="77777777" w:rsidTr="005B5112">
        <w:trPr>
          <w:trHeight w:val="300"/>
        </w:trPr>
        <w:tc>
          <w:tcPr>
            <w:tcW w:w="1615" w:type="dxa"/>
            <w:vMerge/>
            <w:noWrap/>
          </w:tcPr>
          <w:p w14:paraId="024479DA" w14:textId="77777777" w:rsidR="00E95625" w:rsidRPr="006C323B" w:rsidRDefault="00E95625" w:rsidP="00A57522">
            <w:pPr>
              <w:pStyle w:val="ICFTabletext"/>
            </w:pPr>
          </w:p>
        </w:tc>
        <w:tc>
          <w:tcPr>
            <w:tcW w:w="1170" w:type="dxa"/>
          </w:tcPr>
          <w:p w14:paraId="180357DF" w14:textId="2CEB06CC" w:rsidR="00E95625" w:rsidRDefault="00E95625" w:rsidP="002602DA">
            <w:pPr>
              <w:pStyle w:val="ICFTabletext"/>
            </w:pPr>
            <w:r>
              <w:t>M-2C-04</w:t>
            </w:r>
          </w:p>
        </w:tc>
        <w:tc>
          <w:tcPr>
            <w:tcW w:w="2520" w:type="dxa"/>
          </w:tcPr>
          <w:p w14:paraId="534EB7EA" w14:textId="4F707A2E" w:rsidR="00E95625" w:rsidRDefault="00E95625" w:rsidP="002602DA">
            <w:pPr>
              <w:pStyle w:val="ICFTabletext"/>
            </w:pPr>
            <w:r>
              <w:t>Install Low-Bleed Pneumatic Controllers</w:t>
            </w:r>
          </w:p>
        </w:tc>
        <w:tc>
          <w:tcPr>
            <w:tcW w:w="2520" w:type="dxa"/>
            <w:vMerge/>
          </w:tcPr>
          <w:p w14:paraId="0DF27BCE" w14:textId="77777777" w:rsidR="00E95625" w:rsidRPr="006C323B" w:rsidRDefault="00E95625" w:rsidP="002602DA">
            <w:pPr>
              <w:pStyle w:val="ICFTabletext"/>
            </w:pPr>
          </w:p>
        </w:tc>
        <w:tc>
          <w:tcPr>
            <w:tcW w:w="2250" w:type="dxa"/>
          </w:tcPr>
          <w:p w14:paraId="2A84419D" w14:textId="290C07C9" w:rsidR="00E95625" w:rsidRDefault="00E95625" w:rsidP="002602DA">
            <w:pPr>
              <w:pStyle w:val="ICFTabletext"/>
            </w:pPr>
            <w:r>
              <w:t>N/A</w:t>
            </w:r>
          </w:p>
        </w:tc>
      </w:tr>
      <w:tr w:rsidR="00E95625" w:rsidRPr="004C12C9" w14:paraId="3DFCF439" w14:textId="77777777" w:rsidTr="005B5112">
        <w:trPr>
          <w:trHeight w:val="300"/>
        </w:trPr>
        <w:tc>
          <w:tcPr>
            <w:tcW w:w="1615" w:type="dxa"/>
            <w:vMerge/>
            <w:noWrap/>
          </w:tcPr>
          <w:p w14:paraId="79133AD4" w14:textId="77777777" w:rsidR="00E95625" w:rsidRPr="006C323B" w:rsidRDefault="00E95625" w:rsidP="00A57522">
            <w:pPr>
              <w:pStyle w:val="ICFTabletext"/>
            </w:pPr>
          </w:p>
        </w:tc>
        <w:tc>
          <w:tcPr>
            <w:tcW w:w="1170" w:type="dxa"/>
          </w:tcPr>
          <w:p w14:paraId="71C4BF9D" w14:textId="4D937206" w:rsidR="00E95625" w:rsidRDefault="00E95625" w:rsidP="002602DA">
            <w:pPr>
              <w:pStyle w:val="ICFTabletext"/>
            </w:pPr>
            <w:r>
              <w:t>M-2C-05</w:t>
            </w:r>
          </w:p>
        </w:tc>
        <w:tc>
          <w:tcPr>
            <w:tcW w:w="2520" w:type="dxa"/>
          </w:tcPr>
          <w:p w14:paraId="23F7D9C1" w14:textId="2C8A3F60" w:rsidR="00E95625" w:rsidRDefault="00E95625" w:rsidP="002602DA">
            <w:pPr>
              <w:pStyle w:val="ICFTabletext"/>
            </w:pPr>
            <w:r>
              <w:t>Use Vapor Recovery Units</w:t>
            </w:r>
          </w:p>
        </w:tc>
        <w:tc>
          <w:tcPr>
            <w:tcW w:w="2520" w:type="dxa"/>
            <w:vMerge/>
          </w:tcPr>
          <w:p w14:paraId="7669945B" w14:textId="77777777" w:rsidR="00E95625" w:rsidRPr="006C323B" w:rsidRDefault="00E95625" w:rsidP="002602DA">
            <w:pPr>
              <w:pStyle w:val="ICFTabletext"/>
            </w:pPr>
          </w:p>
        </w:tc>
        <w:tc>
          <w:tcPr>
            <w:tcW w:w="2250" w:type="dxa"/>
          </w:tcPr>
          <w:p w14:paraId="4B6D5FB1" w14:textId="4EAE0EA1" w:rsidR="00E95625" w:rsidRDefault="00E95625" w:rsidP="002602DA">
            <w:pPr>
              <w:pStyle w:val="ICFTabletext"/>
            </w:pPr>
            <w:r>
              <w:t>N/A</w:t>
            </w:r>
          </w:p>
        </w:tc>
      </w:tr>
      <w:tr w:rsidR="00A57522" w:rsidRPr="004C12C9" w14:paraId="4F14373A" w14:textId="77777777" w:rsidTr="005B5112">
        <w:trPr>
          <w:trHeight w:val="300"/>
        </w:trPr>
        <w:tc>
          <w:tcPr>
            <w:tcW w:w="1615" w:type="dxa"/>
            <w:noWrap/>
          </w:tcPr>
          <w:p w14:paraId="680F35E2" w14:textId="06741EA4" w:rsidR="00A57522" w:rsidRPr="006C323B" w:rsidRDefault="00A57522" w:rsidP="00A57522">
            <w:pPr>
              <w:pStyle w:val="ICFTabletext"/>
            </w:pPr>
            <w:r>
              <w:lastRenderedPageBreak/>
              <w:t>HFC leakage</w:t>
            </w:r>
          </w:p>
        </w:tc>
        <w:tc>
          <w:tcPr>
            <w:tcW w:w="1170" w:type="dxa"/>
          </w:tcPr>
          <w:p w14:paraId="2A931D6F" w14:textId="2FC83F7D" w:rsidR="00A57522" w:rsidRDefault="00A57522" w:rsidP="002602DA">
            <w:pPr>
              <w:pStyle w:val="ICFTabletext"/>
            </w:pPr>
            <w:r>
              <w:t>M-2E-01</w:t>
            </w:r>
          </w:p>
        </w:tc>
        <w:tc>
          <w:tcPr>
            <w:tcW w:w="2520" w:type="dxa"/>
          </w:tcPr>
          <w:p w14:paraId="68DCE83D" w14:textId="303863F2" w:rsidR="00A57522" w:rsidRDefault="00A57522" w:rsidP="002602DA">
            <w:pPr>
              <w:pStyle w:val="ICFTabletext"/>
            </w:pPr>
            <w:r>
              <w:t>Use Alternative Refrigerants Instead of High-GWP Refrigerants</w:t>
            </w:r>
          </w:p>
        </w:tc>
        <w:tc>
          <w:tcPr>
            <w:tcW w:w="2520" w:type="dxa"/>
          </w:tcPr>
          <w:p w14:paraId="7DC65FD9" w14:textId="2B8AC727" w:rsidR="00A57522" w:rsidRPr="006C323B" w:rsidRDefault="005B5112" w:rsidP="002602DA">
            <w:pPr>
              <w:pStyle w:val="ICFTabletext"/>
            </w:pPr>
            <w:r>
              <w:t xml:space="preserve">Default </w:t>
            </w:r>
            <w:r w:rsidR="00A57522">
              <w:t>refrigerant type used by equipment type</w:t>
            </w:r>
          </w:p>
        </w:tc>
        <w:tc>
          <w:tcPr>
            <w:tcW w:w="2250" w:type="dxa"/>
          </w:tcPr>
          <w:p w14:paraId="3E57F30E" w14:textId="1E281EC2" w:rsidR="00A57522" w:rsidRDefault="00A57522" w:rsidP="002602DA">
            <w:pPr>
              <w:pStyle w:val="ICFTabletext"/>
            </w:pPr>
            <w:r>
              <w:t>N/A</w:t>
            </w:r>
          </w:p>
        </w:tc>
      </w:tr>
      <w:tr w:rsidR="002602DA" w:rsidRPr="004C12C9" w14:paraId="77BB07DB" w14:textId="77777777" w:rsidTr="005B5112">
        <w:trPr>
          <w:trHeight w:val="300"/>
        </w:trPr>
        <w:tc>
          <w:tcPr>
            <w:tcW w:w="1615" w:type="dxa"/>
            <w:vMerge w:val="restart"/>
            <w:noWrap/>
          </w:tcPr>
          <w:p w14:paraId="6060B74D" w14:textId="0430AE0E" w:rsidR="002602DA" w:rsidRPr="006C323B" w:rsidRDefault="002602DA" w:rsidP="00A57522">
            <w:pPr>
              <w:pStyle w:val="ICFTabletext"/>
            </w:pPr>
            <w:r>
              <w:t>Treatment of waste off-site</w:t>
            </w:r>
          </w:p>
        </w:tc>
        <w:tc>
          <w:tcPr>
            <w:tcW w:w="1170" w:type="dxa"/>
          </w:tcPr>
          <w:p w14:paraId="7964EA46" w14:textId="5A91FDB1" w:rsidR="002602DA" w:rsidRDefault="002602DA" w:rsidP="002602DA">
            <w:pPr>
              <w:pStyle w:val="ICFTabletext"/>
            </w:pPr>
            <w:r>
              <w:t>M-2J-01</w:t>
            </w:r>
          </w:p>
        </w:tc>
        <w:tc>
          <w:tcPr>
            <w:tcW w:w="2520" w:type="dxa"/>
          </w:tcPr>
          <w:p w14:paraId="2F7C6F73" w14:textId="2DBE4864" w:rsidR="002602DA" w:rsidRDefault="002602DA" w:rsidP="002602DA">
            <w:pPr>
              <w:pStyle w:val="ICFTabletext"/>
            </w:pPr>
            <w:r>
              <w:t>Institute or Extend Recycling Services</w:t>
            </w:r>
          </w:p>
        </w:tc>
        <w:tc>
          <w:tcPr>
            <w:tcW w:w="2520" w:type="dxa"/>
          </w:tcPr>
          <w:p w14:paraId="53CC5788" w14:textId="77EBFD0A" w:rsidR="002602DA" w:rsidRPr="006C323B" w:rsidRDefault="002602DA" w:rsidP="002602DA">
            <w:pPr>
              <w:pStyle w:val="ICFTabletext"/>
            </w:pPr>
            <w:r>
              <w:t>0% recycled</w:t>
            </w:r>
          </w:p>
        </w:tc>
        <w:tc>
          <w:tcPr>
            <w:tcW w:w="2250" w:type="dxa"/>
          </w:tcPr>
          <w:p w14:paraId="6146E48E" w14:textId="33576B3C" w:rsidR="002602DA" w:rsidRDefault="002602DA" w:rsidP="002602DA">
            <w:pPr>
              <w:pStyle w:val="ICFTabletext"/>
            </w:pPr>
            <w:r>
              <w:t>N/A</w:t>
            </w:r>
          </w:p>
        </w:tc>
      </w:tr>
      <w:tr w:rsidR="002602DA" w:rsidRPr="004C12C9" w14:paraId="2FC46CCB" w14:textId="77777777" w:rsidTr="005B5112">
        <w:trPr>
          <w:trHeight w:val="300"/>
        </w:trPr>
        <w:tc>
          <w:tcPr>
            <w:tcW w:w="1615" w:type="dxa"/>
            <w:vMerge/>
            <w:noWrap/>
          </w:tcPr>
          <w:p w14:paraId="54F5F80A" w14:textId="77777777" w:rsidR="002602DA" w:rsidRPr="006C323B" w:rsidRDefault="002602DA" w:rsidP="00A57522">
            <w:pPr>
              <w:pStyle w:val="ICFTabletext"/>
            </w:pPr>
          </w:p>
        </w:tc>
        <w:tc>
          <w:tcPr>
            <w:tcW w:w="1170" w:type="dxa"/>
          </w:tcPr>
          <w:p w14:paraId="7B396AE0" w14:textId="3BB9A75A" w:rsidR="002602DA" w:rsidRDefault="002602DA" w:rsidP="002602DA">
            <w:pPr>
              <w:pStyle w:val="ICFTabletext"/>
            </w:pPr>
            <w:r>
              <w:t>M-2J-03</w:t>
            </w:r>
          </w:p>
        </w:tc>
        <w:tc>
          <w:tcPr>
            <w:tcW w:w="2520" w:type="dxa"/>
          </w:tcPr>
          <w:p w14:paraId="64C60C02" w14:textId="5C55F745" w:rsidR="002602DA" w:rsidRDefault="002602DA" w:rsidP="002602DA">
            <w:pPr>
              <w:pStyle w:val="ICFTabletext"/>
            </w:pPr>
            <w:r>
              <w:t>Implement Organics Diversion Program</w:t>
            </w:r>
          </w:p>
        </w:tc>
        <w:tc>
          <w:tcPr>
            <w:tcW w:w="2520" w:type="dxa"/>
          </w:tcPr>
          <w:p w14:paraId="1CC793A7" w14:textId="68FBE828" w:rsidR="002602DA" w:rsidRPr="006C323B" w:rsidRDefault="002602DA" w:rsidP="002602DA">
            <w:pPr>
              <w:pStyle w:val="ICFTabletext"/>
            </w:pPr>
            <w:r>
              <w:t>0% composted</w:t>
            </w:r>
          </w:p>
        </w:tc>
        <w:tc>
          <w:tcPr>
            <w:tcW w:w="2250" w:type="dxa"/>
          </w:tcPr>
          <w:p w14:paraId="2F7828DD" w14:textId="23063B6C" w:rsidR="002602DA" w:rsidRDefault="002602DA" w:rsidP="002602DA">
            <w:pPr>
              <w:pStyle w:val="ICFTabletext"/>
            </w:pPr>
            <w:r>
              <w:t>N/A</w:t>
            </w:r>
          </w:p>
        </w:tc>
      </w:tr>
      <w:tr w:rsidR="00A57522" w:rsidRPr="004C12C9" w14:paraId="7BE869F1" w14:textId="77777777" w:rsidTr="005B5112">
        <w:trPr>
          <w:trHeight w:val="300"/>
        </w:trPr>
        <w:tc>
          <w:tcPr>
            <w:tcW w:w="1615" w:type="dxa"/>
            <w:noWrap/>
          </w:tcPr>
          <w:p w14:paraId="50FC322D" w14:textId="41225F7F" w:rsidR="00A57522" w:rsidRPr="006C323B" w:rsidRDefault="00A57522" w:rsidP="00A57522">
            <w:pPr>
              <w:pStyle w:val="ICFTabletext"/>
            </w:pPr>
            <w:r>
              <w:t>Manure Management</w:t>
            </w:r>
          </w:p>
        </w:tc>
        <w:tc>
          <w:tcPr>
            <w:tcW w:w="1170" w:type="dxa"/>
          </w:tcPr>
          <w:p w14:paraId="761DC448" w14:textId="5EB66CFE" w:rsidR="00A57522" w:rsidRDefault="00A57522" w:rsidP="002602DA">
            <w:pPr>
              <w:pStyle w:val="ICFTabletext"/>
            </w:pPr>
            <w:r>
              <w:t>M-2L-01</w:t>
            </w:r>
          </w:p>
        </w:tc>
        <w:tc>
          <w:tcPr>
            <w:tcW w:w="2520" w:type="dxa"/>
          </w:tcPr>
          <w:p w14:paraId="6EFFF97C" w14:textId="17802EA8" w:rsidR="00A57522" w:rsidRDefault="00A57522" w:rsidP="002602DA">
            <w:pPr>
              <w:pStyle w:val="ICFTabletext"/>
            </w:pPr>
            <w:r>
              <w:t>Require Best Management Practices for Manure Management</w:t>
            </w:r>
          </w:p>
        </w:tc>
        <w:tc>
          <w:tcPr>
            <w:tcW w:w="2520" w:type="dxa"/>
          </w:tcPr>
          <w:p w14:paraId="6D1309A6" w14:textId="2B8AA977" w:rsidR="00A57522" w:rsidRPr="006C323B" w:rsidRDefault="00A57522" w:rsidP="002602DA">
            <w:pPr>
              <w:pStyle w:val="ICFTabletext"/>
            </w:pPr>
            <w:r>
              <w:t>Manure treated by anaerobic lagoon</w:t>
            </w:r>
          </w:p>
        </w:tc>
        <w:tc>
          <w:tcPr>
            <w:tcW w:w="2250" w:type="dxa"/>
          </w:tcPr>
          <w:p w14:paraId="0E660C09" w14:textId="01940A2F" w:rsidR="00A57522" w:rsidRDefault="00A57522" w:rsidP="002602DA">
            <w:pPr>
              <w:pStyle w:val="ICFTabletext"/>
            </w:pPr>
            <w:r>
              <w:t>N/A</w:t>
            </w:r>
          </w:p>
        </w:tc>
      </w:tr>
    </w:tbl>
    <w:p w14:paraId="24CF2856" w14:textId="79B201DE" w:rsidR="00FC5F6E" w:rsidRPr="004C12C9" w:rsidRDefault="00FC5F6E" w:rsidP="002E320A">
      <w:pPr>
        <w:pStyle w:val="Heading3"/>
      </w:pPr>
      <w:bookmarkStart w:id="263" w:name="_Toc219887788"/>
      <w:r w:rsidRPr="004C12C9">
        <w:t>Adaptation Strategies</w:t>
      </w:r>
      <w:bookmarkEnd w:id="263"/>
    </w:p>
    <w:p w14:paraId="209B58E1" w14:textId="456064AA" w:rsidR="00A83D7C" w:rsidRPr="004C12C9" w:rsidRDefault="00311384" w:rsidP="002E320A">
      <w:pPr>
        <w:keepNext/>
        <w:keepLines/>
      </w:pPr>
      <w:r w:rsidRPr="004C12C9">
        <w:t xml:space="preserve">There are numerous ways that climate change is altering the climate in Minnesota. </w:t>
      </w:r>
      <w:r w:rsidR="003C5CF0" w:rsidRPr="004C12C9">
        <w:t>The</w:t>
      </w:r>
      <w:r w:rsidR="003C3A26" w:rsidRPr="004C12C9">
        <w:t xml:space="preserve"> </w:t>
      </w:r>
      <w:r w:rsidR="008E44B3" w:rsidRPr="004C12C9">
        <w:t>calculator</w:t>
      </w:r>
      <w:r w:rsidR="003C5CF0" w:rsidRPr="004C12C9">
        <w:t xml:space="preserve"> in</w:t>
      </w:r>
      <w:r w:rsidR="00551790" w:rsidRPr="004C12C9">
        <w:t>clude</w:t>
      </w:r>
      <w:r w:rsidR="003E2BF0" w:rsidRPr="004C12C9">
        <w:t>s</w:t>
      </w:r>
      <w:r w:rsidR="00551790" w:rsidRPr="004C12C9">
        <w:t xml:space="preserve"> </w:t>
      </w:r>
      <w:r w:rsidR="004947AE" w:rsidRPr="004C12C9">
        <w:t>54</w:t>
      </w:r>
      <w:r w:rsidR="00A624B7" w:rsidRPr="004C12C9">
        <w:t xml:space="preserve"> strategies</w:t>
      </w:r>
      <w:r w:rsidR="003E2BF0" w:rsidRPr="004C12C9">
        <w:t xml:space="preserve"> that </w:t>
      </w:r>
      <w:r w:rsidR="007C1A6C" w:rsidRPr="004C12C9">
        <w:t xml:space="preserve">are known to be effective in adapting to </w:t>
      </w:r>
      <w:r w:rsidR="0038063E" w:rsidRPr="004C12C9">
        <w:t xml:space="preserve">these </w:t>
      </w:r>
      <w:r w:rsidR="007C1A6C" w:rsidRPr="004C12C9">
        <w:t xml:space="preserve">changing climate conditions. The strategies </w:t>
      </w:r>
      <w:r w:rsidR="001919CE" w:rsidRPr="004C12C9">
        <w:t xml:space="preserve">address </w:t>
      </w:r>
      <w:r w:rsidR="00CC5EA3" w:rsidRPr="004C12C9">
        <w:t xml:space="preserve">the </w:t>
      </w:r>
      <w:r w:rsidR="001919CE" w:rsidRPr="004C12C9">
        <w:t xml:space="preserve">key climate trends </w:t>
      </w:r>
      <w:r w:rsidR="008A3E86" w:rsidRPr="004C12C9">
        <w:t>identified by the Minnesota Department of Natural Resources</w:t>
      </w:r>
      <w:r w:rsidR="001919CE" w:rsidRPr="004C12C9">
        <w:t>.</w:t>
      </w:r>
      <w:r w:rsidR="001919CE" w:rsidRPr="004C12C9">
        <w:rPr>
          <w:rStyle w:val="FootnoteReference"/>
        </w:rPr>
        <w:footnoteReference w:id="141"/>
      </w:r>
      <w:r w:rsidR="001919CE" w:rsidRPr="004C12C9">
        <w:t xml:space="preserve"> </w:t>
      </w:r>
      <w:r w:rsidR="006F2D62" w:rsidRPr="004C12C9">
        <w:t xml:space="preserve">These </w:t>
      </w:r>
      <w:r w:rsidR="00076803" w:rsidRPr="004C12C9">
        <w:t>climate trends</w:t>
      </w:r>
      <w:r w:rsidR="00BA0CDE" w:rsidRPr="004C12C9">
        <w:t xml:space="preserve">, as defined in the </w:t>
      </w:r>
      <w:r w:rsidR="008E44B3" w:rsidRPr="004C12C9">
        <w:t>calculator</w:t>
      </w:r>
      <w:r w:rsidR="00BA0CDE" w:rsidRPr="004C12C9">
        <w:t>, a</w:t>
      </w:r>
      <w:r w:rsidR="001A4EE4" w:rsidRPr="004C12C9">
        <w:t xml:space="preserve">re summarized </w:t>
      </w:r>
      <w:r w:rsidR="00076803" w:rsidRPr="004C12C9">
        <w:t>in</w:t>
      </w:r>
      <w:r w:rsidR="005B5112">
        <w:t xml:space="preserve"> </w:t>
      </w:r>
      <w:r w:rsidR="005B5112">
        <w:fldChar w:fldCharType="begin"/>
      </w:r>
      <w:r w:rsidR="005B5112">
        <w:instrText xml:space="preserve"> REF _Ref219843115 \h </w:instrText>
      </w:r>
      <w:r w:rsidR="005B5112">
        <w:fldChar w:fldCharType="separate"/>
      </w:r>
      <w:r w:rsidR="005B5112" w:rsidRPr="004C12C9">
        <w:t xml:space="preserve">Table </w:t>
      </w:r>
      <w:r w:rsidR="005B5112">
        <w:rPr>
          <w:noProof/>
        </w:rPr>
        <w:t>4</w:t>
      </w:r>
      <w:r w:rsidR="005B5112">
        <w:noBreakHyphen/>
      </w:r>
      <w:r w:rsidR="005B5112">
        <w:rPr>
          <w:noProof/>
        </w:rPr>
        <w:t>3</w:t>
      </w:r>
      <w:r w:rsidR="005B5112">
        <w:fldChar w:fldCharType="end"/>
      </w:r>
      <w:r w:rsidR="00076803" w:rsidRPr="004C12C9">
        <w:rPr>
          <w:rFonts w:asciiTheme="minorHAnsi" w:hAnsiTheme="minorHAnsi" w:cstheme="minorHAnsi"/>
        </w:rPr>
        <w:t>.</w:t>
      </w:r>
      <w:r w:rsidR="003620BB" w:rsidRPr="004C12C9">
        <w:rPr>
          <w:rFonts w:asciiTheme="minorHAnsi" w:hAnsiTheme="minorHAnsi" w:cstheme="minorHAnsi"/>
        </w:rPr>
        <w:t xml:space="preserve"> Users should refer to the EAW Climate Guidance</w:t>
      </w:r>
      <w:r w:rsidR="00B70DE5" w:rsidRPr="004C12C9">
        <w:t xml:space="preserve"> for additional information and resources to identify which climate trends are relevant to </w:t>
      </w:r>
      <w:r w:rsidR="00CE29E2" w:rsidRPr="004C12C9">
        <w:t>their project.</w:t>
      </w:r>
      <w:r w:rsidR="00CE29E2" w:rsidRPr="004C12C9">
        <w:rPr>
          <w:rStyle w:val="FootnoteReference"/>
        </w:rPr>
        <w:footnoteReference w:id="142"/>
      </w:r>
    </w:p>
    <w:p w14:paraId="02703776" w14:textId="281B24AF" w:rsidR="00076803" w:rsidRPr="004C12C9" w:rsidRDefault="00076803" w:rsidP="00076803">
      <w:pPr>
        <w:pStyle w:val="Caption"/>
      </w:pPr>
      <w:bookmarkStart w:id="264" w:name="_Ref219843115"/>
      <w:bookmarkStart w:id="265" w:name="_Ref196141245"/>
      <w:r w:rsidRPr="004C12C9">
        <w:t xml:space="preserve">Table </w:t>
      </w:r>
      <w:r w:rsidR="00F72B41">
        <w:fldChar w:fldCharType="begin"/>
      </w:r>
      <w:r w:rsidR="00F72B41">
        <w:instrText xml:space="preserve"> STYLEREF 2 \s </w:instrText>
      </w:r>
      <w:r w:rsidR="00F72B41">
        <w:fldChar w:fldCharType="separate"/>
      </w:r>
      <w:r w:rsidR="00F72B41">
        <w:rPr>
          <w:noProof/>
        </w:rPr>
        <w:t>4</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3</w:t>
      </w:r>
      <w:r w:rsidR="00F72B41">
        <w:fldChar w:fldCharType="end"/>
      </w:r>
      <w:bookmarkEnd w:id="264"/>
      <w:bookmarkEnd w:id="265"/>
      <w:r w:rsidRPr="004C12C9">
        <w:t xml:space="preserve">. Climate Trends </w:t>
      </w:r>
      <w:r w:rsidR="00CE29E2" w:rsidRPr="004C12C9">
        <w:t xml:space="preserve">Included in the </w:t>
      </w:r>
      <w:r w:rsidR="002A449E" w:rsidRPr="004C12C9">
        <w:t>Climate Calculator</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5"/>
        <w:gridCol w:w="7189"/>
      </w:tblGrid>
      <w:tr w:rsidR="00076803" w:rsidRPr="004C12C9" w14:paraId="2BBE8FEE" w14:textId="77777777" w:rsidTr="007C33FC">
        <w:trPr>
          <w:tblHeader/>
        </w:trPr>
        <w:tc>
          <w:tcPr>
            <w:tcW w:w="2875" w:type="dxa"/>
            <w:shd w:val="clear" w:color="auto" w:fill="D9D9D9" w:themeFill="background1" w:themeFillShade="D9"/>
          </w:tcPr>
          <w:p w14:paraId="260C48D1" w14:textId="77777777" w:rsidR="00076803" w:rsidRPr="004C12C9" w:rsidRDefault="00076803">
            <w:pPr>
              <w:pStyle w:val="ICFTableHeading"/>
            </w:pPr>
            <w:r w:rsidRPr="004C12C9">
              <w:t>Climate Trend</w:t>
            </w:r>
          </w:p>
        </w:tc>
        <w:tc>
          <w:tcPr>
            <w:tcW w:w="7189" w:type="dxa"/>
            <w:shd w:val="clear" w:color="auto" w:fill="D9D9D9" w:themeFill="background1" w:themeFillShade="D9"/>
          </w:tcPr>
          <w:p w14:paraId="40522E14" w14:textId="77777777" w:rsidR="00076803" w:rsidRPr="004C12C9" w:rsidRDefault="00076803">
            <w:pPr>
              <w:pStyle w:val="ICFTableHeading"/>
            </w:pPr>
            <w:r w:rsidRPr="004C12C9">
              <w:t>Definition</w:t>
            </w:r>
          </w:p>
        </w:tc>
      </w:tr>
      <w:tr w:rsidR="00076803" w:rsidRPr="004C12C9" w14:paraId="6C3B915B" w14:textId="77777777" w:rsidTr="007C33FC">
        <w:tc>
          <w:tcPr>
            <w:tcW w:w="2875" w:type="dxa"/>
            <w:vAlign w:val="center"/>
          </w:tcPr>
          <w:p w14:paraId="48A46F0F" w14:textId="77777777" w:rsidR="00076803" w:rsidRPr="004C12C9" w:rsidRDefault="00076803">
            <w:pPr>
              <w:pStyle w:val="ICFTabletext"/>
            </w:pPr>
            <w:r w:rsidRPr="004C12C9">
              <w:t>Heavier, more damaging rain</w:t>
            </w:r>
          </w:p>
        </w:tc>
        <w:tc>
          <w:tcPr>
            <w:tcW w:w="7189" w:type="dxa"/>
            <w:vAlign w:val="center"/>
          </w:tcPr>
          <w:p w14:paraId="674564DE" w14:textId="77777777" w:rsidR="00076803" w:rsidRPr="004C12C9" w:rsidRDefault="00076803">
            <w:pPr>
              <w:pStyle w:val="ICFTabletext"/>
            </w:pPr>
            <w:r w:rsidRPr="004C12C9">
              <w:t>Increased frequency and intensity of rainfall events over the next several decades, which can lead to more flooding.</w:t>
            </w:r>
          </w:p>
        </w:tc>
      </w:tr>
      <w:tr w:rsidR="00076803" w:rsidRPr="004C12C9" w14:paraId="6CA5F352" w14:textId="77777777" w:rsidTr="007C33FC">
        <w:tc>
          <w:tcPr>
            <w:tcW w:w="2875" w:type="dxa"/>
            <w:vAlign w:val="center"/>
          </w:tcPr>
          <w:p w14:paraId="444441CD" w14:textId="77777777" w:rsidR="00076803" w:rsidRPr="004C12C9" w:rsidRDefault="00076803">
            <w:pPr>
              <w:pStyle w:val="ICFTabletext"/>
            </w:pPr>
            <w:r w:rsidRPr="004C12C9">
              <w:t>Average annual precipitation increasing</w:t>
            </w:r>
          </w:p>
        </w:tc>
        <w:tc>
          <w:tcPr>
            <w:tcW w:w="7189" w:type="dxa"/>
            <w:vAlign w:val="center"/>
          </w:tcPr>
          <w:p w14:paraId="099D2520" w14:textId="77777777" w:rsidR="00076803" w:rsidRPr="004C12C9" w:rsidRDefault="00076803">
            <w:pPr>
              <w:pStyle w:val="ICFTabletext"/>
            </w:pPr>
            <w:r w:rsidRPr="004C12C9">
              <w:t>Increased yearly rainfall over the next several decades.</w:t>
            </w:r>
          </w:p>
        </w:tc>
      </w:tr>
      <w:tr w:rsidR="00076803" w:rsidRPr="004C12C9" w14:paraId="444194B3" w14:textId="77777777" w:rsidTr="007C33FC">
        <w:tc>
          <w:tcPr>
            <w:tcW w:w="2875" w:type="dxa"/>
            <w:vAlign w:val="center"/>
          </w:tcPr>
          <w:p w14:paraId="3574818F" w14:textId="77777777" w:rsidR="00076803" w:rsidRPr="004C12C9" w:rsidRDefault="00076803">
            <w:pPr>
              <w:pStyle w:val="ICFTabletext"/>
            </w:pPr>
            <w:r w:rsidRPr="004C12C9">
              <w:t>Average annual temperature increasing</w:t>
            </w:r>
          </w:p>
        </w:tc>
        <w:tc>
          <w:tcPr>
            <w:tcW w:w="7189" w:type="dxa"/>
            <w:vAlign w:val="center"/>
          </w:tcPr>
          <w:p w14:paraId="519B0CA9" w14:textId="77777777" w:rsidR="00076803" w:rsidRPr="004C12C9" w:rsidRDefault="00076803">
            <w:pPr>
              <w:pStyle w:val="ICFTabletext"/>
            </w:pPr>
            <w:r w:rsidRPr="004C12C9">
              <w:t>Increased yearly average temperatures over the next several decades.</w:t>
            </w:r>
          </w:p>
        </w:tc>
      </w:tr>
      <w:tr w:rsidR="00076803" w:rsidRPr="004C12C9" w14:paraId="43BBB8CC" w14:textId="77777777" w:rsidTr="007C33FC">
        <w:tc>
          <w:tcPr>
            <w:tcW w:w="2875" w:type="dxa"/>
            <w:vAlign w:val="center"/>
          </w:tcPr>
          <w:p w14:paraId="22F260AF" w14:textId="77777777" w:rsidR="00076803" w:rsidRPr="004C12C9" w:rsidRDefault="00076803">
            <w:pPr>
              <w:pStyle w:val="ICFTabletext"/>
            </w:pPr>
            <w:r w:rsidRPr="004C12C9">
              <w:t>Increasing risk of extreme heat and heatwaves</w:t>
            </w:r>
          </w:p>
        </w:tc>
        <w:tc>
          <w:tcPr>
            <w:tcW w:w="7189" w:type="dxa"/>
            <w:vAlign w:val="center"/>
          </w:tcPr>
          <w:p w14:paraId="4773E241" w14:textId="77777777" w:rsidR="00076803" w:rsidRPr="004C12C9" w:rsidRDefault="00076803">
            <w:pPr>
              <w:pStyle w:val="ICFTabletext"/>
            </w:pPr>
            <w:r w:rsidRPr="004C12C9">
              <w:t>More frequent and higher extreme heat days and prolonged periods of excessively hot weather over the next several decades (e.g., three days of extreme heat, rather than just one).</w:t>
            </w:r>
          </w:p>
        </w:tc>
      </w:tr>
      <w:tr w:rsidR="00076803" w:rsidRPr="004C12C9" w14:paraId="414D06BD" w14:textId="77777777" w:rsidTr="007C33FC">
        <w:tc>
          <w:tcPr>
            <w:tcW w:w="2875" w:type="dxa"/>
            <w:vAlign w:val="center"/>
          </w:tcPr>
          <w:p w14:paraId="13AD3424" w14:textId="77777777" w:rsidR="00076803" w:rsidRPr="004C12C9" w:rsidRDefault="00076803">
            <w:pPr>
              <w:pStyle w:val="ICFTabletext"/>
            </w:pPr>
            <w:r w:rsidRPr="004C12C9">
              <w:t>Early thawing (cold weather warming)</w:t>
            </w:r>
          </w:p>
        </w:tc>
        <w:tc>
          <w:tcPr>
            <w:tcW w:w="7189" w:type="dxa"/>
            <w:vAlign w:val="center"/>
          </w:tcPr>
          <w:p w14:paraId="76B60E3C" w14:textId="77777777" w:rsidR="00076803" w:rsidRPr="004C12C9" w:rsidRDefault="00076803">
            <w:pPr>
              <w:pStyle w:val="ICFTabletext"/>
            </w:pPr>
            <w:r w:rsidRPr="004C12C9">
              <w:t>Earlier onset of warmer temperatures in spring, leading to earlier melting of snow and ice over the next several decades.</w:t>
            </w:r>
          </w:p>
        </w:tc>
      </w:tr>
      <w:tr w:rsidR="00076803" w:rsidRPr="004C12C9" w14:paraId="6517FF7D" w14:textId="77777777" w:rsidTr="007C33FC">
        <w:tc>
          <w:tcPr>
            <w:tcW w:w="2875" w:type="dxa"/>
            <w:vAlign w:val="center"/>
          </w:tcPr>
          <w:p w14:paraId="43084CB6" w14:textId="77777777" w:rsidR="00076803" w:rsidRPr="004C12C9" w:rsidRDefault="00076803">
            <w:pPr>
              <w:pStyle w:val="ICFTabletext"/>
            </w:pPr>
            <w:r w:rsidRPr="004C12C9">
              <w:lastRenderedPageBreak/>
              <w:t>Increasing risk of drought</w:t>
            </w:r>
          </w:p>
        </w:tc>
        <w:tc>
          <w:tcPr>
            <w:tcW w:w="7189" w:type="dxa"/>
            <w:vAlign w:val="center"/>
          </w:tcPr>
          <w:p w14:paraId="3073C9F8" w14:textId="77777777" w:rsidR="00076803" w:rsidRPr="004C12C9" w:rsidRDefault="00076803">
            <w:pPr>
              <w:pStyle w:val="ICFTabletext"/>
            </w:pPr>
            <w:r w:rsidRPr="004C12C9">
              <w:t>Higher likelihood of prolonged periods of low precipitation over the next several decades.</w:t>
            </w:r>
          </w:p>
        </w:tc>
      </w:tr>
    </w:tbl>
    <w:p w14:paraId="5DD30A63" w14:textId="0D791EFE" w:rsidR="00B64317" w:rsidRPr="004C12C9" w:rsidRDefault="00B64317" w:rsidP="00B64317">
      <w:r w:rsidRPr="004C12C9">
        <w:t xml:space="preserve">In addition to identifying which climate trends are relevant to </w:t>
      </w:r>
      <w:r w:rsidR="00AE6ED5" w:rsidRPr="004C12C9">
        <w:t>the</w:t>
      </w:r>
      <w:r w:rsidRPr="004C12C9">
        <w:t xml:space="preserve"> project, users also must select applicable project characteristics to narrow the list of </w:t>
      </w:r>
      <w:r w:rsidR="001B7385" w:rsidRPr="004C12C9">
        <w:t xml:space="preserve">viable </w:t>
      </w:r>
      <w:r w:rsidRPr="004C12C9">
        <w:t xml:space="preserve">strategies. </w:t>
      </w:r>
      <w:r w:rsidR="00D412CB" w:rsidRPr="004C12C9">
        <w:rPr>
          <w:rFonts w:asciiTheme="minorHAnsi" w:hAnsiTheme="minorHAnsi" w:cstheme="minorHAnsi"/>
        </w:rPr>
        <w:t xml:space="preserve">The project characteristics that are mapped to each strategy within the </w:t>
      </w:r>
      <w:r w:rsidR="002A449E" w:rsidRPr="004C12C9">
        <w:t xml:space="preserve">calculator </w:t>
      </w:r>
      <w:r w:rsidR="00D412CB" w:rsidRPr="004C12C9">
        <w:rPr>
          <w:rFonts w:asciiTheme="minorHAnsi" w:hAnsiTheme="minorHAnsi" w:cstheme="minorHAnsi"/>
        </w:rPr>
        <w:t>are summarized in</w:t>
      </w:r>
      <w:r w:rsidR="005B5112">
        <w:rPr>
          <w:rFonts w:asciiTheme="minorHAnsi" w:hAnsiTheme="minorHAnsi" w:cstheme="minorHAnsi"/>
        </w:rPr>
        <w:t xml:space="preserve"> </w:t>
      </w:r>
      <w:r w:rsidR="005B5112">
        <w:rPr>
          <w:rFonts w:asciiTheme="minorHAnsi" w:hAnsiTheme="minorHAnsi" w:cstheme="minorHAnsi"/>
        </w:rPr>
        <w:fldChar w:fldCharType="begin"/>
      </w:r>
      <w:r w:rsidR="005B5112">
        <w:rPr>
          <w:rFonts w:asciiTheme="minorHAnsi" w:hAnsiTheme="minorHAnsi" w:cstheme="minorHAnsi"/>
        </w:rPr>
        <w:instrText xml:space="preserve"> REF _Ref219843125 \h </w:instrText>
      </w:r>
      <w:r w:rsidR="005B5112">
        <w:rPr>
          <w:rFonts w:asciiTheme="minorHAnsi" w:hAnsiTheme="minorHAnsi" w:cstheme="minorHAnsi"/>
        </w:rPr>
      </w:r>
      <w:r w:rsidR="005B5112">
        <w:rPr>
          <w:rFonts w:asciiTheme="minorHAnsi" w:hAnsiTheme="minorHAnsi" w:cstheme="minorHAnsi"/>
        </w:rPr>
        <w:fldChar w:fldCharType="separate"/>
      </w:r>
      <w:r w:rsidR="005B5112" w:rsidRPr="004C12C9">
        <w:t xml:space="preserve">Table </w:t>
      </w:r>
      <w:r w:rsidR="005B5112">
        <w:rPr>
          <w:noProof/>
        </w:rPr>
        <w:t>4</w:t>
      </w:r>
      <w:r w:rsidR="005B5112">
        <w:noBreakHyphen/>
      </w:r>
      <w:r w:rsidR="005B5112">
        <w:rPr>
          <w:noProof/>
        </w:rPr>
        <w:t>4</w:t>
      </w:r>
      <w:r w:rsidR="005B5112">
        <w:rPr>
          <w:rFonts w:asciiTheme="minorHAnsi" w:hAnsiTheme="minorHAnsi" w:cstheme="minorHAnsi"/>
        </w:rPr>
        <w:fldChar w:fldCharType="end"/>
      </w:r>
      <w:r w:rsidR="00D412CB" w:rsidRPr="004C12C9">
        <w:rPr>
          <w:rFonts w:asciiTheme="minorHAnsi" w:hAnsiTheme="minorHAnsi" w:cstheme="minorHAnsi"/>
        </w:rPr>
        <w:t xml:space="preserve">. Strategies may map to more than climate trend and/or project characteristic. </w:t>
      </w:r>
      <w:r w:rsidRPr="004C12C9">
        <w:t xml:space="preserve">Once the strategy list is filtered to the applicable climate trend(s) and project characteristic(s), </w:t>
      </w:r>
      <w:r w:rsidR="00490B09" w:rsidRPr="004C12C9">
        <w:t xml:space="preserve">users should </w:t>
      </w:r>
      <w:r w:rsidRPr="004C12C9">
        <w:t xml:space="preserve">carefully review each strategy to determine which ones </w:t>
      </w:r>
      <w:r w:rsidR="00C15227" w:rsidRPr="004C12C9">
        <w:t>they</w:t>
      </w:r>
      <w:r w:rsidRPr="004C12C9">
        <w:t xml:space="preserve"> intend to implement. Use</w:t>
      </w:r>
      <w:r w:rsidR="00FC771A" w:rsidRPr="004C12C9">
        <w:t>rs can use</w:t>
      </w:r>
      <w:r w:rsidRPr="004C12C9">
        <w:t xml:space="preserve"> the drop-down menu under the Select column to choose the strategies.</w:t>
      </w:r>
      <w:r w:rsidR="00126F93" w:rsidRPr="004C12C9">
        <w:t xml:space="preserve"> The list of selected</w:t>
      </w:r>
      <w:r w:rsidR="00CB7D72" w:rsidRPr="004C12C9">
        <w:t xml:space="preserve"> </w:t>
      </w:r>
      <w:r w:rsidR="004E509C" w:rsidRPr="004C12C9">
        <w:t>strategies</w:t>
      </w:r>
      <w:r w:rsidR="00126F93" w:rsidRPr="004C12C9">
        <w:t xml:space="preserve"> can</w:t>
      </w:r>
      <w:r w:rsidR="004E509C" w:rsidRPr="004C12C9">
        <w:t xml:space="preserve"> then</w:t>
      </w:r>
      <w:r w:rsidR="00126F93" w:rsidRPr="004C12C9">
        <w:t xml:space="preserve"> be used to develop a comprehensive set of adaptation actions or guiding policies for project design and implementation.</w:t>
      </w:r>
    </w:p>
    <w:p w14:paraId="60A68E49" w14:textId="037F394A" w:rsidR="009F756D" w:rsidRPr="004C12C9" w:rsidRDefault="009F756D" w:rsidP="009F756D">
      <w:pPr>
        <w:pStyle w:val="Caption"/>
      </w:pPr>
      <w:bookmarkStart w:id="266" w:name="_Ref219843125"/>
      <w:bookmarkStart w:id="267" w:name="_Ref196379250"/>
      <w:r w:rsidRPr="004C12C9">
        <w:t xml:space="preserve">Table </w:t>
      </w:r>
      <w:r w:rsidR="00F72B41">
        <w:fldChar w:fldCharType="begin"/>
      </w:r>
      <w:r w:rsidR="00F72B41">
        <w:instrText xml:space="preserve"> STYLEREF 2 \s </w:instrText>
      </w:r>
      <w:r w:rsidR="00F72B41">
        <w:fldChar w:fldCharType="separate"/>
      </w:r>
      <w:r w:rsidR="00F72B41">
        <w:rPr>
          <w:noProof/>
        </w:rPr>
        <w:t>4</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4</w:t>
      </w:r>
      <w:r w:rsidR="00F72B41">
        <w:fldChar w:fldCharType="end"/>
      </w:r>
      <w:bookmarkEnd w:id="266"/>
      <w:bookmarkEnd w:id="267"/>
      <w:r w:rsidRPr="004C12C9">
        <w:t>. Project Characteristic Definitions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2"/>
        <w:gridCol w:w="7462"/>
      </w:tblGrid>
      <w:tr w:rsidR="009F756D" w:rsidRPr="004C12C9" w14:paraId="3D6C57D5" w14:textId="77777777" w:rsidTr="009F756D">
        <w:trPr>
          <w:tblHeader/>
        </w:trPr>
        <w:tc>
          <w:tcPr>
            <w:tcW w:w="2602" w:type="dxa"/>
            <w:shd w:val="clear" w:color="auto" w:fill="D9D9D9" w:themeFill="background1" w:themeFillShade="D9"/>
          </w:tcPr>
          <w:p w14:paraId="70AD6D9E" w14:textId="77777777" w:rsidR="009F756D" w:rsidRPr="004C12C9" w:rsidRDefault="009F756D">
            <w:pPr>
              <w:pStyle w:val="ICFTableHeading"/>
            </w:pPr>
            <w:r w:rsidRPr="004C12C9">
              <w:t>Project Characteristic</w:t>
            </w:r>
          </w:p>
        </w:tc>
        <w:tc>
          <w:tcPr>
            <w:tcW w:w="7462" w:type="dxa"/>
            <w:shd w:val="clear" w:color="auto" w:fill="D9D9D9" w:themeFill="background1" w:themeFillShade="D9"/>
          </w:tcPr>
          <w:p w14:paraId="48534434" w14:textId="77777777" w:rsidR="009F756D" w:rsidRPr="004C12C9" w:rsidRDefault="009F756D">
            <w:pPr>
              <w:pStyle w:val="ICFTableHeading"/>
            </w:pPr>
            <w:r w:rsidRPr="004C12C9">
              <w:t>Definition</w:t>
            </w:r>
          </w:p>
        </w:tc>
      </w:tr>
      <w:tr w:rsidR="009F756D" w:rsidRPr="004C12C9" w14:paraId="6D2A4CD1" w14:textId="77777777">
        <w:tc>
          <w:tcPr>
            <w:tcW w:w="2602" w:type="dxa"/>
            <w:vAlign w:val="center"/>
          </w:tcPr>
          <w:p w14:paraId="00725129" w14:textId="77777777" w:rsidR="009F756D" w:rsidRPr="004C12C9" w:rsidRDefault="009F756D">
            <w:pPr>
              <w:pStyle w:val="ICFTabletext"/>
            </w:pPr>
            <w:r w:rsidRPr="004C12C9">
              <w:t>Hazardous waste</w:t>
            </w:r>
          </w:p>
        </w:tc>
        <w:tc>
          <w:tcPr>
            <w:tcW w:w="7462" w:type="dxa"/>
            <w:vAlign w:val="center"/>
          </w:tcPr>
          <w:p w14:paraId="3CA05003" w14:textId="002FDBD3" w:rsidR="009F756D" w:rsidRPr="004C12C9" w:rsidRDefault="007C4082">
            <w:pPr>
              <w:pStyle w:val="ICFTabletext"/>
            </w:pPr>
            <w:r w:rsidRPr="004C12C9">
              <w:t>I</w:t>
            </w:r>
            <w:r w:rsidR="009F756D" w:rsidRPr="004C12C9">
              <w:t>nvolve the handling, storage, treatment, or disposal of materials that pose a risk due to their toxic, corrosive, flammable, or reactive properties. Hazardous waste may include nuclear fuels and nuclear waste.</w:t>
            </w:r>
          </w:p>
        </w:tc>
      </w:tr>
      <w:tr w:rsidR="009F756D" w:rsidRPr="004C12C9" w14:paraId="73C2E9EC" w14:textId="77777777">
        <w:tc>
          <w:tcPr>
            <w:tcW w:w="2602" w:type="dxa"/>
            <w:vAlign w:val="center"/>
          </w:tcPr>
          <w:p w14:paraId="0AD1EF68" w14:textId="77777777" w:rsidR="009F756D" w:rsidRPr="004C12C9" w:rsidRDefault="009F756D">
            <w:pPr>
              <w:pStyle w:val="ICFTabletext"/>
            </w:pPr>
            <w:r w:rsidRPr="004C12C9">
              <w:t>Agriculture</w:t>
            </w:r>
          </w:p>
        </w:tc>
        <w:tc>
          <w:tcPr>
            <w:tcW w:w="7462" w:type="dxa"/>
            <w:vAlign w:val="center"/>
          </w:tcPr>
          <w:p w14:paraId="32DA1776" w14:textId="21D19438" w:rsidR="009F756D" w:rsidRPr="004C12C9" w:rsidRDefault="005B7408">
            <w:pPr>
              <w:pStyle w:val="ICFTabletext"/>
            </w:pPr>
            <w:r w:rsidRPr="004C12C9">
              <w:t>I</w:t>
            </w:r>
            <w:r w:rsidR="009F756D" w:rsidRPr="004C12C9">
              <w:t>nvolve the cultivation of crops or expansion of cropland.</w:t>
            </w:r>
          </w:p>
        </w:tc>
      </w:tr>
      <w:tr w:rsidR="009F756D" w:rsidRPr="004C12C9" w14:paraId="16D0F6D7" w14:textId="77777777">
        <w:tc>
          <w:tcPr>
            <w:tcW w:w="2602" w:type="dxa"/>
            <w:vAlign w:val="center"/>
          </w:tcPr>
          <w:p w14:paraId="1794FDB2" w14:textId="77777777" w:rsidR="009F756D" w:rsidRPr="004C12C9" w:rsidRDefault="009F756D">
            <w:pPr>
              <w:pStyle w:val="ICFTabletext"/>
            </w:pPr>
            <w:r w:rsidRPr="004C12C9">
              <w:t>Livestock</w:t>
            </w:r>
          </w:p>
        </w:tc>
        <w:tc>
          <w:tcPr>
            <w:tcW w:w="7462" w:type="dxa"/>
            <w:vAlign w:val="center"/>
          </w:tcPr>
          <w:p w14:paraId="49D54BFD" w14:textId="7012F1C2" w:rsidR="009F756D" w:rsidRPr="004C12C9" w:rsidRDefault="00B1000A">
            <w:pPr>
              <w:pStyle w:val="ICFTabletext"/>
            </w:pPr>
            <w:r w:rsidRPr="004C12C9">
              <w:t>I</w:t>
            </w:r>
            <w:r w:rsidR="009F756D" w:rsidRPr="004C12C9">
              <w:t>nvolve the management of animals, such as cattle, sheep, goats, pigs, and poultry (e.g., animal feedlots).</w:t>
            </w:r>
          </w:p>
        </w:tc>
      </w:tr>
      <w:tr w:rsidR="009F756D" w:rsidRPr="004C12C9" w14:paraId="4A42791C" w14:textId="77777777">
        <w:tc>
          <w:tcPr>
            <w:tcW w:w="2602" w:type="dxa"/>
            <w:vAlign w:val="center"/>
          </w:tcPr>
          <w:p w14:paraId="699A45FC" w14:textId="77777777" w:rsidR="009F756D" w:rsidRPr="004C12C9" w:rsidRDefault="009F756D">
            <w:pPr>
              <w:pStyle w:val="ICFTabletext"/>
            </w:pPr>
            <w:r w:rsidRPr="004C12C9">
              <w:t>Critical infrastructure</w:t>
            </w:r>
          </w:p>
        </w:tc>
        <w:tc>
          <w:tcPr>
            <w:tcW w:w="7462" w:type="dxa"/>
            <w:vAlign w:val="center"/>
          </w:tcPr>
          <w:p w14:paraId="5E7BB102" w14:textId="518A57D2" w:rsidR="009F756D" w:rsidRPr="004C12C9" w:rsidRDefault="005744A5">
            <w:pPr>
              <w:pStyle w:val="ICFTabletext"/>
            </w:pPr>
            <w:r w:rsidRPr="004C12C9">
              <w:t>I</w:t>
            </w:r>
            <w:r w:rsidR="009F756D" w:rsidRPr="004C12C9">
              <w:t>nvolve the development, maintenance, or enhancement of essential systems and assets, including electrical systems, mineral mining infrastructure, resource processing facilities, and other key infrastructure.</w:t>
            </w:r>
          </w:p>
        </w:tc>
      </w:tr>
      <w:tr w:rsidR="009F756D" w:rsidRPr="004C12C9" w14:paraId="3454F483" w14:textId="77777777">
        <w:tc>
          <w:tcPr>
            <w:tcW w:w="2602" w:type="dxa"/>
            <w:vAlign w:val="center"/>
          </w:tcPr>
          <w:p w14:paraId="732D09C6" w14:textId="77777777" w:rsidR="009F756D" w:rsidRPr="004C12C9" w:rsidRDefault="009F756D">
            <w:pPr>
              <w:pStyle w:val="ICFTabletext"/>
            </w:pPr>
            <w:r w:rsidRPr="004C12C9">
              <w:t>Waste management</w:t>
            </w:r>
          </w:p>
        </w:tc>
        <w:tc>
          <w:tcPr>
            <w:tcW w:w="7462" w:type="dxa"/>
            <w:vAlign w:val="center"/>
          </w:tcPr>
          <w:p w14:paraId="21DCF2A2" w14:textId="3030C177" w:rsidR="009F756D" w:rsidRPr="004C12C9" w:rsidRDefault="005744A5">
            <w:pPr>
              <w:pStyle w:val="ICFTabletext"/>
            </w:pPr>
            <w:r w:rsidRPr="004C12C9">
              <w:t>I</w:t>
            </w:r>
            <w:r w:rsidR="009F756D" w:rsidRPr="004C12C9">
              <w:t>nvolve the collection, transportation, processing, recycling, or disposal of waste materials.</w:t>
            </w:r>
          </w:p>
        </w:tc>
      </w:tr>
      <w:tr w:rsidR="009F756D" w:rsidRPr="004C12C9" w14:paraId="17D6FD0B" w14:textId="77777777">
        <w:tc>
          <w:tcPr>
            <w:tcW w:w="2602" w:type="dxa"/>
            <w:vAlign w:val="center"/>
          </w:tcPr>
          <w:p w14:paraId="3A352041" w14:textId="77777777" w:rsidR="009F756D" w:rsidRPr="004C12C9" w:rsidRDefault="009F756D">
            <w:pPr>
              <w:pStyle w:val="ICFTabletext"/>
            </w:pPr>
            <w:r w:rsidRPr="004C12C9">
              <w:t>New or upgraded buildings</w:t>
            </w:r>
          </w:p>
        </w:tc>
        <w:tc>
          <w:tcPr>
            <w:tcW w:w="7462" w:type="dxa"/>
            <w:vAlign w:val="center"/>
          </w:tcPr>
          <w:p w14:paraId="23232F36" w14:textId="20B237CA" w:rsidR="009F756D" w:rsidRPr="004C12C9" w:rsidRDefault="00677B2A">
            <w:pPr>
              <w:pStyle w:val="ICFTabletext"/>
            </w:pPr>
            <w:r w:rsidRPr="004C12C9">
              <w:t>I</w:t>
            </w:r>
            <w:r w:rsidR="009F756D" w:rsidRPr="004C12C9">
              <w:t>nvolve the construction of new buildings or the renovation of existing structures, such as industrial, commercial, or institutional facilities; residential development; and storage facilities.</w:t>
            </w:r>
          </w:p>
        </w:tc>
      </w:tr>
      <w:tr w:rsidR="009F756D" w:rsidRPr="004C12C9" w14:paraId="2AC7B5D0" w14:textId="77777777">
        <w:tc>
          <w:tcPr>
            <w:tcW w:w="2602" w:type="dxa"/>
            <w:vAlign w:val="center"/>
          </w:tcPr>
          <w:p w14:paraId="2DB63AFB" w14:textId="77777777" w:rsidR="009F756D" w:rsidRPr="004C12C9" w:rsidRDefault="009F756D">
            <w:pPr>
              <w:pStyle w:val="ICFTabletext"/>
            </w:pPr>
            <w:r w:rsidRPr="004C12C9">
              <w:t>Subsurface infrastructure</w:t>
            </w:r>
          </w:p>
        </w:tc>
        <w:tc>
          <w:tcPr>
            <w:tcW w:w="7462" w:type="dxa"/>
            <w:vAlign w:val="center"/>
          </w:tcPr>
          <w:p w14:paraId="43017A90" w14:textId="1EA4196E" w:rsidR="009F756D" w:rsidRPr="004C12C9" w:rsidRDefault="00677B2A">
            <w:pPr>
              <w:pStyle w:val="ICFTabletext"/>
            </w:pPr>
            <w:r w:rsidRPr="004C12C9">
              <w:t>I</w:t>
            </w:r>
            <w:r w:rsidR="009F756D" w:rsidRPr="004C12C9">
              <w:t>nvolve the installation, maintenance, or upgrade of underground systems such as water and sewer lines, electrical conduits, and telecommunications cables.</w:t>
            </w:r>
          </w:p>
        </w:tc>
      </w:tr>
      <w:tr w:rsidR="009F756D" w:rsidRPr="004C12C9" w14:paraId="27343862" w14:textId="77777777">
        <w:tc>
          <w:tcPr>
            <w:tcW w:w="2602" w:type="dxa"/>
            <w:vAlign w:val="center"/>
          </w:tcPr>
          <w:p w14:paraId="4A96BBB0" w14:textId="77777777" w:rsidR="009F756D" w:rsidRPr="004C12C9" w:rsidRDefault="009F756D">
            <w:pPr>
              <w:pStyle w:val="ICFTabletext"/>
            </w:pPr>
            <w:r w:rsidRPr="004C12C9">
              <w:t>Water management</w:t>
            </w:r>
          </w:p>
        </w:tc>
        <w:tc>
          <w:tcPr>
            <w:tcW w:w="7462" w:type="dxa"/>
            <w:vAlign w:val="center"/>
          </w:tcPr>
          <w:p w14:paraId="13AB2196" w14:textId="6879CAC6" w:rsidR="009F756D" w:rsidRPr="004C12C9" w:rsidRDefault="002C3ACA">
            <w:pPr>
              <w:pStyle w:val="ICFTabletext"/>
            </w:pPr>
            <w:r w:rsidRPr="004C12C9">
              <w:t>I</w:t>
            </w:r>
            <w:r w:rsidR="009F756D" w:rsidRPr="004C12C9">
              <w:t>nvolve the collection, transportation, processing, recycling, or disposal of water resources, including those related to water appropriation and impoundments and wastewater systems.</w:t>
            </w:r>
          </w:p>
        </w:tc>
      </w:tr>
      <w:tr w:rsidR="009F756D" w:rsidRPr="004C12C9" w14:paraId="3487E6BD" w14:textId="77777777">
        <w:tc>
          <w:tcPr>
            <w:tcW w:w="2602" w:type="dxa"/>
            <w:vAlign w:val="center"/>
          </w:tcPr>
          <w:p w14:paraId="1963C69E" w14:textId="77777777" w:rsidR="009F756D" w:rsidRPr="004C12C9" w:rsidRDefault="009F756D">
            <w:pPr>
              <w:pStyle w:val="ICFTabletext"/>
            </w:pPr>
            <w:r w:rsidRPr="004C12C9">
              <w:t>Construction</w:t>
            </w:r>
          </w:p>
        </w:tc>
        <w:tc>
          <w:tcPr>
            <w:tcW w:w="7462" w:type="dxa"/>
            <w:vAlign w:val="center"/>
          </w:tcPr>
          <w:p w14:paraId="23C76C06" w14:textId="5CF12E8A" w:rsidR="009F756D" w:rsidRPr="004C12C9" w:rsidRDefault="00D35132">
            <w:pPr>
              <w:pStyle w:val="ICFTabletext"/>
            </w:pPr>
            <w:r w:rsidRPr="004C12C9">
              <w:t xml:space="preserve">Involve development activities such as building, renovating, or improving </w:t>
            </w:r>
            <w:r w:rsidR="002E3E03" w:rsidRPr="004C12C9">
              <w:t>structures, such as buildings, bridges, and roads</w:t>
            </w:r>
            <w:r w:rsidR="009F756D" w:rsidRPr="004C12C9">
              <w:t>.</w:t>
            </w:r>
          </w:p>
        </w:tc>
      </w:tr>
      <w:tr w:rsidR="009F756D" w:rsidRPr="004C12C9" w14:paraId="652F161C" w14:textId="77777777">
        <w:tc>
          <w:tcPr>
            <w:tcW w:w="2602" w:type="dxa"/>
            <w:vAlign w:val="center"/>
          </w:tcPr>
          <w:p w14:paraId="5CABC237" w14:textId="77777777" w:rsidR="009F756D" w:rsidRPr="004C12C9" w:rsidRDefault="009F756D">
            <w:pPr>
              <w:pStyle w:val="ICFTabletext"/>
            </w:pPr>
            <w:r w:rsidRPr="004C12C9">
              <w:t>Increased impervious surface</w:t>
            </w:r>
          </w:p>
        </w:tc>
        <w:tc>
          <w:tcPr>
            <w:tcW w:w="7462" w:type="dxa"/>
            <w:vAlign w:val="center"/>
          </w:tcPr>
          <w:p w14:paraId="4446A4DA" w14:textId="7F43D647" w:rsidR="009F756D" w:rsidRPr="004C12C9" w:rsidRDefault="00854B84">
            <w:pPr>
              <w:pStyle w:val="ICFTabletext"/>
            </w:pPr>
            <w:r w:rsidRPr="004C12C9">
              <w:t>I</w:t>
            </w:r>
            <w:r w:rsidR="009F756D" w:rsidRPr="004C12C9">
              <w:t>nvolve the addition of surfaces that do not allow water to penetrate, such as roads, parking lots, and buildings.</w:t>
            </w:r>
          </w:p>
        </w:tc>
      </w:tr>
      <w:tr w:rsidR="009F756D" w:rsidRPr="004C12C9" w14:paraId="297288DF" w14:textId="77777777">
        <w:tc>
          <w:tcPr>
            <w:tcW w:w="2602" w:type="dxa"/>
            <w:vAlign w:val="center"/>
          </w:tcPr>
          <w:p w14:paraId="5A7024FC" w14:textId="77777777" w:rsidR="009F756D" w:rsidRPr="004C12C9" w:rsidRDefault="009F756D">
            <w:pPr>
              <w:pStyle w:val="ICFTabletext"/>
            </w:pPr>
            <w:r w:rsidRPr="004C12C9">
              <w:t>New, expanded, or rebuilt transportation route</w:t>
            </w:r>
          </w:p>
        </w:tc>
        <w:tc>
          <w:tcPr>
            <w:tcW w:w="7462" w:type="dxa"/>
            <w:vAlign w:val="center"/>
          </w:tcPr>
          <w:p w14:paraId="1B47B835" w14:textId="7875BCA9" w:rsidR="009F756D" w:rsidRPr="004C12C9" w:rsidRDefault="00B00806">
            <w:pPr>
              <w:pStyle w:val="ICFTabletext"/>
            </w:pPr>
            <w:r w:rsidRPr="004C12C9">
              <w:t>I</w:t>
            </w:r>
            <w:r w:rsidR="009F756D" w:rsidRPr="004C12C9">
              <w:t>nvolve the creation, widening, or reconstruction of transportation routes, such as roads, highways, railways, and bridges.</w:t>
            </w:r>
          </w:p>
        </w:tc>
      </w:tr>
    </w:tbl>
    <w:p w14:paraId="098C1D23" w14:textId="625EE16F" w:rsidR="006009CA" w:rsidRPr="004C12C9" w:rsidRDefault="00F401E5" w:rsidP="0053373D">
      <w:r w:rsidRPr="004C12C9">
        <w:lastRenderedPageBreak/>
        <w:t xml:space="preserve">The adaptation strategies included in the </w:t>
      </w:r>
      <w:r w:rsidR="002A449E" w:rsidRPr="004C12C9">
        <w:t>calculator</w:t>
      </w:r>
      <w:r w:rsidRPr="004C12C9">
        <w:t xml:space="preserve"> were developed by reviewing a suite of existing plans and reports, as summarized in </w:t>
      </w:r>
      <w:r w:rsidR="005B5112">
        <w:fldChar w:fldCharType="begin"/>
      </w:r>
      <w:r w:rsidR="005B5112">
        <w:instrText xml:space="preserve"> REF _Ref219843133 \h </w:instrText>
      </w:r>
      <w:r w:rsidR="005B5112">
        <w:fldChar w:fldCharType="separate"/>
      </w:r>
      <w:r w:rsidR="005B5112" w:rsidRPr="004C12C9">
        <w:t xml:space="preserve">Table </w:t>
      </w:r>
      <w:r w:rsidR="005B5112">
        <w:rPr>
          <w:noProof/>
        </w:rPr>
        <w:t>4</w:t>
      </w:r>
      <w:r w:rsidR="005B5112">
        <w:noBreakHyphen/>
      </w:r>
      <w:r w:rsidR="005B5112">
        <w:rPr>
          <w:noProof/>
        </w:rPr>
        <w:t>5</w:t>
      </w:r>
      <w:r w:rsidR="005B5112">
        <w:fldChar w:fldCharType="end"/>
      </w:r>
      <w:r w:rsidRPr="004C12C9">
        <w:fldChar w:fldCharType="begin" w:fldLock="1"/>
      </w:r>
      <w:r w:rsidRPr="004C12C9">
        <w:instrText xml:space="preserve"> REF _Ref195866961 \h  \* MERGEFORMAT </w:instrText>
      </w:r>
      <w:r w:rsidRPr="004C12C9">
        <w:fldChar w:fldCharType="separate"/>
      </w:r>
      <w:r w:rsidRPr="004C12C9">
        <w:fldChar w:fldCharType="end"/>
      </w:r>
      <w:r w:rsidRPr="004C12C9">
        <w:t>. Once the initial list was developed, the identified strategies were then combined</w:t>
      </w:r>
      <w:r w:rsidR="00092EAE" w:rsidRPr="004C12C9">
        <w:t xml:space="preserve"> and</w:t>
      </w:r>
      <w:r w:rsidR="00F61C85" w:rsidRPr="004C12C9">
        <w:t xml:space="preserve"> </w:t>
      </w:r>
      <w:r w:rsidRPr="004C12C9">
        <w:t>refined. The list of strategies is not intended to be fully comprehensive or exclusive, and project developers are encouraged to look at other sources and include other relevant strategies that apply.</w:t>
      </w:r>
      <w:r w:rsidR="00B5482E" w:rsidRPr="004C12C9">
        <w:t xml:space="preserve"> </w:t>
      </w:r>
      <w:r w:rsidRPr="004C12C9">
        <w:t>Additionally,</w:t>
      </w:r>
      <w:r w:rsidR="004B2BBC" w:rsidRPr="004C12C9">
        <w:t xml:space="preserve"> there are other climate trends</w:t>
      </w:r>
      <w:r w:rsidR="00875C3D" w:rsidRPr="004C12C9">
        <w:t>, such as high winds and wildfires,</w:t>
      </w:r>
      <w:r w:rsidR="004B2BBC" w:rsidRPr="004C12C9">
        <w:t xml:space="preserve"> that are less severe </w:t>
      </w:r>
      <w:r w:rsidR="00875C3D" w:rsidRPr="004C12C9">
        <w:t xml:space="preserve">but </w:t>
      </w:r>
      <w:r w:rsidR="004B2BBC" w:rsidRPr="004C12C9">
        <w:t>may increase in impact. While adaptation strategies exist</w:t>
      </w:r>
      <w:r w:rsidR="00BD4E85" w:rsidRPr="004C12C9">
        <w:t xml:space="preserve"> to address these climate trends</w:t>
      </w:r>
      <w:r w:rsidR="004B2BBC" w:rsidRPr="004C12C9">
        <w:t xml:space="preserve">, they </w:t>
      </w:r>
      <w:r w:rsidR="00BD4E85" w:rsidRPr="004C12C9">
        <w:t>are</w:t>
      </w:r>
      <w:r w:rsidR="004B2BBC" w:rsidRPr="004C12C9">
        <w:t xml:space="preserve"> not </w:t>
      </w:r>
      <w:r w:rsidR="00BD4E85" w:rsidRPr="004C12C9">
        <w:t xml:space="preserve">currently </w:t>
      </w:r>
      <w:r w:rsidR="004B2BBC" w:rsidRPr="004C12C9">
        <w:t xml:space="preserve">included in the </w:t>
      </w:r>
      <w:r w:rsidR="00FC62A7" w:rsidRPr="004C12C9">
        <w:t>calculator</w:t>
      </w:r>
      <w:r w:rsidR="004B2BBC" w:rsidRPr="004C12C9">
        <w:t xml:space="preserve">. </w:t>
      </w:r>
      <w:r w:rsidR="00032ECA" w:rsidRPr="004C12C9">
        <w:t>Furthermore, m</w:t>
      </w:r>
      <w:r w:rsidR="009F1758" w:rsidRPr="004C12C9">
        <w:t xml:space="preserve">any </w:t>
      </w:r>
      <w:r w:rsidR="00032ECA" w:rsidRPr="004C12C9">
        <w:t>adaptation</w:t>
      </w:r>
      <w:r w:rsidR="001D4325" w:rsidRPr="004C12C9">
        <w:t xml:space="preserve"> strategies may also achieve “co-benefits</w:t>
      </w:r>
      <w:r w:rsidR="00657C61" w:rsidRPr="004C12C9">
        <w:t>,</w:t>
      </w:r>
      <w:r w:rsidR="001D4325" w:rsidRPr="004C12C9">
        <w:t xml:space="preserve">” or additional benefits beyond climate adaptation (e.g., improved </w:t>
      </w:r>
      <w:r w:rsidR="002155E0" w:rsidRPr="004C12C9">
        <w:t>water</w:t>
      </w:r>
      <w:r w:rsidR="001D4325" w:rsidRPr="004C12C9">
        <w:t xml:space="preserve"> quality, </w:t>
      </w:r>
      <w:r w:rsidR="003A507E" w:rsidRPr="004C12C9">
        <w:t>increased</w:t>
      </w:r>
      <w:r w:rsidR="001D4325" w:rsidRPr="004C12C9">
        <w:t xml:space="preserve"> ecosystem services), and may therefore be important to acknowledge in other project documentation.</w:t>
      </w:r>
    </w:p>
    <w:p w14:paraId="091ABC04" w14:textId="406474D0" w:rsidR="00671A7A" w:rsidRPr="004C12C9" w:rsidRDefault="00671A7A" w:rsidP="00972CF9">
      <w:pPr>
        <w:pStyle w:val="Caption"/>
      </w:pPr>
      <w:bookmarkStart w:id="268" w:name="_Ref219843133"/>
      <w:bookmarkStart w:id="269" w:name="_Ref194407361"/>
      <w:bookmarkStart w:id="270" w:name="_Ref195866961"/>
      <w:r w:rsidRPr="004C12C9">
        <w:t xml:space="preserve">Table </w:t>
      </w:r>
      <w:r w:rsidR="00F72B41">
        <w:fldChar w:fldCharType="begin"/>
      </w:r>
      <w:r w:rsidR="00F72B41">
        <w:instrText xml:space="preserve"> STYLEREF 2 \s </w:instrText>
      </w:r>
      <w:r w:rsidR="00F72B41">
        <w:fldChar w:fldCharType="separate"/>
      </w:r>
      <w:r w:rsidR="00F72B41">
        <w:rPr>
          <w:noProof/>
        </w:rPr>
        <w:t>4</w:t>
      </w:r>
      <w:r w:rsidR="00F72B41">
        <w:fldChar w:fldCharType="end"/>
      </w:r>
      <w:r w:rsidR="00F72B41">
        <w:noBreakHyphen/>
      </w:r>
      <w:r w:rsidR="00F72B41">
        <w:fldChar w:fldCharType="begin"/>
      </w:r>
      <w:r w:rsidR="00F72B41">
        <w:instrText xml:space="preserve"> SEQ Table \* ARABIC \s 2 </w:instrText>
      </w:r>
      <w:r w:rsidR="00F72B41">
        <w:fldChar w:fldCharType="separate"/>
      </w:r>
      <w:r w:rsidR="00F72B41">
        <w:rPr>
          <w:noProof/>
        </w:rPr>
        <w:t>5</w:t>
      </w:r>
      <w:r w:rsidR="00F72B41">
        <w:fldChar w:fldCharType="end"/>
      </w:r>
      <w:bookmarkEnd w:id="268"/>
      <w:bookmarkEnd w:id="269"/>
      <w:bookmarkEnd w:id="270"/>
      <w:r w:rsidRPr="004C12C9">
        <w:t>.</w:t>
      </w:r>
      <w:r w:rsidR="00DB1362" w:rsidRPr="004C12C9">
        <w:t xml:space="preserve"> </w:t>
      </w:r>
      <w:r w:rsidR="00BE1790" w:rsidRPr="004C12C9">
        <w:t>A</w:t>
      </w:r>
      <w:r w:rsidR="00DB1362" w:rsidRPr="004C12C9">
        <w:t xml:space="preserve">daptation </w:t>
      </w:r>
      <w:r w:rsidR="00BE1790" w:rsidRPr="004C12C9">
        <w:t>S</w:t>
      </w:r>
      <w:r w:rsidR="00DB1362" w:rsidRPr="004C12C9">
        <w:t>trateg</w:t>
      </w:r>
      <w:r w:rsidR="00611BEB" w:rsidRPr="004C12C9">
        <w:t>y Resources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35"/>
        <w:gridCol w:w="5035"/>
      </w:tblGrid>
      <w:tr w:rsidR="00671A7A" w:rsidRPr="004C12C9" w14:paraId="1C2860F0" w14:textId="77777777" w:rsidTr="00DE3D8F">
        <w:trPr>
          <w:tblHeader/>
        </w:trPr>
        <w:tc>
          <w:tcPr>
            <w:tcW w:w="5035" w:type="dxa"/>
            <w:shd w:val="clear" w:color="auto" w:fill="D9D9D9" w:themeFill="background1" w:themeFillShade="D9"/>
          </w:tcPr>
          <w:p w14:paraId="0885FF29" w14:textId="537E099C" w:rsidR="00671A7A" w:rsidRPr="004C12C9" w:rsidRDefault="00671A7A" w:rsidP="00DC358F">
            <w:pPr>
              <w:pStyle w:val="ICFTableHeading"/>
              <w:keepNext/>
            </w:pPr>
            <w:r w:rsidRPr="004C12C9">
              <w:t>Resource</w:t>
            </w:r>
          </w:p>
        </w:tc>
        <w:tc>
          <w:tcPr>
            <w:tcW w:w="5035" w:type="dxa"/>
            <w:shd w:val="clear" w:color="auto" w:fill="D9D9D9" w:themeFill="background1" w:themeFillShade="D9"/>
          </w:tcPr>
          <w:p w14:paraId="179A7933" w14:textId="62761643" w:rsidR="00671A7A" w:rsidRPr="004C12C9" w:rsidRDefault="0062140C" w:rsidP="00DC358F">
            <w:pPr>
              <w:pStyle w:val="ICFTableHeading"/>
              <w:keepNext/>
            </w:pPr>
            <w:r w:rsidRPr="004C12C9">
              <w:t xml:space="preserve">Additional </w:t>
            </w:r>
            <w:r w:rsidR="0085014A" w:rsidRPr="004C12C9">
              <w:t>Details</w:t>
            </w:r>
          </w:p>
        </w:tc>
      </w:tr>
      <w:tr w:rsidR="00C2194D" w:rsidRPr="004C12C9" w14:paraId="1DACDFE8" w14:textId="77777777" w:rsidTr="00FD0284">
        <w:tc>
          <w:tcPr>
            <w:tcW w:w="10070" w:type="dxa"/>
            <w:gridSpan w:val="2"/>
            <w:shd w:val="clear" w:color="auto" w:fill="F2F2F2" w:themeFill="background1" w:themeFillShade="F2"/>
          </w:tcPr>
          <w:p w14:paraId="50F68DDB" w14:textId="7E50B38F" w:rsidR="00C2194D" w:rsidRPr="004C12C9" w:rsidRDefault="00C2194D" w:rsidP="00A04AF7">
            <w:pPr>
              <w:pStyle w:val="ICFTabletext"/>
              <w:rPr>
                <w:rFonts w:asciiTheme="minorHAnsi" w:hAnsiTheme="minorHAnsi" w:cstheme="minorHAnsi"/>
                <w:b/>
                <w:sz w:val="20"/>
                <w:szCs w:val="18"/>
              </w:rPr>
            </w:pPr>
            <w:r w:rsidRPr="004C12C9">
              <w:rPr>
                <w:rFonts w:asciiTheme="minorHAnsi" w:hAnsiTheme="minorHAnsi" w:cstheme="minorHAnsi"/>
                <w:b/>
                <w:sz w:val="20"/>
                <w:szCs w:val="18"/>
              </w:rPr>
              <w:t>Nationwide resources</w:t>
            </w:r>
          </w:p>
        </w:tc>
      </w:tr>
      <w:tr w:rsidR="00C2194D" w:rsidRPr="004C12C9" w14:paraId="7EFB6450" w14:textId="77777777" w:rsidTr="00DE3D8F">
        <w:tc>
          <w:tcPr>
            <w:tcW w:w="5035" w:type="dxa"/>
            <w:vAlign w:val="center"/>
          </w:tcPr>
          <w:p w14:paraId="19B8D00F" w14:textId="671710CC" w:rsidR="00C2194D" w:rsidRPr="004C12C9" w:rsidRDefault="00C2194D" w:rsidP="00FD0284">
            <w:pPr>
              <w:pStyle w:val="ICFTabletext"/>
              <w:rPr>
                <w:rFonts w:asciiTheme="minorHAnsi" w:hAnsiTheme="minorHAnsi" w:cstheme="minorHAnsi"/>
                <w:sz w:val="20"/>
                <w:szCs w:val="18"/>
              </w:rPr>
            </w:pPr>
            <w:hyperlink r:id="rId52" w:anchor="all" w:history="1">
              <w:r w:rsidRPr="004C12C9">
                <w:rPr>
                  <w:rStyle w:val="Hyperlink"/>
                  <w:rFonts w:asciiTheme="minorHAnsi" w:hAnsiTheme="minorHAnsi" w:cstheme="minorHAnsi"/>
                  <w:sz w:val="20"/>
                  <w:szCs w:val="18"/>
                  <w:bdr w:val="none" w:sz="0" w:space="0" w:color="auto" w:frame="1"/>
                </w:rPr>
                <w:t xml:space="preserve">EPA’s </w:t>
              </w:r>
              <w:r w:rsidR="00361D6F" w:rsidRPr="004C12C9">
                <w:rPr>
                  <w:rStyle w:val="Hyperlink"/>
                  <w:rFonts w:asciiTheme="minorHAnsi" w:hAnsiTheme="minorHAnsi" w:cstheme="minorHAnsi"/>
                  <w:sz w:val="20"/>
                  <w:szCs w:val="18"/>
                  <w:bdr w:val="none" w:sz="0" w:space="0" w:color="auto" w:frame="1"/>
                </w:rPr>
                <w:t>Climate Change Adaptation Resource Center (ARC-X)</w:t>
              </w:r>
            </w:hyperlink>
          </w:p>
        </w:tc>
        <w:tc>
          <w:tcPr>
            <w:tcW w:w="5035" w:type="dxa"/>
            <w:vAlign w:val="center"/>
          </w:tcPr>
          <w:p w14:paraId="62129C19" w14:textId="42A3D223" w:rsidR="00121BB0" w:rsidRPr="004C12C9" w:rsidRDefault="00115966"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Includes</w:t>
            </w:r>
            <w:r w:rsidR="00C2194D" w:rsidRPr="004C12C9">
              <w:rPr>
                <w:rFonts w:asciiTheme="minorHAnsi" w:hAnsiTheme="minorHAnsi" w:cstheme="minorHAnsi"/>
                <w:sz w:val="20"/>
                <w:szCs w:val="18"/>
              </w:rPr>
              <w:t xml:space="preserve"> </w:t>
            </w:r>
            <w:r w:rsidR="00317F01" w:rsidRPr="004C12C9">
              <w:rPr>
                <w:rFonts w:asciiTheme="minorHAnsi" w:hAnsiTheme="minorHAnsi" w:cstheme="minorHAnsi"/>
                <w:color w:val="242424"/>
                <w:sz w:val="20"/>
                <w:szCs w:val="18"/>
                <w:bdr w:val="none" w:sz="0" w:space="0" w:color="auto" w:frame="1"/>
              </w:rPr>
              <w:t>a searchable list of</w:t>
            </w:r>
            <w:r w:rsidR="00121BB0" w:rsidRPr="004C12C9">
              <w:rPr>
                <w:rFonts w:asciiTheme="minorHAnsi" w:hAnsiTheme="minorHAnsi" w:cstheme="minorHAnsi"/>
                <w:sz w:val="20"/>
                <w:szCs w:val="18"/>
              </w:rPr>
              <w:t xml:space="preserve"> adaptation strategies</w:t>
            </w:r>
            <w:r w:rsidR="000F1203" w:rsidRPr="004C12C9">
              <w:rPr>
                <w:rFonts w:asciiTheme="minorHAnsi" w:hAnsiTheme="minorHAnsi" w:cstheme="minorHAnsi"/>
                <w:sz w:val="20"/>
                <w:szCs w:val="18"/>
              </w:rPr>
              <w:t>.</w:t>
            </w:r>
          </w:p>
        </w:tc>
      </w:tr>
      <w:tr w:rsidR="00C2194D" w:rsidRPr="004C12C9" w14:paraId="426CDC3D" w14:textId="77777777" w:rsidTr="00DE3D8F">
        <w:tc>
          <w:tcPr>
            <w:tcW w:w="5035" w:type="dxa"/>
            <w:vAlign w:val="center"/>
          </w:tcPr>
          <w:p w14:paraId="75ED7DFF" w14:textId="7E06D53B" w:rsidR="00C2194D" w:rsidRPr="004C12C9" w:rsidRDefault="00C2194D" w:rsidP="00FD0284">
            <w:pPr>
              <w:pStyle w:val="ICFTabletext"/>
              <w:rPr>
                <w:rFonts w:asciiTheme="minorHAnsi" w:hAnsiTheme="minorHAnsi" w:cstheme="minorHAnsi"/>
                <w:sz w:val="20"/>
                <w:szCs w:val="18"/>
              </w:rPr>
            </w:pPr>
            <w:hyperlink r:id="rId53" w:history="1">
              <w:r w:rsidRPr="004C12C9">
                <w:rPr>
                  <w:rStyle w:val="Hyperlink"/>
                  <w:rFonts w:asciiTheme="minorHAnsi" w:hAnsiTheme="minorHAnsi" w:cstheme="minorHAnsi"/>
                  <w:sz w:val="20"/>
                  <w:szCs w:val="18"/>
                  <w:bdr w:val="none" w:sz="0" w:space="0" w:color="auto" w:frame="1"/>
                </w:rPr>
                <w:t>Arscht-Rock Heat Action Platform</w:t>
              </w:r>
            </w:hyperlink>
          </w:p>
        </w:tc>
        <w:tc>
          <w:tcPr>
            <w:tcW w:w="5035" w:type="dxa"/>
            <w:vAlign w:val="center"/>
          </w:tcPr>
          <w:p w14:paraId="33078457" w14:textId="59FB07C6" w:rsidR="00C2194D" w:rsidRPr="004C12C9" w:rsidRDefault="00115966"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Includes</w:t>
            </w:r>
            <w:r w:rsidR="00C2194D" w:rsidRPr="004C12C9">
              <w:rPr>
                <w:rFonts w:asciiTheme="minorHAnsi" w:hAnsiTheme="minorHAnsi" w:cstheme="minorHAnsi"/>
                <w:sz w:val="20"/>
                <w:szCs w:val="18"/>
              </w:rPr>
              <w:t xml:space="preserve"> policy cards on various urban heat island mitigation strategies</w:t>
            </w:r>
            <w:r w:rsidR="00BE1790" w:rsidRPr="004C12C9">
              <w:rPr>
                <w:rFonts w:asciiTheme="minorHAnsi" w:hAnsiTheme="minorHAnsi" w:cstheme="minorHAnsi"/>
                <w:sz w:val="20"/>
                <w:szCs w:val="18"/>
              </w:rPr>
              <w:t>.</w:t>
            </w:r>
            <w:r w:rsidR="00C2194D" w:rsidRPr="004C12C9">
              <w:rPr>
                <w:rFonts w:asciiTheme="minorHAnsi" w:hAnsiTheme="minorHAnsi" w:cstheme="minorHAnsi"/>
                <w:sz w:val="20"/>
                <w:szCs w:val="18"/>
              </w:rPr>
              <w:t xml:space="preserve"> </w:t>
            </w:r>
          </w:p>
        </w:tc>
      </w:tr>
      <w:tr w:rsidR="00C2194D" w:rsidRPr="004C12C9" w14:paraId="71547A8F" w14:textId="77777777" w:rsidTr="00DE3D8F">
        <w:tc>
          <w:tcPr>
            <w:tcW w:w="5035" w:type="dxa"/>
            <w:vAlign w:val="center"/>
          </w:tcPr>
          <w:p w14:paraId="675999FB" w14:textId="2B578032" w:rsidR="00C2194D" w:rsidRPr="004C12C9" w:rsidRDefault="00C2194D" w:rsidP="00FD0284">
            <w:pPr>
              <w:pStyle w:val="ICFTabletext"/>
              <w:rPr>
                <w:rFonts w:asciiTheme="minorHAnsi" w:hAnsiTheme="minorHAnsi" w:cstheme="minorHAnsi"/>
                <w:sz w:val="20"/>
                <w:szCs w:val="18"/>
              </w:rPr>
            </w:pPr>
            <w:hyperlink r:id="rId54" w:history="1">
              <w:r w:rsidRPr="004C12C9">
                <w:rPr>
                  <w:rStyle w:val="Hyperlink"/>
                  <w:rFonts w:asciiTheme="minorHAnsi" w:eastAsiaTheme="majorEastAsia" w:hAnsiTheme="minorHAnsi" w:cstheme="minorHAnsi"/>
                  <w:sz w:val="20"/>
                  <w:szCs w:val="18"/>
                </w:rPr>
                <w:t>Fernleaf Actions Database</w:t>
              </w:r>
            </w:hyperlink>
          </w:p>
        </w:tc>
        <w:tc>
          <w:tcPr>
            <w:tcW w:w="5035" w:type="dxa"/>
            <w:vAlign w:val="center"/>
          </w:tcPr>
          <w:p w14:paraId="73752D37" w14:textId="1D6CB8DD" w:rsidR="00C2194D" w:rsidRPr="004C12C9" w:rsidRDefault="00115966"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Includes</w:t>
            </w:r>
            <w:r w:rsidR="00C2194D" w:rsidRPr="004C12C9">
              <w:rPr>
                <w:rFonts w:asciiTheme="minorHAnsi" w:hAnsiTheme="minorHAnsi" w:cstheme="minorHAnsi"/>
                <w:sz w:val="20"/>
                <w:szCs w:val="18"/>
              </w:rPr>
              <w:t xml:space="preserve"> toolbox of community adaptation strategies</w:t>
            </w:r>
            <w:r w:rsidR="00BE1790" w:rsidRPr="004C12C9">
              <w:rPr>
                <w:rFonts w:asciiTheme="minorHAnsi" w:hAnsiTheme="minorHAnsi" w:cstheme="minorHAnsi"/>
                <w:sz w:val="20"/>
                <w:szCs w:val="18"/>
              </w:rPr>
              <w:t>.</w:t>
            </w:r>
          </w:p>
        </w:tc>
      </w:tr>
      <w:tr w:rsidR="00B158FE" w:rsidRPr="004C12C9" w14:paraId="08F14C82" w14:textId="77777777" w:rsidTr="00DE3D8F">
        <w:tc>
          <w:tcPr>
            <w:tcW w:w="5035" w:type="dxa"/>
            <w:vAlign w:val="center"/>
          </w:tcPr>
          <w:p w14:paraId="48983F7C" w14:textId="7359BFD9" w:rsidR="00B158FE" w:rsidRPr="004C12C9" w:rsidRDefault="00B158FE" w:rsidP="00FD0284">
            <w:pPr>
              <w:pStyle w:val="ICFTabletext"/>
              <w:rPr>
                <w:rFonts w:asciiTheme="minorHAnsi" w:hAnsiTheme="minorHAnsi" w:cstheme="minorHAnsi"/>
                <w:sz w:val="20"/>
                <w:szCs w:val="18"/>
              </w:rPr>
            </w:pPr>
            <w:hyperlink r:id="rId55" w:history="1">
              <w:r w:rsidRPr="004C12C9">
                <w:rPr>
                  <w:rStyle w:val="Hyperlink"/>
                  <w:rFonts w:asciiTheme="minorHAnsi" w:hAnsiTheme="minorHAnsi" w:cstheme="minorHAnsi"/>
                  <w:sz w:val="20"/>
                  <w:szCs w:val="18"/>
                  <w:bdr w:val="none" w:sz="0" w:space="0" w:color="auto" w:frame="1"/>
                </w:rPr>
                <w:t>NIBS Natural Hazard Mitigation Saves</w:t>
              </w:r>
            </w:hyperlink>
          </w:p>
        </w:tc>
        <w:tc>
          <w:tcPr>
            <w:tcW w:w="5035" w:type="dxa"/>
            <w:vAlign w:val="center"/>
          </w:tcPr>
          <w:p w14:paraId="13C85F00" w14:textId="6DCA325B" w:rsidR="00B158FE" w:rsidRPr="004C12C9" w:rsidRDefault="00115966"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Includes</w:t>
            </w:r>
            <w:r w:rsidR="00B158FE" w:rsidRPr="004C12C9">
              <w:rPr>
                <w:rFonts w:asciiTheme="minorHAnsi" w:hAnsiTheme="minorHAnsi" w:cstheme="minorHAnsi"/>
                <w:color w:val="242424"/>
                <w:sz w:val="20"/>
                <w:szCs w:val="18"/>
                <w:bdr w:val="none" w:sz="0" w:space="0" w:color="auto" w:frame="1"/>
              </w:rPr>
              <w:t xml:space="preserve"> typical cost-benefit analyses for several adaptation strategies (e.g., elevate road, reconstruct bridge)</w:t>
            </w:r>
            <w:r w:rsidR="00BE1790" w:rsidRPr="004C12C9">
              <w:rPr>
                <w:rFonts w:asciiTheme="minorHAnsi" w:hAnsiTheme="minorHAnsi" w:cstheme="minorHAnsi"/>
                <w:color w:val="242424"/>
                <w:sz w:val="20"/>
                <w:szCs w:val="18"/>
                <w:bdr w:val="none" w:sz="0" w:space="0" w:color="auto" w:frame="1"/>
              </w:rPr>
              <w:t>.</w:t>
            </w:r>
          </w:p>
        </w:tc>
      </w:tr>
      <w:tr w:rsidR="009C6C47" w:rsidRPr="004C12C9" w14:paraId="007750D6" w14:textId="77777777" w:rsidTr="00DE3D8F">
        <w:tc>
          <w:tcPr>
            <w:tcW w:w="5035" w:type="dxa"/>
            <w:vAlign w:val="center"/>
          </w:tcPr>
          <w:p w14:paraId="70856141" w14:textId="6BC1A1BE" w:rsidR="009C6C47" w:rsidRPr="004C12C9" w:rsidRDefault="009C6C47" w:rsidP="009C6C47">
            <w:pPr>
              <w:pStyle w:val="ICFTabletext"/>
            </w:pPr>
            <w:hyperlink r:id="rId56" w:history="1">
              <w:r w:rsidRPr="004C12C9">
                <w:rPr>
                  <w:rStyle w:val="Hyperlink"/>
                  <w:rFonts w:asciiTheme="minorHAnsi" w:hAnsiTheme="minorHAnsi" w:cstheme="minorHAnsi"/>
                  <w:sz w:val="20"/>
                  <w:szCs w:val="18"/>
                  <w:bdr w:val="none" w:sz="0" w:space="0" w:color="auto" w:frame="1"/>
                </w:rPr>
                <w:t>The 21st Century Development Matrix</w:t>
              </w:r>
            </w:hyperlink>
          </w:p>
        </w:tc>
        <w:tc>
          <w:tcPr>
            <w:tcW w:w="5035" w:type="dxa"/>
            <w:vAlign w:val="center"/>
          </w:tcPr>
          <w:p w14:paraId="47F0EB15" w14:textId="2FDA1622" w:rsidR="009C6C47" w:rsidRPr="004C12C9" w:rsidRDefault="009C6C47" w:rsidP="009C6C47">
            <w:pPr>
              <w:pStyle w:val="ICFTabletext"/>
              <w:rPr>
                <w:rFonts w:asciiTheme="minorHAnsi" w:hAnsiTheme="minorHAnsi" w:cstheme="minorHAnsi"/>
                <w:sz w:val="20"/>
                <w:szCs w:val="18"/>
              </w:rPr>
            </w:pPr>
            <w:r w:rsidRPr="004C12C9">
              <w:rPr>
                <w:rFonts w:asciiTheme="minorHAnsi" w:hAnsiTheme="minorHAnsi" w:cstheme="minorHAnsi"/>
                <w:sz w:val="20"/>
                <w:szCs w:val="18"/>
              </w:rPr>
              <w:t>A visualization of five degrees of performance across seven performance areas – Place, Water, Energy, Health + Happiness, Materials, Equity, Beauty.</w:t>
            </w:r>
          </w:p>
        </w:tc>
      </w:tr>
      <w:tr w:rsidR="00C2194D" w:rsidRPr="004C12C9" w14:paraId="49929261" w14:textId="77777777" w:rsidTr="00FD0284">
        <w:tc>
          <w:tcPr>
            <w:tcW w:w="10070" w:type="dxa"/>
            <w:gridSpan w:val="2"/>
            <w:shd w:val="clear" w:color="auto" w:fill="F2F2F2" w:themeFill="background1" w:themeFillShade="F2"/>
            <w:vAlign w:val="center"/>
          </w:tcPr>
          <w:p w14:paraId="0A2F09AB" w14:textId="34845F7C" w:rsidR="00C2194D" w:rsidRPr="004C12C9" w:rsidRDefault="00C2194D" w:rsidP="00FD0284">
            <w:pPr>
              <w:pStyle w:val="ICFTabletext"/>
              <w:rPr>
                <w:rFonts w:asciiTheme="minorHAnsi" w:hAnsiTheme="minorHAnsi" w:cstheme="minorHAnsi"/>
                <w:b/>
                <w:sz w:val="20"/>
                <w:szCs w:val="18"/>
              </w:rPr>
            </w:pPr>
            <w:r w:rsidRPr="004C12C9">
              <w:rPr>
                <w:rFonts w:asciiTheme="minorHAnsi" w:hAnsiTheme="minorHAnsi" w:cstheme="minorHAnsi"/>
                <w:b/>
                <w:sz w:val="20"/>
                <w:szCs w:val="18"/>
              </w:rPr>
              <w:t>Minnesota resources</w:t>
            </w:r>
          </w:p>
        </w:tc>
      </w:tr>
      <w:tr w:rsidR="00336132" w:rsidRPr="004C12C9" w14:paraId="0F8E9DDB" w14:textId="77777777" w:rsidTr="00DE3D8F">
        <w:tc>
          <w:tcPr>
            <w:tcW w:w="5035" w:type="dxa"/>
            <w:vAlign w:val="center"/>
          </w:tcPr>
          <w:p w14:paraId="35439FEE" w14:textId="060F2961" w:rsidR="00336132" w:rsidRPr="004C12C9" w:rsidRDefault="00AD7C09" w:rsidP="00FD0284">
            <w:pPr>
              <w:pStyle w:val="ICFTabletext"/>
              <w:rPr>
                <w:rFonts w:asciiTheme="minorHAnsi" w:hAnsiTheme="minorHAnsi" w:cstheme="minorHAnsi"/>
                <w:color w:val="242424"/>
                <w:sz w:val="20"/>
                <w:szCs w:val="18"/>
                <w:bdr w:val="none" w:sz="0" w:space="0" w:color="auto" w:frame="1"/>
              </w:rPr>
            </w:pPr>
            <w:hyperlink r:id="rId57" w:history="1">
              <w:r w:rsidRPr="004C12C9">
                <w:rPr>
                  <w:rStyle w:val="Hyperlink"/>
                  <w:rFonts w:asciiTheme="minorHAnsi" w:hAnsiTheme="minorHAnsi" w:cstheme="minorHAnsi"/>
                  <w:sz w:val="20"/>
                  <w:szCs w:val="18"/>
                  <w:bdr w:val="none" w:sz="0" w:space="0" w:color="auto" w:frame="1"/>
                </w:rPr>
                <w:t xml:space="preserve">MN </w:t>
              </w:r>
              <w:r w:rsidR="005E3D85" w:rsidRPr="004C12C9">
                <w:rPr>
                  <w:rStyle w:val="Hyperlink"/>
                  <w:rFonts w:asciiTheme="minorHAnsi" w:hAnsiTheme="minorHAnsi" w:cstheme="minorHAnsi"/>
                  <w:sz w:val="20"/>
                  <w:szCs w:val="18"/>
                  <w:bdr w:val="none" w:sz="0" w:space="0" w:color="auto" w:frame="1"/>
                </w:rPr>
                <w:t>EAW Guidance</w:t>
              </w:r>
            </w:hyperlink>
          </w:p>
        </w:tc>
        <w:tc>
          <w:tcPr>
            <w:tcW w:w="5035" w:type="dxa"/>
            <w:vAlign w:val="center"/>
          </w:tcPr>
          <w:p w14:paraId="7E5B4C64" w14:textId="581CC801" w:rsidR="00336132" w:rsidRPr="004C12C9" w:rsidRDefault="00BF0453"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Provides climate</w:t>
            </w:r>
            <w:r w:rsidR="00EA129F" w:rsidRPr="004C12C9">
              <w:rPr>
                <w:rFonts w:asciiTheme="minorHAnsi" w:hAnsiTheme="minorHAnsi" w:cstheme="minorHAnsi"/>
                <w:sz w:val="20"/>
                <w:szCs w:val="18"/>
              </w:rPr>
              <w:t>-</w:t>
            </w:r>
            <w:r w:rsidR="002440C6" w:rsidRPr="004C12C9">
              <w:rPr>
                <w:rFonts w:asciiTheme="minorHAnsi" w:hAnsiTheme="minorHAnsi" w:cstheme="minorHAnsi"/>
                <w:sz w:val="20"/>
                <w:szCs w:val="18"/>
              </w:rPr>
              <w:t>related information</w:t>
            </w:r>
            <w:r w:rsidR="009C1102" w:rsidRPr="004C12C9">
              <w:rPr>
                <w:rFonts w:asciiTheme="minorHAnsi" w:hAnsiTheme="minorHAnsi" w:cstheme="minorHAnsi"/>
                <w:sz w:val="20"/>
                <w:szCs w:val="18"/>
              </w:rPr>
              <w:t xml:space="preserve"> </w:t>
            </w:r>
            <w:r w:rsidR="00EA129F" w:rsidRPr="004C12C9">
              <w:rPr>
                <w:rFonts w:asciiTheme="minorHAnsi" w:hAnsiTheme="minorHAnsi" w:cstheme="minorHAnsi"/>
                <w:sz w:val="20"/>
                <w:szCs w:val="18"/>
              </w:rPr>
              <w:t xml:space="preserve">and </w:t>
            </w:r>
            <w:r w:rsidR="00133A1D" w:rsidRPr="004C12C9">
              <w:rPr>
                <w:rFonts w:asciiTheme="minorHAnsi" w:hAnsiTheme="minorHAnsi" w:cstheme="minorHAnsi"/>
                <w:sz w:val="20"/>
                <w:szCs w:val="18"/>
              </w:rPr>
              <w:t xml:space="preserve">relevant guidance for </w:t>
            </w:r>
            <w:r w:rsidR="004218FD" w:rsidRPr="004C12C9">
              <w:rPr>
                <w:rFonts w:asciiTheme="minorHAnsi" w:hAnsiTheme="minorHAnsi" w:cstheme="minorHAnsi"/>
                <w:sz w:val="20"/>
                <w:szCs w:val="18"/>
              </w:rPr>
              <w:t xml:space="preserve">answering </w:t>
            </w:r>
            <w:r w:rsidR="00F377CB" w:rsidRPr="004C12C9">
              <w:rPr>
                <w:rFonts w:asciiTheme="minorHAnsi" w:hAnsiTheme="minorHAnsi" w:cstheme="minorHAnsi"/>
                <w:sz w:val="20"/>
                <w:szCs w:val="18"/>
              </w:rPr>
              <w:t xml:space="preserve">EAW </w:t>
            </w:r>
            <w:r w:rsidR="00FC62A7" w:rsidRPr="004C12C9">
              <w:rPr>
                <w:rFonts w:asciiTheme="minorHAnsi" w:hAnsiTheme="minorHAnsi" w:cstheme="minorHAnsi"/>
                <w:sz w:val="20"/>
                <w:szCs w:val="18"/>
              </w:rPr>
              <w:t>Item</w:t>
            </w:r>
            <w:r w:rsidR="00F377CB" w:rsidRPr="004C12C9">
              <w:rPr>
                <w:rFonts w:asciiTheme="minorHAnsi" w:hAnsiTheme="minorHAnsi" w:cstheme="minorHAnsi"/>
                <w:sz w:val="20"/>
                <w:szCs w:val="18"/>
              </w:rPr>
              <w:t xml:space="preserve"> 7</w:t>
            </w:r>
            <w:r w:rsidR="00133A1D" w:rsidRPr="004C12C9">
              <w:rPr>
                <w:rFonts w:asciiTheme="minorHAnsi" w:hAnsiTheme="minorHAnsi" w:cstheme="minorHAnsi"/>
                <w:sz w:val="20"/>
                <w:szCs w:val="18"/>
              </w:rPr>
              <w:t>.</w:t>
            </w:r>
            <w:r w:rsidR="009C1102" w:rsidRPr="004C12C9">
              <w:rPr>
                <w:rFonts w:asciiTheme="minorHAnsi" w:hAnsiTheme="minorHAnsi" w:cstheme="minorHAnsi"/>
                <w:sz w:val="20"/>
                <w:szCs w:val="18"/>
              </w:rPr>
              <w:t xml:space="preserve"> </w:t>
            </w:r>
          </w:p>
        </w:tc>
      </w:tr>
      <w:tr w:rsidR="00C2194D" w:rsidRPr="004C12C9" w14:paraId="5B1E9973" w14:textId="77777777" w:rsidTr="00DE3D8F">
        <w:tc>
          <w:tcPr>
            <w:tcW w:w="5035" w:type="dxa"/>
            <w:vAlign w:val="center"/>
          </w:tcPr>
          <w:p w14:paraId="591262DA" w14:textId="51C29BFE" w:rsidR="00C2194D" w:rsidRPr="004C12C9" w:rsidRDefault="00C2194D" w:rsidP="00FD0284">
            <w:pPr>
              <w:pStyle w:val="ICFTabletext"/>
              <w:rPr>
                <w:rFonts w:asciiTheme="minorHAnsi" w:hAnsiTheme="minorHAnsi" w:cstheme="minorHAnsi"/>
                <w:sz w:val="20"/>
                <w:szCs w:val="18"/>
              </w:rPr>
            </w:pPr>
            <w:hyperlink r:id="rId58" w:history="1">
              <w:r w:rsidRPr="004C12C9">
                <w:rPr>
                  <w:rStyle w:val="Hyperlink"/>
                  <w:rFonts w:asciiTheme="minorHAnsi" w:hAnsiTheme="minorHAnsi" w:cstheme="minorHAnsi"/>
                  <w:sz w:val="20"/>
                  <w:szCs w:val="18"/>
                  <w:bdr w:val="none" w:sz="0" w:space="0" w:color="auto" w:frame="1"/>
                </w:rPr>
                <w:t>Resilien</w:t>
              </w:r>
              <w:r w:rsidR="006D4F78" w:rsidRPr="004C12C9">
                <w:rPr>
                  <w:rStyle w:val="Hyperlink"/>
                  <w:rFonts w:asciiTheme="minorHAnsi" w:hAnsiTheme="minorHAnsi" w:cstheme="minorHAnsi"/>
                  <w:sz w:val="20"/>
                  <w:szCs w:val="18"/>
                  <w:bdr w:val="none" w:sz="0" w:space="0" w:color="auto" w:frame="1"/>
                </w:rPr>
                <w:t>t</w:t>
              </w:r>
              <w:r w:rsidRPr="004C12C9">
                <w:rPr>
                  <w:rStyle w:val="Hyperlink"/>
                  <w:rFonts w:asciiTheme="minorHAnsi" w:hAnsiTheme="minorHAnsi" w:cstheme="minorHAnsi"/>
                  <w:sz w:val="20"/>
                  <w:szCs w:val="18"/>
                  <w:bdr w:val="none" w:sz="0" w:space="0" w:color="auto" w:frame="1"/>
                </w:rPr>
                <w:t xml:space="preserve"> Adaptation </w:t>
              </w:r>
              <w:r w:rsidR="006D4F78" w:rsidRPr="004C12C9">
                <w:rPr>
                  <w:rStyle w:val="Hyperlink"/>
                  <w:rFonts w:asciiTheme="minorHAnsi" w:hAnsiTheme="minorHAnsi" w:cstheme="minorHAnsi"/>
                  <w:sz w:val="20"/>
                  <w:szCs w:val="18"/>
                  <w:bdr w:val="none" w:sz="0" w:space="0" w:color="auto" w:frame="1"/>
                </w:rPr>
                <w:t>of</w:t>
              </w:r>
              <w:r w:rsidRPr="004C12C9">
                <w:rPr>
                  <w:rStyle w:val="Hyperlink"/>
                  <w:rFonts w:asciiTheme="minorHAnsi" w:hAnsiTheme="minorHAnsi" w:cstheme="minorHAnsi"/>
                  <w:sz w:val="20"/>
                  <w:szCs w:val="18"/>
                  <w:bdr w:val="none" w:sz="0" w:space="0" w:color="auto" w:frame="1"/>
                </w:rPr>
                <w:t xml:space="preserve"> Sustainable Buildings </w:t>
              </w:r>
            </w:hyperlink>
          </w:p>
        </w:tc>
        <w:tc>
          <w:tcPr>
            <w:tcW w:w="5035" w:type="dxa"/>
            <w:vAlign w:val="center"/>
          </w:tcPr>
          <w:p w14:paraId="3167185E" w14:textId="0C15BCFD" w:rsidR="00C2194D" w:rsidRPr="004C12C9" w:rsidRDefault="00A1379E"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w:t>
            </w:r>
            <w:r w:rsidR="00AE11B4" w:rsidRPr="004C12C9">
              <w:rPr>
                <w:rFonts w:asciiTheme="minorHAnsi" w:hAnsiTheme="minorHAnsi" w:cstheme="minorHAnsi"/>
                <w:sz w:val="20"/>
                <w:szCs w:val="18"/>
              </w:rPr>
              <w:t>rovides strategies specific to the resilience sector.</w:t>
            </w:r>
          </w:p>
        </w:tc>
      </w:tr>
      <w:tr w:rsidR="00100A28" w:rsidRPr="004C12C9" w14:paraId="02476369" w14:textId="77777777" w:rsidTr="00DE3D8F">
        <w:tc>
          <w:tcPr>
            <w:tcW w:w="5035" w:type="dxa"/>
            <w:vAlign w:val="center"/>
          </w:tcPr>
          <w:p w14:paraId="12794682" w14:textId="64B0922F" w:rsidR="00100A28" w:rsidRPr="004C12C9" w:rsidRDefault="00100A28" w:rsidP="00FD0284">
            <w:pPr>
              <w:pStyle w:val="ICFTabletext"/>
              <w:rPr>
                <w:rFonts w:asciiTheme="minorHAnsi" w:hAnsiTheme="minorHAnsi" w:cstheme="minorHAnsi"/>
                <w:sz w:val="20"/>
                <w:szCs w:val="18"/>
              </w:rPr>
            </w:pPr>
            <w:hyperlink r:id="rId59" w:history="1">
              <w:r w:rsidRPr="004C12C9">
                <w:rPr>
                  <w:rStyle w:val="Hyperlink"/>
                  <w:rFonts w:asciiTheme="minorHAnsi" w:hAnsiTheme="minorHAnsi" w:cstheme="minorHAnsi"/>
                  <w:sz w:val="20"/>
                  <w:szCs w:val="18"/>
                </w:rPr>
                <w:t>Center for Sustainable Building Research Case Studies</w:t>
              </w:r>
            </w:hyperlink>
          </w:p>
        </w:tc>
        <w:tc>
          <w:tcPr>
            <w:tcW w:w="5035" w:type="dxa"/>
            <w:vAlign w:val="center"/>
          </w:tcPr>
          <w:p w14:paraId="5192A817" w14:textId="586AE161" w:rsidR="00100A28" w:rsidRPr="004C12C9" w:rsidRDefault="00A1379E"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w:t>
            </w:r>
            <w:r w:rsidR="000A3C05" w:rsidRPr="004C12C9">
              <w:rPr>
                <w:rFonts w:asciiTheme="minorHAnsi" w:hAnsiTheme="minorHAnsi" w:cstheme="minorHAnsi"/>
                <w:sz w:val="20"/>
                <w:szCs w:val="18"/>
              </w:rPr>
              <w:t>rovides strategies specific to the resilience sector.</w:t>
            </w:r>
          </w:p>
        </w:tc>
      </w:tr>
      <w:tr w:rsidR="00C2194D" w:rsidRPr="004C12C9" w14:paraId="21A354CE" w14:textId="77777777" w:rsidTr="00FD0284">
        <w:tc>
          <w:tcPr>
            <w:tcW w:w="10070" w:type="dxa"/>
            <w:gridSpan w:val="2"/>
            <w:shd w:val="clear" w:color="auto" w:fill="F2F2F2" w:themeFill="background1" w:themeFillShade="F2"/>
            <w:vAlign w:val="center"/>
          </w:tcPr>
          <w:p w14:paraId="71F6BC51" w14:textId="19A87557" w:rsidR="00C2194D" w:rsidRPr="004C12C9" w:rsidRDefault="00C2194D" w:rsidP="00FD0284">
            <w:pPr>
              <w:pStyle w:val="ICFTabletext"/>
              <w:rPr>
                <w:rFonts w:asciiTheme="minorHAnsi" w:hAnsiTheme="minorHAnsi" w:cstheme="minorHAnsi"/>
                <w:b/>
                <w:sz w:val="20"/>
                <w:szCs w:val="18"/>
              </w:rPr>
            </w:pPr>
            <w:r w:rsidRPr="004C12C9">
              <w:rPr>
                <w:rFonts w:asciiTheme="minorHAnsi" w:hAnsiTheme="minorHAnsi" w:cstheme="minorHAnsi"/>
                <w:b/>
                <w:color w:val="242424"/>
                <w:sz w:val="20"/>
                <w:szCs w:val="18"/>
                <w:bdr w:val="none" w:sz="0" w:space="0" w:color="auto" w:frame="1"/>
              </w:rPr>
              <w:t>State and local climate plans</w:t>
            </w:r>
          </w:p>
        </w:tc>
      </w:tr>
      <w:tr w:rsidR="00671A7A" w:rsidRPr="004C12C9" w14:paraId="503DDA8E" w14:textId="77777777" w:rsidTr="00DE3D8F">
        <w:tc>
          <w:tcPr>
            <w:tcW w:w="5035" w:type="dxa"/>
            <w:vAlign w:val="center"/>
          </w:tcPr>
          <w:p w14:paraId="541B8EA2" w14:textId="24D48EBC" w:rsidR="00671A7A" w:rsidRPr="004C12C9" w:rsidRDefault="00716EE5" w:rsidP="00FD0284">
            <w:pPr>
              <w:pStyle w:val="ICFTabletext"/>
              <w:rPr>
                <w:rFonts w:asciiTheme="minorHAnsi" w:hAnsiTheme="minorHAnsi" w:cstheme="minorHAnsi"/>
                <w:color w:val="242424"/>
                <w:sz w:val="20"/>
                <w:szCs w:val="18"/>
              </w:rPr>
            </w:pPr>
            <w:hyperlink r:id="rId60" w:history="1">
              <w:r w:rsidRPr="004C12C9">
                <w:rPr>
                  <w:rStyle w:val="Hyperlink"/>
                  <w:rFonts w:asciiTheme="minorHAnsi" w:hAnsiTheme="minorHAnsi" w:cstheme="minorHAnsi"/>
                  <w:sz w:val="20"/>
                  <w:szCs w:val="18"/>
                  <w:bdr w:val="none" w:sz="0" w:space="0" w:color="auto" w:frame="1"/>
                </w:rPr>
                <w:t xml:space="preserve">Resilience and Durability to Extreme Weather in the H-GAC Region Pilot Program Report </w:t>
              </w:r>
            </w:hyperlink>
          </w:p>
        </w:tc>
        <w:tc>
          <w:tcPr>
            <w:tcW w:w="5035" w:type="dxa"/>
            <w:vAlign w:val="center"/>
          </w:tcPr>
          <w:p w14:paraId="403BC693" w14:textId="43BE0012" w:rsidR="00671A7A" w:rsidRPr="004C12C9" w:rsidRDefault="00B97D3D"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Provides detailed strategies, s</w:t>
            </w:r>
            <w:r w:rsidR="00100A28" w:rsidRPr="004C12C9">
              <w:rPr>
                <w:rFonts w:asciiTheme="minorHAnsi" w:hAnsiTheme="minorHAnsi" w:cstheme="minorHAnsi"/>
                <w:color w:val="242424"/>
                <w:sz w:val="20"/>
                <w:szCs w:val="18"/>
                <w:bdr w:val="none" w:sz="0" w:space="0" w:color="auto" w:frame="1"/>
              </w:rPr>
              <w:t>pecifically</w:t>
            </w:r>
            <w:r w:rsidRPr="004C12C9">
              <w:rPr>
                <w:rFonts w:asciiTheme="minorHAnsi" w:hAnsiTheme="minorHAnsi" w:cstheme="minorHAnsi"/>
                <w:color w:val="242424"/>
                <w:sz w:val="20"/>
                <w:szCs w:val="18"/>
                <w:bdr w:val="none" w:sz="0" w:space="0" w:color="auto" w:frame="1"/>
              </w:rPr>
              <w:t xml:space="preserve"> in</w:t>
            </w:r>
            <w:r w:rsidR="006B2125" w:rsidRPr="004C12C9">
              <w:rPr>
                <w:rFonts w:asciiTheme="minorHAnsi" w:hAnsiTheme="minorHAnsi" w:cstheme="minorHAnsi"/>
                <w:color w:val="242424"/>
                <w:sz w:val="20"/>
                <w:szCs w:val="18"/>
                <w:bdr w:val="none" w:sz="0" w:space="0" w:color="auto" w:frame="1"/>
              </w:rPr>
              <w:t xml:space="preserve"> </w:t>
            </w:r>
            <w:r w:rsidR="00E10A01" w:rsidRPr="004C12C9">
              <w:rPr>
                <w:rFonts w:asciiTheme="minorHAnsi" w:hAnsiTheme="minorHAnsi" w:cstheme="minorHAnsi"/>
                <w:color w:val="242424"/>
                <w:sz w:val="20"/>
                <w:szCs w:val="18"/>
                <w:bdr w:val="none" w:sz="0" w:space="0" w:color="auto" w:frame="1"/>
              </w:rPr>
              <w:t xml:space="preserve">the Adaptation Strategies section and </w:t>
            </w:r>
            <w:r w:rsidR="006B2125" w:rsidRPr="004C12C9">
              <w:rPr>
                <w:rFonts w:asciiTheme="minorHAnsi" w:hAnsiTheme="minorHAnsi" w:cstheme="minorHAnsi"/>
                <w:color w:val="242424"/>
                <w:sz w:val="20"/>
                <w:szCs w:val="18"/>
                <w:bdr w:val="none" w:sz="0" w:space="0" w:color="auto" w:frame="1"/>
              </w:rPr>
              <w:t>Appendix E</w:t>
            </w:r>
            <w:r w:rsidRPr="004C12C9">
              <w:rPr>
                <w:rFonts w:asciiTheme="minorHAnsi" w:hAnsiTheme="minorHAnsi" w:cstheme="minorHAnsi"/>
                <w:color w:val="242424"/>
                <w:sz w:val="20"/>
                <w:szCs w:val="18"/>
                <w:bdr w:val="none" w:sz="0" w:space="0" w:color="auto" w:frame="1"/>
              </w:rPr>
              <w:t>.</w:t>
            </w:r>
          </w:p>
        </w:tc>
      </w:tr>
      <w:tr w:rsidR="009F724E" w:rsidRPr="004C12C9" w14:paraId="64D8AC18" w14:textId="77777777" w:rsidTr="00DE3D8F">
        <w:tc>
          <w:tcPr>
            <w:tcW w:w="5035" w:type="dxa"/>
            <w:vAlign w:val="center"/>
          </w:tcPr>
          <w:p w14:paraId="050554CA" w14:textId="5AAC0277" w:rsidR="009F724E" w:rsidRPr="004C12C9" w:rsidRDefault="009F724E" w:rsidP="00FD0284">
            <w:pPr>
              <w:pStyle w:val="ICFTabletext"/>
              <w:rPr>
                <w:rFonts w:asciiTheme="minorHAnsi" w:hAnsiTheme="minorHAnsi" w:cstheme="minorHAnsi"/>
                <w:color w:val="242424"/>
                <w:sz w:val="20"/>
                <w:szCs w:val="18"/>
                <w:bdr w:val="none" w:sz="0" w:space="0" w:color="auto" w:frame="1"/>
              </w:rPr>
            </w:pPr>
            <w:hyperlink r:id="rId61" w:anchor="page=58" w:history="1">
              <w:r w:rsidRPr="004C12C9">
                <w:rPr>
                  <w:rStyle w:val="Hyperlink"/>
                  <w:rFonts w:asciiTheme="minorHAnsi" w:hAnsiTheme="minorHAnsi" w:cstheme="minorHAnsi"/>
                  <w:sz w:val="20"/>
                  <w:szCs w:val="18"/>
                  <w:bdr w:val="none" w:sz="0" w:space="0" w:color="auto" w:frame="1"/>
                </w:rPr>
                <w:t>Heat Resilience Solutions for Boston</w:t>
              </w:r>
            </w:hyperlink>
          </w:p>
        </w:tc>
        <w:tc>
          <w:tcPr>
            <w:tcW w:w="5035" w:type="dxa"/>
            <w:vAlign w:val="center"/>
          </w:tcPr>
          <w:p w14:paraId="38926FD2" w14:textId="09A6D86B" w:rsidR="009F724E" w:rsidRPr="004C12C9" w:rsidRDefault="001B7834"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Provides</w:t>
            </w:r>
            <w:r w:rsidR="009F724E" w:rsidRPr="004C12C9">
              <w:rPr>
                <w:rFonts w:asciiTheme="minorHAnsi" w:hAnsiTheme="minorHAnsi" w:cstheme="minorHAnsi"/>
                <w:sz w:val="20"/>
                <w:szCs w:val="18"/>
              </w:rPr>
              <w:t xml:space="preserve"> heat-specific adaptation strategies</w:t>
            </w:r>
            <w:r w:rsidRPr="004C12C9">
              <w:rPr>
                <w:rFonts w:asciiTheme="minorHAnsi" w:hAnsiTheme="minorHAnsi" w:cstheme="minorHAnsi"/>
                <w:sz w:val="20"/>
                <w:szCs w:val="18"/>
              </w:rPr>
              <w:t>.</w:t>
            </w:r>
          </w:p>
        </w:tc>
      </w:tr>
      <w:tr w:rsidR="009F724E" w:rsidRPr="004C12C9" w14:paraId="3DC55EDB" w14:textId="77777777" w:rsidTr="00DE3D8F">
        <w:tc>
          <w:tcPr>
            <w:tcW w:w="5035" w:type="dxa"/>
            <w:vAlign w:val="center"/>
          </w:tcPr>
          <w:p w14:paraId="6856601A" w14:textId="31549697" w:rsidR="009F724E" w:rsidRPr="004C12C9" w:rsidRDefault="009F724E" w:rsidP="00FD0284">
            <w:pPr>
              <w:pStyle w:val="ICFTabletext"/>
              <w:rPr>
                <w:rFonts w:asciiTheme="minorHAnsi" w:hAnsiTheme="minorHAnsi" w:cstheme="minorHAnsi"/>
                <w:sz w:val="20"/>
                <w:szCs w:val="18"/>
              </w:rPr>
            </w:pPr>
            <w:hyperlink r:id="rId62" w:history="1">
              <w:r w:rsidRPr="004C12C9">
                <w:rPr>
                  <w:rStyle w:val="Hyperlink"/>
                  <w:rFonts w:asciiTheme="minorHAnsi" w:hAnsiTheme="minorHAnsi" w:cstheme="minorHAnsi"/>
                  <w:sz w:val="20"/>
                  <w:szCs w:val="18"/>
                  <w:bdr w:val="none" w:sz="0" w:space="0" w:color="auto" w:frame="1"/>
                </w:rPr>
                <w:t>DCTC Plan On It - From Flooding to Drought and Back Again</w:t>
              </w:r>
            </w:hyperlink>
          </w:p>
        </w:tc>
        <w:tc>
          <w:tcPr>
            <w:tcW w:w="5035" w:type="dxa"/>
            <w:vAlign w:val="center"/>
          </w:tcPr>
          <w:p w14:paraId="54B1A2F4" w14:textId="148F1D8F" w:rsidR="009F724E" w:rsidRPr="004C12C9" w:rsidRDefault="009F724E" w:rsidP="00FD0284">
            <w:pPr>
              <w:pStyle w:val="ICFTabletext"/>
              <w:rPr>
                <w:rFonts w:asciiTheme="minorHAnsi" w:hAnsiTheme="minorHAnsi" w:cstheme="minorHAnsi"/>
                <w:sz w:val="20"/>
                <w:szCs w:val="18"/>
              </w:rPr>
            </w:pPr>
            <w:r w:rsidRPr="004C12C9">
              <w:rPr>
                <w:rFonts w:asciiTheme="minorHAnsi" w:hAnsiTheme="minorHAnsi" w:cstheme="minorHAnsi"/>
                <w:color w:val="242424"/>
                <w:sz w:val="20"/>
                <w:szCs w:val="18"/>
                <w:bdr w:val="none" w:sz="0" w:space="0" w:color="auto" w:frame="1"/>
              </w:rPr>
              <w:t>Focusing on stormwater management, has community level measures homeowners and organizations can implement</w:t>
            </w:r>
            <w:r w:rsidR="0001112D" w:rsidRPr="004C12C9">
              <w:rPr>
                <w:rFonts w:asciiTheme="minorHAnsi" w:hAnsiTheme="minorHAnsi" w:cstheme="minorHAnsi"/>
                <w:color w:val="242424"/>
                <w:sz w:val="20"/>
                <w:szCs w:val="18"/>
                <w:bdr w:val="none" w:sz="0" w:space="0" w:color="auto" w:frame="1"/>
              </w:rPr>
              <w:t>.</w:t>
            </w:r>
          </w:p>
        </w:tc>
      </w:tr>
      <w:tr w:rsidR="00A16B53" w:rsidRPr="004C12C9" w14:paraId="13AD1443" w14:textId="77777777" w:rsidTr="00DE3D8F">
        <w:tc>
          <w:tcPr>
            <w:tcW w:w="5035" w:type="dxa"/>
            <w:vAlign w:val="center"/>
          </w:tcPr>
          <w:p w14:paraId="17D24AE2" w14:textId="4F021BB5" w:rsidR="00A16B53" w:rsidRPr="004C12C9" w:rsidRDefault="00A16B53" w:rsidP="00FD0284">
            <w:pPr>
              <w:pStyle w:val="ICFTabletext"/>
              <w:rPr>
                <w:rFonts w:asciiTheme="minorHAnsi" w:hAnsiTheme="minorHAnsi" w:cstheme="minorHAnsi"/>
                <w:color w:val="242424"/>
                <w:sz w:val="20"/>
                <w:szCs w:val="18"/>
                <w:bdr w:val="none" w:sz="0" w:space="0" w:color="auto" w:frame="1"/>
              </w:rPr>
            </w:pPr>
            <w:hyperlink r:id="rId63" w:history="1">
              <w:r w:rsidRPr="004C12C9">
                <w:rPr>
                  <w:rStyle w:val="Hyperlink"/>
                  <w:rFonts w:asciiTheme="minorHAnsi" w:hAnsiTheme="minorHAnsi" w:cstheme="minorHAnsi"/>
                  <w:sz w:val="20"/>
                  <w:szCs w:val="18"/>
                  <w:bdr w:val="none" w:sz="0" w:space="0" w:color="auto" w:frame="1"/>
                </w:rPr>
                <w:t>City of Santa Cruz</w:t>
              </w:r>
              <w:r w:rsidR="008A5540" w:rsidRPr="004C12C9">
                <w:rPr>
                  <w:rStyle w:val="Hyperlink"/>
                  <w:rFonts w:asciiTheme="minorHAnsi" w:hAnsiTheme="minorHAnsi" w:cstheme="minorHAnsi"/>
                  <w:sz w:val="20"/>
                  <w:szCs w:val="18"/>
                  <w:bdr w:val="none" w:sz="0" w:space="0" w:color="auto" w:frame="1"/>
                </w:rPr>
                <w:t xml:space="preserve"> Climate Action Plan</w:t>
              </w:r>
              <w:r w:rsidR="0000326D" w:rsidRPr="004C12C9">
                <w:rPr>
                  <w:rStyle w:val="Hyperlink"/>
                  <w:rFonts w:asciiTheme="minorHAnsi" w:hAnsiTheme="minorHAnsi" w:cstheme="minorHAnsi"/>
                  <w:sz w:val="20"/>
                  <w:szCs w:val="18"/>
                  <w:bdr w:val="none" w:sz="0" w:space="0" w:color="auto" w:frame="1"/>
                </w:rPr>
                <w:t xml:space="preserve"> 2030</w:t>
              </w:r>
            </w:hyperlink>
          </w:p>
        </w:tc>
        <w:tc>
          <w:tcPr>
            <w:tcW w:w="5035" w:type="dxa"/>
            <w:vAlign w:val="center"/>
          </w:tcPr>
          <w:p w14:paraId="798F90A5" w14:textId="11857B13" w:rsidR="00A16B53" w:rsidRPr="004C12C9" w:rsidRDefault="00E31F0E"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list of strategies for Santa Cruz, California.</w:t>
            </w:r>
          </w:p>
        </w:tc>
      </w:tr>
      <w:tr w:rsidR="0052797A" w:rsidRPr="004C12C9" w14:paraId="61F2342B" w14:textId="77777777" w:rsidTr="00DE3D8F">
        <w:tc>
          <w:tcPr>
            <w:tcW w:w="5035" w:type="dxa"/>
            <w:vAlign w:val="center"/>
          </w:tcPr>
          <w:p w14:paraId="6E855CCF" w14:textId="0E7ECC7A" w:rsidR="0052797A" w:rsidRPr="004C12C9" w:rsidRDefault="00A149BB" w:rsidP="00FD0284">
            <w:pPr>
              <w:pStyle w:val="ICFTabletext"/>
              <w:rPr>
                <w:rFonts w:asciiTheme="minorHAnsi" w:hAnsiTheme="minorHAnsi" w:cstheme="minorHAnsi"/>
                <w:color w:val="242424"/>
                <w:sz w:val="20"/>
                <w:szCs w:val="18"/>
                <w:bdr w:val="none" w:sz="0" w:space="0" w:color="auto" w:frame="1"/>
              </w:rPr>
            </w:pPr>
            <w:hyperlink r:id="rId64" w:history="1">
              <w:r w:rsidRPr="004C12C9">
                <w:rPr>
                  <w:rStyle w:val="Hyperlink"/>
                  <w:rFonts w:asciiTheme="minorHAnsi" w:hAnsiTheme="minorHAnsi" w:cstheme="minorHAnsi"/>
                  <w:sz w:val="20"/>
                  <w:szCs w:val="18"/>
                  <w:bdr w:val="none" w:sz="0" w:space="0" w:color="auto" w:frame="1"/>
                </w:rPr>
                <w:t>California</w:t>
              </w:r>
              <w:r w:rsidR="00A16B53" w:rsidRPr="004C12C9">
                <w:rPr>
                  <w:rStyle w:val="Hyperlink"/>
                  <w:rFonts w:asciiTheme="minorHAnsi" w:hAnsiTheme="minorHAnsi" w:cstheme="minorHAnsi"/>
                  <w:sz w:val="20"/>
                  <w:szCs w:val="18"/>
                  <w:bdr w:val="none" w:sz="0" w:space="0" w:color="auto" w:frame="1"/>
                </w:rPr>
                <w:t xml:space="preserve"> Climate </w:t>
              </w:r>
              <w:r w:rsidR="00163E9E" w:rsidRPr="004C12C9">
                <w:rPr>
                  <w:rStyle w:val="Hyperlink"/>
                  <w:rFonts w:asciiTheme="minorHAnsi" w:hAnsiTheme="minorHAnsi" w:cstheme="minorHAnsi"/>
                  <w:sz w:val="20"/>
                  <w:szCs w:val="18"/>
                  <w:bdr w:val="none" w:sz="0" w:space="0" w:color="auto" w:frame="1"/>
                </w:rPr>
                <w:t>Adaptation Strategy</w:t>
              </w:r>
            </w:hyperlink>
          </w:p>
        </w:tc>
        <w:tc>
          <w:tcPr>
            <w:tcW w:w="5035" w:type="dxa"/>
            <w:vAlign w:val="center"/>
          </w:tcPr>
          <w:p w14:paraId="0D466DE2" w14:textId="48CF5454" w:rsidR="0052797A" w:rsidRPr="004C12C9" w:rsidRDefault="00E31F0E"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list of strategies for the state of California.</w:t>
            </w:r>
          </w:p>
        </w:tc>
      </w:tr>
      <w:tr w:rsidR="00C60972" w:rsidRPr="004C12C9" w14:paraId="14409E08" w14:textId="77777777" w:rsidTr="00DE3D8F">
        <w:tc>
          <w:tcPr>
            <w:tcW w:w="5035" w:type="dxa"/>
            <w:vAlign w:val="center"/>
          </w:tcPr>
          <w:p w14:paraId="6275D00B" w14:textId="302660EC" w:rsidR="00C60972" w:rsidRPr="004C12C9" w:rsidRDefault="00C60972" w:rsidP="00FD0284">
            <w:pPr>
              <w:pStyle w:val="ICFTabletext"/>
              <w:rPr>
                <w:rFonts w:asciiTheme="minorHAnsi" w:hAnsiTheme="minorHAnsi" w:cstheme="minorHAnsi"/>
                <w:color w:val="242424"/>
                <w:sz w:val="20"/>
                <w:szCs w:val="18"/>
                <w:bdr w:val="none" w:sz="0" w:space="0" w:color="auto" w:frame="1"/>
              </w:rPr>
            </w:pPr>
            <w:hyperlink r:id="rId65" w:history="1">
              <w:r w:rsidRPr="004C12C9">
                <w:rPr>
                  <w:rStyle w:val="Hyperlink"/>
                  <w:rFonts w:asciiTheme="minorHAnsi" w:hAnsiTheme="minorHAnsi" w:cstheme="minorHAnsi"/>
                  <w:sz w:val="20"/>
                  <w:szCs w:val="18"/>
                  <w:bdr w:val="none" w:sz="0" w:space="0" w:color="auto" w:frame="1"/>
                </w:rPr>
                <w:t>West Palm Beach</w:t>
              </w:r>
              <w:r w:rsidR="00095714" w:rsidRPr="004C12C9">
                <w:rPr>
                  <w:rStyle w:val="Hyperlink"/>
                  <w:rFonts w:asciiTheme="minorHAnsi" w:hAnsiTheme="minorHAnsi" w:cstheme="minorHAnsi"/>
                  <w:sz w:val="20"/>
                  <w:szCs w:val="18"/>
                  <w:bdr w:val="none" w:sz="0" w:space="0" w:color="auto" w:frame="1"/>
                </w:rPr>
                <w:t xml:space="preserve"> </w:t>
              </w:r>
              <w:r w:rsidRPr="004C12C9">
                <w:rPr>
                  <w:rStyle w:val="Hyperlink"/>
                  <w:rFonts w:asciiTheme="minorHAnsi" w:hAnsiTheme="minorHAnsi" w:cstheme="minorHAnsi"/>
                  <w:sz w:val="20"/>
                  <w:szCs w:val="18"/>
                  <w:bdr w:val="none" w:sz="0" w:space="0" w:color="auto" w:frame="1"/>
                </w:rPr>
                <w:t>Rethink Paradise: Sustainability Action Plan</w:t>
              </w:r>
            </w:hyperlink>
          </w:p>
        </w:tc>
        <w:tc>
          <w:tcPr>
            <w:tcW w:w="5035" w:type="dxa"/>
            <w:vAlign w:val="center"/>
          </w:tcPr>
          <w:p w14:paraId="5CBB3081" w14:textId="235786A0" w:rsidR="00C60972" w:rsidRPr="004C12C9" w:rsidRDefault="00741643"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list of strategies for West Palm Beach, Florida.</w:t>
            </w:r>
          </w:p>
        </w:tc>
      </w:tr>
      <w:tr w:rsidR="000D3839" w:rsidRPr="004C12C9" w14:paraId="223D4A5E" w14:textId="77777777" w:rsidTr="00DE3D8F">
        <w:tc>
          <w:tcPr>
            <w:tcW w:w="5035" w:type="dxa"/>
            <w:vAlign w:val="center"/>
          </w:tcPr>
          <w:p w14:paraId="7B881D76" w14:textId="0239D7B3" w:rsidR="000D3839" w:rsidRPr="004C12C9" w:rsidRDefault="000D3839" w:rsidP="00FD0284">
            <w:pPr>
              <w:pStyle w:val="ICFTabletext"/>
              <w:rPr>
                <w:rFonts w:asciiTheme="minorHAnsi" w:hAnsiTheme="minorHAnsi" w:cstheme="minorHAnsi"/>
                <w:color w:val="242424"/>
                <w:sz w:val="20"/>
                <w:szCs w:val="18"/>
                <w:bdr w:val="none" w:sz="0" w:space="0" w:color="auto" w:frame="1"/>
              </w:rPr>
            </w:pPr>
            <w:hyperlink r:id="rId66" w:history="1">
              <w:r w:rsidRPr="004C12C9">
                <w:rPr>
                  <w:rStyle w:val="Hyperlink"/>
                  <w:rFonts w:asciiTheme="minorHAnsi" w:hAnsiTheme="minorHAnsi" w:cstheme="minorHAnsi"/>
                  <w:sz w:val="20"/>
                  <w:szCs w:val="18"/>
                  <w:bdr w:val="none" w:sz="0" w:space="0" w:color="auto" w:frame="1"/>
                </w:rPr>
                <w:t>City of Seattle Preparing for a Changing Climate</w:t>
              </w:r>
            </w:hyperlink>
          </w:p>
        </w:tc>
        <w:tc>
          <w:tcPr>
            <w:tcW w:w="5035" w:type="dxa"/>
            <w:vAlign w:val="center"/>
          </w:tcPr>
          <w:p w14:paraId="2FDF3D3E" w14:textId="08A9EC6F" w:rsidR="000D3839" w:rsidRPr="004C12C9" w:rsidRDefault="00761955"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sector-specific actions for Seattle, Washington.</w:t>
            </w:r>
          </w:p>
        </w:tc>
      </w:tr>
      <w:tr w:rsidR="00316092" w:rsidRPr="004C12C9" w14:paraId="2EC5909C" w14:textId="77777777" w:rsidTr="00DE3D8F">
        <w:tc>
          <w:tcPr>
            <w:tcW w:w="5035" w:type="dxa"/>
            <w:vAlign w:val="center"/>
          </w:tcPr>
          <w:p w14:paraId="723C8FFF" w14:textId="072F7907" w:rsidR="00316092" w:rsidRPr="004C12C9" w:rsidRDefault="00AD7CD3" w:rsidP="00FD0284">
            <w:pPr>
              <w:pStyle w:val="ICFTabletext"/>
              <w:rPr>
                <w:rFonts w:asciiTheme="minorHAnsi" w:hAnsiTheme="minorHAnsi" w:cstheme="minorHAnsi"/>
                <w:color w:val="242424"/>
                <w:sz w:val="20"/>
                <w:szCs w:val="18"/>
                <w:bdr w:val="none" w:sz="0" w:space="0" w:color="auto" w:frame="1"/>
              </w:rPr>
            </w:pPr>
            <w:hyperlink r:id="rId67" w:history="1">
              <w:r w:rsidRPr="004C12C9">
                <w:rPr>
                  <w:rStyle w:val="Hyperlink"/>
                  <w:rFonts w:asciiTheme="minorHAnsi" w:hAnsiTheme="minorHAnsi" w:cstheme="minorHAnsi"/>
                  <w:sz w:val="20"/>
                  <w:szCs w:val="18"/>
                  <w:bdr w:val="none" w:sz="0" w:space="0" w:color="auto" w:frame="1"/>
                </w:rPr>
                <w:t>N</w:t>
              </w:r>
              <w:r w:rsidRPr="004C12C9">
                <w:rPr>
                  <w:rStyle w:val="Hyperlink"/>
                  <w:rFonts w:asciiTheme="minorHAnsi" w:hAnsiTheme="minorHAnsi" w:cstheme="minorHAnsi"/>
                  <w:sz w:val="20"/>
                  <w:szCs w:val="18"/>
                </w:rPr>
                <w:t>orth Carolina</w:t>
              </w:r>
              <w:r w:rsidR="00744845" w:rsidRPr="004C12C9">
                <w:rPr>
                  <w:rStyle w:val="Hyperlink"/>
                  <w:rFonts w:asciiTheme="minorHAnsi" w:hAnsiTheme="minorHAnsi" w:cstheme="minorHAnsi"/>
                  <w:sz w:val="20"/>
                  <w:szCs w:val="18"/>
                  <w:bdr w:val="none" w:sz="0" w:space="0" w:color="auto" w:frame="1"/>
                </w:rPr>
                <w:t xml:space="preserve"> Regional Resilience Assessment</w:t>
              </w:r>
            </w:hyperlink>
          </w:p>
        </w:tc>
        <w:tc>
          <w:tcPr>
            <w:tcW w:w="5035" w:type="dxa"/>
            <w:vAlign w:val="center"/>
          </w:tcPr>
          <w:p w14:paraId="186D28DE" w14:textId="65C44F7B" w:rsidR="00316092" w:rsidRPr="004C12C9" w:rsidRDefault="00675DD1"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 xml:space="preserve">Includes </w:t>
            </w:r>
            <w:r w:rsidR="00041451" w:rsidRPr="004C12C9">
              <w:rPr>
                <w:rFonts w:asciiTheme="minorHAnsi" w:hAnsiTheme="minorHAnsi" w:cstheme="minorHAnsi"/>
                <w:color w:val="242424"/>
                <w:sz w:val="20"/>
                <w:szCs w:val="18"/>
                <w:bdr w:val="none" w:sz="0" w:space="0" w:color="auto" w:frame="1"/>
              </w:rPr>
              <w:t>adaptation</w:t>
            </w:r>
            <w:r w:rsidRPr="004C12C9">
              <w:rPr>
                <w:rFonts w:asciiTheme="minorHAnsi" w:hAnsiTheme="minorHAnsi" w:cstheme="minorHAnsi"/>
                <w:color w:val="242424"/>
                <w:sz w:val="20"/>
                <w:szCs w:val="18"/>
                <w:bdr w:val="none" w:sz="0" w:space="0" w:color="auto" w:frame="1"/>
              </w:rPr>
              <w:t xml:space="preserve"> </w:t>
            </w:r>
            <w:r w:rsidR="00286827" w:rsidRPr="004C12C9">
              <w:rPr>
                <w:rFonts w:asciiTheme="minorHAnsi" w:hAnsiTheme="minorHAnsi" w:cstheme="minorHAnsi"/>
                <w:color w:val="242424"/>
                <w:sz w:val="20"/>
                <w:szCs w:val="18"/>
                <w:bdr w:val="none" w:sz="0" w:space="0" w:color="auto" w:frame="1"/>
              </w:rPr>
              <w:t xml:space="preserve">actions for </w:t>
            </w:r>
            <w:r w:rsidRPr="004C12C9">
              <w:rPr>
                <w:rFonts w:asciiTheme="minorHAnsi" w:hAnsiTheme="minorHAnsi" w:cstheme="minorHAnsi"/>
                <w:color w:val="242424"/>
                <w:sz w:val="20"/>
                <w:szCs w:val="18"/>
                <w:bdr w:val="none" w:sz="0" w:space="0" w:color="auto" w:frame="1"/>
              </w:rPr>
              <w:t>North Carolina</w:t>
            </w:r>
            <w:r w:rsidR="00286827" w:rsidRPr="004C12C9">
              <w:rPr>
                <w:rFonts w:asciiTheme="minorHAnsi" w:hAnsiTheme="minorHAnsi" w:cstheme="minorHAnsi"/>
                <w:color w:val="242424"/>
                <w:sz w:val="20"/>
                <w:szCs w:val="18"/>
                <w:bdr w:val="none" w:sz="0" w:space="0" w:color="auto" w:frame="1"/>
              </w:rPr>
              <w:t>.</w:t>
            </w:r>
          </w:p>
        </w:tc>
      </w:tr>
      <w:tr w:rsidR="00744845" w:rsidRPr="004C12C9" w14:paraId="0C60D851" w14:textId="77777777" w:rsidTr="00DE3D8F">
        <w:tc>
          <w:tcPr>
            <w:tcW w:w="5035" w:type="dxa"/>
            <w:vAlign w:val="center"/>
          </w:tcPr>
          <w:p w14:paraId="1DD60451" w14:textId="095910B2" w:rsidR="00744845" w:rsidRPr="004C12C9" w:rsidRDefault="00821B3C" w:rsidP="00FD0284">
            <w:pPr>
              <w:pStyle w:val="ICFTabletext"/>
              <w:rPr>
                <w:rFonts w:asciiTheme="minorHAnsi" w:hAnsiTheme="minorHAnsi" w:cstheme="minorHAnsi"/>
                <w:color w:val="242424"/>
                <w:sz w:val="20"/>
                <w:szCs w:val="18"/>
                <w:bdr w:val="none" w:sz="0" w:space="0" w:color="auto" w:frame="1"/>
              </w:rPr>
            </w:pPr>
            <w:hyperlink r:id="rId68" w:history="1">
              <w:r w:rsidRPr="004C12C9">
                <w:rPr>
                  <w:rStyle w:val="Hyperlink"/>
                  <w:rFonts w:asciiTheme="minorHAnsi" w:hAnsiTheme="minorHAnsi" w:cstheme="minorHAnsi"/>
                  <w:sz w:val="20"/>
                  <w:szCs w:val="18"/>
                  <w:bdr w:val="none" w:sz="0" w:space="0" w:color="auto" w:frame="1"/>
                </w:rPr>
                <w:t>Planning for Climate Resilience</w:t>
              </w:r>
              <w:r w:rsidR="009C35CA" w:rsidRPr="004C12C9">
                <w:rPr>
                  <w:rStyle w:val="Hyperlink"/>
                  <w:rFonts w:asciiTheme="minorHAnsi" w:hAnsiTheme="minorHAnsi" w:cstheme="minorHAnsi"/>
                  <w:sz w:val="20"/>
                  <w:szCs w:val="18"/>
                  <w:bdr w:val="none" w:sz="0" w:space="0" w:color="auto" w:frame="1"/>
                </w:rPr>
                <w:t>,</w:t>
              </w:r>
              <w:r w:rsidRPr="004C12C9">
                <w:rPr>
                  <w:rStyle w:val="Hyperlink"/>
                  <w:rFonts w:asciiTheme="minorHAnsi" w:hAnsiTheme="minorHAnsi" w:cstheme="minorHAnsi"/>
                  <w:sz w:val="20"/>
                  <w:szCs w:val="18"/>
                  <w:bdr w:val="none" w:sz="0" w:space="0" w:color="auto" w:frame="1"/>
                </w:rPr>
                <w:t xml:space="preserve"> City of Asheville, North Carolina</w:t>
              </w:r>
            </w:hyperlink>
          </w:p>
        </w:tc>
        <w:tc>
          <w:tcPr>
            <w:tcW w:w="5035" w:type="dxa"/>
            <w:vAlign w:val="center"/>
          </w:tcPr>
          <w:p w14:paraId="36704702" w14:textId="1B8AB0FB" w:rsidR="00744845" w:rsidRPr="004C12C9" w:rsidRDefault="00675DD1"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a comprehensive list of resilience strategies for Asheville, North Carolina.</w:t>
            </w:r>
          </w:p>
        </w:tc>
      </w:tr>
      <w:tr w:rsidR="00231B89" w:rsidRPr="004C12C9" w14:paraId="2F6A48FD" w14:textId="77777777" w:rsidTr="00DE3D8F">
        <w:tc>
          <w:tcPr>
            <w:tcW w:w="5035" w:type="dxa"/>
            <w:vAlign w:val="center"/>
          </w:tcPr>
          <w:p w14:paraId="2FB1A8DA" w14:textId="4EC2F4D0" w:rsidR="00231B89" w:rsidRPr="004C12C9" w:rsidRDefault="0052797A" w:rsidP="00FD0284">
            <w:pPr>
              <w:pStyle w:val="ICFTabletext"/>
              <w:rPr>
                <w:rFonts w:asciiTheme="minorHAnsi" w:hAnsiTheme="minorHAnsi" w:cstheme="minorHAnsi"/>
                <w:color w:val="242424"/>
                <w:sz w:val="20"/>
                <w:szCs w:val="18"/>
                <w:bdr w:val="none" w:sz="0" w:space="0" w:color="auto" w:frame="1"/>
              </w:rPr>
            </w:pPr>
            <w:hyperlink r:id="rId69" w:history="1">
              <w:r w:rsidRPr="004C12C9">
                <w:rPr>
                  <w:rStyle w:val="Hyperlink"/>
                  <w:rFonts w:asciiTheme="minorHAnsi" w:hAnsiTheme="minorHAnsi" w:cstheme="minorHAnsi"/>
                  <w:sz w:val="20"/>
                  <w:szCs w:val="18"/>
                  <w:bdr w:val="none" w:sz="0" w:space="0" w:color="auto" w:frame="1"/>
                </w:rPr>
                <w:t>Flagstaff Climate Action and Adaptation Plan</w:t>
              </w:r>
            </w:hyperlink>
          </w:p>
        </w:tc>
        <w:tc>
          <w:tcPr>
            <w:tcW w:w="5035" w:type="dxa"/>
            <w:vAlign w:val="center"/>
          </w:tcPr>
          <w:p w14:paraId="4DA78A1D" w14:textId="461ACF80" w:rsidR="00231B89" w:rsidRPr="004C12C9" w:rsidRDefault="00041451"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 xml:space="preserve">Includes </w:t>
            </w:r>
            <w:r w:rsidR="006C1DB8" w:rsidRPr="004C12C9">
              <w:rPr>
                <w:rFonts w:asciiTheme="minorHAnsi" w:hAnsiTheme="minorHAnsi" w:cstheme="minorHAnsi"/>
                <w:color w:val="242424"/>
                <w:sz w:val="20"/>
                <w:szCs w:val="18"/>
                <w:bdr w:val="none" w:sz="0" w:space="0" w:color="auto" w:frame="1"/>
              </w:rPr>
              <w:t>adaptation</w:t>
            </w:r>
            <w:r w:rsidRPr="004C12C9">
              <w:rPr>
                <w:rFonts w:asciiTheme="minorHAnsi" w:hAnsiTheme="minorHAnsi" w:cstheme="minorHAnsi"/>
                <w:color w:val="242424"/>
                <w:sz w:val="20"/>
                <w:szCs w:val="18"/>
                <w:bdr w:val="none" w:sz="0" w:space="0" w:color="auto" w:frame="1"/>
              </w:rPr>
              <w:t xml:space="preserve"> actions for Flagstaff, Arizona.</w:t>
            </w:r>
          </w:p>
        </w:tc>
      </w:tr>
      <w:tr w:rsidR="00AE7432" w:rsidRPr="004C12C9" w14:paraId="3B8FBEC4" w14:textId="77777777" w:rsidTr="00DE3D8F">
        <w:tc>
          <w:tcPr>
            <w:tcW w:w="5035" w:type="dxa"/>
            <w:vAlign w:val="center"/>
          </w:tcPr>
          <w:p w14:paraId="69D920F9" w14:textId="59906246" w:rsidR="00AE7432" w:rsidRPr="004C12C9" w:rsidRDefault="00AE7432" w:rsidP="00FD0284">
            <w:pPr>
              <w:pStyle w:val="ICFTabletext"/>
              <w:rPr>
                <w:rFonts w:asciiTheme="minorHAnsi" w:hAnsiTheme="minorHAnsi" w:cstheme="minorHAnsi"/>
                <w:color w:val="242424"/>
                <w:sz w:val="20"/>
                <w:szCs w:val="18"/>
                <w:bdr w:val="none" w:sz="0" w:space="0" w:color="auto" w:frame="1"/>
              </w:rPr>
            </w:pPr>
            <w:hyperlink r:id="rId70" w:history="1">
              <w:r w:rsidRPr="004C12C9">
                <w:rPr>
                  <w:rStyle w:val="Hyperlink"/>
                  <w:rFonts w:asciiTheme="minorHAnsi" w:hAnsiTheme="minorHAnsi" w:cstheme="minorHAnsi"/>
                  <w:sz w:val="20"/>
                  <w:szCs w:val="18"/>
                  <w:bdr w:val="none" w:sz="0" w:space="0" w:color="auto" w:frame="1"/>
                </w:rPr>
                <w:t>Ci</w:t>
              </w:r>
              <w:r w:rsidRPr="004C12C9">
                <w:rPr>
                  <w:rStyle w:val="Hyperlink"/>
                  <w:rFonts w:asciiTheme="minorHAnsi" w:hAnsiTheme="minorHAnsi" w:cstheme="minorHAnsi"/>
                  <w:sz w:val="20"/>
                  <w:szCs w:val="18"/>
                </w:rPr>
                <w:t>ty of C</w:t>
              </w:r>
              <w:r w:rsidRPr="004C12C9">
                <w:rPr>
                  <w:rStyle w:val="Hyperlink"/>
                  <w:rFonts w:asciiTheme="minorHAnsi" w:hAnsiTheme="minorHAnsi" w:cstheme="minorHAnsi"/>
                  <w:sz w:val="20"/>
                  <w:szCs w:val="18"/>
                  <w:bdr w:val="none" w:sz="0" w:space="0" w:color="auto" w:frame="1"/>
                </w:rPr>
                <w:t>harleston, South Carolina All Hazards Vulnerability and Risk Assessment</w:t>
              </w:r>
            </w:hyperlink>
          </w:p>
        </w:tc>
        <w:tc>
          <w:tcPr>
            <w:tcW w:w="5035" w:type="dxa"/>
            <w:vAlign w:val="center"/>
          </w:tcPr>
          <w:p w14:paraId="49D2EB0A" w14:textId="6F7100F0" w:rsidR="00AE7432" w:rsidRPr="004C12C9" w:rsidRDefault="008B705C"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Includes adaptation actions for Charleston, South Carolina.</w:t>
            </w:r>
          </w:p>
        </w:tc>
      </w:tr>
      <w:tr w:rsidR="00417C2F" w:rsidRPr="004C12C9" w14:paraId="6A13A7D4" w14:textId="77777777" w:rsidTr="00DE3D8F">
        <w:tc>
          <w:tcPr>
            <w:tcW w:w="5035" w:type="dxa"/>
            <w:vAlign w:val="center"/>
          </w:tcPr>
          <w:p w14:paraId="76CA3236" w14:textId="42B84623" w:rsidR="00417C2F" w:rsidRPr="004C12C9" w:rsidRDefault="00417C2F" w:rsidP="00FD0284">
            <w:pPr>
              <w:pStyle w:val="ICFTabletext"/>
              <w:rPr>
                <w:rFonts w:asciiTheme="minorHAnsi" w:hAnsiTheme="minorHAnsi" w:cstheme="minorHAnsi"/>
                <w:color w:val="242424"/>
                <w:sz w:val="20"/>
                <w:szCs w:val="18"/>
                <w:bdr w:val="none" w:sz="0" w:space="0" w:color="auto" w:frame="1"/>
              </w:rPr>
            </w:pPr>
            <w:hyperlink r:id="rId71" w:history="1">
              <w:r w:rsidRPr="004C12C9">
                <w:rPr>
                  <w:rStyle w:val="Hyperlink"/>
                  <w:rFonts w:asciiTheme="minorHAnsi" w:hAnsiTheme="minorHAnsi" w:cstheme="minorHAnsi"/>
                  <w:sz w:val="20"/>
                  <w:szCs w:val="18"/>
                  <w:bdr w:val="none" w:sz="0" w:space="0" w:color="auto" w:frame="1"/>
                </w:rPr>
                <w:t>Climate Ready Boston, Climate Resilience Initiatives</w:t>
              </w:r>
            </w:hyperlink>
          </w:p>
        </w:tc>
        <w:tc>
          <w:tcPr>
            <w:tcW w:w="5035" w:type="dxa"/>
            <w:vAlign w:val="center"/>
          </w:tcPr>
          <w:p w14:paraId="45F52EDD" w14:textId="1EC431A7" w:rsidR="00417C2F" w:rsidRPr="004C12C9" w:rsidRDefault="008B705C" w:rsidP="00FD0284">
            <w:pPr>
              <w:pStyle w:val="ICFTabletext"/>
              <w:rPr>
                <w:rFonts w:asciiTheme="minorHAnsi" w:hAnsiTheme="minorHAnsi" w:cstheme="minorHAnsi"/>
                <w:color w:val="242424"/>
                <w:sz w:val="20"/>
                <w:szCs w:val="18"/>
                <w:bdr w:val="none" w:sz="0" w:space="0" w:color="auto" w:frame="1"/>
              </w:rPr>
            </w:pPr>
            <w:r w:rsidRPr="004C12C9">
              <w:rPr>
                <w:rFonts w:asciiTheme="minorHAnsi" w:hAnsiTheme="minorHAnsi" w:cstheme="minorHAnsi"/>
                <w:color w:val="242424"/>
                <w:sz w:val="20"/>
                <w:szCs w:val="18"/>
                <w:bdr w:val="none" w:sz="0" w:space="0" w:color="auto" w:frame="1"/>
              </w:rPr>
              <w:t>Provides list of resilience strategies for Boston, Massachusetts.</w:t>
            </w:r>
          </w:p>
        </w:tc>
      </w:tr>
      <w:tr w:rsidR="009F724E" w:rsidRPr="004C12C9" w14:paraId="3E7CADF1" w14:textId="77777777" w:rsidTr="00FD0284">
        <w:tc>
          <w:tcPr>
            <w:tcW w:w="10070" w:type="dxa"/>
            <w:gridSpan w:val="2"/>
            <w:shd w:val="clear" w:color="auto" w:fill="F2F2F2" w:themeFill="background1" w:themeFillShade="F2"/>
            <w:vAlign w:val="center"/>
          </w:tcPr>
          <w:p w14:paraId="5EF6D600" w14:textId="4D639AD3" w:rsidR="009F724E" w:rsidRPr="004C12C9" w:rsidRDefault="009C6C47" w:rsidP="00FD0284">
            <w:pPr>
              <w:pStyle w:val="ICFTabletext"/>
              <w:rPr>
                <w:rFonts w:asciiTheme="minorHAnsi" w:hAnsiTheme="minorHAnsi" w:cstheme="minorHAnsi"/>
                <w:b/>
                <w:sz w:val="20"/>
                <w:szCs w:val="18"/>
              </w:rPr>
            </w:pPr>
            <w:r w:rsidRPr="004C12C9">
              <w:rPr>
                <w:rFonts w:asciiTheme="minorHAnsi" w:hAnsiTheme="minorHAnsi" w:cstheme="minorHAnsi"/>
                <w:b/>
                <w:sz w:val="20"/>
                <w:szCs w:val="18"/>
              </w:rPr>
              <w:t>Sector-specific</w:t>
            </w:r>
            <w:r w:rsidR="009F724E" w:rsidRPr="004C12C9">
              <w:rPr>
                <w:rFonts w:asciiTheme="minorHAnsi" w:hAnsiTheme="minorHAnsi" w:cstheme="minorHAnsi"/>
                <w:b/>
                <w:sz w:val="20"/>
                <w:szCs w:val="18"/>
              </w:rPr>
              <w:t xml:space="preserve"> resources</w:t>
            </w:r>
          </w:p>
        </w:tc>
      </w:tr>
      <w:tr w:rsidR="009F724E" w:rsidRPr="004C12C9" w14:paraId="2888291E" w14:textId="77777777" w:rsidTr="00DE3D8F">
        <w:tc>
          <w:tcPr>
            <w:tcW w:w="5035" w:type="dxa"/>
            <w:vAlign w:val="center"/>
          </w:tcPr>
          <w:p w14:paraId="7310396D" w14:textId="45F83949" w:rsidR="009F724E" w:rsidRPr="004C12C9" w:rsidRDefault="006B424B" w:rsidP="00FD0284">
            <w:pPr>
              <w:pStyle w:val="ICFTabletext"/>
              <w:rPr>
                <w:rFonts w:asciiTheme="minorHAnsi" w:hAnsiTheme="minorHAnsi" w:cstheme="minorHAnsi"/>
                <w:sz w:val="20"/>
              </w:rPr>
            </w:pPr>
            <w:hyperlink r:id="rId72" w:history="1">
              <w:r w:rsidRPr="004C12C9">
                <w:rPr>
                  <w:rStyle w:val="Hyperlink"/>
                  <w:rFonts w:asciiTheme="minorHAnsi" w:hAnsiTheme="minorHAnsi" w:cstheme="minorHAnsi"/>
                  <w:sz w:val="20"/>
                  <w:bdr w:val="none" w:sz="0" w:space="0" w:color="auto" w:frame="1"/>
                </w:rPr>
                <w:t>S</w:t>
              </w:r>
              <w:r w:rsidRPr="004C12C9">
                <w:rPr>
                  <w:rStyle w:val="Hyperlink"/>
                  <w:sz w:val="20"/>
                  <w:bdr w:val="none" w:sz="0" w:space="0" w:color="auto" w:frame="1"/>
                </w:rPr>
                <w:t>ummary of impact of increased heat on r</w:t>
              </w:r>
              <w:r w:rsidR="00F05B99" w:rsidRPr="004C12C9">
                <w:rPr>
                  <w:rStyle w:val="Hyperlink"/>
                  <w:rFonts w:asciiTheme="minorHAnsi" w:hAnsiTheme="minorHAnsi" w:cstheme="minorHAnsi"/>
                  <w:sz w:val="20"/>
                  <w:bdr w:val="none" w:sz="0" w:space="0" w:color="auto" w:frame="1"/>
                </w:rPr>
                <w:t>ailways</w:t>
              </w:r>
            </w:hyperlink>
            <w:r w:rsidR="00F05B99" w:rsidRPr="004C12C9">
              <w:rPr>
                <w:rFonts w:asciiTheme="minorHAnsi" w:hAnsiTheme="minorHAnsi" w:cstheme="minorHAnsi"/>
                <w:sz w:val="20"/>
              </w:rPr>
              <w:t>.</w:t>
            </w:r>
          </w:p>
        </w:tc>
        <w:tc>
          <w:tcPr>
            <w:tcW w:w="5035" w:type="dxa"/>
            <w:vAlign w:val="center"/>
          </w:tcPr>
          <w:p w14:paraId="50780C99" w14:textId="1ED883B2" w:rsidR="009F724E" w:rsidRPr="004C12C9" w:rsidRDefault="00F05B99" w:rsidP="00FD0284">
            <w:pPr>
              <w:pStyle w:val="ICFTabletext"/>
              <w:rPr>
                <w:rFonts w:asciiTheme="minorHAnsi" w:hAnsiTheme="minorHAnsi" w:cstheme="minorHAnsi"/>
                <w:sz w:val="20"/>
              </w:rPr>
            </w:pPr>
            <w:r w:rsidRPr="004C12C9">
              <w:rPr>
                <w:rFonts w:asciiTheme="minorHAnsi" w:hAnsiTheme="minorHAnsi" w:cstheme="minorHAnsi"/>
                <w:sz w:val="20"/>
              </w:rPr>
              <w:t xml:space="preserve">Provides </w:t>
            </w:r>
            <w:r w:rsidR="006B424B" w:rsidRPr="004C12C9">
              <w:rPr>
                <w:rFonts w:asciiTheme="minorHAnsi" w:hAnsiTheme="minorHAnsi" w:cstheme="minorHAnsi"/>
                <w:sz w:val="20"/>
              </w:rPr>
              <w:t>r</w:t>
            </w:r>
            <w:r w:rsidR="006B424B" w:rsidRPr="004C12C9">
              <w:rPr>
                <w:sz w:val="20"/>
              </w:rPr>
              <w:t>ailway</w:t>
            </w:r>
            <w:r w:rsidRPr="004C12C9">
              <w:rPr>
                <w:rFonts w:asciiTheme="minorHAnsi" w:hAnsiTheme="minorHAnsi" w:cstheme="minorHAnsi"/>
                <w:sz w:val="20"/>
              </w:rPr>
              <w:t>-specific strategies.</w:t>
            </w:r>
          </w:p>
        </w:tc>
      </w:tr>
      <w:tr w:rsidR="00F05B99" w:rsidRPr="004C12C9" w14:paraId="2EFF9F67" w14:textId="77777777" w:rsidTr="00DE3D8F">
        <w:tc>
          <w:tcPr>
            <w:tcW w:w="5035" w:type="dxa"/>
            <w:vAlign w:val="center"/>
          </w:tcPr>
          <w:p w14:paraId="59891F08" w14:textId="14DBFFBA" w:rsidR="00F05B99" w:rsidRPr="004C12C9" w:rsidRDefault="001C7E04" w:rsidP="00F05B99">
            <w:pPr>
              <w:pStyle w:val="ICFTabletext"/>
              <w:rPr>
                <w:rFonts w:asciiTheme="minorHAnsi" w:hAnsiTheme="minorHAnsi" w:cstheme="minorHAnsi"/>
                <w:sz w:val="20"/>
              </w:rPr>
            </w:pPr>
            <w:hyperlink r:id="rId73" w:history="1">
              <w:r w:rsidRPr="004C12C9">
                <w:rPr>
                  <w:rStyle w:val="Hyperlink"/>
                  <w:rFonts w:asciiTheme="minorHAnsi" w:hAnsiTheme="minorHAnsi" w:cstheme="minorHAnsi"/>
                  <w:sz w:val="20"/>
                </w:rPr>
                <w:t xml:space="preserve">FHWA resources </w:t>
              </w:r>
              <w:r w:rsidR="002B76EB" w:rsidRPr="004C12C9">
                <w:rPr>
                  <w:rStyle w:val="Hyperlink"/>
                  <w:rFonts w:asciiTheme="minorHAnsi" w:hAnsiTheme="minorHAnsi" w:cstheme="minorHAnsi"/>
                  <w:sz w:val="20"/>
                </w:rPr>
                <w:t>on increasing pavement resilience</w:t>
              </w:r>
            </w:hyperlink>
          </w:p>
        </w:tc>
        <w:tc>
          <w:tcPr>
            <w:tcW w:w="5035" w:type="dxa"/>
            <w:vAlign w:val="center"/>
          </w:tcPr>
          <w:p w14:paraId="7C785270" w14:textId="102298E1" w:rsidR="00F05B99" w:rsidRPr="004C12C9" w:rsidRDefault="00F05B99" w:rsidP="00F05B99">
            <w:pPr>
              <w:pStyle w:val="ICFTabletext"/>
              <w:rPr>
                <w:rFonts w:asciiTheme="minorHAnsi" w:hAnsiTheme="minorHAnsi" w:cstheme="minorHAnsi"/>
                <w:sz w:val="20"/>
              </w:rPr>
            </w:pPr>
            <w:r w:rsidRPr="004C12C9">
              <w:rPr>
                <w:rFonts w:asciiTheme="minorHAnsi" w:hAnsiTheme="minorHAnsi" w:cstheme="minorHAnsi"/>
                <w:sz w:val="20"/>
              </w:rPr>
              <w:t xml:space="preserve">Provides </w:t>
            </w:r>
            <w:r w:rsidR="002B76EB" w:rsidRPr="004C12C9">
              <w:rPr>
                <w:rFonts w:asciiTheme="minorHAnsi" w:hAnsiTheme="minorHAnsi" w:cstheme="minorHAnsi"/>
                <w:sz w:val="20"/>
              </w:rPr>
              <w:t>p</w:t>
            </w:r>
            <w:r w:rsidR="002B76EB" w:rsidRPr="004C12C9">
              <w:rPr>
                <w:sz w:val="20"/>
              </w:rPr>
              <w:t>avement</w:t>
            </w:r>
            <w:r w:rsidRPr="004C12C9">
              <w:rPr>
                <w:rFonts w:asciiTheme="minorHAnsi" w:hAnsiTheme="minorHAnsi" w:cstheme="minorHAnsi"/>
                <w:sz w:val="20"/>
              </w:rPr>
              <w:t>-specific strategies.</w:t>
            </w:r>
          </w:p>
        </w:tc>
      </w:tr>
      <w:tr w:rsidR="00F05B99" w:rsidRPr="004C12C9" w14:paraId="23338665" w14:textId="77777777" w:rsidTr="00DE3D8F">
        <w:tc>
          <w:tcPr>
            <w:tcW w:w="5035" w:type="dxa"/>
            <w:vAlign w:val="center"/>
          </w:tcPr>
          <w:p w14:paraId="3C255C69" w14:textId="37581055" w:rsidR="00F05B99" w:rsidRPr="004C12C9" w:rsidRDefault="00C33820" w:rsidP="00F05B99">
            <w:pPr>
              <w:pStyle w:val="ICFTabletext"/>
              <w:rPr>
                <w:rFonts w:asciiTheme="minorHAnsi" w:hAnsiTheme="minorHAnsi" w:cstheme="minorHAnsi"/>
                <w:sz w:val="20"/>
              </w:rPr>
            </w:pPr>
            <w:hyperlink r:id="rId74" w:history="1">
              <w:r w:rsidRPr="004C12C9">
                <w:rPr>
                  <w:rStyle w:val="Hyperlink"/>
                  <w:rFonts w:asciiTheme="minorHAnsi" w:hAnsiTheme="minorHAnsi" w:cstheme="minorHAnsi"/>
                  <w:sz w:val="20"/>
                </w:rPr>
                <w:t xml:space="preserve">Summary of </w:t>
              </w:r>
              <w:r w:rsidR="00844372" w:rsidRPr="004C12C9">
                <w:rPr>
                  <w:rStyle w:val="Hyperlink"/>
                  <w:rFonts w:asciiTheme="minorHAnsi" w:hAnsiTheme="minorHAnsi" w:cstheme="minorHAnsi"/>
                  <w:sz w:val="20"/>
                </w:rPr>
                <w:t>how to raise cattle in a higher heat climate</w:t>
              </w:r>
            </w:hyperlink>
          </w:p>
        </w:tc>
        <w:tc>
          <w:tcPr>
            <w:tcW w:w="5035" w:type="dxa"/>
            <w:vAlign w:val="center"/>
          </w:tcPr>
          <w:p w14:paraId="0056F64D" w14:textId="761A9E30" w:rsidR="00F05B99" w:rsidRPr="004C12C9" w:rsidRDefault="00F05B99" w:rsidP="00F05B99">
            <w:pPr>
              <w:pStyle w:val="ICFTabletext"/>
              <w:rPr>
                <w:rFonts w:asciiTheme="minorHAnsi" w:hAnsiTheme="minorHAnsi" w:cstheme="minorHAnsi"/>
                <w:sz w:val="20"/>
              </w:rPr>
            </w:pPr>
            <w:r w:rsidRPr="004C12C9">
              <w:rPr>
                <w:rFonts w:asciiTheme="minorHAnsi" w:hAnsiTheme="minorHAnsi" w:cstheme="minorHAnsi"/>
                <w:sz w:val="20"/>
              </w:rPr>
              <w:t xml:space="preserve">Provides </w:t>
            </w:r>
            <w:r w:rsidR="00844372" w:rsidRPr="004C12C9">
              <w:rPr>
                <w:rFonts w:asciiTheme="minorHAnsi" w:hAnsiTheme="minorHAnsi" w:cstheme="minorHAnsi"/>
                <w:sz w:val="20"/>
              </w:rPr>
              <w:t>c</w:t>
            </w:r>
            <w:r w:rsidR="00844372" w:rsidRPr="004C12C9">
              <w:rPr>
                <w:sz w:val="20"/>
              </w:rPr>
              <w:t>attle</w:t>
            </w:r>
            <w:r w:rsidRPr="004C12C9">
              <w:rPr>
                <w:rFonts w:asciiTheme="minorHAnsi" w:hAnsiTheme="minorHAnsi" w:cstheme="minorHAnsi"/>
                <w:sz w:val="20"/>
              </w:rPr>
              <w:t>-specific strategies.</w:t>
            </w:r>
          </w:p>
        </w:tc>
      </w:tr>
      <w:tr w:rsidR="00F05B99" w:rsidRPr="004C12C9" w14:paraId="73F9ED20" w14:textId="77777777" w:rsidTr="00DE3D8F">
        <w:tc>
          <w:tcPr>
            <w:tcW w:w="5035" w:type="dxa"/>
            <w:vAlign w:val="center"/>
          </w:tcPr>
          <w:p w14:paraId="002BC509" w14:textId="0EBD2ADC" w:rsidR="00F05B99" w:rsidRPr="004C12C9" w:rsidRDefault="006B424B" w:rsidP="00F05B99">
            <w:pPr>
              <w:pStyle w:val="ICFTabletext"/>
              <w:rPr>
                <w:rFonts w:asciiTheme="minorHAnsi" w:hAnsiTheme="minorHAnsi" w:cstheme="minorHAnsi"/>
                <w:sz w:val="20"/>
                <w:szCs w:val="18"/>
              </w:rPr>
            </w:pPr>
            <w:hyperlink r:id="rId75" w:anchor="tab-1" w:history="1">
              <w:r w:rsidRPr="004C12C9">
                <w:rPr>
                  <w:rStyle w:val="Hyperlink"/>
                  <w:rFonts w:asciiTheme="minorHAnsi" w:hAnsiTheme="minorHAnsi" w:cstheme="minorHAnsi"/>
                  <w:sz w:val="20"/>
                  <w:szCs w:val="18"/>
                </w:rPr>
                <w:t xml:space="preserve">EPA </w:t>
              </w:r>
              <w:r w:rsidR="00362368" w:rsidRPr="004C12C9">
                <w:rPr>
                  <w:rStyle w:val="Hyperlink"/>
                  <w:rFonts w:asciiTheme="minorHAnsi" w:hAnsiTheme="minorHAnsi" w:cstheme="minorHAnsi"/>
                  <w:sz w:val="20"/>
                  <w:szCs w:val="18"/>
                </w:rPr>
                <w:t>c</w:t>
              </w:r>
              <w:r w:rsidR="004826F8" w:rsidRPr="004C12C9">
                <w:rPr>
                  <w:rStyle w:val="Hyperlink"/>
                  <w:rFonts w:asciiTheme="minorHAnsi" w:hAnsiTheme="minorHAnsi" w:cstheme="minorHAnsi"/>
                  <w:sz w:val="20"/>
                  <w:szCs w:val="18"/>
                </w:rPr>
                <w:t xml:space="preserve">limate change related resources and </w:t>
              </w:r>
              <w:r w:rsidR="003F1184" w:rsidRPr="004C12C9">
                <w:rPr>
                  <w:rStyle w:val="Hyperlink"/>
                  <w:rFonts w:asciiTheme="minorHAnsi" w:hAnsiTheme="minorHAnsi" w:cstheme="minorHAnsi"/>
                  <w:sz w:val="20"/>
                  <w:szCs w:val="18"/>
                </w:rPr>
                <w:t>actions</w:t>
              </w:r>
              <w:r w:rsidR="004826F8" w:rsidRPr="004C12C9">
                <w:rPr>
                  <w:rStyle w:val="Hyperlink"/>
                  <w:rFonts w:asciiTheme="minorHAnsi" w:hAnsiTheme="minorHAnsi" w:cstheme="minorHAnsi"/>
                  <w:sz w:val="20"/>
                  <w:szCs w:val="18"/>
                </w:rPr>
                <w:t xml:space="preserve"> </w:t>
              </w:r>
              <w:r w:rsidR="003F1184" w:rsidRPr="004C12C9">
                <w:rPr>
                  <w:rStyle w:val="Hyperlink"/>
                  <w:rFonts w:asciiTheme="minorHAnsi" w:hAnsiTheme="minorHAnsi" w:cstheme="minorHAnsi"/>
                  <w:sz w:val="20"/>
                  <w:szCs w:val="18"/>
                </w:rPr>
                <w:t>for w</w:t>
              </w:r>
              <w:r w:rsidR="00F05B99" w:rsidRPr="004C12C9">
                <w:rPr>
                  <w:rStyle w:val="Hyperlink"/>
                  <w:rFonts w:asciiTheme="minorHAnsi" w:hAnsiTheme="minorHAnsi" w:cstheme="minorHAnsi"/>
                  <w:sz w:val="20"/>
                  <w:szCs w:val="18"/>
                </w:rPr>
                <w:t>ater utilitie</w:t>
              </w:r>
              <w:r w:rsidR="003F1184" w:rsidRPr="004C12C9">
                <w:rPr>
                  <w:rStyle w:val="Hyperlink"/>
                  <w:rFonts w:asciiTheme="minorHAnsi" w:hAnsiTheme="minorHAnsi" w:cstheme="minorHAnsi"/>
                  <w:sz w:val="20"/>
                  <w:szCs w:val="18"/>
                </w:rPr>
                <w:t>s</w:t>
              </w:r>
            </w:hyperlink>
          </w:p>
        </w:tc>
        <w:tc>
          <w:tcPr>
            <w:tcW w:w="5035" w:type="dxa"/>
            <w:vAlign w:val="center"/>
          </w:tcPr>
          <w:p w14:paraId="2A32A53D" w14:textId="3BE2A94B" w:rsidR="00F05B99" w:rsidRPr="004C12C9" w:rsidRDefault="00F05B99" w:rsidP="00F05B99">
            <w:pPr>
              <w:pStyle w:val="ICFTabletext"/>
              <w:rPr>
                <w:rFonts w:asciiTheme="minorHAnsi" w:hAnsiTheme="minorHAnsi" w:cstheme="minorHAnsi"/>
                <w:sz w:val="20"/>
              </w:rPr>
            </w:pPr>
            <w:r w:rsidRPr="004C12C9">
              <w:rPr>
                <w:rFonts w:asciiTheme="minorHAnsi" w:hAnsiTheme="minorHAnsi" w:cstheme="minorHAnsi"/>
                <w:sz w:val="20"/>
              </w:rPr>
              <w:t xml:space="preserve">Provides </w:t>
            </w:r>
            <w:r w:rsidR="004826F8" w:rsidRPr="004C12C9">
              <w:rPr>
                <w:rFonts w:asciiTheme="minorHAnsi" w:hAnsiTheme="minorHAnsi" w:cstheme="minorHAnsi"/>
                <w:sz w:val="20"/>
              </w:rPr>
              <w:t>w</w:t>
            </w:r>
            <w:r w:rsidR="004826F8" w:rsidRPr="004C12C9">
              <w:rPr>
                <w:sz w:val="20"/>
              </w:rPr>
              <w:t>ater utility</w:t>
            </w:r>
            <w:r w:rsidRPr="004C12C9">
              <w:rPr>
                <w:rFonts w:asciiTheme="minorHAnsi" w:hAnsiTheme="minorHAnsi" w:cstheme="minorHAnsi"/>
                <w:sz w:val="20"/>
              </w:rPr>
              <w:t>-specific strategies.</w:t>
            </w:r>
          </w:p>
        </w:tc>
      </w:tr>
      <w:tr w:rsidR="009F724E" w:rsidRPr="004C12C9" w14:paraId="5B2BECE1" w14:textId="77777777" w:rsidTr="00DE3D8F">
        <w:tc>
          <w:tcPr>
            <w:tcW w:w="5035" w:type="dxa"/>
            <w:vAlign w:val="center"/>
          </w:tcPr>
          <w:p w14:paraId="392E1C1F" w14:textId="1E586558" w:rsidR="009F724E" w:rsidRPr="004C12C9" w:rsidRDefault="00F05B99" w:rsidP="00FD0284">
            <w:pPr>
              <w:pStyle w:val="ICFTabletext"/>
              <w:rPr>
                <w:rFonts w:asciiTheme="minorHAnsi" w:hAnsiTheme="minorHAnsi" w:cstheme="minorHAnsi"/>
                <w:sz w:val="20"/>
                <w:szCs w:val="18"/>
              </w:rPr>
            </w:pPr>
            <w:hyperlink r:id="rId76" w:history="1">
              <w:r w:rsidRPr="004C12C9">
                <w:rPr>
                  <w:rStyle w:val="Hyperlink"/>
                  <w:rFonts w:asciiTheme="minorHAnsi" w:hAnsiTheme="minorHAnsi" w:cstheme="minorHAnsi"/>
                  <w:sz w:val="20"/>
                  <w:szCs w:val="18"/>
                </w:rPr>
                <w:t>EPA Guide for Solid Waste Management Best Practices in response to climate change</w:t>
              </w:r>
            </w:hyperlink>
            <w:r w:rsidRPr="004C12C9">
              <w:t xml:space="preserve"> </w:t>
            </w:r>
          </w:p>
        </w:tc>
        <w:tc>
          <w:tcPr>
            <w:tcW w:w="5035" w:type="dxa"/>
            <w:vAlign w:val="center"/>
          </w:tcPr>
          <w:p w14:paraId="38F99DEA" w14:textId="60679B16" w:rsidR="009F724E" w:rsidRPr="004C12C9" w:rsidRDefault="008B705C"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 xml:space="preserve">Provides </w:t>
            </w:r>
            <w:r w:rsidR="00F05B99" w:rsidRPr="004C12C9">
              <w:rPr>
                <w:rFonts w:asciiTheme="minorHAnsi" w:hAnsiTheme="minorHAnsi" w:cstheme="minorHAnsi"/>
                <w:sz w:val="20"/>
                <w:szCs w:val="18"/>
              </w:rPr>
              <w:t>solid waste</w:t>
            </w:r>
            <w:r w:rsidRPr="004C12C9">
              <w:rPr>
                <w:rFonts w:asciiTheme="minorHAnsi" w:hAnsiTheme="minorHAnsi" w:cstheme="minorHAnsi"/>
                <w:sz w:val="20"/>
                <w:szCs w:val="18"/>
              </w:rPr>
              <w:t>-specific strategies.</w:t>
            </w:r>
          </w:p>
        </w:tc>
      </w:tr>
      <w:tr w:rsidR="007A2C7A" w:rsidRPr="004C12C9" w14:paraId="394472FA" w14:textId="77777777" w:rsidTr="00DE3D8F">
        <w:tc>
          <w:tcPr>
            <w:tcW w:w="5035" w:type="dxa"/>
            <w:vAlign w:val="center"/>
          </w:tcPr>
          <w:p w14:paraId="3DA75A7C" w14:textId="78D96B38" w:rsidR="007A2C7A" w:rsidRPr="004C12C9" w:rsidRDefault="00F05B99" w:rsidP="00FD0284">
            <w:pPr>
              <w:pStyle w:val="ICFTabletext"/>
              <w:rPr>
                <w:rFonts w:asciiTheme="minorHAnsi" w:hAnsiTheme="minorHAnsi" w:cstheme="minorHAnsi"/>
                <w:color w:val="242424"/>
                <w:sz w:val="20"/>
                <w:szCs w:val="18"/>
                <w:highlight w:val="yellow"/>
                <w:bdr w:val="none" w:sz="0" w:space="0" w:color="auto" w:frame="1"/>
              </w:rPr>
            </w:pPr>
            <w:hyperlink r:id="rId77" w:history="1">
              <w:r w:rsidRPr="004C12C9">
                <w:rPr>
                  <w:rStyle w:val="Hyperlink"/>
                  <w:rFonts w:asciiTheme="minorHAnsi" w:hAnsiTheme="minorHAnsi" w:cstheme="minorHAnsi"/>
                  <w:sz w:val="20"/>
                  <w:szCs w:val="18"/>
                  <w:bdr w:val="none" w:sz="0" w:space="0" w:color="auto" w:frame="1"/>
                </w:rPr>
                <w:t xml:space="preserve">Maryland DOT MTA Adaptation and Resilience Toolbox </w:t>
              </w:r>
            </w:hyperlink>
          </w:p>
        </w:tc>
        <w:tc>
          <w:tcPr>
            <w:tcW w:w="5035" w:type="dxa"/>
            <w:vAlign w:val="center"/>
          </w:tcPr>
          <w:p w14:paraId="5847102D" w14:textId="47F33BD4" w:rsidR="007A2C7A" w:rsidRPr="004C12C9" w:rsidRDefault="00F05B99" w:rsidP="00FD0284">
            <w:pPr>
              <w:pStyle w:val="ICFTabletext"/>
              <w:rPr>
                <w:rFonts w:asciiTheme="minorHAnsi" w:hAnsiTheme="minorHAnsi" w:cstheme="minorHAnsi"/>
                <w:sz w:val="20"/>
                <w:szCs w:val="18"/>
              </w:rPr>
            </w:pPr>
            <w:r w:rsidRPr="004C12C9">
              <w:rPr>
                <w:rFonts w:asciiTheme="minorHAnsi" w:hAnsiTheme="minorHAnsi" w:cstheme="minorHAnsi"/>
                <w:sz w:val="20"/>
                <w:szCs w:val="18"/>
              </w:rPr>
              <w:t>Provides transportation-specific strategies.</w:t>
            </w:r>
          </w:p>
        </w:tc>
      </w:tr>
    </w:tbl>
    <w:p w14:paraId="7399CAB0" w14:textId="15911FE4" w:rsidR="006263D3" w:rsidRPr="004C12C9" w:rsidRDefault="006263D3" w:rsidP="00972CF9">
      <w:pPr>
        <w:rPr>
          <w:rFonts w:asciiTheme="minorHAnsi" w:eastAsiaTheme="majorEastAsia" w:hAnsiTheme="minorHAnsi" w:cstheme="majorBidi"/>
          <w:color w:val="003865" w:themeColor="accent1"/>
          <w:sz w:val="32"/>
          <w:szCs w:val="32"/>
        </w:rPr>
      </w:pPr>
      <w:r w:rsidRPr="004C12C9">
        <w:br w:type="page"/>
      </w:r>
    </w:p>
    <w:p w14:paraId="5AC756F1" w14:textId="15D5F296" w:rsidR="00FC5F6E" w:rsidRPr="004C12C9" w:rsidRDefault="0002086D" w:rsidP="005D3020">
      <w:pPr>
        <w:pStyle w:val="Heading2"/>
      </w:pPr>
      <w:bookmarkStart w:id="271" w:name="_Toc219887789"/>
      <w:r w:rsidRPr="004C12C9">
        <w:lastRenderedPageBreak/>
        <w:t>Limitations</w:t>
      </w:r>
      <w:r w:rsidR="001E3D18" w:rsidRPr="004C12C9">
        <w:t xml:space="preserve"> and </w:t>
      </w:r>
      <w:r w:rsidR="00E44BF4" w:rsidRPr="004C12C9">
        <w:t xml:space="preserve">Future </w:t>
      </w:r>
      <w:r w:rsidR="00B85D5A" w:rsidRPr="004C12C9">
        <w:t>Improvement</w:t>
      </w:r>
      <w:r w:rsidR="00E44BF4" w:rsidRPr="004C12C9">
        <w:t>s</w:t>
      </w:r>
      <w:bookmarkEnd w:id="271"/>
      <w:r w:rsidR="00E44BF4" w:rsidRPr="004C12C9">
        <w:t xml:space="preserve"> </w:t>
      </w:r>
    </w:p>
    <w:p w14:paraId="072240AA" w14:textId="47D62E48" w:rsidR="007845A8" w:rsidRPr="004C12C9" w:rsidRDefault="007845A8" w:rsidP="007845A8">
      <w:pPr>
        <w:pStyle w:val="Heading3"/>
      </w:pPr>
      <w:bookmarkStart w:id="272" w:name="_Ref196900313"/>
      <w:bookmarkStart w:id="273" w:name="_Toc219887790"/>
      <w:r w:rsidRPr="004C12C9">
        <w:t>Limitations</w:t>
      </w:r>
      <w:bookmarkEnd w:id="272"/>
      <w:bookmarkEnd w:id="273"/>
    </w:p>
    <w:p w14:paraId="35B6BC41" w14:textId="320EE1CB" w:rsidR="00A45AA8" w:rsidRPr="004C12C9" w:rsidRDefault="0087743A" w:rsidP="00EC49C1">
      <w:r w:rsidRPr="004C12C9">
        <w:t>T</w:t>
      </w:r>
      <w:r w:rsidR="00B44603" w:rsidRPr="004C12C9">
        <w:t>he Minnesota Climate Calculator</w:t>
      </w:r>
      <w:r w:rsidR="0068632D" w:rsidRPr="004C12C9">
        <w:t xml:space="preserve"> </w:t>
      </w:r>
      <w:r w:rsidRPr="004C12C9">
        <w:t>is intended to be used to develop a reasonable estimate of GHG emissions from development projects in Minnesota.</w:t>
      </w:r>
      <w:r w:rsidR="00AF1429" w:rsidRPr="004C12C9">
        <w:t xml:space="preserve"> The results of the </w:t>
      </w:r>
      <w:r w:rsidR="00875484" w:rsidRPr="004C12C9">
        <w:t xml:space="preserve">calculator </w:t>
      </w:r>
      <w:r w:rsidR="00AF1429" w:rsidRPr="004C12C9">
        <w:t xml:space="preserve">are based on user inputs and </w:t>
      </w:r>
      <w:r w:rsidR="007912C7" w:rsidRPr="004C12C9">
        <w:t>various</w:t>
      </w:r>
      <w:r w:rsidR="00AF1429" w:rsidRPr="004C12C9">
        <w:t xml:space="preserve"> assumptions</w:t>
      </w:r>
      <w:r w:rsidR="00440B71" w:rsidRPr="004C12C9">
        <w:t>, as documented</w:t>
      </w:r>
      <w:r w:rsidR="001C2670" w:rsidRPr="004C12C9">
        <w:t xml:space="preserve"> above</w:t>
      </w:r>
      <w:r w:rsidR="00440B71" w:rsidRPr="004C12C9">
        <w:t xml:space="preserve"> in </w:t>
      </w:r>
      <w:r w:rsidR="007804DB" w:rsidRPr="004C12C9">
        <w:t>S</w:t>
      </w:r>
      <w:r w:rsidR="00154822" w:rsidRPr="004C12C9">
        <w:t>ection</w:t>
      </w:r>
      <w:r w:rsidR="007804DB" w:rsidRPr="004C12C9">
        <w:t xml:space="preserve">s </w:t>
      </w:r>
      <w:r w:rsidR="007804DB" w:rsidRPr="004C12C9">
        <w:fldChar w:fldCharType="begin" w:fldLock="1"/>
      </w:r>
      <w:r w:rsidR="007804DB" w:rsidRPr="004C12C9">
        <w:instrText xml:space="preserve"> REF _Ref196380762 \r \h </w:instrText>
      </w:r>
      <w:r w:rsidR="007804DB" w:rsidRPr="004C12C9">
        <w:fldChar w:fldCharType="separate"/>
      </w:r>
      <w:r w:rsidR="007804DB" w:rsidRPr="004C12C9">
        <w:t>2</w:t>
      </w:r>
      <w:r w:rsidR="007804DB" w:rsidRPr="004C12C9">
        <w:fldChar w:fldCharType="end"/>
      </w:r>
      <w:r w:rsidR="007804DB" w:rsidRPr="004C12C9">
        <w:t xml:space="preserve"> and </w:t>
      </w:r>
      <w:r w:rsidR="007804DB" w:rsidRPr="004C12C9">
        <w:fldChar w:fldCharType="begin" w:fldLock="1"/>
      </w:r>
      <w:r w:rsidR="007804DB" w:rsidRPr="004C12C9">
        <w:instrText xml:space="preserve"> REF _Ref196380770 \r \h </w:instrText>
      </w:r>
      <w:r w:rsidR="007804DB" w:rsidRPr="004C12C9">
        <w:fldChar w:fldCharType="separate"/>
      </w:r>
      <w:r w:rsidR="007804DB" w:rsidRPr="004C12C9">
        <w:t>3</w:t>
      </w:r>
      <w:r w:rsidR="007804DB" w:rsidRPr="004C12C9">
        <w:fldChar w:fldCharType="end"/>
      </w:r>
      <w:r w:rsidR="00D2628C" w:rsidRPr="004C12C9">
        <w:t xml:space="preserve">. </w:t>
      </w:r>
      <w:r w:rsidR="00833DA2" w:rsidRPr="004C12C9">
        <w:t>Actual project emissions</w:t>
      </w:r>
      <w:r w:rsidR="00A7497D" w:rsidRPr="004C12C9">
        <w:t xml:space="preserve"> </w:t>
      </w:r>
      <w:r w:rsidR="005B7AFC" w:rsidRPr="004C12C9">
        <w:t>are expected to</w:t>
      </w:r>
      <w:r w:rsidR="00A7497D" w:rsidRPr="004C12C9">
        <w:t xml:space="preserve"> vary based on project</w:t>
      </w:r>
      <w:r w:rsidR="00B85A2B" w:rsidRPr="004C12C9">
        <w:t>-specific</w:t>
      </w:r>
      <w:r w:rsidR="00A7497D" w:rsidRPr="004C12C9">
        <w:t xml:space="preserve"> conditions and measured </w:t>
      </w:r>
      <w:r w:rsidR="005B7AFC" w:rsidRPr="004C12C9">
        <w:t xml:space="preserve">activity </w:t>
      </w:r>
      <w:r w:rsidR="009312BE" w:rsidRPr="004C12C9">
        <w:t xml:space="preserve">data. </w:t>
      </w:r>
      <w:r w:rsidR="00190FA0" w:rsidRPr="004C12C9">
        <w:t xml:space="preserve">Limitations associated with </w:t>
      </w:r>
      <w:r w:rsidR="00467BE7" w:rsidRPr="004C12C9">
        <w:t xml:space="preserve">the </w:t>
      </w:r>
      <w:r w:rsidR="003A2E9E" w:rsidRPr="004C12C9">
        <w:t xml:space="preserve">methodologies </w:t>
      </w:r>
      <w:r w:rsidR="00BB000B" w:rsidRPr="004C12C9">
        <w:t>and assumptions applied</w:t>
      </w:r>
      <w:r w:rsidR="00AA08C5" w:rsidRPr="004C12C9">
        <w:t xml:space="preserve"> </w:t>
      </w:r>
      <w:r w:rsidR="00594106" w:rsidRPr="004C12C9">
        <w:t xml:space="preserve">by the </w:t>
      </w:r>
      <w:r w:rsidR="00875484" w:rsidRPr="004C12C9">
        <w:t xml:space="preserve">calculator </w:t>
      </w:r>
      <w:r w:rsidR="00594106" w:rsidRPr="004C12C9">
        <w:t xml:space="preserve">are discussed by emissions source in </w:t>
      </w:r>
      <w:r w:rsidR="00FE6754" w:rsidRPr="004C12C9">
        <w:t xml:space="preserve">Sections </w:t>
      </w:r>
      <w:r w:rsidR="00FE6754" w:rsidRPr="004C12C9">
        <w:fldChar w:fldCharType="begin" w:fldLock="1"/>
      </w:r>
      <w:r w:rsidR="00FE6754" w:rsidRPr="004C12C9">
        <w:instrText xml:space="preserve"> REF _Ref196380762 \r \h </w:instrText>
      </w:r>
      <w:r w:rsidR="00FE6754" w:rsidRPr="004C12C9">
        <w:fldChar w:fldCharType="separate"/>
      </w:r>
      <w:r w:rsidR="00FE6754" w:rsidRPr="004C12C9">
        <w:t>2</w:t>
      </w:r>
      <w:r w:rsidR="00FE6754" w:rsidRPr="004C12C9">
        <w:fldChar w:fldCharType="end"/>
      </w:r>
      <w:r w:rsidR="00FE6754" w:rsidRPr="004C12C9">
        <w:t xml:space="preserve"> and </w:t>
      </w:r>
      <w:r w:rsidR="00FE6754" w:rsidRPr="004C12C9">
        <w:fldChar w:fldCharType="begin" w:fldLock="1"/>
      </w:r>
      <w:r w:rsidR="00FE6754" w:rsidRPr="004C12C9">
        <w:instrText xml:space="preserve"> REF _Ref196380770 \r \h </w:instrText>
      </w:r>
      <w:r w:rsidR="00FE6754" w:rsidRPr="004C12C9">
        <w:fldChar w:fldCharType="separate"/>
      </w:r>
      <w:r w:rsidR="00FE6754" w:rsidRPr="004C12C9">
        <w:t>3</w:t>
      </w:r>
      <w:r w:rsidR="00FE6754" w:rsidRPr="004C12C9">
        <w:fldChar w:fldCharType="end"/>
      </w:r>
      <w:r w:rsidR="00594106" w:rsidRPr="004C12C9">
        <w:t xml:space="preserve">. </w:t>
      </w:r>
      <w:r w:rsidR="0095083C" w:rsidRPr="004C12C9">
        <w:t>In addition to source-specific limitations</w:t>
      </w:r>
      <w:r w:rsidR="00AF5EB4" w:rsidRPr="004C12C9">
        <w:t xml:space="preserve">, the </w:t>
      </w:r>
      <w:r w:rsidR="00875484" w:rsidRPr="004C12C9">
        <w:t xml:space="preserve">calculator </w:t>
      </w:r>
      <w:r w:rsidR="00AF5EB4" w:rsidRPr="004C12C9">
        <w:t xml:space="preserve">does not support quantification of emissions for all project categories and may not estimate all sources of GHG emissions that are applicable to </w:t>
      </w:r>
      <w:r w:rsidR="00AE6ED5" w:rsidRPr="004C12C9">
        <w:t>the</w:t>
      </w:r>
      <w:r w:rsidR="00AF5EB4" w:rsidRPr="004C12C9">
        <w:t xml:space="preserve"> project</w:t>
      </w:r>
      <w:r w:rsidR="0056265A" w:rsidRPr="004C12C9">
        <w:t xml:space="preserve">, as </w:t>
      </w:r>
      <w:r w:rsidR="004644CA" w:rsidRPr="004C12C9">
        <w:t xml:space="preserve">described in Section </w:t>
      </w:r>
      <w:r w:rsidR="004644CA" w:rsidRPr="004C12C9">
        <w:fldChar w:fldCharType="begin" w:fldLock="1"/>
      </w:r>
      <w:r w:rsidR="004644CA" w:rsidRPr="004C12C9">
        <w:instrText xml:space="preserve"> REF _Ref196380514 \r \h </w:instrText>
      </w:r>
      <w:r w:rsidR="004644CA" w:rsidRPr="004C12C9">
        <w:fldChar w:fldCharType="separate"/>
      </w:r>
      <w:r w:rsidR="004644CA" w:rsidRPr="004C12C9">
        <w:t>1.3</w:t>
      </w:r>
      <w:r w:rsidR="004644CA" w:rsidRPr="004C12C9">
        <w:fldChar w:fldCharType="end"/>
      </w:r>
      <w:r w:rsidR="00A45AA8" w:rsidRPr="004C12C9">
        <w:t>.</w:t>
      </w:r>
      <w:r w:rsidR="00A7263E" w:rsidRPr="004C12C9">
        <w:t xml:space="preserve"> </w:t>
      </w:r>
      <w:r w:rsidR="00D06183" w:rsidRPr="004C12C9">
        <w:t>Furthermore</w:t>
      </w:r>
      <w:r w:rsidR="003D0976" w:rsidRPr="004C12C9">
        <w:t xml:space="preserve">, the </w:t>
      </w:r>
      <w:r w:rsidR="00875484" w:rsidRPr="004C12C9">
        <w:t xml:space="preserve">calculator </w:t>
      </w:r>
      <w:r w:rsidR="003D0976" w:rsidRPr="004C12C9">
        <w:t>does not quantify emission offsets</w:t>
      </w:r>
      <w:r w:rsidR="00CD3A89" w:rsidRPr="004C12C9">
        <w:t xml:space="preserve"> </w:t>
      </w:r>
      <w:r w:rsidR="00B307FD" w:rsidRPr="004C12C9">
        <w:t xml:space="preserve">or </w:t>
      </w:r>
      <w:r w:rsidR="009E2BE5" w:rsidRPr="004C12C9">
        <w:t xml:space="preserve">(in most cases) </w:t>
      </w:r>
      <w:r w:rsidR="00B307FD" w:rsidRPr="004C12C9">
        <w:t>mitigation measures</w:t>
      </w:r>
      <w:r w:rsidR="009F7BE0" w:rsidRPr="004C12C9">
        <w:t>.</w:t>
      </w:r>
      <w:r w:rsidR="00A7263E" w:rsidRPr="004C12C9">
        <w:t xml:space="preserve"> In some cases</w:t>
      </w:r>
      <w:r w:rsidR="000A0E97" w:rsidRPr="004C12C9">
        <w:t xml:space="preserve">, these </w:t>
      </w:r>
      <w:r w:rsidR="0031583C" w:rsidRPr="004C12C9">
        <w:t xml:space="preserve">limitations </w:t>
      </w:r>
      <w:r w:rsidR="00DA0F27" w:rsidRPr="004C12C9">
        <w:t xml:space="preserve">are </w:t>
      </w:r>
      <w:r w:rsidR="00A66E94" w:rsidRPr="004C12C9">
        <w:t>the</w:t>
      </w:r>
      <w:r w:rsidR="00DA0F27" w:rsidRPr="004C12C9">
        <w:t xml:space="preserve"> result of intentiona</w:t>
      </w:r>
      <w:r w:rsidR="003710D7" w:rsidRPr="004C12C9">
        <w:t xml:space="preserve">l </w:t>
      </w:r>
      <w:r w:rsidR="00A66E94" w:rsidRPr="004C12C9">
        <w:t xml:space="preserve">decisions regarding the </w:t>
      </w:r>
      <w:r w:rsidR="003710D7" w:rsidRPr="004C12C9">
        <w:t xml:space="preserve">design and scope </w:t>
      </w:r>
      <w:r w:rsidR="00A66E94" w:rsidRPr="004C12C9">
        <w:t xml:space="preserve">of the </w:t>
      </w:r>
      <w:r w:rsidR="00875484" w:rsidRPr="004C12C9">
        <w:t>calculator</w:t>
      </w:r>
      <w:r w:rsidR="00A66E94" w:rsidRPr="004C12C9">
        <w:t>. I</w:t>
      </w:r>
      <w:r w:rsidR="0031583C" w:rsidRPr="004C12C9">
        <w:t>n other cases</w:t>
      </w:r>
      <w:r w:rsidR="00A54C81" w:rsidRPr="004C12C9">
        <w:t xml:space="preserve">, these limitations </w:t>
      </w:r>
      <w:r w:rsidR="001A629B" w:rsidRPr="004C12C9">
        <w:t xml:space="preserve">are due to resource </w:t>
      </w:r>
      <w:r w:rsidR="0076239B" w:rsidRPr="004C12C9">
        <w:t>constraints</w:t>
      </w:r>
      <w:r w:rsidR="005256FF" w:rsidRPr="004C12C9">
        <w:t xml:space="preserve"> and the intention to </w:t>
      </w:r>
      <w:r w:rsidR="00ED0193" w:rsidRPr="004C12C9">
        <w:t xml:space="preserve">build on and expand the </w:t>
      </w:r>
      <w:r w:rsidR="00281A21" w:rsidRPr="004C12C9">
        <w:t xml:space="preserve">calculator </w:t>
      </w:r>
      <w:r w:rsidR="00ED0193" w:rsidRPr="004C12C9">
        <w:t>in the future</w:t>
      </w:r>
      <w:r w:rsidR="0031583C" w:rsidRPr="004C12C9">
        <w:t xml:space="preserve">. </w:t>
      </w:r>
      <w:r w:rsidR="00711CCC" w:rsidRPr="004C12C9">
        <w:t xml:space="preserve">A summary of key </w:t>
      </w:r>
      <w:r w:rsidR="00F417E7" w:rsidRPr="004C12C9">
        <w:t xml:space="preserve">calculator </w:t>
      </w:r>
      <w:r w:rsidR="00711CCC" w:rsidRPr="004C12C9">
        <w:t xml:space="preserve">limitations is provided </w:t>
      </w:r>
      <w:r w:rsidR="00496CC8" w:rsidRPr="004C12C9">
        <w:t xml:space="preserve">below. </w:t>
      </w:r>
    </w:p>
    <w:p w14:paraId="3401B22D" w14:textId="21A4B42D" w:rsidR="0087743A" w:rsidRPr="004C12C9" w:rsidRDefault="00CB747B" w:rsidP="003B5F7F">
      <w:pPr>
        <w:pStyle w:val="ListParagraph"/>
        <w:numPr>
          <w:ilvl w:val="0"/>
          <w:numId w:val="37"/>
        </w:numPr>
        <w:contextualSpacing w:val="0"/>
      </w:pPr>
      <w:r w:rsidRPr="004C12C9">
        <w:rPr>
          <w:b/>
          <w:bCs/>
        </w:rPr>
        <w:t>Emission Source Exclusions:</w:t>
      </w:r>
      <w:r w:rsidRPr="004C12C9">
        <w:t xml:space="preserve"> </w:t>
      </w:r>
      <w:r w:rsidR="005A30C2" w:rsidRPr="004C12C9">
        <w:t xml:space="preserve">Emission sources that are not </w:t>
      </w:r>
      <w:r w:rsidR="0055545A" w:rsidRPr="004C12C9">
        <w:t xml:space="preserve">currently </w:t>
      </w:r>
      <w:r w:rsidR="005A30C2" w:rsidRPr="004C12C9">
        <w:t xml:space="preserve">quantified in the </w:t>
      </w:r>
      <w:r w:rsidR="00875484" w:rsidRPr="004C12C9">
        <w:t xml:space="preserve">calculator </w:t>
      </w:r>
      <w:r w:rsidR="005A30C2" w:rsidRPr="004C12C9">
        <w:t>include operational material inputs and transportation of material inputs; SF</w:t>
      </w:r>
      <w:r w:rsidR="005A30C2" w:rsidRPr="004C12C9">
        <w:rPr>
          <w:vertAlign w:val="subscript"/>
        </w:rPr>
        <w:t>6</w:t>
      </w:r>
      <w:r w:rsidR="005A30C2" w:rsidRPr="004C12C9">
        <w:t xml:space="preserve"> emissions from electrical transmission and distribution equipment; employee commuting during project operation; operational maintenance activities; changes in off-road vehicle, aircraft, or watercraft usage during project operation; and consumption of products generated. These emission sources were deprioritized due to </w:t>
      </w:r>
      <w:r w:rsidR="00751891" w:rsidRPr="004C12C9">
        <w:t>resource</w:t>
      </w:r>
      <w:r w:rsidR="005A30C2" w:rsidRPr="004C12C9">
        <w:t xml:space="preserve"> constraints and other factors such as difficulty in defining activities, expected magnitude of emissions, applicability across project types, and feasibility of accurate quantification</w:t>
      </w:r>
      <w:r w:rsidR="001A4A41" w:rsidRPr="004C12C9">
        <w:t>.</w:t>
      </w:r>
      <w:r w:rsidR="005A30C2" w:rsidRPr="004C12C9">
        <w:t xml:space="preserve"> Users of the </w:t>
      </w:r>
      <w:r w:rsidR="00F417E7" w:rsidRPr="004C12C9">
        <w:t xml:space="preserve">calculator </w:t>
      </w:r>
      <w:r w:rsidR="005A30C2" w:rsidRPr="004C12C9">
        <w:t>are encouraged to assess and disclos</w:t>
      </w:r>
      <w:r w:rsidR="00C07B4B" w:rsidRPr="004C12C9">
        <w:t>e</w:t>
      </w:r>
      <w:r w:rsidR="005A30C2" w:rsidRPr="004C12C9">
        <w:t xml:space="preserve"> emissions from sources not covered by the </w:t>
      </w:r>
      <w:r w:rsidR="00F417E7" w:rsidRPr="004C12C9">
        <w:t xml:space="preserve">calculator </w:t>
      </w:r>
      <w:r w:rsidR="005A30C2" w:rsidRPr="004C12C9">
        <w:t>in their assessment of GHG emissions impact, to the extent possible.</w:t>
      </w:r>
      <w:r w:rsidR="00527521" w:rsidRPr="004C12C9">
        <w:t xml:space="preserve"> </w:t>
      </w:r>
    </w:p>
    <w:p w14:paraId="787C9C3F" w14:textId="20B47DD9" w:rsidR="00225255" w:rsidRPr="004C12C9" w:rsidRDefault="00225255" w:rsidP="003B5F7F">
      <w:pPr>
        <w:pStyle w:val="ListParagraph"/>
        <w:numPr>
          <w:ilvl w:val="0"/>
          <w:numId w:val="37"/>
        </w:numPr>
        <w:contextualSpacing w:val="0"/>
      </w:pPr>
      <w:r w:rsidRPr="004C12C9">
        <w:rPr>
          <w:b/>
        </w:rPr>
        <w:t>Highway Projects:</w:t>
      </w:r>
      <w:r w:rsidRPr="004C12C9">
        <w:t xml:space="preserve"> This </w:t>
      </w:r>
      <w:r w:rsidR="00F417E7" w:rsidRPr="004C12C9">
        <w:t xml:space="preserve">calculator </w:t>
      </w:r>
      <w:r w:rsidRPr="004C12C9">
        <w:t xml:space="preserve">is not intended to estimate emissions for projects </w:t>
      </w:r>
      <w:r w:rsidR="00EC49C1" w:rsidRPr="004C12C9">
        <w:t>falling under subpart 22 (Highway projects).</w:t>
      </w:r>
      <w:r w:rsidRPr="004C12C9">
        <w:t xml:space="preserve"> Emissions from highway projects should be estimated using the M</w:t>
      </w:r>
      <w:r w:rsidR="00A707C1" w:rsidRPr="004C12C9">
        <w:t>ICE</w:t>
      </w:r>
      <w:r w:rsidRPr="004C12C9">
        <w:t xml:space="preserve"> Tool.</w:t>
      </w:r>
      <w:r w:rsidR="006334F0" w:rsidRPr="004C12C9">
        <w:rPr>
          <w:rStyle w:val="FootnoteReference"/>
        </w:rPr>
        <w:footnoteReference w:id="143"/>
      </w:r>
    </w:p>
    <w:p w14:paraId="6C704AD4" w14:textId="6C9E2040" w:rsidR="001F6182" w:rsidRPr="004C12C9" w:rsidRDefault="00AC79E2" w:rsidP="003B5F7F">
      <w:pPr>
        <w:pStyle w:val="ListParagraph"/>
        <w:numPr>
          <w:ilvl w:val="0"/>
          <w:numId w:val="37"/>
        </w:numPr>
        <w:contextualSpacing w:val="0"/>
      </w:pPr>
      <w:r w:rsidRPr="004C12C9">
        <w:rPr>
          <w:b/>
        </w:rPr>
        <w:t>Feedlot Projects:</w:t>
      </w:r>
      <w:r w:rsidRPr="004C12C9">
        <w:t xml:space="preserve"> </w:t>
      </w:r>
      <w:r w:rsidR="006C4917" w:rsidRPr="004C12C9">
        <w:t xml:space="preserve">MPCA </w:t>
      </w:r>
      <w:r w:rsidR="00BB2478" w:rsidRPr="004C12C9">
        <w:t>also</w:t>
      </w:r>
      <w:r w:rsidR="006C4917" w:rsidRPr="004C12C9">
        <w:t xml:space="preserve"> has a </w:t>
      </w:r>
      <w:r w:rsidR="00F417E7" w:rsidRPr="004C12C9">
        <w:t>calculator</w:t>
      </w:r>
      <w:r w:rsidR="002A197E" w:rsidRPr="004C12C9">
        <w:t>, the Animal Feedlot GHG Calculator,</w:t>
      </w:r>
      <w:r w:rsidR="006C4917" w:rsidRPr="004C12C9">
        <w:t xml:space="preserve"> available to support quantification of</w:t>
      </w:r>
      <w:r w:rsidRPr="004C12C9">
        <w:t xml:space="preserve"> </w:t>
      </w:r>
      <w:r w:rsidR="00D75B01" w:rsidRPr="004C12C9">
        <w:t xml:space="preserve">emissions from </w:t>
      </w:r>
      <w:r w:rsidR="00D676DE" w:rsidRPr="004C12C9">
        <w:t>feedlots.</w:t>
      </w:r>
      <w:r w:rsidR="00D676DE" w:rsidRPr="004C12C9">
        <w:rPr>
          <w:rStyle w:val="FootnoteReference"/>
        </w:rPr>
        <w:footnoteReference w:id="144"/>
      </w:r>
      <w:r w:rsidR="00D676DE" w:rsidRPr="004C12C9">
        <w:t xml:space="preserve"> </w:t>
      </w:r>
      <w:r w:rsidRPr="004C12C9">
        <w:t>Th</w:t>
      </w:r>
      <w:r w:rsidR="00735B3F" w:rsidRPr="004C12C9">
        <w:t>e Climate Calculator</w:t>
      </w:r>
      <w:r w:rsidR="0001127D" w:rsidRPr="004C12C9">
        <w:t xml:space="preserve"> </w:t>
      </w:r>
      <w:r w:rsidRPr="004C12C9">
        <w:t xml:space="preserve">generally aligns with the method employed by the </w:t>
      </w:r>
      <w:r w:rsidR="002E1DBB" w:rsidRPr="004C12C9">
        <w:t>Animal</w:t>
      </w:r>
      <w:r w:rsidRPr="004C12C9">
        <w:t xml:space="preserve"> Feedlot </w:t>
      </w:r>
      <w:r w:rsidR="002E1DBB" w:rsidRPr="004C12C9">
        <w:t>GHG</w:t>
      </w:r>
      <w:r w:rsidRPr="004C12C9">
        <w:t xml:space="preserve"> Calculator </w:t>
      </w:r>
      <w:r w:rsidR="007A40E2" w:rsidRPr="004C12C9">
        <w:t xml:space="preserve">by calculating both methane and nitrous oxide emissions from manure management and the land application of manure. However, unlike the Animal Feedlot GHG Calculator, this calculator quantifies </w:t>
      </w:r>
      <w:r w:rsidR="00B63913">
        <w:t>indirect N</w:t>
      </w:r>
      <w:r w:rsidR="00B63913" w:rsidRPr="004A4044">
        <w:rPr>
          <w:vertAlign w:val="subscript"/>
        </w:rPr>
        <w:t>2</w:t>
      </w:r>
      <w:r w:rsidR="00B63913">
        <w:t xml:space="preserve">O </w:t>
      </w:r>
      <w:r w:rsidR="00B63913" w:rsidRPr="004C12C9">
        <w:t xml:space="preserve">emissions </w:t>
      </w:r>
      <w:r w:rsidR="00B63913">
        <w:t>from manure management and direct and indirect N</w:t>
      </w:r>
      <w:r w:rsidR="00B63913" w:rsidRPr="004A4044">
        <w:rPr>
          <w:vertAlign w:val="subscript"/>
        </w:rPr>
        <w:t>2</w:t>
      </w:r>
      <w:r w:rsidR="00B63913">
        <w:t xml:space="preserve">O </w:t>
      </w:r>
      <w:r w:rsidR="00B63913" w:rsidRPr="004C12C9">
        <w:t xml:space="preserve">emissions from manure </w:t>
      </w:r>
      <w:r w:rsidR="00B63913">
        <w:t>deposited by grazing animals onto</w:t>
      </w:r>
      <w:r w:rsidR="00B63913" w:rsidRPr="004C12C9">
        <w:t xml:space="preserve"> pasture</w:t>
      </w:r>
      <w:r w:rsidR="007A40E2" w:rsidRPr="004C12C9">
        <w:t xml:space="preserve">, while it does not quantify emissions avoided from alfalfa. It also allows users to specify the portion of manure applied to land as a fertilizer. Furthermore, this calculator quantifies lifetime emissions, rather than emissions </w:t>
      </w:r>
      <w:r w:rsidR="007A40E2" w:rsidRPr="004C12C9">
        <w:lastRenderedPageBreak/>
        <w:t>for a single year, and does not adjust animal populations for aging, lifetimes shorter than one year, or loss of stock. Users should input population averages for the project lifetime that account for these factors.</w:t>
      </w:r>
    </w:p>
    <w:p w14:paraId="40B42CF0" w14:textId="4150E729" w:rsidR="001F6182" w:rsidRPr="004C12C9" w:rsidRDefault="001F6182" w:rsidP="003B5F7F">
      <w:pPr>
        <w:pStyle w:val="ListParagraph"/>
        <w:numPr>
          <w:ilvl w:val="0"/>
          <w:numId w:val="37"/>
        </w:numPr>
        <w:contextualSpacing w:val="0"/>
        <w:rPr>
          <w:b/>
        </w:rPr>
      </w:pPr>
      <w:r w:rsidRPr="004C12C9">
        <w:rPr>
          <w:b/>
        </w:rPr>
        <w:t xml:space="preserve">Offsets: </w:t>
      </w:r>
      <w:r w:rsidR="00401C21" w:rsidRPr="004C12C9">
        <w:rPr>
          <w:bCs/>
        </w:rPr>
        <w:t xml:space="preserve">Emission offsets refer to </w:t>
      </w:r>
      <w:r w:rsidR="00845B2C" w:rsidRPr="004C12C9">
        <w:rPr>
          <w:bCs/>
        </w:rPr>
        <w:t xml:space="preserve">emissions that are </w:t>
      </w:r>
      <w:r w:rsidR="009613F4" w:rsidRPr="004C12C9">
        <w:rPr>
          <w:bCs/>
        </w:rPr>
        <w:t xml:space="preserve">outside the scope of the project boundary </w:t>
      </w:r>
      <w:r w:rsidR="005B0D25" w:rsidRPr="004C12C9">
        <w:rPr>
          <w:bCs/>
        </w:rPr>
        <w:t>but are</w:t>
      </w:r>
      <w:r w:rsidR="005E553F" w:rsidRPr="004C12C9">
        <w:rPr>
          <w:bCs/>
        </w:rPr>
        <w:t xml:space="preserve"> </w:t>
      </w:r>
      <w:r w:rsidR="00845B2C" w:rsidRPr="004C12C9">
        <w:rPr>
          <w:bCs/>
        </w:rPr>
        <w:t xml:space="preserve">avoided </w:t>
      </w:r>
      <w:r w:rsidR="003723F1" w:rsidRPr="004C12C9">
        <w:rPr>
          <w:bCs/>
        </w:rPr>
        <w:t>as a result of project activities</w:t>
      </w:r>
      <w:r w:rsidR="00883F89" w:rsidRPr="004C12C9">
        <w:rPr>
          <w:bCs/>
        </w:rPr>
        <w:t xml:space="preserve">. </w:t>
      </w:r>
      <w:r w:rsidR="001D68C3" w:rsidRPr="004C12C9">
        <w:rPr>
          <w:bCs/>
        </w:rPr>
        <w:t>For example</w:t>
      </w:r>
      <w:r w:rsidR="00360585" w:rsidRPr="004C12C9">
        <w:rPr>
          <w:bCs/>
        </w:rPr>
        <w:t xml:space="preserve">, </w:t>
      </w:r>
      <w:r w:rsidR="00191E56" w:rsidRPr="004C12C9">
        <w:rPr>
          <w:bCs/>
        </w:rPr>
        <w:t xml:space="preserve">if </w:t>
      </w:r>
      <w:r w:rsidR="00EF5ACC" w:rsidRPr="004C12C9">
        <w:rPr>
          <w:bCs/>
        </w:rPr>
        <w:t>landfill</w:t>
      </w:r>
      <w:r w:rsidR="00191E56" w:rsidRPr="004C12C9">
        <w:rPr>
          <w:bCs/>
        </w:rPr>
        <w:t xml:space="preserve"> gas is collected at a landfill and then </w:t>
      </w:r>
      <w:r w:rsidR="002C0FF0" w:rsidRPr="004C12C9">
        <w:rPr>
          <w:bCs/>
        </w:rPr>
        <w:t xml:space="preserve">sold to another entity </w:t>
      </w:r>
      <w:r w:rsidR="00544EDB" w:rsidRPr="004C12C9">
        <w:rPr>
          <w:bCs/>
        </w:rPr>
        <w:t>and used</w:t>
      </w:r>
      <w:r w:rsidR="00BE79AE" w:rsidRPr="004C12C9">
        <w:rPr>
          <w:bCs/>
        </w:rPr>
        <w:t xml:space="preserve"> in the place of</w:t>
      </w:r>
      <w:r w:rsidR="00127A12" w:rsidRPr="004C12C9">
        <w:rPr>
          <w:bCs/>
        </w:rPr>
        <w:t xml:space="preserve"> conventional natural gas</w:t>
      </w:r>
      <w:r w:rsidR="008007E3" w:rsidRPr="004C12C9">
        <w:rPr>
          <w:bCs/>
        </w:rPr>
        <w:t>, the emissions avoided by not co</w:t>
      </w:r>
      <w:r w:rsidR="00ED6FB7" w:rsidRPr="004C12C9">
        <w:rPr>
          <w:bCs/>
        </w:rPr>
        <w:t>mbusting</w:t>
      </w:r>
      <w:r w:rsidR="008007E3" w:rsidRPr="004C12C9">
        <w:rPr>
          <w:bCs/>
        </w:rPr>
        <w:t xml:space="preserve"> </w:t>
      </w:r>
      <w:r w:rsidR="00AE6791" w:rsidRPr="004C12C9">
        <w:rPr>
          <w:bCs/>
        </w:rPr>
        <w:t xml:space="preserve">conventional natural gas </w:t>
      </w:r>
      <w:r w:rsidR="00B51B7D" w:rsidRPr="004C12C9">
        <w:rPr>
          <w:bCs/>
        </w:rPr>
        <w:t>are</w:t>
      </w:r>
      <w:r w:rsidR="00AE6791" w:rsidRPr="004C12C9">
        <w:rPr>
          <w:bCs/>
        </w:rPr>
        <w:t xml:space="preserve"> considered an offset.</w:t>
      </w:r>
      <w:r w:rsidR="00401C21" w:rsidRPr="004C12C9">
        <w:rPr>
          <w:b/>
        </w:rPr>
        <w:t xml:space="preserve"> </w:t>
      </w:r>
      <w:r w:rsidR="00336392" w:rsidRPr="004C12C9">
        <w:rPr>
          <w:bCs/>
        </w:rPr>
        <w:t xml:space="preserve">In general, offsets are not </w:t>
      </w:r>
      <w:r w:rsidR="00015CD4" w:rsidRPr="004C12C9">
        <w:rPr>
          <w:bCs/>
        </w:rPr>
        <w:t xml:space="preserve">currently </w:t>
      </w:r>
      <w:r w:rsidR="00B23516" w:rsidRPr="004C12C9">
        <w:rPr>
          <w:bCs/>
        </w:rPr>
        <w:t>included</w:t>
      </w:r>
      <w:r w:rsidR="00FA423A" w:rsidRPr="004C12C9">
        <w:rPr>
          <w:bCs/>
        </w:rPr>
        <w:t xml:space="preserve"> </w:t>
      </w:r>
      <w:r w:rsidR="00842309" w:rsidRPr="004C12C9">
        <w:rPr>
          <w:bCs/>
        </w:rPr>
        <w:t>as part of the</w:t>
      </w:r>
      <w:r w:rsidR="00B23516" w:rsidRPr="004C12C9">
        <w:rPr>
          <w:bCs/>
        </w:rPr>
        <w:t xml:space="preserve"> quantification methodologies </w:t>
      </w:r>
      <w:r w:rsidR="004658EB" w:rsidRPr="004C12C9">
        <w:rPr>
          <w:bCs/>
        </w:rPr>
        <w:t xml:space="preserve">within the </w:t>
      </w:r>
      <w:r w:rsidR="009F0307" w:rsidRPr="004C12C9">
        <w:t>calculator</w:t>
      </w:r>
      <w:r w:rsidR="009076D9" w:rsidRPr="004C12C9">
        <w:t xml:space="preserve">. </w:t>
      </w:r>
    </w:p>
    <w:p w14:paraId="08A485A5" w14:textId="5EBA2F3C" w:rsidR="00CC4D36" w:rsidRPr="004C12C9" w:rsidRDefault="00CC4D36" w:rsidP="003B5F7F">
      <w:pPr>
        <w:pStyle w:val="ListParagraph"/>
        <w:numPr>
          <w:ilvl w:val="0"/>
          <w:numId w:val="37"/>
        </w:numPr>
        <w:contextualSpacing w:val="0"/>
        <w:rPr>
          <w:bCs/>
        </w:rPr>
      </w:pPr>
      <w:r w:rsidRPr="004C12C9">
        <w:rPr>
          <w:b/>
        </w:rPr>
        <w:t xml:space="preserve">Double Counting: </w:t>
      </w:r>
      <w:r w:rsidR="00AB766F" w:rsidRPr="004C12C9">
        <w:rPr>
          <w:bCs/>
        </w:rPr>
        <w:t>E</w:t>
      </w:r>
      <w:r w:rsidRPr="004C12C9">
        <w:rPr>
          <w:bCs/>
        </w:rPr>
        <w:t xml:space="preserve">ffort </w:t>
      </w:r>
      <w:r w:rsidR="00AB766F" w:rsidRPr="004C12C9">
        <w:rPr>
          <w:bCs/>
        </w:rPr>
        <w:t xml:space="preserve">has been made </w:t>
      </w:r>
      <w:r w:rsidRPr="004C12C9">
        <w:rPr>
          <w:bCs/>
        </w:rPr>
        <w:t xml:space="preserve">to avoid </w:t>
      </w:r>
      <w:r w:rsidR="00A65EEB" w:rsidRPr="004C12C9">
        <w:rPr>
          <w:bCs/>
        </w:rPr>
        <w:t xml:space="preserve">the </w:t>
      </w:r>
      <w:r w:rsidRPr="004C12C9">
        <w:rPr>
          <w:bCs/>
        </w:rPr>
        <w:t>double counting</w:t>
      </w:r>
      <w:r w:rsidR="00AB766F" w:rsidRPr="004C12C9">
        <w:rPr>
          <w:bCs/>
        </w:rPr>
        <w:t xml:space="preserve"> of emissions across emission sources</w:t>
      </w:r>
      <w:r w:rsidRPr="004C12C9">
        <w:rPr>
          <w:bCs/>
        </w:rPr>
        <w:t xml:space="preserve">. However, users should assess the GHG emissions calculations by reviewing the included emission methodologies to determine if their specific project and </w:t>
      </w:r>
      <w:r w:rsidR="003B11F7" w:rsidRPr="004C12C9">
        <w:rPr>
          <w:bCs/>
        </w:rPr>
        <w:t xml:space="preserve">the </w:t>
      </w:r>
      <w:r w:rsidRPr="004C12C9">
        <w:rPr>
          <w:bCs/>
        </w:rPr>
        <w:t>included emission sources have any overlap.</w:t>
      </w:r>
    </w:p>
    <w:p w14:paraId="09320B51" w14:textId="322264F4" w:rsidR="00DA1350" w:rsidRPr="004C12C9" w:rsidRDefault="00120F55" w:rsidP="003B5F7F">
      <w:pPr>
        <w:pStyle w:val="ListParagraph"/>
        <w:numPr>
          <w:ilvl w:val="0"/>
          <w:numId w:val="37"/>
        </w:numPr>
        <w:contextualSpacing w:val="0"/>
        <w:rPr>
          <w:b/>
        </w:rPr>
      </w:pPr>
      <w:r w:rsidRPr="004C12C9">
        <w:rPr>
          <w:b/>
        </w:rPr>
        <w:t>Mitigation Quantification</w:t>
      </w:r>
      <w:r w:rsidR="004A1534" w:rsidRPr="004C12C9">
        <w:rPr>
          <w:b/>
        </w:rPr>
        <w:t>:</w:t>
      </w:r>
      <w:r w:rsidR="00496CC8" w:rsidRPr="004C12C9">
        <w:t xml:space="preserve"> </w:t>
      </w:r>
      <w:r w:rsidR="00DA1350" w:rsidRPr="004C12C9">
        <w:t xml:space="preserve">The </w:t>
      </w:r>
      <w:r w:rsidR="009F0307" w:rsidRPr="004C12C9">
        <w:t xml:space="preserve">calculator </w:t>
      </w:r>
      <w:r w:rsidR="003336D1">
        <w:t>quantifies</w:t>
      </w:r>
      <w:r w:rsidR="00553DC0">
        <w:t xml:space="preserve"> some</w:t>
      </w:r>
      <w:r w:rsidR="00DA1350" w:rsidRPr="004C12C9">
        <w:t xml:space="preserve"> potential GHG reductions achieved by user-selected measures. </w:t>
      </w:r>
      <w:r w:rsidR="00417708" w:rsidRPr="004C12C9">
        <w:t>Future</w:t>
      </w:r>
      <w:r w:rsidR="00DA1350" w:rsidRPr="004C12C9">
        <w:t xml:space="preserve"> updates to the </w:t>
      </w:r>
      <w:r w:rsidR="009F0307" w:rsidRPr="004C12C9">
        <w:t xml:space="preserve">calculator </w:t>
      </w:r>
      <w:r w:rsidR="00DA1350" w:rsidRPr="004C12C9">
        <w:t>may support</w:t>
      </w:r>
      <w:r w:rsidR="00553DC0">
        <w:t xml:space="preserve"> additional</w:t>
      </w:r>
      <w:r w:rsidR="00DA1350" w:rsidRPr="004C12C9">
        <w:t xml:space="preserve"> measure quantification. Until then, users may quantify potential GHG reductions of their selected measures by using the </w:t>
      </w:r>
      <w:r w:rsidR="009F0307" w:rsidRPr="004C12C9">
        <w:t xml:space="preserve">calculator </w:t>
      </w:r>
      <w:r w:rsidR="00DA1350" w:rsidRPr="004C12C9">
        <w:t>to run multiple scenarios and/or by using external resources</w:t>
      </w:r>
      <w:r w:rsidR="00B87F68" w:rsidRPr="004C12C9">
        <w:t xml:space="preserve">, as discussed in Section </w:t>
      </w:r>
      <w:r w:rsidR="00CF3028" w:rsidRPr="004C12C9">
        <w:fldChar w:fldCharType="begin" w:fldLock="1"/>
      </w:r>
      <w:r w:rsidR="00CF3028" w:rsidRPr="004C12C9">
        <w:instrText xml:space="preserve"> REF _Ref196896129 \r \h </w:instrText>
      </w:r>
      <w:r w:rsidR="00CF3028" w:rsidRPr="004C12C9">
        <w:fldChar w:fldCharType="separate"/>
      </w:r>
      <w:r w:rsidR="00CF3028" w:rsidRPr="004C12C9">
        <w:t>4.1</w:t>
      </w:r>
      <w:r w:rsidR="00CF3028" w:rsidRPr="004C12C9">
        <w:fldChar w:fldCharType="end"/>
      </w:r>
      <w:r w:rsidR="00DA1350" w:rsidRPr="004C12C9">
        <w:t>.</w:t>
      </w:r>
    </w:p>
    <w:p w14:paraId="55721DA9" w14:textId="1BE3F10A" w:rsidR="00101605" w:rsidRPr="004C12C9" w:rsidRDefault="00CE7B49" w:rsidP="002A7B28">
      <w:pPr>
        <w:pStyle w:val="Heading3"/>
      </w:pPr>
      <w:bookmarkStart w:id="274" w:name="_Toc219887791"/>
      <w:r w:rsidRPr="004C12C9">
        <w:t>Future Improvements</w:t>
      </w:r>
      <w:bookmarkEnd w:id="274"/>
    </w:p>
    <w:p w14:paraId="1FBD1E44" w14:textId="4407A53A" w:rsidR="00101605" w:rsidRPr="004C12C9" w:rsidRDefault="002E701C" w:rsidP="00101605">
      <w:r w:rsidRPr="004C12C9">
        <w:t xml:space="preserve">Development of this </w:t>
      </w:r>
      <w:r w:rsidR="009F0307" w:rsidRPr="004C12C9">
        <w:t xml:space="preserve">calculator </w:t>
      </w:r>
      <w:r w:rsidRPr="004C12C9">
        <w:t xml:space="preserve">is </w:t>
      </w:r>
      <w:r w:rsidR="00CF3028" w:rsidRPr="004C12C9">
        <w:t xml:space="preserve">considered </w:t>
      </w:r>
      <w:r w:rsidRPr="004C12C9">
        <w:t>a first step to</w:t>
      </w:r>
      <w:r w:rsidR="00A53766" w:rsidRPr="004C12C9">
        <w:t xml:space="preserve"> making</w:t>
      </w:r>
      <w:r w:rsidR="004E5AA6" w:rsidRPr="004C12C9">
        <w:t xml:space="preserve"> the process of answering EAW </w:t>
      </w:r>
      <w:r w:rsidR="003B11F7" w:rsidRPr="004C12C9">
        <w:t>items</w:t>
      </w:r>
      <w:r w:rsidR="004E5AA6" w:rsidRPr="004C12C9">
        <w:t xml:space="preserve"> 7 and 18 more efficient, effective, and consistent</w:t>
      </w:r>
      <w:r w:rsidR="0013623E" w:rsidRPr="004C12C9">
        <w:t xml:space="preserve">. </w:t>
      </w:r>
      <w:r w:rsidR="00077BB9" w:rsidRPr="004C12C9">
        <w:t xml:space="preserve">Future updates to the </w:t>
      </w:r>
      <w:r w:rsidR="009F0307" w:rsidRPr="004C12C9">
        <w:t xml:space="preserve">calculator </w:t>
      </w:r>
      <w:r w:rsidR="00077BB9" w:rsidRPr="004C12C9">
        <w:t xml:space="preserve">are </w:t>
      </w:r>
      <w:r w:rsidR="00CD06D2" w:rsidRPr="004C12C9">
        <w:t xml:space="preserve">expected to further </w:t>
      </w:r>
      <w:r w:rsidR="000060E3" w:rsidRPr="004C12C9">
        <w:t>refine and tailor the methodologies</w:t>
      </w:r>
      <w:r w:rsidR="007646E8" w:rsidRPr="004C12C9">
        <w:t xml:space="preserve"> </w:t>
      </w:r>
      <w:r w:rsidR="004C6DC3" w:rsidRPr="004C12C9">
        <w:t xml:space="preserve">and assumptions </w:t>
      </w:r>
      <w:r w:rsidR="007646E8" w:rsidRPr="004C12C9">
        <w:t>for quantifying emissions for projects in Minnesota</w:t>
      </w:r>
      <w:r w:rsidR="006631AC" w:rsidRPr="004C12C9">
        <w:t xml:space="preserve">, expand the </w:t>
      </w:r>
      <w:r w:rsidR="007737C7" w:rsidRPr="004C12C9">
        <w:t xml:space="preserve">scope of the </w:t>
      </w:r>
      <w:r w:rsidR="009F013D" w:rsidRPr="004C12C9">
        <w:t>emission sources quantified</w:t>
      </w:r>
      <w:r w:rsidR="00303C4E" w:rsidRPr="004C12C9">
        <w:t xml:space="preserve">, and </w:t>
      </w:r>
      <w:r w:rsidR="002C25A4" w:rsidRPr="004C12C9">
        <w:t xml:space="preserve">expand the </w:t>
      </w:r>
      <w:r w:rsidR="007916D0" w:rsidRPr="004C12C9">
        <w:t>analytical</w:t>
      </w:r>
      <w:r w:rsidR="00303C4E" w:rsidRPr="004C12C9">
        <w:t xml:space="preserve"> </w:t>
      </w:r>
      <w:r w:rsidR="002B649B" w:rsidRPr="004C12C9">
        <w:t xml:space="preserve">capabilities and data visualizations within the </w:t>
      </w:r>
      <w:r w:rsidR="009F0307" w:rsidRPr="004C12C9">
        <w:t>calculator</w:t>
      </w:r>
      <w:r w:rsidR="002B649B" w:rsidRPr="004C12C9">
        <w:t>.</w:t>
      </w:r>
      <w:r w:rsidR="00B32150" w:rsidRPr="004C12C9">
        <w:t xml:space="preserve"> </w:t>
      </w:r>
      <w:r w:rsidR="00101605" w:rsidRPr="004C12C9">
        <w:t xml:space="preserve">Priority areas for </w:t>
      </w:r>
      <w:r w:rsidR="001A2485" w:rsidRPr="004C12C9">
        <w:t>refinement</w:t>
      </w:r>
      <w:r w:rsidR="00EA55A6" w:rsidRPr="004C12C9">
        <w:t xml:space="preserve"> or </w:t>
      </w:r>
      <w:r w:rsidR="00101605" w:rsidRPr="004C12C9">
        <w:t>expansion include</w:t>
      </w:r>
      <w:r w:rsidR="00937355" w:rsidRPr="004C12C9">
        <w:t xml:space="preserve"> the following</w:t>
      </w:r>
      <w:r w:rsidR="00101605" w:rsidRPr="004C12C9">
        <w:t>:</w:t>
      </w:r>
    </w:p>
    <w:p w14:paraId="1FC0D320" w14:textId="003A9CE8" w:rsidR="00FD5A1A" w:rsidRPr="004C12C9" w:rsidRDefault="000A3B1C" w:rsidP="003B5F7F">
      <w:pPr>
        <w:numPr>
          <w:ilvl w:val="0"/>
          <w:numId w:val="33"/>
        </w:numPr>
      </w:pPr>
      <w:r w:rsidRPr="004C12C9">
        <w:rPr>
          <w:b/>
          <w:bCs/>
        </w:rPr>
        <w:t>Revise Methodologies for Existing Emission Sources.</w:t>
      </w:r>
      <w:r w:rsidRPr="004C12C9">
        <w:t xml:space="preserve"> </w:t>
      </w:r>
      <w:r w:rsidR="000A78A0" w:rsidRPr="004C12C9">
        <w:t xml:space="preserve">The methodologies </w:t>
      </w:r>
      <w:r w:rsidR="00971E34" w:rsidRPr="004C12C9">
        <w:t xml:space="preserve">developed for the </w:t>
      </w:r>
      <w:r w:rsidR="00541146" w:rsidRPr="004C12C9">
        <w:t xml:space="preserve">emission sources included in the </w:t>
      </w:r>
      <w:r w:rsidR="009F0307" w:rsidRPr="004C12C9">
        <w:t xml:space="preserve">calculator </w:t>
      </w:r>
      <w:r w:rsidR="00255BFD" w:rsidRPr="004C12C9">
        <w:t>considered</w:t>
      </w:r>
      <w:r w:rsidR="000C5552" w:rsidRPr="004C12C9">
        <w:t xml:space="preserve"> data availability and </w:t>
      </w:r>
      <w:r w:rsidR="00616C6C" w:rsidRPr="004C12C9">
        <w:t xml:space="preserve">tradeoffs between </w:t>
      </w:r>
      <w:r w:rsidR="00DB2415" w:rsidRPr="004C12C9">
        <w:t>accuracy</w:t>
      </w:r>
      <w:r w:rsidR="00E96491" w:rsidRPr="004C12C9">
        <w:t xml:space="preserve"> and complexity. </w:t>
      </w:r>
      <w:r w:rsidR="00B5576F" w:rsidRPr="004C12C9">
        <w:t>Simplified approaches were adopted</w:t>
      </w:r>
      <w:r w:rsidR="00A86EEA" w:rsidRPr="004C12C9">
        <w:t xml:space="preserve"> to </w:t>
      </w:r>
      <w:r w:rsidR="00255BFD" w:rsidRPr="004C12C9">
        <w:t>make the calculator eas</w:t>
      </w:r>
      <w:r w:rsidR="00EB4D39" w:rsidRPr="004C12C9">
        <w:t>y</w:t>
      </w:r>
      <w:r w:rsidR="00513196" w:rsidRPr="004C12C9">
        <w:t xml:space="preserve"> to use </w:t>
      </w:r>
      <w:r w:rsidR="0090613B" w:rsidRPr="004C12C9">
        <w:t xml:space="preserve">but </w:t>
      </w:r>
      <w:r w:rsidR="00680C68" w:rsidRPr="004C12C9">
        <w:t xml:space="preserve">at the same time </w:t>
      </w:r>
      <w:r w:rsidR="00C32055" w:rsidRPr="004C12C9">
        <w:t xml:space="preserve">may </w:t>
      </w:r>
      <w:r w:rsidR="008C47CB" w:rsidRPr="004C12C9">
        <w:t>limit</w:t>
      </w:r>
      <w:r w:rsidR="0090613B" w:rsidRPr="004C12C9">
        <w:t xml:space="preserve"> the ability for users to </w:t>
      </w:r>
      <w:r w:rsidR="00576CDC" w:rsidRPr="004C12C9">
        <w:t xml:space="preserve">tailor the information to </w:t>
      </w:r>
      <w:r w:rsidR="00C50569" w:rsidRPr="004C12C9">
        <w:t xml:space="preserve">reflect the specific circumstances of </w:t>
      </w:r>
      <w:r w:rsidR="00576CDC" w:rsidRPr="004C12C9">
        <w:t>their project.</w:t>
      </w:r>
      <w:r w:rsidR="00BE426A" w:rsidRPr="004C12C9">
        <w:t xml:space="preserve"> </w:t>
      </w:r>
      <w:r w:rsidR="00072411" w:rsidRPr="004C12C9">
        <w:t>Based on user feedback, u</w:t>
      </w:r>
      <w:r w:rsidR="00BE426A" w:rsidRPr="004C12C9">
        <w:t xml:space="preserve">pdates should be made </w:t>
      </w:r>
      <w:r w:rsidR="00AD64F1" w:rsidRPr="004C12C9">
        <w:t>to existing methodologies to allow for better flexibility</w:t>
      </w:r>
      <w:r w:rsidR="001802D9" w:rsidRPr="004C12C9">
        <w:t xml:space="preserve"> in what data are provided</w:t>
      </w:r>
      <w:r w:rsidR="00542CBF" w:rsidRPr="004C12C9">
        <w:t>.</w:t>
      </w:r>
      <w:r w:rsidR="00CD54E9" w:rsidRPr="004C12C9">
        <w:t xml:space="preserve"> </w:t>
      </w:r>
      <w:r w:rsidR="001D3AF5" w:rsidRPr="004C12C9">
        <w:t xml:space="preserve">The inclusion of offsets may also be considered to </w:t>
      </w:r>
      <w:r w:rsidR="00FE54B4" w:rsidRPr="004C12C9">
        <w:t xml:space="preserve">account for </w:t>
      </w:r>
      <w:r w:rsidR="00CF7AD8" w:rsidRPr="004C12C9">
        <w:t>emission reduction</w:t>
      </w:r>
      <w:r w:rsidR="002E3ADD" w:rsidRPr="004C12C9">
        <w:t xml:space="preserve"> benefits </w:t>
      </w:r>
      <w:r w:rsidR="00CF7AD8" w:rsidRPr="004C12C9">
        <w:t xml:space="preserve">that are </w:t>
      </w:r>
      <w:r w:rsidR="002E3ADD" w:rsidRPr="004C12C9">
        <w:t xml:space="preserve">otherwise </w:t>
      </w:r>
      <w:r w:rsidR="00872B14" w:rsidRPr="004C12C9">
        <w:t xml:space="preserve">considered </w:t>
      </w:r>
      <w:r w:rsidR="00CF7AD8" w:rsidRPr="004C12C9">
        <w:t xml:space="preserve">outside the project </w:t>
      </w:r>
      <w:r w:rsidR="00872B14" w:rsidRPr="004C12C9">
        <w:t xml:space="preserve">quantification </w:t>
      </w:r>
      <w:r w:rsidR="00CF7AD8" w:rsidRPr="004C12C9">
        <w:t xml:space="preserve">boundary. </w:t>
      </w:r>
    </w:p>
    <w:p w14:paraId="0F1F7154" w14:textId="6AF377E7" w:rsidR="00A12CBB" w:rsidRPr="004C12C9" w:rsidRDefault="00554411" w:rsidP="003B5F7F">
      <w:pPr>
        <w:pStyle w:val="ListParagraph"/>
        <w:numPr>
          <w:ilvl w:val="0"/>
          <w:numId w:val="33"/>
        </w:numPr>
        <w:contextualSpacing w:val="0"/>
        <w:rPr>
          <w:b/>
        </w:rPr>
      </w:pPr>
      <w:r w:rsidRPr="004C12C9">
        <w:rPr>
          <w:b/>
          <w:bCs/>
        </w:rPr>
        <w:t>Updat</w:t>
      </w:r>
      <w:r w:rsidR="009B0EC0" w:rsidRPr="004C12C9">
        <w:rPr>
          <w:b/>
          <w:bCs/>
        </w:rPr>
        <w:t>e</w:t>
      </w:r>
      <w:r w:rsidR="00D5670C" w:rsidRPr="004C12C9">
        <w:rPr>
          <w:b/>
          <w:bCs/>
        </w:rPr>
        <w:t xml:space="preserve"> and</w:t>
      </w:r>
      <w:r w:rsidR="009B0EC0" w:rsidRPr="004C12C9">
        <w:rPr>
          <w:b/>
          <w:bCs/>
        </w:rPr>
        <w:t xml:space="preserve"> Expand</w:t>
      </w:r>
      <w:r w:rsidR="00D5670C" w:rsidRPr="004C12C9">
        <w:rPr>
          <w:b/>
          <w:bCs/>
        </w:rPr>
        <w:t xml:space="preserve"> </w:t>
      </w:r>
      <w:r w:rsidRPr="004C12C9">
        <w:rPr>
          <w:b/>
          <w:bCs/>
        </w:rPr>
        <w:t xml:space="preserve">Default </w:t>
      </w:r>
      <w:r w:rsidR="009B0EC0" w:rsidRPr="004C12C9">
        <w:rPr>
          <w:b/>
          <w:bCs/>
        </w:rPr>
        <w:t>Assumption</w:t>
      </w:r>
      <w:r w:rsidRPr="004C12C9">
        <w:rPr>
          <w:b/>
          <w:bCs/>
        </w:rPr>
        <w:t>s</w:t>
      </w:r>
      <w:r w:rsidR="009B0EC0" w:rsidRPr="004C12C9">
        <w:rPr>
          <w:b/>
        </w:rPr>
        <w:t>.</w:t>
      </w:r>
      <w:r w:rsidRPr="004C12C9">
        <w:rPr>
          <w:b/>
        </w:rPr>
        <w:t xml:space="preserve"> </w:t>
      </w:r>
      <w:r w:rsidRPr="004C12C9">
        <w:t>Default</w:t>
      </w:r>
      <w:r w:rsidR="009A6760" w:rsidRPr="004C12C9">
        <w:t xml:space="preserve"> assumptions we</w:t>
      </w:r>
      <w:r w:rsidRPr="004C12C9">
        <w:t xml:space="preserve">re developed to </w:t>
      </w:r>
      <w:r w:rsidR="00AA5E18" w:rsidRPr="004C12C9">
        <w:t xml:space="preserve">reduce </w:t>
      </w:r>
      <w:r w:rsidR="00783CB8" w:rsidRPr="004C12C9">
        <w:t xml:space="preserve">the </w:t>
      </w:r>
      <w:r w:rsidR="00AA5E18" w:rsidRPr="004C12C9">
        <w:t>burden on user</w:t>
      </w:r>
      <w:r w:rsidR="00F11DCB" w:rsidRPr="004C12C9">
        <w:t>s</w:t>
      </w:r>
      <w:r w:rsidR="00AA5E18" w:rsidRPr="004C12C9">
        <w:t xml:space="preserve"> to provide </w:t>
      </w:r>
      <w:r w:rsidR="00C47304" w:rsidRPr="004C12C9">
        <w:t>data</w:t>
      </w:r>
      <w:r w:rsidRPr="004C12C9">
        <w:t>.</w:t>
      </w:r>
      <w:r w:rsidR="00C47304" w:rsidRPr="004C12C9">
        <w:t xml:space="preserve"> In some cases, default assumptions in the </w:t>
      </w:r>
      <w:r w:rsidR="009F0307" w:rsidRPr="004C12C9">
        <w:t xml:space="preserve">calculator </w:t>
      </w:r>
      <w:r w:rsidR="00C47304" w:rsidRPr="004C12C9">
        <w:t>may be overridden or adjusted by the user.</w:t>
      </w:r>
      <w:r w:rsidRPr="004C12C9">
        <w:t xml:space="preserve"> </w:t>
      </w:r>
      <w:r w:rsidR="00BB4194" w:rsidRPr="004C12C9">
        <w:t xml:space="preserve">The quality and specificity of the default assumptions are dependent </w:t>
      </w:r>
      <w:r w:rsidR="003F6D95" w:rsidRPr="004C12C9">
        <w:t>on</w:t>
      </w:r>
      <w:r w:rsidR="00BB4194" w:rsidRPr="004C12C9">
        <w:t xml:space="preserve"> data availability. </w:t>
      </w:r>
      <w:r w:rsidR="00CE186D" w:rsidRPr="004C12C9">
        <w:t xml:space="preserve">Updates to default assumptions should be considered </w:t>
      </w:r>
      <w:r w:rsidR="00CF11CF" w:rsidRPr="004C12C9">
        <w:t xml:space="preserve">where new or better </w:t>
      </w:r>
      <w:r w:rsidR="00C106AE" w:rsidRPr="004C12C9">
        <w:t xml:space="preserve">(e.g., Minnesota-specific) </w:t>
      </w:r>
      <w:r w:rsidR="00CF11CF" w:rsidRPr="004C12C9">
        <w:t xml:space="preserve">data </w:t>
      </w:r>
      <w:r w:rsidR="002E3CD9" w:rsidRPr="004C12C9">
        <w:t>are identified</w:t>
      </w:r>
      <w:r w:rsidR="00487D41" w:rsidRPr="004C12C9">
        <w:t xml:space="preserve"> </w:t>
      </w:r>
      <w:r w:rsidR="00AC37D6" w:rsidRPr="004C12C9">
        <w:t>and</w:t>
      </w:r>
      <w:r w:rsidR="00487D41" w:rsidRPr="004C12C9">
        <w:t xml:space="preserve"> where </w:t>
      </w:r>
      <w:r w:rsidR="00BC72F7" w:rsidRPr="004C12C9">
        <w:t>it is</w:t>
      </w:r>
      <w:r w:rsidR="00107343" w:rsidRPr="004C12C9">
        <w:t xml:space="preserve"> particularly challenging for users to provide data</w:t>
      </w:r>
      <w:r w:rsidR="00CF11CF" w:rsidRPr="004C12C9">
        <w:t xml:space="preserve">. </w:t>
      </w:r>
      <w:r w:rsidR="00AC37D6" w:rsidRPr="004C12C9">
        <w:t xml:space="preserve">For example, </w:t>
      </w:r>
      <w:r w:rsidR="00FA44AE" w:rsidRPr="004C12C9">
        <w:t>development of emission factors for an expanded list of material inputs or industrial processes may be considered</w:t>
      </w:r>
      <w:r w:rsidR="00C35B29" w:rsidRPr="004C12C9">
        <w:t xml:space="preserve">, </w:t>
      </w:r>
      <w:r w:rsidR="00885396" w:rsidRPr="004C12C9">
        <w:t>along with</w:t>
      </w:r>
      <w:r w:rsidR="00351D9F" w:rsidRPr="004C12C9">
        <w:t xml:space="preserve"> </w:t>
      </w:r>
      <w:r w:rsidR="000470FA" w:rsidRPr="004C12C9">
        <w:t xml:space="preserve">the development of </w:t>
      </w:r>
      <w:r w:rsidR="00351D9F" w:rsidRPr="004C12C9">
        <w:t>assumptions for building subcategories</w:t>
      </w:r>
      <w:r w:rsidR="00885396" w:rsidRPr="004C12C9">
        <w:t>.</w:t>
      </w:r>
      <w:r w:rsidR="00E65CAF" w:rsidRPr="004C12C9">
        <w:t xml:space="preserve"> </w:t>
      </w:r>
      <w:r w:rsidR="001D1F44" w:rsidRPr="004C12C9">
        <w:t xml:space="preserve">State-specific waste composition data could also be </w:t>
      </w:r>
      <w:r w:rsidR="00367DD6" w:rsidRPr="004C12C9">
        <w:t xml:space="preserve">used to </w:t>
      </w:r>
      <w:r w:rsidR="003D060A" w:rsidRPr="004C12C9">
        <w:t>tailor</w:t>
      </w:r>
      <w:r w:rsidR="00367DD6" w:rsidRPr="004C12C9">
        <w:t xml:space="preserve"> the emission factors </w:t>
      </w:r>
      <w:r w:rsidR="00B90948" w:rsidRPr="004C12C9">
        <w:t xml:space="preserve">associated with the </w:t>
      </w:r>
      <w:r w:rsidR="00B90948" w:rsidRPr="004C12C9">
        <w:lastRenderedPageBreak/>
        <w:t xml:space="preserve">treatment of </w:t>
      </w:r>
      <w:r w:rsidR="003D060A" w:rsidRPr="004C12C9">
        <w:t xml:space="preserve">mixed MSW. </w:t>
      </w:r>
      <w:r w:rsidR="00E65CAF" w:rsidRPr="004C12C9">
        <w:t xml:space="preserve">Targeted studies may also be considered to develop new </w:t>
      </w:r>
      <w:r w:rsidR="003E4251" w:rsidRPr="004C12C9">
        <w:t>default assumptions on material inputs</w:t>
      </w:r>
      <w:r w:rsidR="00051427" w:rsidRPr="004C12C9">
        <w:t xml:space="preserve"> or construction equipment </w:t>
      </w:r>
      <w:r w:rsidR="00A322F8" w:rsidRPr="004C12C9">
        <w:t>use.</w:t>
      </w:r>
    </w:p>
    <w:p w14:paraId="7D2FDA49" w14:textId="3E7DE344" w:rsidR="000A03C4" w:rsidRPr="004C12C9" w:rsidRDefault="000A03C4" w:rsidP="003B5F7F">
      <w:pPr>
        <w:pStyle w:val="ListParagraph"/>
        <w:numPr>
          <w:ilvl w:val="0"/>
          <w:numId w:val="33"/>
        </w:numPr>
        <w:contextualSpacing w:val="0"/>
        <w:rPr>
          <w:b/>
        </w:rPr>
      </w:pPr>
      <w:r w:rsidRPr="004C12C9">
        <w:rPr>
          <w:b/>
          <w:bCs/>
        </w:rPr>
        <w:t>Incorporate</w:t>
      </w:r>
      <w:r w:rsidRPr="004C12C9">
        <w:t xml:space="preserve"> </w:t>
      </w:r>
      <w:r w:rsidRPr="004C12C9">
        <w:rPr>
          <w:b/>
          <w:bCs/>
        </w:rPr>
        <w:t xml:space="preserve">Additional Emission Sources. </w:t>
      </w:r>
      <w:r w:rsidR="007D33F7" w:rsidRPr="004C12C9">
        <w:t>As d</w:t>
      </w:r>
      <w:r w:rsidR="00F649BD" w:rsidRPr="004C12C9">
        <w:t>escribed</w:t>
      </w:r>
      <w:r w:rsidR="007D33F7" w:rsidRPr="004C12C9">
        <w:t xml:space="preserve"> in the </w:t>
      </w:r>
      <w:r w:rsidR="00F649BD" w:rsidRPr="004C12C9">
        <w:fldChar w:fldCharType="begin" w:fldLock="1"/>
      </w:r>
      <w:r w:rsidR="00F649BD" w:rsidRPr="004C12C9">
        <w:instrText xml:space="preserve"> REF _Ref196900313 \h </w:instrText>
      </w:r>
      <w:r w:rsidR="00F649BD" w:rsidRPr="004C12C9">
        <w:fldChar w:fldCharType="separate"/>
      </w:r>
      <w:r w:rsidR="00F649BD" w:rsidRPr="004C12C9">
        <w:t>Limitations</w:t>
      </w:r>
      <w:r w:rsidR="00F649BD" w:rsidRPr="004C12C9">
        <w:fldChar w:fldCharType="end"/>
      </w:r>
      <w:r w:rsidR="00F649BD" w:rsidRPr="004C12C9">
        <w:t xml:space="preserve"> section</w:t>
      </w:r>
      <w:r w:rsidR="007D33F7" w:rsidRPr="004C12C9">
        <w:t xml:space="preserve"> above, some emission </w:t>
      </w:r>
      <w:r w:rsidRPr="004C12C9">
        <w:t>sources were excluded from th</w:t>
      </w:r>
      <w:r w:rsidR="00115125" w:rsidRPr="004C12C9">
        <w:t>e initial</w:t>
      </w:r>
      <w:r w:rsidRPr="004C12C9">
        <w:t xml:space="preserve"> version of the </w:t>
      </w:r>
      <w:r w:rsidR="009F0307" w:rsidRPr="004C12C9">
        <w:t xml:space="preserve">calculator </w:t>
      </w:r>
      <w:r w:rsidRPr="004C12C9">
        <w:t xml:space="preserve">due to a variety of factors. </w:t>
      </w:r>
      <w:r w:rsidR="008801E3" w:rsidRPr="004C12C9">
        <w:t>As feasible, t</w:t>
      </w:r>
      <w:r w:rsidR="00F40EB1" w:rsidRPr="004C12C9">
        <w:t xml:space="preserve">he </w:t>
      </w:r>
      <w:r w:rsidR="009F0307" w:rsidRPr="004C12C9">
        <w:t xml:space="preserve">calculator </w:t>
      </w:r>
      <w:r w:rsidR="00F40EB1" w:rsidRPr="004C12C9">
        <w:t>should be expanded to include the ability to quantify emissions from additional emission sources</w:t>
      </w:r>
      <w:r w:rsidR="00252E60" w:rsidRPr="004C12C9">
        <w:t xml:space="preserve">. </w:t>
      </w:r>
      <w:r w:rsidR="00DA762F" w:rsidRPr="004C12C9">
        <w:t>New e</w:t>
      </w:r>
      <w:r w:rsidR="00252E60" w:rsidRPr="004C12C9">
        <w:t xml:space="preserve">mission sources should be prioritized based on </w:t>
      </w:r>
      <w:r w:rsidR="00183153" w:rsidRPr="004C12C9">
        <w:t>user feedback</w:t>
      </w:r>
      <w:r w:rsidR="00DA762F" w:rsidRPr="004C12C9">
        <w:t xml:space="preserve">. For example, </w:t>
      </w:r>
      <w:r w:rsidR="001D2AB7" w:rsidRPr="004C12C9">
        <w:t xml:space="preserve">expansion of the </w:t>
      </w:r>
      <w:r w:rsidR="009F0307" w:rsidRPr="004C12C9">
        <w:t xml:space="preserve">calculator </w:t>
      </w:r>
      <w:r w:rsidR="008727C4" w:rsidRPr="004C12C9">
        <w:t>may</w:t>
      </w:r>
      <w:r w:rsidR="001D2AB7" w:rsidRPr="004C12C9">
        <w:t xml:space="preserve"> be considered to quantify </w:t>
      </w:r>
      <w:r w:rsidR="009A7335" w:rsidRPr="004C12C9">
        <w:t xml:space="preserve">the </w:t>
      </w:r>
      <w:r w:rsidR="002049D7" w:rsidRPr="004C12C9">
        <w:t xml:space="preserve">use of off-road equipment </w:t>
      </w:r>
      <w:r w:rsidR="00C8615E" w:rsidRPr="004C12C9">
        <w:t>and</w:t>
      </w:r>
      <w:r w:rsidR="00193FFF" w:rsidRPr="004C12C9">
        <w:t xml:space="preserve"> heavy-duty vehicles for maintenance and/or deliveries</w:t>
      </w:r>
      <w:r w:rsidR="00C8615E" w:rsidRPr="004C12C9">
        <w:t>.</w:t>
      </w:r>
    </w:p>
    <w:p w14:paraId="733F5AB8" w14:textId="6247A243" w:rsidR="00182202" w:rsidRPr="004C12C9" w:rsidRDefault="00313BB2" w:rsidP="003B5F7F">
      <w:pPr>
        <w:numPr>
          <w:ilvl w:val="0"/>
          <w:numId w:val="33"/>
        </w:numPr>
      </w:pPr>
      <w:r w:rsidRPr="004C12C9">
        <w:rPr>
          <w:b/>
          <w:bCs/>
        </w:rPr>
        <w:t>Quantif</w:t>
      </w:r>
      <w:r w:rsidR="00E66CEF" w:rsidRPr="004C12C9">
        <w:rPr>
          <w:b/>
          <w:bCs/>
        </w:rPr>
        <w:t xml:space="preserve">y </w:t>
      </w:r>
      <w:r w:rsidR="00237E2F" w:rsidRPr="004C12C9">
        <w:rPr>
          <w:b/>
          <w:bCs/>
        </w:rPr>
        <w:t xml:space="preserve">Mitigation </w:t>
      </w:r>
      <w:r w:rsidR="00937934" w:rsidRPr="004C12C9">
        <w:rPr>
          <w:b/>
          <w:bCs/>
        </w:rPr>
        <w:t>Measures</w:t>
      </w:r>
      <w:r w:rsidR="00237E2F" w:rsidRPr="004C12C9">
        <w:rPr>
          <w:b/>
          <w:bCs/>
        </w:rPr>
        <w:t xml:space="preserve">. </w:t>
      </w:r>
      <w:r w:rsidR="00AC7745" w:rsidRPr="004C12C9">
        <w:t xml:space="preserve">The </w:t>
      </w:r>
      <w:r w:rsidR="009F0307" w:rsidRPr="004C12C9">
        <w:t xml:space="preserve">calculator </w:t>
      </w:r>
      <w:r w:rsidR="00AC7745" w:rsidRPr="004C12C9">
        <w:t xml:space="preserve">is currently designed to assess </w:t>
      </w:r>
      <w:r w:rsidR="00CD288B" w:rsidRPr="004C12C9">
        <w:t xml:space="preserve">the expected GHG emissions impact of </w:t>
      </w:r>
      <w:r w:rsidR="005474D0" w:rsidRPr="004C12C9">
        <w:t xml:space="preserve">a proposed project. The </w:t>
      </w:r>
      <w:r w:rsidR="009F0307" w:rsidRPr="004C12C9">
        <w:t xml:space="preserve">calculator </w:t>
      </w:r>
      <w:r w:rsidR="005474D0" w:rsidRPr="004C12C9">
        <w:t xml:space="preserve">includes some flexibility to adjust </w:t>
      </w:r>
      <w:r w:rsidR="00182202" w:rsidRPr="004C12C9">
        <w:t xml:space="preserve">the calculations to reflect mitigation measures (e.g., installation of </w:t>
      </w:r>
      <w:r w:rsidR="00536AC9" w:rsidRPr="004C12C9">
        <w:t>on-site renewables</w:t>
      </w:r>
      <w:r w:rsidR="005B49EC" w:rsidRPr="004C12C9">
        <w:t xml:space="preserve">, </w:t>
      </w:r>
      <w:r w:rsidR="00CC660A" w:rsidRPr="004C12C9">
        <w:t>implementation of technologies and practices that minimize natural gas leakage</w:t>
      </w:r>
      <w:r w:rsidR="0089428C" w:rsidRPr="004C12C9">
        <w:t xml:space="preserve">) </w:t>
      </w:r>
      <w:r w:rsidR="000C7408">
        <w:t xml:space="preserve">and </w:t>
      </w:r>
      <w:r w:rsidR="0089428C" w:rsidRPr="004C12C9">
        <w:t>allow</w:t>
      </w:r>
      <w:r w:rsidR="001440A8">
        <w:t>s</w:t>
      </w:r>
      <w:r w:rsidR="0089428C" w:rsidRPr="004C12C9">
        <w:t xml:space="preserve"> users to quantify the impact of </w:t>
      </w:r>
      <w:r w:rsidR="000C7408">
        <w:t xml:space="preserve">select </w:t>
      </w:r>
      <w:r w:rsidR="0034324B" w:rsidRPr="004C12C9">
        <w:t xml:space="preserve">mitigation </w:t>
      </w:r>
      <w:r w:rsidR="00DC4DF6" w:rsidRPr="004C12C9">
        <w:t>actions</w:t>
      </w:r>
      <w:r w:rsidR="00823706">
        <w:t xml:space="preserve"> </w:t>
      </w:r>
      <w:r w:rsidR="00840FAE">
        <w:t>in</w:t>
      </w:r>
      <w:r w:rsidR="00823706">
        <w:t xml:space="preserve"> the Quantified Reductions tab</w:t>
      </w:r>
      <w:r w:rsidR="0034324B" w:rsidRPr="004C12C9">
        <w:t xml:space="preserve">. To further support users in answering </w:t>
      </w:r>
      <w:r w:rsidR="002720D2" w:rsidRPr="004C12C9">
        <w:t>item</w:t>
      </w:r>
      <w:r w:rsidR="0034324B" w:rsidRPr="004C12C9">
        <w:t xml:space="preserve"> #18 of the EAW, the </w:t>
      </w:r>
      <w:r w:rsidR="009F0307" w:rsidRPr="004C12C9">
        <w:t xml:space="preserve">calculator </w:t>
      </w:r>
      <w:r w:rsidR="0034324B" w:rsidRPr="004C12C9">
        <w:t xml:space="preserve">should be expanded </w:t>
      </w:r>
      <w:r w:rsidR="00BA162C" w:rsidRPr="004C12C9">
        <w:t>to allow for quantification</w:t>
      </w:r>
      <w:r w:rsidR="007E5F3E" w:rsidRPr="004C12C9">
        <w:t xml:space="preserve"> of </w:t>
      </w:r>
      <w:r w:rsidR="0027542C">
        <w:t>more</w:t>
      </w:r>
      <w:r w:rsidR="00823706">
        <w:t xml:space="preserve"> </w:t>
      </w:r>
      <w:r w:rsidR="007E5F3E" w:rsidRPr="004C12C9">
        <w:t>mitigation measures</w:t>
      </w:r>
      <w:r w:rsidR="00BA162C" w:rsidRPr="004C12C9">
        <w:t>.</w:t>
      </w:r>
      <w:r w:rsidR="007E5F3E" w:rsidRPr="004C12C9">
        <w:t xml:space="preserve"> </w:t>
      </w:r>
      <w:r w:rsidR="00EE67D1" w:rsidRPr="004C12C9">
        <w:t xml:space="preserve">This update may involve </w:t>
      </w:r>
      <w:r w:rsidR="002F1F5A">
        <w:t>expanding</w:t>
      </w:r>
      <w:r w:rsidR="000C0CEA">
        <w:t xml:space="preserve"> the Quantified Reductions</w:t>
      </w:r>
      <w:r w:rsidR="000C0CEA" w:rsidRPr="004C12C9">
        <w:t xml:space="preserve"> </w:t>
      </w:r>
      <w:r w:rsidR="00EE67D1" w:rsidRPr="004C12C9">
        <w:t xml:space="preserve">module </w:t>
      </w:r>
      <w:r w:rsidR="002A3866" w:rsidRPr="004C12C9">
        <w:t xml:space="preserve">within the </w:t>
      </w:r>
      <w:r w:rsidR="009F0307" w:rsidRPr="004C12C9">
        <w:t xml:space="preserve">calculator </w:t>
      </w:r>
      <w:r w:rsidR="000C0CEA">
        <w:t>to</w:t>
      </w:r>
      <w:r w:rsidR="000C0CEA" w:rsidRPr="004C12C9">
        <w:t xml:space="preserve"> </w:t>
      </w:r>
      <w:r w:rsidR="00A95988" w:rsidRPr="004C12C9">
        <w:t>quantif</w:t>
      </w:r>
      <w:r w:rsidR="000C0CEA">
        <w:t>y</w:t>
      </w:r>
      <w:r w:rsidR="00A95988" w:rsidRPr="004C12C9">
        <w:t xml:space="preserve"> </w:t>
      </w:r>
      <w:r w:rsidR="002F1F5A">
        <w:t>additional</w:t>
      </w:r>
      <w:r w:rsidR="00A95988" w:rsidRPr="004C12C9">
        <w:t xml:space="preserve"> measures</w:t>
      </w:r>
      <w:r w:rsidR="00C75437" w:rsidRPr="004C12C9">
        <w:t xml:space="preserve">. </w:t>
      </w:r>
      <w:r w:rsidR="00081265" w:rsidRPr="004C12C9">
        <w:t>It may not be possible to quantify r</w:t>
      </w:r>
      <w:r w:rsidR="006D1C9A" w:rsidRPr="004C12C9">
        <w:t xml:space="preserve">eductions from </w:t>
      </w:r>
      <w:r w:rsidR="00081265" w:rsidRPr="004C12C9">
        <w:t>all identified</w:t>
      </w:r>
      <w:r w:rsidR="006D1C9A" w:rsidRPr="004C12C9">
        <w:t xml:space="preserve"> mitigation measures.</w:t>
      </w:r>
      <w:r w:rsidR="00081265" w:rsidRPr="004C12C9">
        <w:t xml:space="preserve"> </w:t>
      </w:r>
      <w:r w:rsidR="006C2DF3" w:rsidRPr="004C12C9">
        <w:t xml:space="preserve">Further scoping is required to identify the best approach for </w:t>
      </w:r>
      <w:r w:rsidR="007173D5" w:rsidRPr="004C12C9">
        <w:t>incorporating</w:t>
      </w:r>
      <w:r w:rsidR="006C2DF3" w:rsidRPr="004C12C9">
        <w:t xml:space="preserve"> </w:t>
      </w:r>
      <w:r w:rsidR="006F26C7">
        <w:t xml:space="preserve">additional </w:t>
      </w:r>
      <w:r w:rsidR="007173D5" w:rsidRPr="004C12C9">
        <w:t xml:space="preserve">mitigation quantification into the </w:t>
      </w:r>
      <w:r w:rsidR="009F0307" w:rsidRPr="004C12C9">
        <w:t>calculator</w:t>
      </w:r>
      <w:r w:rsidR="007173D5" w:rsidRPr="004C12C9">
        <w:t>.</w:t>
      </w:r>
    </w:p>
    <w:p w14:paraId="116A21B7" w14:textId="6EE31B12" w:rsidR="00C257B1" w:rsidRPr="004C12C9" w:rsidRDefault="00C257B1" w:rsidP="003B5F7F">
      <w:pPr>
        <w:numPr>
          <w:ilvl w:val="0"/>
          <w:numId w:val="33"/>
        </w:numPr>
        <w:rPr>
          <w:b/>
        </w:rPr>
      </w:pPr>
      <w:r w:rsidRPr="004C12C9">
        <w:rPr>
          <w:b/>
        </w:rPr>
        <w:t xml:space="preserve">Expand </w:t>
      </w:r>
      <w:r w:rsidR="00E66CEF" w:rsidRPr="004C12C9">
        <w:rPr>
          <w:b/>
        </w:rPr>
        <w:t xml:space="preserve">Data </w:t>
      </w:r>
      <w:r w:rsidR="0079339F" w:rsidRPr="004C12C9">
        <w:rPr>
          <w:b/>
        </w:rPr>
        <w:t xml:space="preserve">Access and </w:t>
      </w:r>
      <w:r w:rsidR="00E66CEF" w:rsidRPr="004C12C9">
        <w:rPr>
          <w:b/>
        </w:rPr>
        <w:t xml:space="preserve">Visualization. </w:t>
      </w:r>
      <w:r w:rsidR="00CF0D71" w:rsidRPr="004C12C9">
        <w:rPr>
          <w:bCs/>
        </w:rPr>
        <w:t xml:space="preserve">The </w:t>
      </w:r>
      <w:r w:rsidR="009F0307" w:rsidRPr="004C12C9">
        <w:t xml:space="preserve">calculator </w:t>
      </w:r>
      <w:r w:rsidR="008D0D01" w:rsidRPr="004C12C9">
        <w:rPr>
          <w:bCs/>
        </w:rPr>
        <w:t xml:space="preserve">was developed in </w:t>
      </w:r>
      <w:r w:rsidR="00506E52" w:rsidRPr="004C12C9">
        <w:t>Microsoft® Excel®</w:t>
      </w:r>
      <w:r w:rsidR="0079339F" w:rsidRPr="004C12C9">
        <w:t xml:space="preserve"> and includes </w:t>
      </w:r>
      <w:r w:rsidR="00F70D3B" w:rsidRPr="004C12C9">
        <w:t>several</w:t>
      </w:r>
      <w:r w:rsidR="0079339F" w:rsidRPr="004C12C9">
        <w:t xml:space="preserve"> features that allow users to </w:t>
      </w:r>
      <w:r w:rsidR="00F70D3B" w:rsidRPr="004C12C9">
        <w:t xml:space="preserve">digest and share </w:t>
      </w:r>
      <w:r w:rsidR="009F0307" w:rsidRPr="004C12C9">
        <w:t xml:space="preserve">calculator </w:t>
      </w:r>
      <w:r w:rsidR="00F70D3B" w:rsidRPr="004C12C9">
        <w:t xml:space="preserve">outputs. Specifically, the </w:t>
      </w:r>
      <w:r w:rsidR="009F0307" w:rsidRPr="004C12C9">
        <w:t xml:space="preserve">calculator </w:t>
      </w:r>
      <w:r w:rsidR="00F70D3B" w:rsidRPr="004C12C9">
        <w:t>includes built in charts</w:t>
      </w:r>
      <w:r w:rsidR="00BD64F3" w:rsidRPr="004C12C9">
        <w:t xml:space="preserve"> and a summary report that </w:t>
      </w:r>
      <w:r w:rsidR="00645726" w:rsidRPr="004C12C9">
        <w:t>synthesizes</w:t>
      </w:r>
      <w:r w:rsidR="00BD64F3" w:rsidRPr="004C12C9">
        <w:t xml:space="preserve"> </w:t>
      </w:r>
      <w:r w:rsidR="00645726" w:rsidRPr="004C12C9">
        <w:t xml:space="preserve">data inputs and results. Expansion of these features should be considered to further support access to and analysis of the </w:t>
      </w:r>
      <w:r w:rsidR="005D576D" w:rsidRPr="004C12C9">
        <w:t xml:space="preserve">outputs. </w:t>
      </w:r>
      <w:r w:rsidR="005C5D37" w:rsidRPr="004C12C9">
        <w:t xml:space="preserve">For example, </w:t>
      </w:r>
      <w:r w:rsidR="007B23B7" w:rsidRPr="004C12C9">
        <w:t xml:space="preserve">EQB may consider </w:t>
      </w:r>
      <w:r w:rsidR="00EF0361" w:rsidRPr="004C12C9">
        <w:t>creating</w:t>
      </w:r>
      <w:r w:rsidR="007B23B7" w:rsidRPr="004C12C9">
        <w:t xml:space="preserve"> </w:t>
      </w:r>
      <w:r w:rsidR="001B0524" w:rsidRPr="004C12C9">
        <w:t xml:space="preserve">a dashboard in Tableau or Power BI that draws on data outputs from the </w:t>
      </w:r>
      <w:r w:rsidR="009F0307" w:rsidRPr="004C12C9">
        <w:t>calculator</w:t>
      </w:r>
      <w:r w:rsidR="002B7AB3" w:rsidRPr="004C12C9">
        <w:t xml:space="preserve">. </w:t>
      </w:r>
      <w:r w:rsidR="008C4E32" w:rsidRPr="004C12C9">
        <w:t xml:space="preserve">As other aspects of the </w:t>
      </w:r>
      <w:r w:rsidR="009F0307" w:rsidRPr="004C12C9">
        <w:t xml:space="preserve">calculator </w:t>
      </w:r>
      <w:r w:rsidR="008C4E32" w:rsidRPr="004C12C9">
        <w:t xml:space="preserve">are refined and/or expanded, the charts </w:t>
      </w:r>
      <w:r w:rsidR="00DD1622" w:rsidRPr="004C12C9">
        <w:t xml:space="preserve">and summary tables should also be </w:t>
      </w:r>
      <w:r w:rsidR="00CB1A80" w:rsidRPr="004C12C9">
        <w:t xml:space="preserve">modified </w:t>
      </w:r>
      <w:r w:rsidR="00EF0361" w:rsidRPr="004C12C9">
        <w:t>to support data</w:t>
      </w:r>
      <w:r w:rsidR="00C6096C" w:rsidRPr="004C12C9">
        <w:t xml:space="preserve"> digestion</w:t>
      </w:r>
      <w:r w:rsidR="002C32F8" w:rsidRPr="004C12C9">
        <w:t xml:space="preserve"> and </w:t>
      </w:r>
      <w:r w:rsidR="00CE7AF8" w:rsidRPr="004C12C9">
        <w:t>EAW</w:t>
      </w:r>
      <w:r w:rsidR="00006195" w:rsidRPr="004C12C9">
        <w:t xml:space="preserve"> completion</w:t>
      </w:r>
      <w:r w:rsidR="00CE7AF8" w:rsidRPr="004C12C9">
        <w:t>.</w:t>
      </w:r>
    </w:p>
    <w:p w14:paraId="28635223" w14:textId="25CC8B59" w:rsidR="004E05AA" w:rsidRPr="004C12C9" w:rsidRDefault="004E05AA" w:rsidP="003B5F7F">
      <w:pPr>
        <w:pStyle w:val="ListParagraph"/>
        <w:numPr>
          <w:ilvl w:val="0"/>
          <w:numId w:val="34"/>
        </w:numPr>
        <w:sectPr w:rsidR="004E05AA" w:rsidRPr="004C12C9" w:rsidSect="009B67AF">
          <w:footerReference w:type="first" r:id="rId78"/>
          <w:pgSz w:w="12240" w:h="15840" w:code="1"/>
          <w:pgMar w:top="1728" w:right="1080" w:bottom="1440" w:left="1080" w:header="0" w:footer="504" w:gutter="0"/>
          <w:cols w:space="720"/>
          <w:titlePg/>
          <w:docGrid w:linePitch="326"/>
        </w:sectPr>
      </w:pPr>
    </w:p>
    <w:p w14:paraId="4640B3B2" w14:textId="355F047C" w:rsidR="0068676B" w:rsidRPr="004C12C9" w:rsidRDefault="00A86AC8" w:rsidP="007A6830">
      <w:pPr>
        <w:pStyle w:val="Appendix"/>
        <w:numPr>
          <w:ilvl w:val="0"/>
          <w:numId w:val="35"/>
        </w:numPr>
        <w:ind w:left="1800" w:hanging="1800"/>
      </w:pPr>
      <w:bookmarkStart w:id="275" w:name="_Toc219887792"/>
      <w:r w:rsidRPr="004C12C9">
        <w:lastRenderedPageBreak/>
        <w:t>Data Source</w:t>
      </w:r>
      <w:r w:rsidR="002757BA" w:rsidRPr="004C12C9">
        <w:t>s</w:t>
      </w:r>
      <w:bookmarkEnd w:id="275"/>
    </w:p>
    <w:p w14:paraId="2F79B080" w14:textId="77777777" w:rsidR="00492249" w:rsidRPr="002D20AB" w:rsidRDefault="00492249" w:rsidP="00492249">
      <w:pPr>
        <w:rPr>
          <w:lang w:val="fr-FR"/>
        </w:rPr>
      </w:pPr>
      <w:r w:rsidRPr="004C12C9">
        <w:t xml:space="preserve">The Aluminum Association. “Industry Statistics,” January 2020. </w:t>
      </w:r>
      <w:hyperlink r:id="rId79" w:history="1">
        <w:r w:rsidRPr="002D20AB">
          <w:rPr>
            <w:rStyle w:val="Hyperlink"/>
            <w:lang w:val="fr-FR"/>
          </w:rPr>
          <w:t>https://www.aluminum.org/sites/default/files/2021-11/FactSheet2018.pdf</w:t>
        </w:r>
      </w:hyperlink>
      <w:r w:rsidRPr="002D20AB">
        <w:rPr>
          <w:lang w:val="fr-FR"/>
        </w:rPr>
        <w:t>.</w:t>
      </w:r>
    </w:p>
    <w:p w14:paraId="0FC24419" w14:textId="51BE83F6" w:rsidR="00492249" w:rsidRPr="004C12C9" w:rsidRDefault="00492249" w:rsidP="00492249">
      <w:r w:rsidRPr="002D20AB">
        <w:rPr>
          <w:lang w:val="fr-FR"/>
        </w:rPr>
        <w:t xml:space="preserve">Aluminum Association. </w:t>
      </w:r>
      <w:r w:rsidRPr="004C12C9">
        <w:t xml:space="preserve">“Pathways to Decarbonization: A North American Aluminum Roadmap,” Arlington, VA: Aluminum Association, May 2024. </w:t>
      </w:r>
      <w:hyperlink r:id="rId80" w:history="1">
        <w:r w:rsidRPr="004C12C9">
          <w:rPr>
            <w:rStyle w:val="Hyperlink"/>
          </w:rPr>
          <w:t>https://www.aluminum.org/sites/default/files/2024-06/North-American-Decarbonization-Roadmap_6.11.24.pdf</w:t>
        </w:r>
      </w:hyperlink>
      <w:r w:rsidRPr="004C12C9">
        <w:t>.</w:t>
      </w:r>
    </w:p>
    <w:p w14:paraId="2ABB2E21" w14:textId="5401A19F" w:rsidR="00492249" w:rsidRPr="004C12C9" w:rsidRDefault="00492249" w:rsidP="00492249">
      <w:r w:rsidRPr="004C12C9">
        <w:t xml:space="preserve">Anderson et al. “The Potential for Terrestrial Carbon Sequestration in Minnesota.” University of Minnesota, St. Paul, MN (2008). </w:t>
      </w:r>
      <w:hyperlink r:id="rId81" w:history="1">
        <w:r w:rsidRPr="004C12C9">
          <w:rPr>
            <w:rStyle w:val="Hyperlink"/>
          </w:rPr>
          <w:t>https://files.dnr.state.mn.us/aboutdnr/reports/carbon2008.pdf</w:t>
        </w:r>
      </w:hyperlink>
      <w:r w:rsidRPr="004C12C9">
        <w:t xml:space="preserve">. </w:t>
      </w:r>
    </w:p>
    <w:p w14:paraId="2D0E3351" w14:textId="77777777" w:rsidR="002F1F5A" w:rsidRPr="0031748C" w:rsidRDefault="002F1F5A" w:rsidP="00492249">
      <w:pPr>
        <w:rPr>
          <w:rFonts w:asciiTheme="minorHAnsi" w:hAnsiTheme="minorHAnsi" w:cstheme="minorHAnsi"/>
        </w:rPr>
      </w:pPr>
      <w:r w:rsidRPr="00862FBF">
        <w:rPr>
          <w:rFonts w:asciiTheme="minorHAnsi" w:hAnsiTheme="minorHAnsi" w:cstheme="minorHAnsi"/>
        </w:rPr>
        <w:t xml:space="preserve">ACHRNews. </w:t>
      </w:r>
      <w:r w:rsidRPr="0031748C">
        <w:rPr>
          <w:rFonts w:asciiTheme="minorHAnsi" w:hAnsiTheme="minorHAnsi" w:cstheme="minorHAnsi"/>
        </w:rPr>
        <w:t>“</w:t>
      </w:r>
      <w:r w:rsidRPr="00862FBF">
        <w:rPr>
          <w:rFonts w:asciiTheme="minorHAnsi" w:hAnsiTheme="minorHAnsi" w:cstheme="minorHAnsi"/>
        </w:rPr>
        <w:t>Equipment Prices Keep Rising, as R-410A Inventory Decreases</w:t>
      </w:r>
      <w:r w:rsidRPr="0031748C">
        <w:rPr>
          <w:rFonts w:asciiTheme="minorHAnsi" w:hAnsiTheme="minorHAnsi" w:cstheme="minorHAnsi"/>
        </w:rPr>
        <w:t>,” 2024.</w:t>
      </w:r>
      <w:r w:rsidRPr="00862FBF">
        <w:rPr>
          <w:rFonts w:asciiTheme="minorHAnsi" w:hAnsiTheme="minorHAnsi" w:cstheme="minorHAnsi"/>
        </w:rPr>
        <w:t xml:space="preserve"> </w:t>
      </w:r>
      <w:hyperlink r:id="rId82" w:history="1">
        <w:r w:rsidRPr="00862FBF">
          <w:rPr>
            <w:rStyle w:val="Hyperlink"/>
            <w:rFonts w:asciiTheme="minorHAnsi" w:hAnsiTheme="minorHAnsi" w:cstheme="minorHAnsi"/>
          </w:rPr>
          <w:t>https://www.achrnews.com/articles/163729-equipment-prices-keep-rising-as-r-410a-inventory-decrease</w:t>
        </w:r>
        <w:r w:rsidRPr="0031748C">
          <w:rPr>
            <w:rStyle w:val="Hyperlink"/>
            <w:rFonts w:asciiTheme="minorHAnsi" w:hAnsiTheme="minorHAnsi" w:cstheme="minorHAnsi"/>
          </w:rPr>
          <w:t>s</w:t>
        </w:r>
      </w:hyperlink>
      <w:r w:rsidRPr="0031748C">
        <w:rPr>
          <w:rFonts w:asciiTheme="minorHAnsi" w:hAnsiTheme="minorHAnsi" w:cstheme="minorHAnsi"/>
        </w:rPr>
        <w:t xml:space="preserve">. </w:t>
      </w:r>
    </w:p>
    <w:p w14:paraId="69E5608F" w14:textId="00147D0E" w:rsidR="00492249" w:rsidRPr="004C12C9" w:rsidRDefault="00492249" w:rsidP="00492249">
      <w:r w:rsidRPr="004C12C9">
        <w:t xml:space="preserve">Argonne National Laboratory. GREET 1 2024 Excel-based Fuel-Cycle Model, released January 10, 2025. </w:t>
      </w:r>
      <w:hyperlink r:id="rId83" w:history="1">
        <w:r w:rsidRPr="004C12C9">
          <w:rPr>
            <w:rStyle w:val="Hyperlink"/>
          </w:rPr>
          <w:t>https://greet.anl.gov/greet_excel_model.models</w:t>
        </w:r>
      </w:hyperlink>
      <w:r w:rsidRPr="004C12C9">
        <w:t>.</w:t>
      </w:r>
    </w:p>
    <w:p w14:paraId="1FB62D1C" w14:textId="5AE4CD7D" w:rsidR="00492249" w:rsidRPr="004C12C9" w:rsidRDefault="00492249" w:rsidP="00492249">
      <w:r w:rsidRPr="004C12C9">
        <w:t xml:space="preserve">The Athena Sustainable Materials Institute. “A Cradle-to-Gate Life Cycle Assessment of Ready-Mixed Concrete Manufactured by NRMCA Members,” July 2022. </w:t>
      </w:r>
      <w:hyperlink r:id="rId84" w:history="1">
        <w:r w:rsidRPr="004C12C9">
          <w:rPr>
            <w:rStyle w:val="Hyperlink"/>
          </w:rPr>
          <w:t>https://www.nrmca.org/wp-content/uploads/2022/02/NRMCA_LCAReportV3-2_20220224.pdf</w:t>
        </w:r>
      </w:hyperlink>
      <w:r w:rsidRPr="004C12C9">
        <w:t>.</w:t>
      </w:r>
    </w:p>
    <w:p w14:paraId="2AED58E0" w14:textId="487C584A" w:rsidR="00492249" w:rsidRPr="004C12C9" w:rsidRDefault="00492249" w:rsidP="00492249">
      <w:r w:rsidRPr="004C12C9">
        <w:t xml:space="preserve">Building Transparency. "Embodied Carbon in Construction Calculator (EC3)." Accessed April 1, 2025. </w:t>
      </w:r>
      <w:hyperlink r:id="rId85" w:history="1">
        <w:r w:rsidRPr="004C12C9">
          <w:rPr>
            <w:rStyle w:val="Hyperlink"/>
          </w:rPr>
          <w:t>https://buildingtransparency.org/ec3</w:t>
        </w:r>
      </w:hyperlink>
      <w:r w:rsidRPr="004C12C9">
        <w:t>.</w:t>
      </w:r>
    </w:p>
    <w:p w14:paraId="6E774AB6" w14:textId="481A1393" w:rsidR="00492249" w:rsidRPr="004C12C9" w:rsidRDefault="00492249" w:rsidP="00492249">
      <w:r w:rsidRPr="004C12C9">
        <w:t xml:space="preserve">California Air Pollution Control Officers Association. “CalEEMod,” 2022. </w:t>
      </w:r>
      <w:hyperlink r:id="rId86" w:history="1">
        <w:r w:rsidRPr="004C12C9">
          <w:rPr>
            <w:rStyle w:val="Hyperlink"/>
          </w:rPr>
          <w:t>https://www.caleemod.com/</w:t>
        </w:r>
      </w:hyperlink>
      <w:r w:rsidRPr="004C12C9">
        <w:t>.</w:t>
      </w:r>
    </w:p>
    <w:p w14:paraId="717A10F0" w14:textId="168E8A02" w:rsidR="00492249" w:rsidRPr="004C12C9" w:rsidRDefault="00492249" w:rsidP="00492249">
      <w:r w:rsidRPr="004C12C9">
        <w:t xml:space="preserve">California Air Pollution Control Officers Association. “User Guide for CalEEMod Version 2022.1 Appendix G,” 2022. </w:t>
      </w:r>
      <w:hyperlink r:id="rId87" w:history="1">
        <w:r w:rsidRPr="004C12C9">
          <w:rPr>
            <w:rStyle w:val="Hyperlink"/>
          </w:rPr>
          <w:t>https://www.caleemod.com/user-guide</w:t>
        </w:r>
      </w:hyperlink>
      <w:r w:rsidRPr="004C12C9">
        <w:t>.</w:t>
      </w:r>
    </w:p>
    <w:p w14:paraId="72E8CBE2" w14:textId="58FCF6E0" w:rsidR="00492249" w:rsidRPr="004C12C9" w:rsidRDefault="00492249" w:rsidP="00492249">
      <w:r w:rsidRPr="004C12C9">
        <w:t xml:space="preserve">CalRecycle. “Estimated Solid Waste Generation Rates,” 2025. </w:t>
      </w:r>
      <w:hyperlink r:id="rId88" w:history="1">
        <w:r w:rsidRPr="004C12C9">
          <w:rPr>
            <w:rStyle w:val="Hyperlink"/>
          </w:rPr>
          <w:t>https://www2.calrecycle.ca.gov/wastecharacterization/general/rates</w:t>
        </w:r>
      </w:hyperlink>
      <w:r w:rsidRPr="004C12C9">
        <w:t>.</w:t>
      </w:r>
    </w:p>
    <w:p w14:paraId="67E29150" w14:textId="18849FA7" w:rsidR="00492249" w:rsidRPr="004C12C9" w:rsidRDefault="00492249" w:rsidP="00492249">
      <w:r w:rsidRPr="004C12C9">
        <w:t xml:space="preserve">Cascadia Consulting Group. “Targeted Statewide Waste Characterization Study: Waste Disposal and Diversion Findings for Selected Industry Groups,” 2006. </w:t>
      </w:r>
      <w:hyperlink r:id="rId89" w:history="1">
        <w:r w:rsidRPr="004C12C9">
          <w:rPr>
            <w:rStyle w:val="Hyperlink"/>
          </w:rPr>
          <w:t>https://www2.calrecycle.ca.gov/Publications/Details/1184</w:t>
        </w:r>
      </w:hyperlink>
      <w:r w:rsidRPr="004C12C9">
        <w:t>.</w:t>
      </w:r>
    </w:p>
    <w:p w14:paraId="2C17567B" w14:textId="03294B96" w:rsidR="00492249" w:rsidRPr="004C12C9" w:rsidRDefault="00492249" w:rsidP="00492249">
      <w:r w:rsidRPr="004C12C9">
        <w:t xml:space="preserve">CleanBC Better Homes. “What Is R (or RSI) Value of Insulation?,” 2022. </w:t>
      </w:r>
      <w:hyperlink r:id="rId90" w:history="1">
        <w:r w:rsidR="00DF6338" w:rsidRPr="004C12C9">
          <w:rPr>
            <w:rStyle w:val="Hyperlink"/>
          </w:rPr>
          <w:t>https://www.betterhomesbc.ca/products/what-is-r-or-rsi-value/</w:t>
        </w:r>
      </w:hyperlink>
      <w:r w:rsidRPr="004C12C9">
        <w:t>.</w:t>
      </w:r>
    </w:p>
    <w:p w14:paraId="165D87B9" w14:textId="74953D8F" w:rsidR="00492249" w:rsidRPr="004C12C9" w:rsidRDefault="00492249" w:rsidP="00492249">
      <w:r w:rsidRPr="004C12C9">
        <w:t xml:space="preserve">Energy Information Administration (EIA). “2020 Residential Energy Consumption Survey (RECS),” accessed April 1, 2025. </w:t>
      </w:r>
      <w:hyperlink r:id="rId91" w:history="1">
        <w:r w:rsidR="00DF6338" w:rsidRPr="004C12C9">
          <w:rPr>
            <w:rStyle w:val="Hyperlink"/>
          </w:rPr>
          <w:t>https://www.eia.gov/consumption/residential/data/2020/</w:t>
        </w:r>
      </w:hyperlink>
      <w:r w:rsidRPr="004C12C9">
        <w:t>.</w:t>
      </w:r>
    </w:p>
    <w:p w14:paraId="1D2C9249" w14:textId="2C7579B8" w:rsidR="00492249" w:rsidRPr="004C12C9" w:rsidRDefault="00492249" w:rsidP="00492249">
      <w:r w:rsidRPr="004C12C9">
        <w:t xml:space="preserve">EIA. “2018 Commercial Buildings Energy Consumption Survey (CBECS),” accessed April 1, 2025. </w:t>
      </w:r>
      <w:hyperlink r:id="rId92" w:history="1">
        <w:r w:rsidR="00DF6338" w:rsidRPr="004C12C9">
          <w:rPr>
            <w:rStyle w:val="Hyperlink"/>
          </w:rPr>
          <w:t>https://www.eia.gov/consumption/commercial/data/2018/</w:t>
        </w:r>
      </w:hyperlink>
      <w:r w:rsidRPr="004C12C9">
        <w:t>.</w:t>
      </w:r>
    </w:p>
    <w:p w14:paraId="51F4B856" w14:textId="07F08BDB" w:rsidR="00492249" w:rsidRPr="004C12C9" w:rsidRDefault="00492249" w:rsidP="00492249">
      <w:r w:rsidRPr="004C12C9">
        <w:t xml:space="preserve">EIA. “Heat Content of Natural Gas Consumed,” Accessed April 1, 2025. </w:t>
      </w:r>
      <w:hyperlink r:id="rId93" w:history="1">
        <w:r w:rsidR="00EC71CA" w:rsidRPr="004C12C9">
          <w:rPr>
            <w:rStyle w:val="Hyperlink"/>
          </w:rPr>
          <w:t>https://www.eia.gov/dnav/ng/ng_cons_heat_a_EPG0_VGTH_btucf_a.htm</w:t>
        </w:r>
      </w:hyperlink>
      <w:r w:rsidR="00EC71CA" w:rsidRPr="004C12C9">
        <w:t>.</w:t>
      </w:r>
    </w:p>
    <w:p w14:paraId="34508F76" w14:textId="42288610" w:rsidR="00492249" w:rsidRPr="004C12C9" w:rsidRDefault="00492249" w:rsidP="00492249">
      <w:r w:rsidRPr="004C12C9">
        <w:lastRenderedPageBreak/>
        <w:t xml:space="preserve">EIA. “2018 Manufacturing Energy Consumption Survey (MECS),” accessed April 1, 2025. </w:t>
      </w:r>
      <w:hyperlink r:id="rId94" w:history="1">
        <w:r w:rsidR="00EC71CA" w:rsidRPr="004C12C9">
          <w:rPr>
            <w:rStyle w:val="Hyperlink"/>
          </w:rPr>
          <w:t>https://www.eia.gov/consumption/manufacturing/data/2018/</w:t>
        </w:r>
      </w:hyperlink>
      <w:r w:rsidRPr="004C12C9">
        <w:t>.</w:t>
      </w:r>
    </w:p>
    <w:p w14:paraId="119C8201" w14:textId="72787E02" w:rsidR="00492249" w:rsidRPr="004C12C9" w:rsidRDefault="00492249" w:rsidP="00492249">
      <w:r w:rsidRPr="004C12C9">
        <w:t xml:space="preserve">EIA. “Monthly Energy Review,” accessed December 20, 2024. </w:t>
      </w:r>
      <w:hyperlink r:id="rId95" w:anchor="appendices" w:history="1">
        <w:r w:rsidR="00EC71CA" w:rsidRPr="004C12C9">
          <w:rPr>
            <w:rStyle w:val="Hyperlink"/>
          </w:rPr>
          <w:t>https://www.eia.gov/totalenergy/data/monthly/index.php#appendices</w:t>
        </w:r>
      </w:hyperlink>
      <w:r w:rsidRPr="004C12C9">
        <w:t>.</w:t>
      </w:r>
    </w:p>
    <w:p w14:paraId="3C341590" w14:textId="5C4C54B5" w:rsidR="00492249" w:rsidRPr="004C12C9" w:rsidRDefault="00492249" w:rsidP="00492249">
      <w:r w:rsidRPr="004C12C9">
        <w:t xml:space="preserve">Environmental Protection Agency (EPA). “Accounting Tool to Support Federal Reporting of Hydrofluorocarbon Emissions,” 2016. </w:t>
      </w:r>
      <w:hyperlink r:id="rId96" w:history="1">
        <w:r w:rsidR="00EC71CA" w:rsidRPr="004C12C9">
          <w:rPr>
            <w:rStyle w:val="Hyperlink"/>
          </w:rPr>
          <w:t>https://www.epa.gov/sites/default/files/2015-09/documents/hfc_emissions_accounting_tool_supporting_documentation.pdf</w:t>
        </w:r>
      </w:hyperlink>
      <w:r w:rsidR="00EC71CA" w:rsidRPr="004C12C9">
        <w:t>.</w:t>
      </w:r>
    </w:p>
    <w:p w14:paraId="352C0DCE" w14:textId="023B8B5C" w:rsidR="00492249" w:rsidRPr="004C12C9" w:rsidRDefault="00492249" w:rsidP="00492249">
      <w:r w:rsidRPr="004C12C9">
        <w:t xml:space="preserve">EPA. “Construction and Demolition Debris Generation in the United States, 2015.” 2018. </w:t>
      </w:r>
      <w:hyperlink r:id="rId97" w:history="1">
        <w:r w:rsidR="00EC71CA" w:rsidRPr="004C12C9">
          <w:rPr>
            <w:rStyle w:val="Hyperlink"/>
          </w:rPr>
          <w:t>https://www.epa.gov/sites/default/files/2018-09/documents/construction_and_demolition_debris_generation_in_the_united_states_2015_final.pdf</w:t>
        </w:r>
      </w:hyperlink>
      <w:r w:rsidRPr="004C12C9">
        <w:t xml:space="preserve">. </w:t>
      </w:r>
    </w:p>
    <w:p w14:paraId="761A5F2A" w14:textId="0A8909BF" w:rsidR="00492249" w:rsidRPr="004C12C9" w:rsidRDefault="00492249" w:rsidP="00492249">
      <w:r w:rsidRPr="004C12C9">
        <w:t xml:space="preserve">EPA. “Greenhouse Gas Equivalencies Calculator – Calculations and References,” 2024. </w:t>
      </w:r>
      <w:hyperlink r:id="rId98" w:history="1">
        <w:r w:rsidR="00EC71CA" w:rsidRPr="004C12C9">
          <w:rPr>
            <w:rStyle w:val="Hyperlink"/>
          </w:rPr>
          <w:t>https://www.epa.gov/energy/greenhouse-gas-equivalencies-calculator-calculations-and-references</w:t>
        </w:r>
      </w:hyperlink>
      <w:r w:rsidR="00EC71CA" w:rsidRPr="004C12C9">
        <w:t>.</w:t>
      </w:r>
    </w:p>
    <w:p w14:paraId="6CC1CB76" w14:textId="521710C6" w:rsidR="00492249" w:rsidRPr="004C12C9" w:rsidRDefault="00492249" w:rsidP="00492249">
      <w:r w:rsidRPr="004C12C9">
        <w:t xml:space="preserve">EPA. “GHG Emission Factors Hub,” 2025. </w:t>
      </w:r>
      <w:hyperlink r:id="rId99" w:history="1">
        <w:r w:rsidR="00EC71CA" w:rsidRPr="004C12C9">
          <w:rPr>
            <w:rStyle w:val="Hyperlink"/>
          </w:rPr>
          <w:t>https://www.epa.gov/climateleadership/ghg-emission-factors-hub</w:t>
        </w:r>
      </w:hyperlink>
      <w:r w:rsidR="00EC71CA" w:rsidRPr="004C12C9">
        <w:t>.</w:t>
      </w:r>
    </w:p>
    <w:p w14:paraId="61A75BC9" w14:textId="02BC09B7" w:rsidR="00492249" w:rsidRPr="004C12C9" w:rsidRDefault="00492249" w:rsidP="00492249">
      <w:r w:rsidRPr="004C12C9">
        <w:t xml:space="preserve">EPA. “Inventory of U.S. Greenhouse Gas Emissions and Sinks: 1990–2022,” 2024. </w:t>
      </w:r>
      <w:hyperlink r:id="rId100" w:history="1">
        <w:r w:rsidR="00EC71CA" w:rsidRPr="004C12C9">
          <w:rPr>
            <w:rStyle w:val="Hyperlink"/>
          </w:rPr>
          <w:t>https://www.epa.gov/ghgemissions/inventory-us-greenhouse-gas-emissions-and-sinks</w:t>
        </w:r>
      </w:hyperlink>
      <w:r w:rsidR="00EC71CA" w:rsidRPr="004C12C9">
        <w:t>.</w:t>
      </w:r>
    </w:p>
    <w:p w14:paraId="6C7919D7" w14:textId="349B7176" w:rsidR="00492249" w:rsidRPr="004C12C9" w:rsidRDefault="00492249" w:rsidP="00492249">
      <w:r w:rsidRPr="004C12C9">
        <w:t xml:space="preserve">EPA. “Local GHG Inventory Tool,” 2025. </w:t>
      </w:r>
      <w:hyperlink r:id="rId101" w:history="1">
        <w:r w:rsidR="00EC71CA" w:rsidRPr="004C12C9">
          <w:rPr>
            <w:rStyle w:val="Hyperlink"/>
          </w:rPr>
          <w:t>https://www.epa.gov/statelocalenergy/local-greenhouse-gas-inventory-tool</w:t>
        </w:r>
      </w:hyperlink>
      <w:r w:rsidRPr="004C12C9">
        <w:t>.</w:t>
      </w:r>
    </w:p>
    <w:p w14:paraId="7CE1358D" w14:textId="3D6CF892" w:rsidR="00492249" w:rsidRPr="004C12C9" w:rsidRDefault="00492249" w:rsidP="00492249">
      <w:r w:rsidRPr="004C12C9">
        <w:t xml:space="preserve">EPA. “MOVES5: Latest Version of MOtor Vehicle Emission Simulator (MOVES),” 2025. Available at </w:t>
      </w:r>
      <w:hyperlink r:id="rId102" w:history="1">
        <w:r w:rsidR="00EC71CA" w:rsidRPr="004C12C9">
          <w:rPr>
            <w:rStyle w:val="Hyperlink"/>
          </w:rPr>
          <w:t>https://www.epa.gov/moves/latest-version-motor-vehicle-emission-simulator-moves</w:t>
        </w:r>
      </w:hyperlink>
      <w:r w:rsidR="00EC71CA" w:rsidRPr="004C12C9">
        <w:t>.</w:t>
      </w:r>
    </w:p>
    <w:p w14:paraId="66D06A84" w14:textId="581AD449" w:rsidR="00492249" w:rsidRPr="004C12C9" w:rsidRDefault="00492249" w:rsidP="00492249">
      <w:r w:rsidRPr="004C12C9">
        <w:t xml:space="preserve">EPA. “State Inventory Tool,” 2025. </w:t>
      </w:r>
      <w:hyperlink r:id="rId103" w:history="1">
        <w:r w:rsidR="00074AC9" w:rsidRPr="004C12C9">
          <w:rPr>
            <w:rStyle w:val="Hyperlink"/>
          </w:rPr>
          <w:t>https://www.epa.gov/statelocalenergy/state-inventory-and-projection-tool</w:t>
        </w:r>
      </w:hyperlink>
      <w:r w:rsidR="00074AC9" w:rsidRPr="004C12C9">
        <w:t>.</w:t>
      </w:r>
    </w:p>
    <w:p w14:paraId="64933360" w14:textId="441B5D36" w:rsidR="00492249" w:rsidRPr="004C12C9" w:rsidRDefault="00492249" w:rsidP="00492249">
      <w:r w:rsidRPr="004C12C9">
        <w:t>Euliss et al. “North American Prairie Wetlands Are Important Nonforested Land-based Carbon Storage Sites.” Science of the Total Environment 361, pp 179-188 (2005). doi:10.1016/j.scitotenv.2005.06.007</w:t>
      </w:r>
      <w:r w:rsidR="00EC71CA" w:rsidRPr="004C12C9">
        <w:t>.</w:t>
      </w:r>
    </w:p>
    <w:p w14:paraId="7E26D984" w14:textId="035F3F22" w:rsidR="00492249" w:rsidRPr="004C12C9" w:rsidRDefault="00492249" w:rsidP="00492249">
      <w:r w:rsidRPr="004C12C9">
        <w:t xml:space="preserve">Gleason et al. "Potential of Restored Prairie Wetlands in the Glaciated North American Prairie to Sequester Atmospheric Carbon," USGS Northern Prairie Wildlife Research Center, p 92 (2005). </w:t>
      </w:r>
      <w:hyperlink r:id="rId104" w:history="1">
        <w:r w:rsidR="00EC71CA" w:rsidRPr="004C12C9">
          <w:rPr>
            <w:rStyle w:val="Hyperlink"/>
          </w:rPr>
          <w:t>https://digitalcommons.unl.edu/usgsnpwrc/92</w:t>
        </w:r>
      </w:hyperlink>
      <w:r w:rsidR="00EC71CA" w:rsidRPr="004C12C9">
        <w:t>.</w:t>
      </w:r>
    </w:p>
    <w:p w14:paraId="7355B0D0" w14:textId="493C57B5" w:rsidR="00492249" w:rsidRPr="004C12C9" w:rsidRDefault="00492249" w:rsidP="00492249">
      <w:r w:rsidRPr="004C12C9">
        <w:t xml:space="preserve">Freedonia Group. “US Insulation,” 2022. </w:t>
      </w:r>
      <w:hyperlink r:id="rId105" w:history="1">
        <w:r w:rsidR="00EC71CA" w:rsidRPr="004C12C9">
          <w:rPr>
            <w:rStyle w:val="Hyperlink"/>
          </w:rPr>
          <w:t>https://www.freedoniagroup.com/industry-study/insulation-4304.htm</w:t>
        </w:r>
      </w:hyperlink>
      <w:r w:rsidRPr="004C12C9">
        <w:t>.</w:t>
      </w:r>
    </w:p>
    <w:p w14:paraId="396D110D" w14:textId="57B75EE9" w:rsidR="00492249" w:rsidRPr="004C12C9" w:rsidRDefault="00492249" w:rsidP="00492249">
      <w:r w:rsidRPr="004C12C9">
        <w:t xml:space="preserve">Global Efficiency Intelligence. “Carbon Voyage Tool: Embodied Carbon in Trade,” 2024. </w:t>
      </w:r>
      <w:hyperlink r:id="rId106" w:history="1">
        <w:r w:rsidR="00EC71CA" w:rsidRPr="004C12C9">
          <w:rPr>
            <w:rStyle w:val="Hyperlink"/>
          </w:rPr>
          <w:t>https://www.carbonvoyagetool.com/</w:t>
        </w:r>
      </w:hyperlink>
      <w:r w:rsidRPr="004C12C9">
        <w:t>.</w:t>
      </w:r>
    </w:p>
    <w:p w14:paraId="2833F25F" w14:textId="3041F982" w:rsidR="00492249" w:rsidRPr="004C12C9" w:rsidRDefault="00492249" w:rsidP="00492249">
      <w:r w:rsidRPr="004C12C9">
        <w:t xml:space="preserve">International Energy Agency (IEA). “Curtailing Methane Emissions from Fossil Fuel Operations.” 2021. </w:t>
      </w:r>
      <w:hyperlink r:id="rId107" w:history="1">
        <w:r w:rsidR="00EC71CA" w:rsidRPr="004C12C9">
          <w:rPr>
            <w:rStyle w:val="Hyperlink"/>
          </w:rPr>
          <w:t>https://www.iea.org/reports/curtailing-methane-emissions-from-fossil-fuel-operations</w:t>
        </w:r>
      </w:hyperlink>
      <w:r w:rsidRPr="004C12C9">
        <w:t>.</w:t>
      </w:r>
    </w:p>
    <w:p w14:paraId="6BE5E766" w14:textId="43224291" w:rsidR="00492249" w:rsidRPr="004C12C9" w:rsidRDefault="00492249" w:rsidP="00492249">
      <w:r w:rsidRPr="004C12C9">
        <w:t xml:space="preserve">International Code Council. “2024 International Energy Conservation Code (IECC),” 2024. </w:t>
      </w:r>
      <w:hyperlink r:id="rId108" w:history="1">
        <w:r w:rsidR="00EC71CA" w:rsidRPr="004C12C9">
          <w:rPr>
            <w:rStyle w:val="Hyperlink"/>
          </w:rPr>
          <w:t>https://codes.iccsafe.org/content/IECC2024P1/index</w:t>
        </w:r>
      </w:hyperlink>
      <w:r w:rsidRPr="004C12C9">
        <w:t>.</w:t>
      </w:r>
    </w:p>
    <w:p w14:paraId="6DEB196E" w14:textId="509BDB26" w:rsidR="00492249" w:rsidRPr="004C12C9" w:rsidRDefault="00492249" w:rsidP="00492249">
      <w:r w:rsidRPr="004C12C9">
        <w:lastRenderedPageBreak/>
        <w:t xml:space="preserve">International Trade Administration. “U.S. Steel Executive Summary,” 2024. </w:t>
      </w:r>
      <w:hyperlink r:id="rId109" w:history="1">
        <w:r w:rsidR="00EC71CA" w:rsidRPr="004C12C9">
          <w:rPr>
            <w:rStyle w:val="Hyperlink"/>
          </w:rPr>
          <w:t>https://www.trade.gov/data-visualization/us-steel-executive-summary</w:t>
        </w:r>
      </w:hyperlink>
      <w:r w:rsidRPr="004C12C9">
        <w:t>.</w:t>
      </w:r>
    </w:p>
    <w:p w14:paraId="6F3B8805" w14:textId="7AC0FA46" w:rsidR="00492249" w:rsidRPr="004C12C9" w:rsidRDefault="00492249" w:rsidP="00492249">
      <w:r w:rsidRPr="004C12C9">
        <w:t xml:space="preserve">Intergovernmental Panel on Climate Change (IPCC). “2013 Supplement to the 2006 Guidelines for National Greenhouse Gas Inventories: Wetlands, Annex 3A.1, Table 4.9 (2013). </w:t>
      </w:r>
      <w:hyperlink r:id="rId110" w:history="1">
        <w:r w:rsidR="00EC71CA" w:rsidRPr="004C12C9">
          <w:rPr>
            <w:rStyle w:val="Hyperlink"/>
          </w:rPr>
          <w:t>https://www.ipcc.ch/site/assets/uploads/2018/03/Wetlands_Supplement_Entire_Report.pdf</w:t>
        </w:r>
      </w:hyperlink>
      <w:r w:rsidR="00EC71CA" w:rsidRPr="004C12C9">
        <w:t>.</w:t>
      </w:r>
    </w:p>
    <w:p w14:paraId="59DE19C8" w14:textId="1D756268" w:rsidR="00492249" w:rsidRPr="004C12C9" w:rsidRDefault="00492249" w:rsidP="00492249">
      <w:r w:rsidRPr="004C12C9">
        <w:t xml:space="preserve">IPCC. “2019 Refinement to the 2006 IPCC Guidelines for National Greenhouse Gas Inventories, Volume 4: Agriculture, Forestry, and Other Land Use. Chapter 5: Cropland (2019). </w:t>
      </w:r>
      <w:hyperlink r:id="rId111" w:history="1">
        <w:r w:rsidR="00EC71CA" w:rsidRPr="004C12C9">
          <w:rPr>
            <w:rStyle w:val="Hyperlink"/>
          </w:rPr>
          <w:t>https://www.ipcc-nggip.iges.or.jp/public/2019rf/pdf/4_Volume4/19R_V4_Ch05_Cropland.pdf</w:t>
        </w:r>
      </w:hyperlink>
      <w:r w:rsidR="00EC71CA" w:rsidRPr="004C12C9">
        <w:t>.</w:t>
      </w:r>
    </w:p>
    <w:p w14:paraId="25EC21C8" w14:textId="77777777" w:rsidR="00F625F5" w:rsidRPr="004C12C9" w:rsidRDefault="00F625F5" w:rsidP="00492249">
      <w:r w:rsidRPr="004C12C9">
        <w:t xml:space="preserve">IPCC. “2019 Refinement to the 2006 IPCC Guidelines for National Greenhouse Gas Inventories, Volume 4: Agriculture, Forestry, and Other Land Use. Chapter 10: Emissions from Livestock and Manure Management (2019). </w:t>
      </w:r>
      <w:hyperlink r:id="rId112" w:history="1">
        <w:r w:rsidRPr="004C12C9">
          <w:rPr>
            <w:rStyle w:val="Hyperlink"/>
          </w:rPr>
          <w:t>https://www.ipcc-nggip.iges.or.jp/public/2019rf/pdf/4_Volume4/19R_V4_Ch10_Livestock.pdf</w:t>
        </w:r>
      </w:hyperlink>
      <w:r w:rsidRPr="004C12C9">
        <w:t xml:space="preserve">. </w:t>
      </w:r>
    </w:p>
    <w:p w14:paraId="0514EE29" w14:textId="77777777" w:rsidR="00F625F5" w:rsidRPr="004C12C9" w:rsidRDefault="00F625F5" w:rsidP="00492249">
      <w:r w:rsidRPr="004C12C9">
        <w:t>IPCC. “2019 Refinement to the 2006 IPCC Guidelines for National Greenhouse Gas Inventories, Volume 4: Agriculture, Forestry, and Other Land Use. Chapter 11: N</w:t>
      </w:r>
      <w:r w:rsidRPr="004C12C9">
        <w:rPr>
          <w:vertAlign w:val="subscript"/>
        </w:rPr>
        <w:t>2</w:t>
      </w:r>
      <w:r w:rsidRPr="004C12C9">
        <w:t>O Emissions from Managed Soils, and CO</w:t>
      </w:r>
      <w:r w:rsidRPr="004C12C9">
        <w:rPr>
          <w:vertAlign w:val="subscript"/>
        </w:rPr>
        <w:t>2</w:t>
      </w:r>
      <w:r w:rsidRPr="004C12C9">
        <w:t xml:space="preserve"> Emissions from Lime and Urea Application (2019). </w:t>
      </w:r>
      <w:hyperlink r:id="rId113" w:history="1">
        <w:r w:rsidRPr="004C12C9">
          <w:rPr>
            <w:rStyle w:val="Hyperlink"/>
          </w:rPr>
          <w:t>https://www.ipcc-nggip.iges.or.jp/public/2019rf/pdf/4_Volume4/19R_V4_Ch11_Soils_N2O_CO2.pdf</w:t>
        </w:r>
      </w:hyperlink>
      <w:r w:rsidRPr="004C12C9">
        <w:t xml:space="preserve">. </w:t>
      </w:r>
    </w:p>
    <w:p w14:paraId="388FF223" w14:textId="0925AAC5" w:rsidR="00492249" w:rsidRPr="004C12C9" w:rsidRDefault="00492249" w:rsidP="00492249">
      <w:r w:rsidRPr="004C12C9">
        <w:t xml:space="preserve">Kolka et al. “Second State of the Carbon Cycle Report (SOCCR2): A Sustained Assessment Report, Chapter 13: Terrestrial wetlands,” U.S. Global Change Research Program, Washington, DC, USA, (2013) pp. 507-567: </w:t>
      </w:r>
      <w:hyperlink r:id="rId114" w:history="1">
        <w:r w:rsidR="00D60505" w:rsidRPr="004C12C9">
          <w:rPr>
            <w:rStyle w:val="Hyperlink"/>
          </w:rPr>
          <w:t>https://carbon2018.globalchange.gov/chapter/13/</w:t>
        </w:r>
      </w:hyperlink>
      <w:r w:rsidRPr="004C12C9">
        <w:t>.</w:t>
      </w:r>
    </w:p>
    <w:p w14:paraId="0548F273" w14:textId="597DE57D" w:rsidR="00492249" w:rsidRPr="004C12C9" w:rsidRDefault="00492249" w:rsidP="00492249">
      <w:r w:rsidRPr="004C12C9">
        <w:t>Kong et al. “Carbon Emission and Sequestration of Urban Turfgrass Systems in Hong Kong.” Science of The Total Environment, Volumes 473–474, Pages 132-138, ISSN 0048-9697 (2014), https://doi.org/10.1016/j.scitotenv.2013.12.012.</w:t>
      </w:r>
    </w:p>
    <w:p w14:paraId="5A89CF10" w14:textId="2A5C4F6F" w:rsidR="00492249" w:rsidRPr="004C12C9" w:rsidRDefault="00492249" w:rsidP="00492249">
      <w:r w:rsidRPr="004C12C9">
        <w:t xml:space="preserve">Luton Group. “How Far Can Asphalt Be Transported,” 2024. </w:t>
      </w:r>
      <w:hyperlink r:id="rId115" w:history="1">
        <w:r w:rsidR="00EC71CA" w:rsidRPr="004C12C9">
          <w:rPr>
            <w:rStyle w:val="Hyperlink"/>
          </w:rPr>
          <w:t>https://lutonmachinery.com/how-far-can-asphalt-be-transported/</w:t>
        </w:r>
      </w:hyperlink>
      <w:r w:rsidRPr="004C12C9">
        <w:t>.</w:t>
      </w:r>
    </w:p>
    <w:p w14:paraId="73D975DF" w14:textId="4EDB5D79" w:rsidR="00492249" w:rsidRPr="004C12C9" w:rsidRDefault="00492249" w:rsidP="00492249">
      <w:r w:rsidRPr="004C12C9">
        <w:t xml:space="preserve">Minnesota Department of Natural Resources. “Climate Trends.” Accessed April 21, 2025. </w:t>
      </w:r>
      <w:hyperlink r:id="rId116" w:history="1">
        <w:r w:rsidR="00EC71CA" w:rsidRPr="004C12C9">
          <w:rPr>
            <w:rStyle w:val="Hyperlink"/>
          </w:rPr>
          <w:t>https://www.dnr.state.mn.us/climate/climate_change_info/climate-trends.html</w:t>
        </w:r>
      </w:hyperlink>
      <w:r w:rsidRPr="004C12C9">
        <w:t xml:space="preserve">. </w:t>
      </w:r>
    </w:p>
    <w:p w14:paraId="788BDCC7" w14:textId="0510D0D6" w:rsidR="00492249" w:rsidRPr="004C12C9" w:rsidRDefault="00492249" w:rsidP="00492249">
      <w:r w:rsidRPr="004C12C9">
        <w:t xml:space="preserve">Minnesota Environmental Quality Board. “Environmental assessment worksheet guidance,” 2024. </w:t>
      </w:r>
      <w:hyperlink r:id="rId117" w:history="1">
        <w:r w:rsidR="00EC71CA" w:rsidRPr="004C12C9">
          <w:rPr>
            <w:rStyle w:val="Hyperlink"/>
          </w:rPr>
          <w:t>https://www.eqb.state.mn.us/sites/eqb/files/2024_eaw_climate_guidance_2.pdf</w:t>
        </w:r>
      </w:hyperlink>
      <w:r w:rsidRPr="004C12C9">
        <w:t>.</w:t>
      </w:r>
    </w:p>
    <w:p w14:paraId="28A1A65F" w14:textId="5D1B5D58" w:rsidR="00492249" w:rsidRPr="004C12C9" w:rsidRDefault="00492249" w:rsidP="00492249">
      <w:r w:rsidRPr="004C12C9">
        <w:t xml:space="preserve">Minnesota Department of Transportation. “Minnesota Infrastructure Carbon Estimator (MICE) Tool,” 2025. </w:t>
      </w:r>
      <w:hyperlink r:id="rId118" w:history="1">
        <w:r w:rsidR="00EC71CA" w:rsidRPr="004C12C9">
          <w:rPr>
            <w:rStyle w:val="Hyperlink"/>
          </w:rPr>
          <w:t>https://www.dot.state.mn.us/project-development/subject-guidance/greenhouse-gas-analysis/process.html</w:t>
        </w:r>
      </w:hyperlink>
      <w:r w:rsidRPr="004C12C9">
        <w:t>.</w:t>
      </w:r>
    </w:p>
    <w:p w14:paraId="5C784986" w14:textId="5B223A83" w:rsidR="00492249" w:rsidRPr="004C12C9" w:rsidRDefault="00492249" w:rsidP="00492249">
      <w:r w:rsidRPr="004C12C9">
        <w:t xml:space="preserve">Minnesota Pollution Control Agency (MPCA). “Animal Feedlot GHG Calculator,” February 2025. </w:t>
      </w:r>
      <w:hyperlink r:id="rId119" w:history="1">
        <w:r w:rsidR="00EC71CA" w:rsidRPr="004C12C9">
          <w:rPr>
            <w:rStyle w:val="Hyperlink"/>
          </w:rPr>
          <w:t>https://www.pca.state.mn.us/business-with-us/environmental-review</w:t>
        </w:r>
      </w:hyperlink>
      <w:r w:rsidRPr="004C12C9">
        <w:t>.</w:t>
      </w:r>
    </w:p>
    <w:p w14:paraId="0DA990AB" w14:textId="4D973C91" w:rsidR="00492249" w:rsidRPr="004C12C9" w:rsidRDefault="00492249" w:rsidP="00492249">
      <w:r w:rsidRPr="004C12C9">
        <w:t xml:space="preserve">MPCA. “Construction and Demolition Materials Composition Study,” 2020. </w:t>
      </w:r>
      <w:hyperlink r:id="rId120" w:history="1">
        <w:r w:rsidR="00EC71CA" w:rsidRPr="004C12C9">
          <w:rPr>
            <w:rStyle w:val="Hyperlink"/>
          </w:rPr>
          <w:t>https://www.pca.state.mn.us/sites/default/files/w-sw5-55.pdf</w:t>
        </w:r>
      </w:hyperlink>
      <w:r w:rsidR="00EC71CA" w:rsidRPr="004C12C9">
        <w:t>.</w:t>
      </w:r>
    </w:p>
    <w:p w14:paraId="3D1FB4AE" w14:textId="36BD3CEB" w:rsidR="00492249" w:rsidRPr="004C12C9" w:rsidRDefault="00492249" w:rsidP="00492249">
      <w:r w:rsidRPr="004C12C9">
        <w:lastRenderedPageBreak/>
        <w:t xml:space="preserve">MPCA. “Select Committee on Recycling and the Environment (SCORE),” 2022. </w:t>
      </w:r>
      <w:hyperlink r:id="rId121" w:history="1">
        <w:r w:rsidR="00EC71CA" w:rsidRPr="004C12C9">
          <w:rPr>
            <w:rStyle w:val="Hyperlink"/>
          </w:rPr>
          <w:t>https://data.pca.state.mn.us/views/SCOREreport2022/2022SCOREreport?%3Aembed=y&amp;%3AisGuestRedirectFromVizportal=y</w:t>
        </w:r>
      </w:hyperlink>
      <w:r w:rsidRPr="004C12C9">
        <w:t>.</w:t>
      </w:r>
    </w:p>
    <w:p w14:paraId="046358C6" w14:textId="55953116" w:rsidR="00492249" w:rsidRPr="004C12C9" w:rsidRDefault="00492249" w:rsidP="00492249">
      <w:r w:rsidRPr="004C12C9">
        <w:t xml:space="preserve">MSW Consultants. “Residential Waste Characterization &amp; Capture Rate Study,” 2022. </w:t>
      </w:r>
      <w:hyperlink r:id="rId122" w:history="1">
        <w:r w:rsidR="00A7604A" w:rsidRPr="004C12C9">
          <w:rPr>
            <w:rStyle w:val="Hyperlink"/>
          </w:rPr>
          <w:t>https://lims.minneapolismn.gov/Download/RCAV2/30166/Minneapolis%202022%20Final%20Sort%20Report.pdf</w:t>
        </w:r>
      </w:hyperlink>
      <w:r w:rsidRPr="004C12C9">
        <w:t>.</w:t>
      </w:r>
      <w:r w:rsidR="00A7604A" w:rsidRPr="004C12C9">
        <w:t xml:space="preserve"> </w:t>
      </w:r>
    </w:p>
    <w:p w14:paraId="72514412" w14:textId="0F658C04" w:rsidR="00492249" w:rsidRPr="004C12C9" w:rsidRDefault="00492249" w:rsidP="00492249">
      <w:r w:rsidRPr="004C12C9">
        <w:t xml:space="preserve">M.T. Copeland Technologies. “Wood Density Explained, Plus Wood Density Chart,” September 24, 2020. </w:t>
      </w:r>
      <w:hyperlink r:id="rId123" w:history="1">
        <w:r w:rsidR="00021D3C" w:rsidRPr="004C12C9">
          <w:rPr>
            <w:rStyle w:val="Hyperlink"/>
          </w:rPr>
          <w:t>https://mtcopeland.com/blog/wood-density-explained-plus-wood-density-chart/</w:t>
        </w:r>
      </w:hyperlink>
      <w:r w:rsidRPr="004C12C9">
        <w:t>.</w:t>
      </w:r>
    </w:p>
    <w:p w14:paraId="32AD63D2" w14:textId="4F9213F3" w:rsidR="00492249" w:rsidRPr="004C12C9" w:rsidRDefault="00492249" w:rsidP="00492249">
      <w:r w:rsidRPr="004C12C9">
        <w:t xml:space="preserve">National Asphalt Pavement Association. “Imports &amp; The Asphalt Pavement Industry,” n.d. </w:t>
      </w:r>
      <w:hyperlink r:id="rId124" w:history="1">
        <w:r w:rsidR="00021D3C" w:rsidRPr="004C12C9">
          <w:rPr>
            <w:rStyle w:val="Hyperlink"/>
          </w:rPr>
          <w:t>https://www.asphaltpavement.org/uploads/documents/Buy_America_Impacts_on_Asphalt.pdf</w:t>
        </w:r>
      </w:hyperlink>
      <w:r w:rsidRPr="004C12C9">
        <w:t>.</w:t>
      </w:r>
    </w:p>
    <w:p w14:paraId="40DB3DBD" w14:textId="2F69B6E0" w:rsidR="00492249" w:rsidRPr="004C12C9" w:rsidRDefault="00492249" w:rsidP="00492249">
      <w:r w:rsidRPr="004C12C9">
        <w:t xml:space="preserve">National Glass Association and Norah Dick. “World of Glass 2022 Report.” Glass Magazine, 2023. </w:t>
      </w:r>
      <w:hyperlink r:id="rId125" w:history="1">
        <w:r w:rsidR="00021D3C" w:rsidRPr="004C12C9">
          <w:rPr>
            <w:rStyle w:val="Hyperlink"/>
          </w:rPr>
          <w:t>https://www.glassmagazine.com/article/world-glass-2022-report</w:t>
        </w:r>
      </w:hyperlink>
      <w:r w:rsidRPr="004C12C9">
        <w:t xml:space="preserve">. </w:t>
      </w:r>
    </w:p>
    <w:p w14:paraId="61CE7567" w14:textId="5224263E" w:rsidR="00492249" w:rsidRPr="004C12C9" w:rsidRDefault="00492249" w:rsidP="00492249">
      <w:r w:rsidRPr="004C12C9">
        <w:t xml:space="preserve">North American Insulation Manufacturers Association. “Fiberglass Batts (Faced).” Smart EPD, 2023. </w:t>
      </w:r>
      <w:hyperlink r:id="rId126" w:history="1">
        <w:r w:rsidR="00021D3C" w:rsidRPr="004C12C9">
          <w:rPr>
            <w:rStyle w:val="Hyperlink"/>
          </w:rPr>
          <w:t>https://smartepd.com/epd-library/64133a6cceeabedac05df74d#</w:t>
        </w:r>
      </w:hyperlink>
      <w:r w:rsidRPr="004C12C9">
        <w:t xml:space="preserve">. </w:t>
      </w:r>
    </w:p>
    <w:p w14:paraId="487AD26D" w14:textId="7C1BD3A8" w:rsidR="00492249" w:rsidRPr="004C12C9" w:rsidRDefault="00492249" w:rsidP="00492249">
      <w:r w:rsidRPr="004C12C9">
        <w:t xml:space="preserve">The Observatory of Economic Complexity. “Float Glass in United States,” 2023. </w:t>
      </w:r>
      <w:hyperlink r:id="rId127" w:history="1">
        <w:r w:rsidR="00021D3C" w:rsidRPr="004C12C9">
          <w:rPr>
            <w:rStyle w:val="Hyperlink"/>
          </w:rPr>
          <w:t>https://oec.world/en/profile/bilateral-product/float-glass/reporter/usa</w:t>
        </w:r>
      </w:hyperlink>
      <w:r w:rsidRPr="004C12C9">
        <w:t>.</w:t>
      </w:r>
    </w:p>
    <w:p w14:paraId="2AE7698E" w14:textId="5EF1444B" w:rsidR="00492249" w:rsidRPr="004C12C9" w:rsidRDefault="00492249" w:rsidP="00492249">
      <w:r w:rsidRPr="004C12C9">
        <w:t xml:space="preserve">The Observatory of Economic Complexity. “Where Does United States Import Bricks from? (2022),” 2022. </w:t>
      </w:r>
      <w:hyperlink r:id="rId128" w:history="1">
        <w:r w:rsidR="00021D3C" w:rsidRPr="004C12C9">
          <w:rPr>
            <w:rStyle w:val="Hyperlink"/>
          </w:rPr>
          <w:t>https://oec.world/en/visualize/tree_map/hs92/import/usa/show/136901/2022</w:t>
        </w:r>
      </w:hyperlink>
      <w:r w:rsidRPr="004C12C9">
        <w:t>.</w:t>
      </w:r>
    </w:p>
    <w:p w14:paraId="0AC92AC8" w14:textId="6E026C14" w:rsidR="00492249" w:rsidRPr="004C12C9" w:rsidRDefault="00492249" w:rsidP="00492249">
      <w:r w:rsidRPr="004C12C9">
        <w:t xml:space="preserve">Ready-Mixed Concrete Manufactured by NRMCA Members,” July 2022. </w:t>
      </w:r>
      <w:hyperlink r:id="rId129" w:history="1">
        <w:r w:rsidR="00021D3C" w:rsidRPr="004C12C9">
          <w:rPr>
            <w:rStyle w:val="Hyperlink"/>
          </w:rPr>
          <w:t>https://www.nrmca.org/wp-content/uploads/2022/02/NRMCA_LCAReportV3-2_20220224.pdf</w:t>
        </w:r>
      </w:hyperlink>
      <w:r w:rsidRPr="004C12C9">
        <w:t>.</w:t>
      </w:r>
    </w:p>
    <w:p w14:paraId="627AE4FD" w14:textId="08C71602" w:rsidR="00492249" w:rsidRPr="004C12C9" w:rsidRDefault="00492249" w:rsidP="00492249">
      <w:r w:rsidRPr="004C12C9">
        <w:t xml:space="preserve">Scott, Sarah and Ireland, Robert. “Forest Products.” United States International Trade Commission, 2017. </w:t>
      </w:r>
      <w:hyperlink r:id="rId130" w:history="1">
        <w:r w:rsidR="00021D3C" w:rsidRPr="004C12C9">
          <w:rPr>
            <w:rStyle w:val="Hyperlink"/>
          </w:rPr>
          <w:t>https://www.usitc.gov/research_and_analysis/trade_shifts_2017/forestry.htm</w:t>
        </w:r>
      </w:hyperlink>
      <w:r w:rsidRPr="004C12C9">
        <w:t>.</w:t>
      </w:r>
    </w:p>
    <w:p w14:paraId="1FAFAFCE" w14:textId="60FB6966" w:rsidR="00492249" w:rsidRPr="004C12C9" w:rsidRDefault="00492249" w:rsidP="00492249">
      <w:r w:rsidRPr="004C12C9">
        <w:t xml:space="preserve">Selhorst, A. and Lal, R. “Net Carbon Sequestration Potential and Emissions in Home Lawn Turfgrasses of the United States.” Environmental Management 51, 198–208 (2013). </w:t>
      </w:r>
      <w:hyperlink r:id="rId131" w:history="1">
        <w:r w:rsidR="00A7604A" w:rsidRPr="004C12C9">
          <w:rPr>
            <w:rStyle w:val="Hyperlink"/>
          </w:rPr>
          <w:t>https://doi.org/10.1007/s00267-012-9967-6</w:t>
        </w:r>
      </w:hyperlink>
      <w:r w:rsidRPr="004C12C9">
        <w:t xml:space="preserve">. </w:t>
      </w:r>
      <w:r w:rsidR="00A7604A" w:rsidRPr="004C12C9">
        <w:t xml:space="preserve"> </w:t>
      </w:r>
    </w:p>
    <w:p w14:paraId="31F828E9" w14:textId="4E59AAAF" w:rsidR="00492249" w:rsidRPr="004C12C9" w:rsidRDefault="00492249" w:rsidP="00492249">
      <w:r w:rsidRPr="004C12C9">
        <w:t xml:space="preserve">Statista. “U.S. Imports 1990-2022 as a Percentage of GDP,” 2024. </w:t>
      </w:r>
      <w:hyperlink r:id="rId132" w:history="1">
        <w:r w:rsidR="00021D3C" w:rsidRPr="004C12C9">
          <w:rPr>
            <w:rStyle w:val="Hyperlink"/>
          </w:rPr>
          <w:t>https://www.statista.com/statistics/259096/us-imports-as-a-percentage-of-gdp/</w:t>
        </w:r>
      </w:hyperlink>
      <w:r w:rsidRPr="004C12C9">
        <w:t>.</w:t>
      </w:r>
    </w:p>
    <w:p w14:paraId="18463988" w14:textId="71B23823" w:rsidR="00492249" w:rsidRPr="004C12C9" w:rsidRDefault="00492249" w:rsidP="00492249">
      <w:r w:rsidRPr="004C12C9">
        <w:t xml:space="preserve">TravelMath. “Travelmath Trip Calculator,” 2025. </w:t>
      </w:r>
      <w:hyperlink r:id="rId133" w:history="1">
        <w:r w:rsidR="00021D3C" w:rsidRPr="004C12C9">
          <w:rPr>
            <w:rStyle w:val="Hyperlink"/>
          </w:rPr>
          <w:t>https://www.travelmath.com/</w:t>
        </w:r>
      </w:hyperlink>
      <w:r w:rsidRPr="004C12C9">
        <w:t>.</w:t>
      </w:r>
    </w:p>
    <w:p w14:paraId="5919C370" w14:textId="34B57AE0" w:rsidR="00492249" w:rsidRPr="004C12C9" w:rsidRDefault="00492249" w:rsidP="00492249">
      <w:r w:rsidRPr="004C12C9">
        <w:t xml:space="preserve">United States Census Bureau. “2017 Commodity Flow Survey Datasets,” 2017. </w:t>
      </w:r>
      <w:hyperlink r:id="rId134" w:history="1">
        <w:r w:rsidR="00021D3C" w:rsidRPr="004C12C9">
          <w:rPr>
            <w:rStyle w:val="Hyperlink"/>
          </w:rPr>
          <w:t>https://www.census.gov/data/datasets/2017/econ/cfs/historical-datasets.html</w:t>
        </w:r>
      </w:hyperlink>
      <w:r w:rsidRPr="004C12C9">
        <w:t>.</w:t>
      </w:r>
    </w:p>
    <w:p w14:paraId="65C1B7C0" w14:textId="15B8CA7B" w:rsidR="00CA4254" w:rsidRPr="004C12C9" w:rsidRDefault="00CA4254" w:rsidP="00CA4254">
      <w:pPr>
        <w:pStyle w:val="footnote"/>
        <w:rPr>
          <w:rFonts w:ascii="Calibri" w:hAnsi="Calibri" w:cs="Times New Roman"/>
          <w:sz w:val="22"/>
          <w:szCs w:val="22"/>
        </w:rPr>
      </w:pPr>
      <w:r w:rsidRPr="004C12C9">
        <w:rPr>
          <w:rFonts w:ascii="Calibri" w:hAnsi="Calibri" w:cs="Times New Roman"/>
          <w:sz w:val="22"/>
          <w:szCs w:val="22"/>
        </w:rPr>
        <w:t>USDA</w:t>
      </w:r>
      <w:r w:rsidR="002F6CDD" w:rsidRPr="004C12C9">
        <w:rPr>
          <w:rFonts w:ascii="Calibri" w:hAnsi="Calibri" w:cs="Times New Roman"/>
          <w:sz w:val="22"/>
          <w:szCs w:val="22"/>
        </w:rPr>
        <w:t>,</w:t>
      </w:r>
      <w:r w:rsidRPr="004C12C9">
        <w:rPr>
          <w:rFonts w:ascii="Calibri" w:hAnsi="Calibri" w:cs="Times New Roman"/>
          <w:sz w:val="22"/>
          <w:szCs w:val="22"/>
        </w:rPr>
        <w:t xml:space="preserve"> "Quantifying Greenhouse Gas Fluxes in Agriculture and Forestry: Methods for Entity-Scale Inventory</w:t>
      </w:r>
      <w:r w:rsidR="002F6CDD" w:rsidRPr="004C12C9">
        <w:rPr>
          <w:rFonts w:ascii="Calibri" w:hAnsi="Calibri" w:cs="Times New Roman"/>
          <w:sz w:val="22"/>
          <w:szCs w:val="22"/>
        </w:rPr>
        <w:t>,</w:t>
      </w:r>
      <w:r w:rsidRPr="004C12C9">
        <w:rPr>
          <w:rFonts w:ascii="Calibri" w:hAnsi="Calibri" w:cs="Times New Roman"/>
          <w:sz w:val="22"/>
          <w:szCs w:val="22"/>
        </w:rPr>
        <w:t xml:space="preserve">" April 2024. </w:t>
      </w:r>
      <w:hyperlink r:id="rId135" w:history="1">
        <w:r w:rsidRPr="004C12C9">
          <w:rPr>
            <w:rStyle w:val="Hyperlink"/>
            <w:rFonts w:ascii="Calibri" w:hAnsi="Calibri" w:cs="Times New Roman"/>
            <w:sz w:val="22"/>
            <w:szCs w:val="22"/>
          </w:rPr>
          <w:t>https://www.usda.gov/about-usda/general-information/staff-offices/office-chief-economist/office-energy-and-environmental-policy/climate-change/greenhouse-gas-inventory-and-assessment-program/quantifying-greenhouse-gas-fluxes-methods-entity-scale-inventory</w:t>
        </w:r>
      </w:hyperlink>
      <w:r w:rsidRPr="004C12C9">
        <w:rPr>
          <w:rFonts w:ascii="Calibri" w:hAnsi="Calibri" w:cs="Times New Roman"/>
          <w:sz w:val="22"/>
          <w:szCs w:val="22"/>
        </w:rPr>
        <w:t xml:space="preserve">.     </w:t>
      </w:r>
    </w:p>
    <w:p w14:paraId="2EC56508" w14:textId="2394AAA6" w:rsidR="00CA4254" w:rsidRPr="004C12C9" w:rsidRDefault="00CA4254" w:rsidP="00CA4254">
      <w:r w:rsidRPr="004C12C9">
        <w:lastRenderedPageBreak/>
        <w:t>USDA</w:t>
      </w:r>
      <w:r w:rsidR="002F6CDD" w:rsidRPr="004C12C9">
        <w:t>,</w:t>
      </w:r>
      <w:r w:rsidRPr="004C12C9">
        <w:t xml:space="preserve"> “Gridded Soil Survey Geographic (gSSURGO) Database</w:t>
      </w:r>
      <w:r w:rsidR="002F6CDD" w:rsidRPr="004C12C9">
        <w:t>,</w:t>
      </w:r>
      <w:r w:rsidRPr="004C12C9">
        <w:t xml:space="preserve">” 2023. </w:t>
      </w:r>
      <w:hyperlink r:id="rId136" w:history="1">
        <w:r w:rsidRPr="004C12C9">
          <w:rPr>
            <w:rStyle w:val="Hyperlink"/>
          </w:rPr>
          <w:t>https://www.nrcs.usda.gov/resources/data-and-reports/gridded-soil-survey-geographic-gssurgo-database</w:t>
        </w:r>
      </w:hyperlink>
      <w:r w:rsidRPr="004C12C9">
        <w:t xml:space="preserve">. </w:t>
      </w:r>
    </w:p>
    <w:p w14:paraId="3CAB4E24" w14:textId="6497CDF7" w:rsidR="00E80137" w:rsidRPr="004C12C9" w:rsidRDefault="00492249" w:rsidP="00492249">
      <w:pPr>
        <w:rPr>
          <w:rFonts w:asciiTheme="minorHAnsi" w:eastAsiaTheme="majorEastAsia" w:hAnsiTheme="minorHAnsi" w:cstheme="majorBidi"/>
          <w:color w:val="003865" w:themeColor="accent1"/>
          <w:sz w:val="32"/>
          <w:szCs w:val="32"/>
        </w:rPr>
      </w:pPr>
      <w:r w:rsidRPr="004C12C9">
        <w:t xml:space="preserve">Verchot et al. “IPCC 2006 Guidelines for National Greenhouse Gas Inventories, Volume 4: Agriculture, Forestry, and Other Land Use” (2006). </w:t>
      </w:r>
      <w:hyperlink r:id="rId137" w:history="1">
        <w:r w:rsidR="00021D3C" w:rsidRPr="004C12C9">
          <w:rPr>
            <w:rStyle w:val="Hyperlink"/>
          </w:rPr>
          <w:t>https://www.ipcc-nggip.iges.or.jp/public/2006gl/pdf/4_Volume4/V4_06_Ch6_Grassland.pdf</w:t>
        </w:r>
      </w:hyperlink>
      <w:r w:rsidRPr="004C12C9">
        <w:t>.</w:t>
      </w:r>
      <w:r w:rsidR="00E80137" w:rsidRPr="004C12C9">
        <w:br w:type="page"/>
      </w:r>
    </w:p>
    <w:p w14:paraId="5F873C03" w14:textId="71A9543F" w:rsidR="00511754" w:rsidRPr="004C12C9" w:rsidRDefault="00511754" w:rsidP="00511754">
      <w:pPr>
        <w:pStyle w:val="Appendix"/>
      </w:pPr>
      <w:bookmarkStart w:id="276" w:name="_Toc219887793"/>
      <w:r w:rsidRPr="004C12C9">
        <w:lastRenderedPageBreak/>
        <w:t>Acronyms</w:t>
      </w:r>
      <w:bookmarkEnd w:id="27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7555"/>
      </w:tblGrid>
      <w:tr w:rsidR="00F310F9" w:rsidRPr="004C12C9" w14:paraId="25749CBB" w14:textId="77777777" w:rsidTr="00C64A24">
        <w:trPr>
          <w:trHeight w:hRule="exact" w:val="504"/>
        </w:trPr>
        <w:tc>
          <w:tcPr>
            <w:tcW w:w="1795" w:type="dxa"/>
            <w:vAlign w:val="center"/>
          </w:tcPr>
          <w:p w14:paraId="5ABBE7C8" w14:textId="48636FD1" w:rsidR="006976A9" w:rsidRPr="004C12C9" w:rsidRDefault="006976A9" w:rsidP="00EE7052">
            <w:pPr>
              <w:spacing w:before="0" w:after="0"/>
            </w:pPr>
            <w:r w:rsidRPr="004C12C9">
              <w:t>BOD</w:t>
            </w:r>
          </w:p>
        </w:tc>
        <w:tc>
          <w:tcPr>
            <w:tcW w:w="7555" w:type="dxa"/>
            <w:vAlign w:val="center"/>
          </w:tcPr>
          <w:p w14:paraId="75B7C104" w14:textId="29C5800A" w:rsidR="006976A9" w:rsidRPr="004C12C9" w:rsidRDefault="006976A9" w:rsidP="00EE7052">
            <w:pPr>
              <w:spacing w:before="0" w:after="0"/>
            </w:pPr>
            <w:r w:rsidRPr="004C12C9">
              <w:t>Biological oxygen demand</w:t>
            </w:r>
          </w:p>
        </w:tc>
      </w:tr>
      <w:tr w:rsidR="00F310F9" w:rsidRPr="004C12C9" w14:paraId="16BA4FFD" w14:textId="77777777" w:rsidTr="00C64A24">
        <w:trPr>
          <w:trHeight w:hRule="exact" w:val="504"/>
        </w:trPr>
        <w:tc>
          <w:tcPr>
            <w:tcW w:w="1795" w:type="dxa"/>
            <w:vAlign w:val="center"/>
          </w:tcPr>
          <w:p w14:paraId="4669D955" w14:textId="77777777" w:rsidR="004021E7" w:rsidRPr="004C12C9" w:rsidRDefault="004021E7" w:rsidP="00EE7052">
            <w:pPr>
              <w:spacing w:before="0" w:after="0"/>
            </w:pPr>
            <w:r w:rsidRPr="004C12C9">
              <w:t>C&amp;D</w:t>
            </w:r>
          </w:p>
        </w:tc>
        <w:tc>
          <w:tcPr>
            <w:tcW w:w="7555" w:type="dxa"/>
            <w:vAlign w:val="center"/>
          </w:tcPr>
          <w:p w14:paraId="65C37708" w14:textId="77777777" w:rsidR="004021E7" w:rsidRPr="004C12C9" w:rsidRDefault="004021E7" w:rsidP="00EE7052">
            <w:pPr>
              <w:spacing w:before="0" w:after="0"/>
            </w:pPr>
            <w:r w:rsidRPr="004C12C9">
              <w:t>Construction and demolition</w:t>
            </w:r>
          </w:p>
        </w:tc>
      </w:tr>
      <w:tr w:rsidR="00EE7052" w:rsidRPr="004C12C9" w14:paraId="511550A2" w14:textId="77777777" w:rsidTr="00C64A24">
        <w:trPr>
          <w:trHeight w:hRule="exact" w:val="504"/>
        </w:trPr>
        <w:tc>
          <w:tcPr>
            <w:tcW w:w="0" w:type="dxa"/>
            <w:vAlign w:val="center"/>
          </w:tcPr>
          <w:p w14:paraId="049B6DD6" w14:textId="77777777" w:rsidR="004021E7" w:rsidRPr="004C12C9" w:rsidRDefault="004021E7" w:rsidP="00EE7052">
            <w:pPr>
              <w:spacing w:before="0" w:after="0"/>
            </w:pPr>
            <w:r w:rsidRPr="004C12C9">
              <w:t>CBECS</w:t>
            </w:r>
          </w:p>
        </w:tc>
        <w:tc>
          <w:tcPr>
            <w:tcW w:w="0" w:type="dxa"/>
            <w:vAlign w:val="center"/>
          </w:tcPr>
          <w:p w14:paraId="59D164CF" w14:textId="77777777" w:rsidR="004021E7" w:rsidRPr="004C12C9" w:rsidRDefault="004021E7" w:rsidP="00EE7052">
            <w:pPr>
              <w:spacing w:before="0" w:after="0"/>
            </w:pPr>
            <w:r w:rsidRPr="004C12C9">
              <w:t>Commercial Buildings Energy Consumption Survey</w:t>
            </w:r>
          </w:p>
        </w:tc>
      </w:tr>
      <w:tr w:rsidR="00EE7052" w:rsidRPr="004C12C9" w14:paraId="1B74CAE4" w14:textId="77777777" w:rsidTr="00C64A24">
        <w:trPr>
          <w:trHeight w:hRule="exact" w:val="504"/>
        </w:trPr>
        <w:tc>
          <w:tcPr>
            <w:tcW w:w="1795" w:type="dxa"/>
            <w:vAlign w:val="center"/>
          </w:tcPr>
          <w:p w14:paraId="39C34539" w14:textId="77777777" w:rsidR="004021E7" w:rsidRPr="004C12C9" w:rsidRDefault="004021E7" w:rsidP="00EE7052">
            <w:pPr>
              <w:spacing w:before="0" w:after="0"/>
            </w:pPr>
            <w:r w:rsidRPr="004C12C9">
              <w:t>CFS</w:t>
            </w:r>
          </w:p>
        </w:tc>
        <w:tc>
          <w:tcPr>
            <w:tcW w:w="7555" w:type="dxa"/>
            <w:vAlign w:val="center"/>
          </w:tcPr>
          <w:p w14:paraId="1343648A" w14:textId="77777777" w:rsidR="004021E7" w:rsidRPr="004C12C9" w:rsidRDefault="004021E7" w:rsidP="00EE7052">
            <w:pPr>
              <w:spacing w:before="0" w:after="0"/>
            </w:pPr>
            <w:r w:rsidRPr="004C12C9">
              <w:t>Commodity Flow Survey</w:t>
            </w:r>
          </w:p>
        </w:tc>
      </w:tr>
      <w:tr w:rsidR="00EE7052" w:rsidRPr="004C12C9" w14:paraId="3593A13C" w14:textId="77777777" w:rsidTr="00C64A24">
        <w:trPr>
          <w:trHeight w:hRule="exact" w:val="504"/>
        </w:trPr>
        <w:tc>
          <w:tcPr>
            <w:tcW w:w="0" w:type="dxa"/>
            <w:vAlign w:val="center"/>
          </w:tcPr>
          <w:p w14:paraId="6A984E9D" w14:textId="77777777" w:rsidR="004021E7" w:rsidRPr="004C12C9" w:rsidRDefault="004021E7" w:rsidP="00EE7052">
            <w:pPr>
              <w:spacing w:before="0" w:after="0"/>
            </w:pPr>
            <w:r w:rsidRPr="004C12C9">
              <w:t>CLEER</w:t>
            </w:r>
          </w:p>
        </w:tc>
        <w:tc>
          <w:tcPr>
            <w:tcW w:w="0" w:type="dxa"/>
            <w:vAlign w:val="center"/>
          </w:tcPr>
          <w:p w14:paraId="700CC94E" w14:textId="77777777" w:rsidR="004021E7" w:rsidRPr="004C12C9" w:rsidRDefault="004021E7" w:rsidP="00EE7052">
            <w:pPr>
              <w:spacing w:before="0" w:after="0"/>
            </w:pPr>
            <w:r w:rsidRPr="004C12C9">
              <w:t>Clean Energy Emission Reduction</w:t>
            </w:r>
          </w:p>
        </w:tc>
      </w:tr>
      <w:tr w:rsidR="00EE7052" w:rsidRPr="004C12C9" w14:paraId="62D8B07E" w14:textId="77777777" w:rsidTr="00C64A24">
        <w:trPr>
          <w:trHeight w:hRule="exact" w:val="504"/>
        </w:trPr>
        <w:tc>
          <w:tcPr>
            <w:tcW w:w="1795" w:type="dxa"/>
            <w:vAlign w:val="center"/>
          </w:tcPr>
          <w:p w14:paraId="7B9D43D9" w14:textId="77777777" w:rsidR="004021E7" w:rsidRPr="004C12C9" w:rsidRDefault="004021E7" w:rsidP="00EE7052">
            <w:pPr>
              <w:spacing w:before="0" w:after="0"/>
            </w:pPr>
            <w:r w:rsidRPr="004C12C9">
              <w:t>COD</w:t>
            </w:r>
          </w:p>
        </w:tc>
        <w:tc>
          <w:tcPr>
            <w:tcW w:w="7555" w:type="dxa"/>
            <w:vAlign w:val="center"/>
          </w:tcPr>
          <w:p w14:paraId="5B40DFDB" w14:textId="77777777" w:rsidR="004021E7" w:rsidRPr="004C12C9" w:rsidRDefault="004021E7" w:rsidP="00EE7052">
            <w:pPr>
              <w:spacing w:before="0" w:after="0"/>
            </w:pPr>
            <w:r w:rsidRPr="004C12C9">
              <w:t>Chemical oxygen demand</w:t>
            </w:r>
          </w:p>
        </w:tc>
      </w:tr>
      <w:tr w:rsidR="00EE7052" w:rsidRPr="004C12C9" w14:paraId="6F131944" w14:textId="77777777" w:rsidTr="00C64A24">
        <w:trPr>
          <w:trHeight w:hRule="exact" w:val="504"/>
        </w:trPr>
        <w:tc>
          <w:tcPr>
            <w:tcW w:w="0" w:type="dxa"/>
            <w:vAlign w:val="center"/>
          </w:tcPr>
          <w:p w14:paraId="2DF7CD1B" w14:textId="77777777" w:rsidR="004021E7" w:rsidRPr="004C12C9" w:rsidRDefault="004021E7" w:rsidP="00EE7052">
            <w:pPr>
              <w:spacing w:before="0" w:after="0"/>
            </w:pPr>
            <w:r w:rsidRPr="004C12C9">
              <w:t>EAW</w:t>
            </w:r>
          </w:p>
        </w:tc>
        <w:tc>
          <w:tcPr>
            <w:tcW w:w="0" w:type="dxa"/>
            <w:vAlign w:val="center"/>
          </w:tcPr>
          <w:p w14:paraId="16845DE7" w14:textId="77777777" w:rsidR="004021E7" w:rsidRPr="004C12C9" w:rsidRDefault="004021E7" w:rsidP="00EE7052">
            <w:pPr>
              <w:spacing w:before="0" w:after="0"/>
            </w:pPr>
            <w:r w:rsidRPr="004C12C9">
              <w:t>Environmental Assessment Worksheet</w:t>
            </w:r>
          </w:p>
        </w:tc>
      </w:tr>
      <w:tr w:rsidR="00EE7052" w:rsidRPr="004C12C9" w14:paraId="39F4D467" w14:textId="77777777" w:rsidTr="00C64A24">
        <w:trPr>
          <w:trHeight w:hRule="exact" w:val="504"/>
        </w:trPr>
        <w:tc>
          <w:tcPr>
            <w:tcW w:w="1795" w:type="dxa"/>
            <w:vAlign w:val="center"/>
          </w:tcPr>
          <w:p w14:paraId="4ABD484E" w14:textId="77777777" w:rsidR="004021E7" w:rsidRPr="004C12C9" w:rsidRDefault="004021E7" w:rsidP="00EE7052">
            <w:pPr>
              <w:spacing w:before="0" w:after="0"/>
            </w:pPr>
            <w:r w:rsidRPr="004C12C9">
              <w:t>EF</w:t>
            </w:r>
          </w:p>
        </w:tc>
        <w:tc>
          <w:tcPr>
            <w:tcW w:w="7555" w:type="dxa"/>
            <w:vAlign w:val="center"/>
          </w:tcPr>
          <w:p w14:paraId="5A8BA2E3" w14:textId="77777777" w:rsidR="004021E7" w:rsidRPr="004C12C9" w:rsidRDefault="004021E7" w:rsidP="00EE7052">
            <w:pPr>
              <w:spacing w:before="0" w:after="0"/>
            </w:pPr>
            <w:r w:rsidRPr="004C12C9">
              <w:t>Emission factor</w:t>
            </w:r>
          </w:p>
        </w:tc>
      </w:tr>
      <w:tr w:rsidR="003D4389" w:rsidRPr="004C12C9" w14:paraId="4D84BDD2" w14:textId="77777777" w:rsidTr="00C64A24">
        <w:trPr>
          <w:trHeight w:hRule="exact" w:val="504"/>
        </w:trPr>
        <w:tc>
          <w:tcPr>
            <w:tcW w:w="1795" w:type="dxa"/>
            <w:vAlign w:val="center"/>
          </w:tcPr>
          <w:p w14:paraId="5631E4AB" w14:textId="2EA854C8" w:rsidR="003D4389" w:rsidRPr="004C12C9" w:rsidRDefault="003D4389" w:rsidP="00EE7052">
            <w:pPr>
              <w:spacing w:before="0" w:after="0"/>
            </w:pPr>
            <w:r w:rsidRPr="004C12C9">
              <w:t>eGRID</w:t>
            </w:r>
          </w:p>
        </w:tc>
        <w:tc>
          <w:tcPr>
            <w:tcW w:w="7555" w:type="dxa"/>
            <w:vAlign w:val="center"/>
          </w:tcPr>
          <w:p w14:paraId="531E53E1" w14:textId="5FA723D7" w:rsidR="003D4389" w:rsidRPr="004C12C9" w:rsidRDefault="003D4389" w:rsidP="00EE7052">
            <w:pPr>
              <w:spacing w:before="0" w:after="0"/>
            </w:pPr>
            <w:r w:rsidRPr="004C12C9">
              <w:rPr>
                <w:lang w:bidi="ar-SA"/>
              </w:rPr>
              <w:t>Emissions &amp; Generation Resource Integrated Database</w:t>
            </w:r>
          </w:p>
        </w:tc>
      </w:tr>
      <w:tr w:rsidR="00EE7052" w:rsidRPr="004C12C9" w14:paraId="0D05412A" w14:textId="77777777" w:rsidTr="00C64A24">
        <w:trPr>
          <w:trHeight w:hRule="exact" w:val="504"/>
        </w:trPr>
        <w:tc>
          <w:tcPr>
            <w:tcW w:w="0" w:type="dxa"/>
            <w:vAlign w:val="center"/>
          </w:tcPr>
          <w:p w14:paraId="00854984" w14:textId="77777777" w:rsidR="004021E7" w:rsidRPr="004C12C9" w:rsidRDefault="004021E7" w:rsidP="00EE7052">
            <w:pPr>
              <w:spacing w:before="0" w:after="0"/>
            </w:pPr>
            <w:r w:rsidRPr="004C12C9">
              <w:t>EIA</w:t>
            </w:r>
          </w:p>
        </w:tc>
        <w:tc>
          <w:tcPr>
            <w:tcW w:w="0" w:type="dxa"/>
            <w:vAlign w:val="center"/>
          </w:tcPr>
          <w:p w14:paraId="1461F51E" w14:textId="77777777" w:rsidR="004021E7" w:rsidRPr="004C12C9" w:rsidRDefault="004021E7" w:rsidP="00EE7052">
            <w:pPr>
              <w:spacing w:before="0" w:after="0"/>
            </w:pPr>
            <w:r w:rsidRPr="004C12C9">
              <w:t>Energy Information Administration</w:t>
            </w:r>
          </w:p>
        </w:tc>
      </w:tr>
      <w:tr w:rsidR="00EE7052" w:rsidRPr="004C12C9" w14:paraId="7D9C5FFF" w14:textId="77777777" w:rsidTr="00C64A24">
        <w:trPr>
          <w:trHeight w:hRule="exact" w:val="504"/>
        </w:trPr>
        <w:tc>
          <w:tcPr>
            <w:tcW w:w="1795" w:type="dxa"/>
            <w:vAlign w:val="center"/>
          </w:tcPr>
          <w:p w14:paraId="1DA1AF41" w14:textId="77777777" w:rsidR="004021E7" w:rsidRPr="004C12C9" w:rsidRDefault="004021E7" w:rsidP="00EE7052">
            <w:pPr>
              <w:spacing w:before="0" w:after="0"/>
            </w:pPr>
            <w:r w:rsidRPr="004C12C9">
              <w:t>EPA</w:t>
            </w:r>
          </w:p>
        </w:tc>
        <w:tc>
          <w:tcPr>
            <w:tcW w:w="7555" w:type="dxa"/>
            <w:vAlign w:val="center"/>
          </w:tcPr>
          <w:p w14:paraId="5ECD1B47" w14:textId="77777777" w:rsidR="004021E7" w:rsidRPr="004C12C9" w:rsidRDefault="004021E7" w:rsidP="00EE7052">
            <w:pPr>
              <w:spacing w:before="0" w:after="0"/>
            </w:pPr>
            <w:r w:rsidRPr="004C12C9">
              <w:t>Environmental Protection Agency</w:t>
            </w:r>
          </w:p>
        </w:tc>
      </w:tr>
      <w:tr w:rsidR="00EE7052" w:rsidRPr="004C12C9" w14:paraId="0510D20E" w14:textId="77777777" w:rsidTr="00C64A24">
        <w:trPr>
          <w:trHeight w:hRule="exact" w:val="504"/>
        </w:trPr>
        <w:tc>
          <w:tcPr>
            <w:tcW w:w="0" w:type="dxa"/>
            <w:vAlign w:val="center"/>
          </w:tcPr>
          <w:p w14:paraId="731BC30D" w14:textId="77777777" w:rsidR="004021E7" w:rsidRPr="004C12C9" w:rsidRDefault="004021E7" w:rsidP="00EE7052">
            <w:pPr>
              <w:spacing w:before="0" w:after="0"/>
            </w:pPr>
            <w:r w:rsidRPr="004C12C9">
              <w:t>EPD</w:t>
            </w:r>
          </w:p>
        </w:tc>
        <w:tc>
          <w:tcPr>
            <w:tcW w:w="0" w:type="dxa"/>
            <w:vAlign w:val="center"/>
          </w:tcPr>
          <w:p w14:paraId="0B16CF06" w14:textId="77777777" w:rsidR="004021E7" w:rsidRPr="004C12C9" w:rsidRDefault="004021E7" w:rsidP="00EE7052">
            <w:pPr>
              <w:spacing w:before="0" w:after="0"/>
            </w:pPr>
            <w:r w:rsidRPr="004C12C9">
              <w:t>Environmental Product Declarations</w:t>
            </w:r>
          </w:p>
        </w:tc>
      </w:tr>
      <w:tr w:rsidR="00EE7052" w:rsidRPr="004C12C9" w14:paraId="0B53098F" w14:textId="77777777" w:rsidTr="00C64A24">
        <w:trPr>
          <w:trHeight w:hRule="exact" w:val="504"/>
        </w:trPr>
        <w:tc>
          <w:tcPr>
            <w:tcW w:w="1795" w:type="dxa"/>
            <w:vAlign w:val="center"/>
          </w:tcPr>
          <w:p w14:paraId="71571164" w14:textId="77777777" w:rsidR="004021E7" w:rsidRPr="004C12C9" w:rsidRDefault="004021E7" w:rsidP="00EE7052">
            <w:pPr>
              <w:spacing w:before="0" w:after="0"/>
            </w:pPr>
            <w:r w:rsidRPr="004C12C9">
              <w:t>EQB</w:t>
            </w:r>
          </w:p>
        </w:tc>
        <w:tc>
          <w:tcPr>
            <w:tcW w:w="7555" w:type="dxa"/>
            <w:vAlign w:val="center"/>
          </w:tcPr>
          <w:p w14:paraId="34430CE9" w14:textId="77777777" w:rsidR="004021E7" w:rsidRPr="004C12C9" w:rsidRDefault="004021E7" w:rsidP="00EE7052">
            <w:pPr>
              <w:spacing w:before="0" w:after="0"/>
            </w:pPr>
            <w:r w:rsidRPr="004C12C9">
              <w:t>Environmental Quality Board</w:t>
            </w:r>
          </w:p>
        </w:tc>
      </w:tr>
      <w:tr w:rsidR="00EE7052" w:rsidRPr="004C12C9" w14:paraId="2529DFFA" w14:textId="77777777" w:rsidTr="00C64A24">
        <w:trPr>
          <w:trHeight w:hRule="exact" w:val="504"/>
        </w:trPr>
        <w:tc>
          <w:tcPr>
            <w:tcW w:w="0" w:type="dxa"/>
            <w:vAlign w:val="center"/>
          </w:tcPr>
          <w:p w14:paraId="0BA26E4C" w14:textId="77777777" w:rsidR="004021E7" w:rsidRPr="004C12C9" w:rsidRDefault="004021E7" w:rsidP="00EE7052">
            <w:pPr>
              <w:spacing w:before="0" w:after="0"/>
            </w:pPr>
            <w:r w:rsidRPr="004C12C9">
              <w:t>GDP</w:t>
            </w:r>
          </w:p>
        </w:tc>
        <w:tc>
          <w:tcPr>
            <w:tcW w:w="0" w:type="dxa"/>
            <w:vAlign w:val="center"/>
          </w:tcPr>
          <w:p w14:paraId="716E07B0" w14:textId="77777777" w:rsidR="004021E7" w:rsidRPr="004C12C9" w:rsidRDefault="004021E7" w:rsidP="00EE7052">
            <w:pPr>
              <w:spacing w:before="0" w:after="0"/>
            </w:pPr>
            <w:r w:rsidRPr="004C12C9">
              <w:t>Gross Domestic Product</w:t>
            </w:r>
          </w:p>
        </w:tc>
      </w:tr>
      <w:tr w:rsidR="00EE7052" w:rsidRPr="004C12C9" w14:paraId="3F8118DF" w14:textId="77777777" w:rsidTr="00C64A24">
        <w:trPr>
          <w:trHeight w:hRule="exact" w:val="504"/>
        </w:trPr>
        <w:tc>
          <w:tcPr>
            <w:tcW w:w="1795" w:type="dxa"/>
            <w:vAlign w:val="center"/>
          </w:tcPr>
          <w:p w14:paraId="5282492B" w14:textId="77777777" w:rsidR="004021E7" w:rsidRPr="004C12C9" w:rsidRDefault="004021E7" w:rsidP="00EE7052">
            <w:pPr>
              <w:spacing w:before="0" w:after="0"/>
            </w:pPr>
            <w:r w:rsidRPr="004C12C9">
              <w:t>GREET</w:t>
            </w:r>
          </w:p>
        </w:tc>
        <w:tc>
          <w:tcPr>
            <w:tcW w:w="7555" w:type="dxa"/>
            <w:vAlign w:val="center"/>
          </w:tcPr>
          <w:p w14:paraId="6B3DDE2B" w14:textId="77777777" w:rsidR="004021E7" w:rsidRPr="004C12C9" w:rsidRDefault="004021E7" w:rsidP="00EE7052">
            <w:pPr>
              <w:spacing w:before="0" w:after="0"/>
            </w:pPr>
            <w:r w:rsidRPr="004C12C9">
              <w:t>Gases, Regulated Emissions, and Energy use in Technologies</w:t>
            </w:r>
          </w:p>
        </w:tc>
      </w:tr>
      <w:tr w:rsidR="00EE7052" w:rsidRPr="004C12C9" w14:paraId="11AB5774" w14:textId="77777777" w:rsidTr="00C64A24">
        <w:trPr>
          <w:trHeight w:hRule="exact" w:val="504"/>
        </w:trPr>
        <w:tc>
          <w:tcPr>
            <w:tcW w:w="0" w:type="dxa"/>
            <w:vAlign w:val="center"/>
          </w:tcPr>
          <w:p w14:paraId="56A40996" w14:textId="77777777" w:rsidR="004021E7" w:rsidRPr="004C12C9" w:rsidRDefault="004021E7" w:rsidP="00EE7052">
            <w:pPr>
              <w:spacing w:before="0" w:after="0"/>
            </w:pPr>
            <w:r w:rsidRPr="004C12C9">
              <w:t>GHG</w:t>
            </w:r>
          </w:p>
        </w:tc>
        <w:tc>
          <w:tcPr>
            <w:tcW w:w="0" w:type="dxa"/>
            <w:vAlign w:val="center"/>
          </w:tcPr>
          <w:p w14:paraId="6E10B2E1" w14:textId="77777777" w:rsidR="004021E7" w:rsidRPr="004C12C9" w:rsidRDefault="004021E7" w:rsidP="00EE7052">
            <w:pPr>
              <w:spacing w:before="0" w:after="0"/>
            </w:pPr>
            <w:r w:rsidRPr="004C12C9">
              <w:t>Greenhouse gas</w:t>
            </w:r>
          </w:p>
        </w:tc>
      </w:tr>
      <w:tr w:rsidR="00EE7052" w:rsidRPr="004C12C9" w14:paraId="3937FAF6" w14:textId="77777777" w:rsidTr="00C64A24">
        <w:trPr>
          <w:trHeight w:hRule="exact" w:val="504"/>
        </w:trPr>
        <w:tc>
          <w:tcPr>
            <w:tcW w:w="1795" w:type="dxa"/>
            <w:vAlign w:val="center"/>
          </w:tcPr>
          <w:p w14:paraId="7546BE66" w14:textId="77777777" w:rsidR="004021E7" w:rsidRPr="004C12C9" w:rsidRDefault="004021E7" w:rsidP="00EE7052">
            <w:pPr>
              <w:spacing w:before="0" w:after="0"/>
            </w:pPr>
            <w:r w:rsidRPr="004C12C9">
              <w:t>GWP</w:t>
            </w:r>
          </w:p>
        </w:tc>
        <w:tc>
          <w:tcPr>
            <w:tcW w:w="7555" w:type="dxa"/>
            <w:vAlign w:val="center"/>
          </w:tcPr>
          <w:p w14:paraId="36035746" w14:textId="77777777" w:rsidR="004021E7" w:rsidRPr="004C12C9" w:rsidRDefault="004021E7" w:rsidP="00EE7052">
            <w:pPr>
              <w:spacing w:before="0" w:after="0"/>
            </w:pPr>
            <w:r w:rsidRPr="004C12C9">
              <w:t>Global warming potential</w:t>
            </w:r>
          </w:p>
        </w:tc>
      </w:tr>
      <w:tr w:rsidR="00EE7052" w:rsidRPr="004C12C9" w14:paraId="12FE3679" w14:textId="77777777" w:rsidTr="00C64A24">
        <w:trPr>
          <w:trHeight w:hRule="exact" w:val="504"/>
        </w:trPr>
        <w:tc>
          <w:tcPr>
            <w:tcW w:w="0" w:type="dxa"/>
            <w:vAlign w:val="center"/>
          </w:tcPr>
          <w:p w14:paraId="33A383BD" w14:textId="77777777" w:rsidR="004021E7" w:rsidRPr="004C12C9" w:rsidRDefault="004021E7" w:rsidP="00EE7052">
            <w:pPr>
              <w:spacing w:before="0" w:after="0"/>
            </w:pPr>
            <w:r w:rsidRPr="004C12C9">
              <w:t>HFC</w:t>
            </w:r>
          </w:p>
        </w:tc>
        <w:tc>
          <w:tcPr>
            <w:tcW w:w="0" w:type="dxa"/>
            <w:vAlign w:val="center"/>
          </w:tcPr>
          <w:p w14:paraId="2301B15E" w14:textId="77777777" w:rsidR="004021E7" w:rsidRPr="004C12C9" w:rsidRDefault="004021E7" w:rsidP="00EE7052">
            <w:pPr>
              <w:spacing w:before="0" w:after="0"/>
            </w:pPr>
            <w:r w:rsidRPr="004C12C9">
              <w:t xml:space="preserve">Hydrofluorocarbon </w:t>
            </w:r>
          </w:p>
        </w:tc>
      </w:tr>
      <w:tr w:rsidR="00EE7052" w:rsidRPr="004C12C9" w14:paraId="5661D2E6" w14:textId="77777777" w:rsidTr="00C64A24">
        <w:trPr>
          <w:trHeight w:hRule="exact" w:val="504"/>
        </w:trPr>
        <w:tc>
          <w:tcPr>
            <w:tcW w:w="1795" w:type="dxa"/>
            <w:vAlign w:val="center"/>
          </w:tcPr>
          <w:p w14:paraId="3D7C72D5" w14:textId="77777777" w:rsidR="004021E7" w:rsidRPr="004C12C9" w:rsidRDefault="004021E7" w:rsidP="00EE7052">
            <w:pPr>
              <w:spacing w:before="0" w:after="0"/>
            </w:pPr>
            <w:r w:rsidRPr="004C12C9">
              <w:t>IPCC</w:t>
            </w:r>
          </w:p>
        </w:tc>
        <w:tc>
          <w:tcPr>
            <w:tcW w:w="7555" w:type="dxa"/>
            <w:vAlign w:val="center"/>
          </w:tcPr>
          <w:p w14:paraId="6A4E3C07" w14:textId="77777777" w:rsidR="004021E7" w:rsidRPr="004C12C9" w:rsidRDefault="004021E7" w:rsidP="00EE7052">
            <w:pPr>
              <w:spacing w:before="0" w:after="0"/>
            </w:pPr>
            <w:r w:rsidRPr="004C12C9">
              <w:t>Intergovernmental Panel on Climate Change</w:t>
            </w:r>
          </w:p>
        </w:tc>
      </w:tr>
      <w:tr w:rsidR="00EE7052" w:rsidRPr="004C12C9" w14:paraId="0F983F85" w14:textId="77777777" w:rsidTr="00C64A24">
        <w:trPr>
          <w:trHeight w:hRule="exact" w:val="504"/>
        </w:trPr>
        <w:tc>
          <w:tcPr>
            <w:tcW w:w="0" w:type="dxa"/>
            <w:vAlign w:val="center"/>
          </w:tcPr>
          <w:p w14:paraId="01E4B326" w14:textId="77777777" w:rsidR="004021E7" w:rsidRPr="004C12C9" w:rsidRDefault="004021E7" w:rsidP="00EE7052">
            <w:pPr>
              <w:spacing w:before="0" w:after="0"/>
            </w:pPr>
            <w:r w:rsidRPr="004C12C9">
              <w:t>LCA</w:t>
            </w:r>
          </w:p>
        </w:tc>
        <w:tc>
          <w:tcPr>
            <w:tcW w:w="0" w:type="dxa"/>
            <w:vAlign w:val="center"/>
          </w:tcPr>
          <w:p w14:paraId="3DB97A5E" w14:textId="77777777" w:rsidR="004021E7" w:rsidRPr="004C12C9" w:rsidRDefault="004021E7" w:rsidP="00EE7052">
            <w:pPr>
              <w:spacing w:before="0" w:after="0"/>
            </w:pPr>
            <w:r w:rsidRPr="004C12C9">
              <w:t>Life cycle analysis</w:t>
            </w:r>
          </w:p>
        </w:tc>
      </w:tr>
      <w:tr w:rsidR="00EE7052" w:rsidRPr="004C12C9" w14:paraId="28D5D349" w14:textId="77777777" w:rsidTr="00C64A24">
        <w:trPr>
          <w:trHeight w:hRule="exact" w:val="504"/>
        </w:trPr>
        <w:tc>
          <w:tcPr>
            <w:tcW w:w="1795" w:type="dxa"/>
            <w:vAlign w:val="center"/>
          </w:tcPr>
          <w:p w14:paraId="5EC993DA" w14:textId="77777777" w:rsidR="004021E7" w:rsidRPr="004C12C9" w:rsidRDefault="004021E7" w:rsidP="00EE7052">
            <w:pPr>
              <w:spacing w:before="0" w:after="0"/>
            </w:pPr>
            <w:r w:rsidRPr="004C12C9">
              <w:t>MECS</w:t>
            </w:r>
          </w:p>
        </w:tc>
        <w:tc>
          <w:tcPr>
            <w:tcW w:w="7555" w:type="dxa"/>
            <w:vAlign w:val="center"/>
          </w:tcPr>
          <w:p w14:paraId="7639F76C" w14:textId="77777777" w:rsidR="004021E7" w:rsidRPr="004C12C9" w:rsidRDefault="004021E7" w:rsidP="00EE7052">
            <w:pPr>
              <w:spacing w:before="0" w:after="0"/>
            </w:pPr>
            <w:r w:rsidRPr="004C12C9">
              <w:t>Manufacturing Energy Consumption Survey</w:t>
            </w:r>
          </w:p>
        </w:tc>
      </w:tr>
      <w:tr w:rsidR="00EE7052" w:rsidRPr="004C12C9" w14:paraId="1D4254EB" w14:textId="77777777" w:rsidTr="00C64A24">
        <w:trPr>
          <w:trHeight w:hRule="exact" w:val="504"/>
        </w:trPr>
        <w:tc>
          <w:tcPr>
            <w:tcW w:w="0" w:type="dxa"/>
            <w:vAlign w:val="center"/>
          </w:tcPr>
          <w:p w14:paraId="2E176479" w14:textId="77777777" w:rsidR="004021E7" w:rsidRPr="004C12C9" w:rsidRDefault="004021E7" w:rsidP="00EE7052">
            <w:pPr>
              <w:spacing w:before="0" w:after="0"/>
            </w:pPr>
            <w:r w:rsidRPr="004C12C9">
              <w:t>MICE</w:t>
            </w:r>
          </w:p>
        </w:tc>
        <w:tc>
          <w:tcPr>
            <w:tcW w:w="0" w:type="dxa"/>
            <w:vAlign w:val="center"/>
          </w:tcPr>
          <w:p w14:paraId="52763E56" w14:textId="77777777" w:rsidR="004021E7" w:rsidRPr="004C12C9" w:rsidRDefault="004021E7" w:rsidP="00EE7052">
            <w:pPr>
              <w:spacing w:before="0" w:after="0"/>
            </w:pPr>
            <w:r w:rsidRPr="004C12C9">
              <w:t>Minnesota Infrastructure Carbon Estimator</w:t>
            </w:r>
          </w:p>
        </w:tc>
      </w:tr>
      <w:tr w:rsidR="00EE7052" w:rsidRPr="004C12C9" w14:paraId="04228346" w14:textId="77777777" w:rsidTr="00C64A24">
        <w:trPr>
          <w:trHeight w:hRule="exact" w:val="504"/>
        </w:trPr>
        <w:tc>
          <w:tcPr>
            <w:tcW w:w="1795" w:type="dxa"/>
            <w:vAlign w:val="center"/>
          </w:tcPr>
          <w:p w14:paraId="14C06F86" w14:textId="77777777" w:rsidR="004021E7" w:rsidRPr="004C12C9" w:rsidRDefault="004021E7" w:rsidP="00EE7052">
            <w:pPr>
              <w:spacing w:before="0" w:after="0"/>
            </w:pPr>
            <w:r w:rsidRPr="004C12C9">
              <w:t>MISO</w:t>
            </w:r>
          </w:p>
        </w:tc>
        <w:tc>
          <w:tcPr>
            <w:tcW w:w="7555" w:type="dxa"/>
            <w:vAlign w:val="center"/>
          </w:tcPr>
          <w:p w14:paraId="35832B57" w14:textId="77777777" w:rsidR="004021E7" w:rsidRPr="004C12C9" w:rsidRDefault="004021E7" w:rsidP="00EE7052">
            <w:pPr>
              <w:spacing w:before="0" w:after="0"/>
            </w:pPr>
            <w:r w:rsidRPr="004C12C9">
              <w:t>Midcontinent Independent System Operator</w:t>
            </w:r>
          </w:p>
        </w:tc>
      </w:tr>
      <w:tr w:rsidR="00EE7052" w:rsidRPr="004C12C9" w14:paraId="61004A0E" w14:textId="77777777" w:rsidTr="00C64A24">
        <w:trPr>
          <w:trHeight w:hRule="exact" w:val="504"/>
        </w:trPr>
        <w:tc>
          <w:tcPr>
            <w:tcW w:w="0" w:type="dxa"/>
            <w:vAlign w:val="center"/>
          </w:tcPr>
          <w:p w14:paraId="3B12BFAA" w14:textId="77777777" w:rsidR="004021E7" w:rsidRPr="004C12C9" w:rsidRDefault="004021E7" w:rsidP="00EE7052">
            <w:pPr>
              <w:spacing w:before="0" w:after="0"/>
            </w:pPr>
            <w:r w:rsidRPr="004C12C9">
              <w:t>MOVES</w:t>
            </w:r>
          </w:p>
        </w:tc>
        <w:tc>
          <w:tcPr>
            <w:tcW w:w="0" w:type="dxa"/>
            <w:vAlign w:val="center"/>
          </w:tcPr>
          <w:p w14:paraId="594FAF2D" w14:textId="77777777" w:rsidR="004021E7" w:rsidRPr="004C12C9" w:rsidRDefault="004021E7" w:rsidP="00EE7052">
            <w:pPr>
              <w:spacing w:before="0" w:after="0"/>
            </w:pPr>
            <w:r w:rsidRPr="004C12C9">
              <w:t>MOtor Vehicle Emission Simulator</w:t>
            </w:r>
          </w:p>
        </w:tc>
      </w:tr>
      <w:tr w:rsidR="00EE7052" w:rsidRPr="004C12C9" w14:paraId="044CA715" w14:textId="77777777" w:rsidTr="00C64A24">
        <w:trPr>
          <w:trHeight w:hRule="exact" w:val="504"/>
        </w:trPr>
        <w:tc>
          <w:tcPr>
            <w:tcW w:w="1795" w:type="dxa"/>
            <w:vAlign w:val="center"/>
          </w:tcPr>
          <w:p w14:paraId="6325ECD3" w14:textId="77777777" w:rsidR="004021E7" w:rsidRPr="004C12C9" w:rsidRDefault="004021E7" w:rsidP="00EE7052">
            <w:pPr>
              <w:spacing w:before="0" w:after="0"/>
            </w:pPr>
            <w:r w:rsidRPr="004C12C9">
              <w:t>MPCA</w:t>
            </w:r>
          </w:p>
        </w:tc>
        <w:tc>
          <w:tcPr>
            <w:tcW w:w="7555" w:type="dxa"/>
            <w:vAlign w:val="center"/>
          </w:tcPr>
          <w:p w14:paraId="40FB5084" w14:textId="77777777" w:rsidR="004021E7" w:rsidRPr="004C12C9" w:rsidRDefault="004021E7" w:rsidP="00EE7052">
            <w:pPr>
              <w:spacing w:before="0" w:after="0"/>
            </w:pPr>
            <w:r w:rsidRPr="004C12C9">
              <w:t>Minnesota Pollution Control Agency</w:t>
            </w:r>
          </w:p>
        </w:tc>
      </w:tr>
      <w:tr w:rsidR="00EE7052" w:rsidRPr="004C12C9" w14:paraId="0D437F93" w14:textId="77777777" w:rsidTr="00C64A24">
        <w:trPr>
          <w:trHeight w:hRule="exact" w:val="504"/>
        </w:trPr>
        <w:tc>
          <w:tcPr>
            <w:tcW w:w="0" w:type="dxa"/>
            <w:vAlign w:val="center"/>
          </w:tcPr>
          <w:p w14:paraId="0BB27CEA" w14:textId="77777777" w:rsidR="004021E7" w:rsidRPr="004C12C9" w:rsidRDefault="004021E7" w:rsidP="00EE7052">
            <w:pPr>
              <w:spacing w:before="0" w:after="0"/>
            </w:pPr>
            <w:r w:rsidRPr="004C12C9">
              <w:lastRenderedPageBreak/>
              <w:t>MSW</w:t>
            </w:r>
          </w:p>
        </w:tc>
        <w:tc>
          <w:tcPr>
            <w:tcW w:w="0" w:type="dxa"/>
            <w:vAlign w:val="center"/>
          </w:tcPr>
          <w:p w14:paraId="596EDDE5" w14:textId="77777777" w:rsidR="004021E7" w:rsidRPr="004C12C9" w:rsidRDefault="004021E7" w:rsidP="00EE7052">
            <w:pPr>
              <w:spacing w:before="0" w:after="0"/>
            </w:pPr>
            <w:r w:rsidRPr="004C12C9">
              <w:t>Municipal solid waste</w:t>
            </w:r>
          </w:p>
        </w:tc>
      </w:tr>
      <w:tr w:rsidR="00EE7052" w:rsidRPr="004C12C9" w14:paraId="49A4FF0F" w14:textId="77777777" w:rsidTr="00C64A24">
        <w:trPr>
          <w:trHeight w:hRule="exact" w:val="504"/>
        </w:trPr>
        <w:tc>
          <w:tcPr>
            <w:tcW w:w="1795" w:type="dxa"/>
            <w:vAlign w:val="center"/>
          </w:tcPr>
          <w:p w14:paraId="7181D4A9" w14:textId="77777777" w:rsidR="004021E7" w:rsidRPr="004C12C9" w:rsidRDefault="004021E7" w:rsidP="00EE7052">
            <w:pPr>
              <w:spacing w:before="0" w:after="0"/>
            </w:pPr>
            <w:r w:rsidRPr="004C12C9">
              <w:t>MT</w:t>
            </w:r>
          </w:p>
        </w:tc>
        <w:tc>
          <w:tcPr>
            <w:tcW w:w="7555" w:type="dxa"/>
            <w:vAlign w:val="center"/>
          </w:tcPr>
          <w:p w14:paraId="1CC84252" w14:textId="77777777" w:rsidR="004021E7" w:rsidRPr="004C12C9" w:rsidRDefault="004021E7" w:rsidP="00EE7052">
            <w:pPr>
              <w:spacing w:before="0" w:after="0"/>
            </w:pPr>
            <w:r w:rsidRPr="004C12C9">
              <w:t>Metric tons</w:t>
            </w:r>
          </w:p>
        </w:tc>
      </w:tr>
      <w:tr w:rsidR="00EE7052" w:rsidRPr="004C12C9" w14:paraId="7B9FC503" w14:textId="77777777" w:rsidTr="00C64A24">
        <w:trPr>
          <w:trHeight w:hRule="exact" w:val="504"/>
        </w:trPr>
        <w:tc>
          <w:tcPr>
            <w:tcW w:w="0" w:type="dxa"/>
            <w:vAlign w:val="center"/>
          </w:tcPr>
          <w:p w14:paraId="59D9AFEC" w14:textId="77777777" w:rsidR="004021E7" w:rsidRPr="004C12C9" w:rsidRDefault="004021E7" w:rsidP="00EE7052">
            <w:pPr>
              <w:spacing w:before="0" w:after="0"/>
            </w:pPr>
            <w:r w:rsidRPr="004C12C9">
              <w:t>NAICS</w:t>
            </w:r>
          </w:p>
        </w:tc>
        <w:tc>
          <w:tcPr>
            <w:tcW w:w="0" w:type="dxa"/>
            <w:vAlign w:val="center"/>
          </w:tcPr>
          <w:p w14:paraId="0F3EE9E6" w14:textId="77777777" w:rsidR="004021E7" w:rsidRPr="004C12C9" w:rsidRDefault="004021E7" w:rsidP="00EE7052">
            <w:pPr>
              <w:spacing w:before="0" w:after="0"/>
            </w:pPr>
            <w:r w:rsidRPr="004C12C9">
              <w:t>North American Industry Classification System</w:t>
            </w:r>
          </w:p>
        </w:tc>
      </w:tr>
      <w:tr w:rsidR="00EE7052" w:rsidRPr="004C12C9" w14:paraId="0C9B5DD3" w14:textId="77777777" w:rsidTr="00C64A24">
        <w:trPr>
          <w:trHeight w:hRule="exact" w:val="504"/>
        </w:trPr>
        <w:tc>
          <w:tcPr>
            <w:tcW w:w="1795" w:type="dxa"/>
            <w:vAlign w:val="center"/>
          </w:tcPr>
          <w:p w14:paraId="3B560797" w14:textId="77777777" w:rsidR="004021E7" w:rsidRPr="004C12C9" w:rsidRDefault="004021E7" w:rsidP="00EE7052">
            <w:pPr>
              <w:spacing w:before="0" w:after="0"/>
            </w:pPr>
            <w:r w:rsidRPr="004C12C9">
              <w:t>NAIMA</w:t>
            </w:r>
          </w:p>
        </w:tc>
        <w:tc>
          <w:tcPr>
            <w:tcW w:w="7555" w:type="dxa"/>
            <w:vAlign w:val="center"/>
          </w:tcPr>
          <w:p w14:paraId="6E6DFD4D" w14:textId="77777777" w:rsidR="004021E7" w:rsidRPr="004C12C9" w:rsidRDefault="004021E7" w:rsidP="00EE7052">
            <w:pPr>
              <w:spacing w:before="0" w:after="0"/>
            </w:pPr>
            <w:r w:rsidRPr="004C12C9">
              <w:t>North American Insulation Manufacturing Association</w:t>
            </w:r>
          </w:p>
        </w:tc>
      </w:tr>
      <w:tr w:rsidR="00EE7052" w:rsidRPr="004C12C9" w14:paraId="41E02D79" w14:textId="77777777" w:rsidTr="00C64A24">
        <w:trPr>
          <w:trHeight w:hRule="exact" w:val="504"/>
        </w:trPr>
        <w:tc>
          <w:tcPr>
            <w:tcW w:w="0" w:type="dxa"/>
            <w:vAlign w:val="center"/>
          </w:tcPr>
          <w:p w14:paraId="3F6B1C07" w14:textId="77777777" w:rsidR="004021E7" w:rsidRPr="004C12C9" w:rsidRDefault="004021E7" w:rsidP="00EE7052">
            <w:pPr>
              <w:spacing w:before="0" w:after="0"/>
            </w:pPr>
            <w:r w:rsidRPr="004C12C9">
              <w:t>NRMCA</w:t>
            </w:r>
          </w:p>
        </w:tc>
        <w:tc>
          <w:tcPr>
            <w:tcW w:w="0" w:type="dxa"/>
            <w:vAlign w:val="center"/>
          </w:tcPr>
          <w:p w14:paraId="0B1F111D" w14:textId="77777777" w:rsidR="004021E7" w:rsidRPr="004C12C9" w:rsidRDefault="004021E7" w:rsidP="00EE7052">
            <w:pPr>
              <w:spacing w:before="0" w:after="0"/>
            </w:pPr>
            <w:r w:rsidRPr="004C12C9">
              <w:t>National Ready Mixed Concrete Association</w:t>
            </w:r>
          </w:p>
        </w:tc>
      </w:tr>
      <w:tr w:rsidR="00EE7052" w:rsidRPr="004C12C9" w14:paraId="71A9716E" w14:textId="77777777" w:rsidTr="00C64A24">
        <w:trPr>
          <w:trHeight w:hRule="exact" w:val="504"/>
        </w:trPr>
        <w:tc>
          <w:tcPr>
            <w:tcW w:w="1795" w:type="dxa"/>
            <w:vAlign w:val="center"/>
          </w:tcPr>
          <w:p w14:paraId="503D4DAD" w14:textId="77777777" w:rsidR="004021E7" w:rsidRPr="004C12C9" w:rsidRDefault="004021E7" w:rsidP="00EE7052">
            <w:pPr>
              <w:spacing w:before="0" w:after="0"/>
            </w:pPr>
            <w:r w:rsidRPr="004C12C9">
              <w:t>PRP</w:t>
            </w:r>
          </w:p>
        </w:tc>
        <w:tc>
          <w:tcPr>
            <w:tcW w:w="7555" w:type="dxa"/>
            <w:vAlign w:val="center"/>
          </w:tcPr>
          <w:p w14:paraId="5AD9D411" w14:textId="77777777" w:rsidR="004021E7" w:rsidRPr="004C12C9" w:rsidRDefault="004021E7" w:rsidP="00EE7052">
            <w:pPr>
              <w:spacing w:before="0" w:after="0"/>
            </w:pPr>
            <w:r w:rsidRPr="004C12C9">
              <w:t>Pasture, Range, Paddock</w:t>
            </w:r>
          </w:p>
        </w:tc>
      </w:tr>
      <w:tr w:rsidR="00EE7052" w:rsidRPr="004C12C9" w14:paraId="412151A0" w14:textId="77777777" w:rsidTr="00C64A24">
        <w:trPr>
          <w:trHeight w:hRule="exact" w:val="504"/>
        </w:trPr>
        <w:tc>
          <w:tcPr>
            <w:tcW w:w="0" w:type="dxa"/>
            <w:vAlign w:val="center"/>
          </w:tcPr>
          <w:p w14:paraId="0C718053" w14:textId="77777777" w:rsidR="004021E7" w:rsidRPr="004C12C9" w:rsidRDefault="004021E7" w:rsidP="00EE7052">
            <w:pPr>
              <w:spacing w:before="0" w:after="0"/>
            </w:pPr>
            <w:r w:rsidRPr="004C12C9">
              <w:t>RECS</w:t>
            </w:r>
          </w:p>
        </w:tc>
        <w:tc>
          <w:tcPr>
            <w:tcW w:w="0" w:type="dxa"/>
            <w:vAlign w:val="center"/>
          </w:tcPr>
          <w:p w14:paraId="7954B143" w14:textId="77777777" w:rsidR="004021E7" w:rsidRPr="004C12C9" w:rsidRDefault="004021E7" w:rsidP="00EE7052">
            <w:pPr>
              <w:spacing w:before="0" w:after="0"/>
            </w:pPr>
            <w:r w:rsidRPr="004C12C9">
              <w:t>Residential Energy Consumption Survey</w:t>
            </w:r>
          </w:p>
        </w:tc>
      </w:tr>
      <w:tr w:rsidR="00EE7052" w:rsidRPr="004C12C9" w14:paraId="4F3CC94C" w14:textId="77777777" w:rsidTr="00C64A24">
        <w:trPr>
          <w:trHeight w:hRule="exact" w:val="504"/>
        </w:trPr>
        <w:tc>
          <w:tcPr>
            <w:tcW w:w="1795" w:type="dxa"/>
            <w:vAlign w:val="center"/>
          </w:tcPr>
          <w:p w14:paraId="36452B63" w14:textId="77777777" w:rsidR="004021E7" w:rsidRPr="004C12C9" w:rsidRDefault="004021E7" w:rsidP="00EE7052">
            <w:pPr>
              <w:spacing w:before="0" w:after="0"/>
            </w:pPr>
            <w:r w:rsidRPr="004C12C9">
              <w:t>RGU</w:t>
            </w:r>
          </w:p>
        </w:tc>
        <w:tc>
          <w:tcPr>
            <w:tcW w:w="7555" w:type="dxa"/>
            <w:vAlign w:val="center"/>
          </w:tcPr>
          <w:p w14:paraId="169E3AA7" w14:textId="77777777" w:rsidR="004021E7" w:rsidRPr="004C12C9" w:rsidRDefault="004021E7" w:rsidP="00EE7052">
            <w:pPr>
              <w:spacing w:before="0" w:after="0"/>
            </w:pPr>
            <w:r w:rsidRPr="004C12C9">
              <w:t>Responsible governmental units</w:t>
            </w:r>
          </w:p>
        </w:tc>
      </w:tr>
      <w:tr w:rsidR="00EE7052" w:rsidRPr="004C12C9" w14:paraId="6305389E" w14:textId="77777777" w:rsidTr="00C64A24">
        <w:trPr>
          <w:trHeight w:hRule="exact" w:val="504"/>
        </w:trPr>
        <w:tc>
          <w:tcPr>
            <w:tcW w:w="0" w:type="dxa"/>
            <w:vAlign w:val="center"/>
          </w:tcPr>
          <w:p w14:paraId="6A033E06" w14:textId="77777777" w:rsidR="004021E7" w:rsidRPr="004C12C9" w:rsidRDefault="004021E7" w:rsidP="00EE7052">
            <w:pPr>
              <w:spacing w:before="0" w:after="0"/>
            </w:pPr>
            <w:r w:rsidRPr="004C12C9">
              <w:t>RSI</w:t>
            </w:r>
          </w:p>
        </w:tc>
        <w:tc>
          <w:tcPr>
            <w:tcW w:w="0" w:type="dxa"/>
            <w:vAlign w:val="center"/>
          </w:tcPr>
          <w:p w14:paraId="196F6F15" w14:textId="77777777" w:rsidR="004021E7" w:rsidRPr="004C12C9" w:rsidRDefault="004021E7" w:rsidP="00EE7052">
            <w:pPr>
              <w:spacing w:before="0" w:after="0"/>
            </w:pPr>
            <w:r w:rsidRPr="004C12C9">
              <w:t>R-value Systeme International</w:t>
            </w:r>
          </w:p>
        </w:tc>
      </w:tr>
      <w:tr w:rsidR="00EE7052" w:rsidRPr="004C12C9" w14:paraId="14C581FE" w14:textId="77777777" w:rsidTr="00C64A24">
        <w:trPr>
          <w:trHeight w:hRule="exact" w:val="504"/>
        </w:trPr>
        <w:tc>
          <w:tcPr>
            <w:tcW w:w="1795" w:type="dxa"/>
            <w:vAlign w:val="center"/>
          </w:tcPr>
          <w:p w14:paraId="5A59E3E2" w14:textId="77777777" w:rsidR="004021E7" w:rsidRPr="004C12C9" w:rsidRDefault="004021E7" w:rsidP="00EE7052">
            <w:pPr>
              <w:spacing w:before="0" w:after="0"/>
            </w:pPr>
            <w:r w:rsidRPr="004C12C9">
              <w:t>SCORE</w:t>
            </w:r>
          </w:p>
        </w:tc>
        <w:tc>
          <w:tcPr>
            <w:tcW w:w="7555" w:type="dxa"/>
            <w:vAlign w:val="center"/>
          </w:tcPr>
          <w:p w14:paraId="458830D0" w14:textId="77777777" w:rsidR="004021E7" w:rsidRPr="004C12C9" w:rsidRDefault="004021E7" w:rsidP="00EE7052">
            <w:pPr>
              <w:spacing w:before="0" w:after="0"/>
            </w:pPr>
            <w:r w:rsidRPr="004C12C9">
              <w:t>Select Committee on Recycling and the Environment</w:t>
            </w:r>
          </w:p>
        </w:tc>
      </w:tr>
      <w:tr w:rsidR="00EE7052" w:rsidRPr="004C12C9" w14:paraId="43BAA0C0" w14:textId="77777777" w:rsidTr="00C64A24">
        <w:trPr>
          <w:trHeight w:hRule="exact" w:val="504"/>
        </w:trPr>
        <w:tc>
          <w:tcPr>
            <w:tcW w:w="0" w:type="dxa"/>
            <w:vAlign w:val="center"/>
          </w:tcPr>
          <w:p w14:paraId="7818AC5C" w14:textId="77777777" w:rsidR="004021E7" w:rsidRPr="004C12C9" w:rsidRDefault="004021E7" w:rsidP="00EE7052">
            <w:pPr>
              <w:spacing w:before="0" w:after="0"/>
            </w:pPr>
            <w:r w:rsidRPr="004C12C9">
              <w:t>T&amp;D</w:t>
            </w:r>
          </w:p>
        </w:tc>
        <w:tc>
          <w:tcPr>
            <w:tcW w:w="0" w:type="dxa"/>
            <w:vAlign w:val="center"/>
          </w:tcPr>
          <w:p w14:paraId="65994360" w14:textId="77777777" w:rsidR="004021E7" w:rsidRPr="004C12C9" w:rsidRDefault="004021E7" w:rsidP="00EE7052">
            <w:pPr>
              <w:spacing w:before="0" w:after="0"/>
            </w:pPr>
            <w:r w:rsidRPr="004C12C9">
              <w:t>Transmission and distribution</w:t>
            </w:r>
          </w:p>
        </w:tc>
      </w:tr>
      <w:tr w:rsidR="00EE7052" w:rsidRPr="004C12C9" w14:paraId="7DEC9974" w14:textId="77777777" w:rsidTr="00C64A24">
        <w:trPr>
          <w:trHeight w:hRule="exact" w:val="504"/>
        </w:trPr>
        <w:tc>
          <w:tcPr>
            <w:tcW w:w="1795" w:type="dxa"/>
            <w:vAlign w:val="center"/>
          </w:tcPr>
          <w:p w14:paraId="69B5CEA6" w14:textId="77777777" w:rsidR="004021E7" w:rsidRPr="004C12C9" w:rsidRDefault="004021E7" w:rsidP="00EE7052">
            <w:pPr>
              <w:spacing w:before="0" w:after="0"/>
            </w:pPr>
            <w:r w:rsidRPr="004C12C9">
              <w:t>USEEIO</w:t>
            </w:r>
          </w:p>
        </w:tc>
        <w:tc>
          <w:tcPr>
            <w:tcW w:w="7555" w:type="dxa"/>
            <w:vAlign w:val="center"/>
          </w:tcPr>
          <w:p w14:paraId="7EC59B88" w14:textId="77777777" w:rsidR="004021E7" w:rsidRPr="004C12C9" w:rsidRDefault="004021E7" w:rsidP="00EE7052">
            <w:pPr>
              <w:spacing w:before="0" w:after="0"/>
            </w:pPr>
            <w:r w:rsidRPr="004C12C9">
              <w:t>US Environmentally-Extended Input-Output</w:t>
            </w:r>
          </w:p>
        </w:tc>
      </w:tr>
      <w:tr w:rsidR="00EE7052" w:rsidRPr="004C12C9" w14:paraId="77CD73B7" w14:textId="77777777" w:rsidTr="00C64A24">
        <w:trPr>
          <w:trHeight w:hRule="exact" w:val="504"/>
        </w:trPr>
        <w:tc>
          <w:tcPr>
            <w:tcW w:w="0" w:type="dxa"/>
            <w:vAlign w:val="center"/>
          </w:tcPr>
          <w:p w14:paraId="78C7EA74" w14:textId="77777777" w:rsidR="004021E7" w:rsidRPr="004C12C9" w:rsidRDefault="004021E7" w:rsidP="00EE7052">
            <w:pPr>
              <w:spacing w:before="0" w:after="0"/>
            </w:pPr>
            <w:r w:rsidRPr="004C12C9">
              <w:t>VMT</w:t>
            </w:r>
          </w:p>
        </w:tc>
        <w:tc>
          <w:tcPr>
            <w:tcW w:w="0" w:type="dxa"/>
            <w:vAlign w:val="center"/>
          </w:tcPr>
          <w:p w14:paraId="287A52F6" w14:textId="77777777" w:rsidR="004021E7" w:rsidRPr="004C12C9" w:rsidRDefault="004021E7" w:rsidP="00EE7052">
            <w:pPr>
              <w:spacing w:before="0" w:after="0"/>
            </w:pPr>
            <w:r w:rsidRPr="004C12C9">
              <w:t>Vehicle miles traveled</w:t>
            </w:r>
          </w:p>
        </w:tc>
      </w:tr>
      <w:tr w:rsidR="00EE7052" w:rsidRPr="004C12C9" w14:paraId="632E84E0" w14:textId="77777777" w:rsidTr="00C64A24">
        <w:trPr>
          <w:trHeight w:hRule="exact" w:val="504"/>
        </w:trPr>
        <w:tc>
          <w:tcPr>
            <w:tcW w:w="1795" w:type="dxa"/>
            <w:vAlign w:val="center"/>
          </w:tcPr>
          <w:p w14:paraId="1FDD3735" w14:textId="77777777" w:rsidR="004021E7" w:rsidRPr="004C12C9" w:rsidRDefault="004021E7" w:rsidP="00EE7052">
            <w:pPr>
              <w:spacing w:before="0" w:after="0"/>
            </w:pPr>
            <w:r w:rsidRPr="004C12C9">
              <w:t>WARM</w:t>
            </w:r>
          </w:p>
        </w:tc>
        <w:tc>
          <w:tcPr>
            <w:tcW w:w="7555" w:type="dxa"/>
            <w:vAlign w:val="center"/>
          </w:tcPr>
          <w:p w14:paraId="049BAC52" w14:textId="77777777" w:rsidR="004021E7" w:rsidRPr="004C12C9" w:rsidRDefault="004021E7" w:rsidP="00EE7052">
            <w:pPr>
              <w:spacing w:before="0" w:after="0"/>
            </w:pPr>
            <w:r w:rsidRPr="004C12C9">
              <w:t>Waste Reduction Model</w:t>
            </w:r>
          </w:p>
        </w:tc>
      </w:tr>
    </w:tbl>
    <w:p w14:paraId="5725FCEC" w14:textId="05F226B0" w:rsidR="00511754" w:rsidRPr="004C12C9" w:rsidRDefault="00511754" w:rsidP="00972CF9">
      <w:pPr>
        <w:rPr>
          <w:rFonts w:asciiTheme="minorHAnsi" w:eastAsiaTheme="majorEastAsia" w:hAnsiTheme="minorHAnsi" w:cstheme="majorBidi"/>
          <w:color w:val="003865" w:themeColor="accent1"/>
          <w:sz w:val="32"/>
          <w:szCs w:val="32"/>
        </w:rPr>
      </w:pPr>
      <w:r w:rsidRPr="004C12C9">
        <w:br w:type="page"/>
      </w:r>
    </w:p>
    <w:p w14:paraId="51D04516" w14:textId="56B64A78" w:rsidR="00511754" w:rsidRPr="004C12C9" w:rsidRDefault="00511754" w:rsidP="00511754">
      <w:pPr>
        <w:pStyle w:val="Appendix"/>
      </w:pPr>
      <w:bookmarkStart w:id="277" w:name="_Ref195350188"/>
      <w:bookmarkStart w:id="278" w:name="_Toc219887794"/>
      <w:r w:rsidRPr="004C12C9">
        <w:lastRenderedPageBreak/>
        <w:t>Electricity Grid Emission Factors</w:t>
      </w:r>
      <w:bookmarkEnd w:id="277"/>
      <w:bookmarkEnd w:id="278"/>
    </w:p>
    <w:p w14:paraId="731DF23C" w14:textId="718592F6" w:rsidR="0050324C" w:rsidRPr="004C12C9" w:rsidRDefault="0050324C" w:rsidP="003828C3">
      <w:r w:rsidRPr="004C12C9">
        <w:t xml:space="preserve">Emissions result from the generation of electricity. </w:t>
      </w:r>
      <w:r w:rsidR="00C15C0C" w:rsidRPr="004C12C9">
        <w:t>E</w:t>
      </w:r>
      <w:r w:rsidRPr="004C12C9">
        <w:t xml:space="preserve">mission factors, inclusive of upstream emissions associated with the production, transmission, and distribution of fuels used for electricity generation, </w:t>
      </w:r>
      <w:r w:rsidR="00CA4BEE" w:rsidRPr="004C12C9">
        <w:t xml:space="preserve">were </w:t>
      </w:r>
      <w:r w:rsidRPr="004C12C9">
        <w:t xml:space="preserve">derived based on current and future assumptions regarding the grid fuel mix. Emission factors </w:t>
      </w:r>
      <w:r w:rsidR="00CA4BEE" w:rsidRPr="004C12C9">
        <w:t xml:space="preserve">were </w:t>
      </w:r>
      <w:r w:rsidRPr="004C12C9">
        <w:t xml:space="preserve">generated to represent the average fuel mix across the region and for select electricity providers within </w:t>
      </w:r>
      <w:r w:rsidR="000E4A0A" w:rsidRPr="004C12C9">
        <w:t>Minnesota</w:t>
      </w:r>
      <w:r w:rsidRPr="004C12C9">
        <w:t xml:space="preserve"> (i.e., Xcel Energy, Minnesota Power, Great River Energy, and Otter Tail Energy Company). </w:t>
      </w:r>
      <w:r w:rsidR="00BA71E9" w:rsidRPr="004C12C9">
        <w:t>The</w:t>
      </w:r>
      <w:r w:rsidRPr="004C12C9">
        <w:t xml:space="preserve"> emission factors by energy provider and year are summarized in </w:t>
      </w:r>
      <w:r w:rsidR="00715115" w:rsidRPr="004C12C9">
        <w:t>Table C-</w:t>
      </w:r>
      <w:r w:rsidR="00715115" w:rsidRPr="004C12C9">
        <w:fldChar w:fldCharType="begin" w:fldLock="1"/>
      </w:r>
      <w:r w:rsidR="00715115" w:rsidRPr="004C12C9">
        <w:instrText xml:space="preserve"> REF Tablea \h </w:instrText>
      </w:r>
      <w:r w:rsidR="00715115" w:rsidRPr="004C12C9">
        <w:fldChar w:fldCharType="separate"/>
      </w:r>
      <w:r w:rsidR="00715115" w:rsidRPr="004C12C9">
        <w:t>1</w:t>
      </w:r>
      <w:r w:rsidR="00715115" w:rsidRPr="004C12C9">
        <w:fldChar w:fldCharType="end"/>
      </w:r>
      <w:r w:rsidR="00895A8C" w:rsidRPr="004C12C9">
        <w:fldChar w:fldCharType="begin" w:fldLock="1"/>
      </w:r>
      <w:r w:rsidR="00895A8C" w:rsidRPr="004C12C9">
        <w:instrText xml:space="preserve"> REF _Ref195696598 \h </w:instrText>
      </w:r>
      <w:r w:rsidR="00895A8C" w:rsidRPr="004C12C9">
        <w:fldChar w:fldCharType="separate"/>
      </w:r>
      <w:r w:rsidR="00895A8C" w:rsidRPr="004C12C9">
        <w:fldChar w:fldCharType="end"/>
      </w:r>
      <w:r w:rsidRPr="004C12C9">
        <w:t>. The methodology used to derive these values is documented in the subsequent sections.</w:t>
      </w:r>
    </w:p>
    <w:p w14:paraId="38891A3A" w14:textId="3FF76CE5" w:rsidR="00125240" w:rsidRPr="004C12C9" w:rsidRDefault="00125240" w:rsidP="00125240">
      <w:pPr>
        <w:pStyle w:val="Caption"/>
      </w:pPr>
      <w:r w:rsidRPr="004C12C9">
        <w:t>Table C-</w:t>
      </w:r>
      <w:bookmarkStart w:id="279" w:name="Tablea"/>
      <w:r w:rsidR="00127094" w:rsidRPr="004C12C9">
        <w:fldChar w:fldCharType="begin"/>
      </w:r>
      <w:r w:rsidR="00127094" w:rsidRPr="004C12C9">
        <w:instrText xml:space="preserve"> SEQ Table_C- \* ARABIC </w:instrText>
      </w:r>
      <w:r w:rsidR="00127094" w:rsidRPr="004C12C9">
        <w:fldChar w:fldCharType="separate"/>
      </w:r>
      <w:r w:rsidR="00127094" w:rsidRPr="004C12C9">
        <w:t>1</w:t>
      </w:r>
      <w:r w:rsidR="00127094" w:rsidRPr="004C12C9">
        <w:fldChar w:fldCharType="end"/>
      </w:r>
      <w:bookmarkEnd w:id="279"/>
      <w:r w:rsidRPr="004C12C9">
        <w:t>. Electricity Emission Factors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5"/>
        <w:gridCol w:w="1109"/>
        <w:gridCol w:w="1109"/>
        <w:gridCol w:w="1109"/>
        <w:gridCol w:w="1109"/>
        <w:gridCol w:w="1109"/>
        <w:gridCol w:w="1110"/>
      </w:tblGrid>
      <w:tr w:rsidR="00895A8C" w:rsidRPr="004C12C9" w14:paraId="06060328" w14:textId="77777777" w:rsidTr="00895A8C">
        <w:trPr>
          <w:trHeight w:val="290"/>
        </w:trPr>
        <w:tc>
          <w:tcPr>
            <w:tcW w:w="2695" w:type="dxa"/>
            <w:vMerge w:val="restart"/>
            <w:shd w:val="clear" w:color="auto" w:fill="D9D9D9" w:themeFill="background1" w:themeFillShade="D9"/>
            <w:vAlign w:val="center"/>
            <w:hideMark/>
          </w:tcPr>
          <w:p w14:paraId="71213539" w14:textId="77777777" w:rsidR="00895A8C" w:rsidRPr="004C12C9" w:rsidRDefault="00895A8C">
            <w:pPr>
              <w:pStyle w:val="ICFTableHeading"/>
              <w:keepNext/>
              <w:rPr>
                <w:bCs/>
                <w:lang w:bidi="ar-SA"/>
              </w:rPr>
            </w:pPr>
            <w:r w:rsidRPr="004C12C9">
              <w:rPr>
                <w:lang w:bidi="ar-SA"/>
              </w:rPr>
              <w:t>Electricity Provider</w:t>
            </w:r>
          </w:p>
        </w:tc>
        <w:tc>
          <w:tcPr>
            <w:tcW w:w="6655" w:type="dxa"/>
            <w:gridSpan w:val="6"/>
            <w:shd w:val="clear" w:color="auto" w:fill="D9D9D9" w:themeFill="background1" w:themeFillShade="D9"/>
            <w:vAlign w:val="center"/>
            <w:hideMark/>
          </w:tcPr>
          <w:p w14:paraId="2203C76A" w14:textId="3774532D" w:rsidR="00895A8C" w:rsidRPr="004C12C9" w:rsidRDefault="00895A8C">
            <w:pPr>
              <w:pStyle w:val="ICFTableHeading"/>
              <w:keepNext/>
              <w:rPr>
                <w:lang w:bidi="ar-SA"/>
              </w:rPr>
            </w:pPr>
            <w:r w:rsidRPr="004C12C9">
              <w:rPr>
                <w:lang w:bidi="ar-SA"/>
              </w:rPr>
              <w:t>Emission Factor (kgCO</w:t>
            </w:r>
            <w:r w:rsidRPr="004C12C9">
              <w:rPr>
                <w:vertAlign w:val="subscript"/>
                <w:lang w:bidi="ar-SA"/>
              </w:rPr>
              <w:t>2</w:t>
            </w:r>
            <w:r w:rsidRPr="004C12C9">
              <w:rPr>
                <w:lang w:bidi="ar-SA"/>
              </w:rPr>
              <w:t>e/MMBtu)</w:t>
            </w:r>
            <w:r w:rsidR="00125240" w:rsidRPr="004C12C9">
              <w:rPr>
                <w:vertAlign w:val="superscript"/>
                <w:lang w:bidi="ar-SA"/>
              </w:rPr>
              <w:t>a</w:t>
            </w:r>
          </w:p>
        </w:tc>
      </w:tr>
      <w:tr w:rsidR="00895A8C" w:rsidRPr="004C12C9" w14:paraId="2B340AA7" w14:textId="77777777" w:rsidTr="00895A8C">
        <w:trPr>
          <w:trHeight w:val="280"/>
        </w:trPr>
        <w:tc>
          <w:tcPr>
            <w:tcW w:w="2695" w:type="dxa"/>
            <w:vMerge/>
            <w:shd w:val="clear" w:color="auto" w:fill="D9D9D9" w:themeFill="background1" w:themeFillShade="D9"/>
            <w:vAlign w:val="center"/>
            <w:hideMark/>
          </w:tcPr>
          <w:p w14:paraId="2FB3BA3F" w14:textId="77777777" w:rsidR="00895A8C" w:rsidRPr="004C12C9" w:rsidRDefault="00895A8C">
            <w:pPr>
              <w:pStyle w:val="ICFTableHeading"/>
              <w:keepNext/>
              <w:rPr>
                <w:lang w:bidi="ar-SA"/>
              </w:rPr>
            </w:pPr>
          </w:p>
        </w:tc>
        <w:tc>
          <w:tcPr>
            <w:tcW w:w="1109" w:type="dxa"/>
            <w:shd w:val="clear" w:color="auto" w:fill="D9D9D9" w:themeFill="background1" w:themeFillShade="D9"/>
            <w:vAlign w:val="center"/>
            <w:hideMark/>
          </w:tcPr>
          <w:p w14:paraId="1CFCDCE1" w14:textId="77777777" w:rsidR="00895A8C" w:rsidRPr="004C12C9" w:rsidRDefault="00895A8C">
            <w:pPr>
              <w:pStyle w:val="ICFTableHeading"/>
              <w:keepNext/>
              <w:rPr>
                <w:lang w:bidi="ar-SA"/>
              </w:rPr>
            </w:pPr>
            <w:r w:rsidRPr="004C12C9">
              <w:rPr>
                <w:lang w:bidi="ar-SA"/>
              </w:rPr>
              <w:t>2025</w:t>
            </w:r>
          </w:p>
        </w:tc>
        <w:tc>
          <w:tcPr>
            <w:tcW w:w="1109" w:type="dxa"/>
            <w:shd w:val="clear" w:color="auto" w:fill="D9D9D9" w:themeFill="background1" w:themeFillShade="D9"/>
            <w:vAlign w:val="center"/>
            <w:hideMark/>
          </w:tcPr>
          <w:p w14:paraId="2BB25CFC" w14:textId="77777777" w:rsidR="00895A8C" w:rsidRPr="004C12C9" w:rsidRDefault="00895A8C">
            <w:pPr>
              <w:pStyle w:val="ICFTableHeading"/>
              <w:keepNext/>
              <w:rPr>
                <w:lang w:bidi="ar-SA"/>
              </w:rPr>
            </w:pPr>
            <w:r w:rsidRPr="004C12C9">
              <w:rPr>
                <w:lang w:bidi="ar-SA"/>
              </w:rPr>
              <w:t>2030</w:t>
            </w:r>
          </w:p>
        </w:tc>
        <w:tc>
          <w:tcPr>
            <w:tcW w:w="1109" w:type="dxa"/>
            <w:shd w:val="clear" w:color="auto" w:fill="D9D9D9" w:themeFill="background1" w:themeFillShade="D9"/>
            <w:vAlign w:val="center"/>
            <w:hideMark/>
          </w:tcPr>
          <w:p w14:paraId="74A600B1" w14:textId="77777777" w:rsidR="00895A8C" w:rsidRPr="004C12C9" w:rsidRDefault="00895A8C">
            <w:pPr>
              <w:pStyle w:val="ICFTableHeading"/>
              <w:keepNext/>
              <w:rPr>
                <w:lang w:bidi="ar-SA"/>
              </w:rPr>
            </w:pPr>
            <w:r w:rsidRPr="004C12C9">
              <w:rPr>
                <w:lang w:bidi="ar-SA"/>
              </w:rPr>
              <w:t>2035</w:t>
            </w:r>
          </w:p>
        </w:tc>
        <w:tc>
          <w:tcPr>
            <w:tcW w:w="1109" w:type="dxa"/>
            <w:shd w:val="clear" w:color="auto" w:fill="D9D9D9" w:themeFill="background1" w:themeFillShade="D9"/>
            <w:vAlign w:val="center"/>
            <w:hideMark/>
          </w:tcPr>
          <w:p w14:paraId="1F757BA4" w14:textId="77777777" w:rsidR="00895A8C" w:rsidRPr="004C12C9" w:rsidRDefault="00895A8C">
            <w:pPr>
              <w:pStyle w:val="ICFTableHeading"/>
              <w:keepNext/>
              <w:rPr>
                <w:lang w:bidi="ar-SA"/>
              </w:rPr>
            </w:pPr>
            <w:r w:rsidRPr="004C12C9">
              <w:rPr>
                <w:lang w:bidi="ar-SA"/>
              </w:rPr>
              <w:t>2040</w:t>
            </w:r>
          </w:p>
        </w:tc>
        <w:tc>
          <w:tcPr>
            <w:tcW w:w="1109" w:type="dxa"/>
            <w:shd w:val="clear" w:color="auto" w:fill="D9D9D9" w:themeFill="background1" w:themeFillShade="D9"/>
            <w:vAlign w:val="center"/>
            <w:hideMark/>
          </w:tcPr>
          <w:p w14:paraId="7915076F" w14:textId="77777777" w:rsidR="00895A8C" w:rsidRPr="004C12C9" w:rsidRDefault="00895A8C">
            <w:pPr>
              <w:pStyle w:val="ICFTableHeading"/>
              <w:keepNext/>
              <w:rPr>
                <w:lang w:bidi="ar-SA"/>
              </w:rPr>
            </w:pPr>
            <w:r w:rsidRPr="004C12C9">
              <w:rPr>
                <w:lang w:bidi="ar-SA"/>
              </w:rPr>
              <w:t>2045</w:t>
            </w:r>
          </w:p>
        </w:tc>
        <w:tc>
          <w:tcPr>
            <w:tcW w:w="1110" w:type="dxa"/>
            <w:shd w:val="clear" w:color="auto" w:fill="D9D9D9" w:themeFill="background1" w:themeFillShade="D9"/>
            <w:vAlign w:val="center"/>
            <w:hideMark/>
          </w:tcPr>
          <w:p w14:paraId="36CB2AC1" w14:textId="77777777" w:rsidR="00895A8C" w:rsidRPr="004C12C9" w:rsidRDefault="00895A8C">
            <w:pPr>
              <w:pStyle w:val="ICFTableHeading"/>
              <w:keepNext/>
              <w:rPr>
                <w:lang w:bidi="ar-SA"/>
              </w:rPr>
            </w:pPr>
            <w:r w:rsidRPr="004C12C9">
              <w:rPr>
                <w:lang w:bidi="ar-SA"/>
              </w:rPr>
              <w:t>2050</w:t>
            </w:r>
          </w:p>
        </w:tc>
      </w:tr>
      <w:tr w:rsidR="00895A8C" w:rsidRPr="004C12C9" w14:paraId="3D5DF59A" w14:textId="77777777">
        <w:trPr>
          <w:trHeight w:val="283"/>
        </w:trPr>
        <w:tc>
          <w:tcPr>
            <w:tcW w:w="2695" w:type="dxa"/>
            <w:noWrap/>
            <w:vAlign w:val="center"/>
            <w:hideMark/>
          </w:tcPr>
          <w:p w14:paraId="068968A9" w14:textId="77777777" w:rsidR="00895A8C" w:rsidRPr="004C12C9" w:rsidRDefault="00895A8C">
            <w:pPr>
              <w:pStyle w:val="ICFTabletext"/>
              <w:keepNext/>
              <w:rPr>
                <w:lang w:bidi="ar-SA"/>
              </w:rPr>
            </w:pPr>
            <w:r w:rsidRPr="004C12C9">
              <w:rPr>
                <w:lang w:bidi="ar-SA"/>
              </w:rPr>
              <w:t>Regional Average</w:t>
            </w:r>
          </w:p>
        </w:tc>
        <w:tc>
          <w:tcPr>
            <w:tcW w:w="1109" w:type="dxa"/>
            <w:noWrap/>
            <w:hideMark/>
          </w:tcPr>
          <w:p w14:paraId="6080D384" w14:textId="77777777" w:rsidR="00895A8C" w:rsidRPr="004C12C9" w:rsidRDefault="00895A8C">
            <w:pPr>
              <w:pStyle w:val="ICFTabletext"/>
              <w:keepNext/>
              <w:jc w:val="center"/>
              <w:rPr>
                <w:color w:val="000000"/>
                <w:lang w:bidi="ar-SA"/>
              </w:rPr>
            </w:pPr>
            <w:r w:rsidRPr="004C12C9">
              <w:t xml:space="preserve"> 116.62 </w:t>
            </w:r>
          </w:p>
        </w:tc>
        <w:tc>
          <w:tcPr>
            <w:tcW w:w="1109" w:type="dxa"/>
            <w:noWrap/>
            <w:hideMark/>
          </w:tcPr>
          <w:p w14:paraId="493F4AAA" w14:textId="77777777" w:rsidR="00895A8C" w:rsidRPr="004C12C9" w:rsidRDefault="00895A8C">
            <w:pPr>
              <w:pStyle w:val="ICFTabletext"/>
              <w:keepNext/>
              <w:jc w:val="center"/>
              <w:rPr>
                <w:color w:val="000000"/>
                <w:lang w:bidi="ar-SA"/>
              </w:rPr>
            </w:pPr>
            <w:r w:rsidRPr="004C12C9">
              <w:t xml:space="preserve"> 42.63 </w:t>
            </w:r>
          </w:p>
        </w:tc>
        <w:tc>
          <w:tcPr>
            <w:tcW w:w="1109" w:type="dxa"/>
            <w:noWrap/>
            <w:hideMark/>
          </w:tcPr>
          <w:p w14:paraId="1C204230" w14:textId="77777777" w:rsidR="00895A8C" w:rsidRPr="004C12C9" w:rsidRDefault="00895A8C">
            <w:pPr>
              <w:pStyle w:val="ICFTabletext"/>
              <w:keepNext/>
              <w:jc w:val="center"/>
              <w:rPr>
                <w:color w:val="000000"/>
                <w:lang w:bidi="ar-SA"/>
              </w:rPr>
            </w:pPr>
            <w:r w:rsidRPr="004C12C9">
              <w:t xml:space="preserve"> 21.32 </w:t>
            </w:r>
          </w:p>
        </w:tc>
        <w:tc>
          <w:tcPr>
            <w:tcW w:w="1109" w:type="dxa"/>
            <w:noWrap/>
            <w:hideMark/>
          </w:tcPr>
          <w:p w14:paraId="1C97EA88" w14:textId="6471AFF7" w:rsidR="00895A8C" w:rsidRPr="004C12C9" w:rsidRDefault="00B55AF0">
            <w:pPr>
              <w:pStyle w:val="ICFTabletext"/>
              <w:keepNext/>
              <w:jc w:val="center"/>
              <w:rPr>
                <w:lang w:bidi="ar-SA"/>
              </w:rPr>
            </w:pPr>
            <w:r w:rsidRPr="004C12C9">
              <w:t xml:space="preserve"> - </w:t>
            </w:r>
          </w:p>
        </w:tc>
        <w:tc>
          <w:tcPr>
            <w:tcW w:w="1109" w:type="dxa"/>
            <w:noWrap/>
            <w:hideMark/>
          </w:tcPr>
          <w:p w14:paraId="0B0D14A3" w14:textId="4077CEB9" w:rsidR="00895A8C" w:rsidRPr="004C12C9" w:rsidRDefault="00B55AF0">
            <w:pPr>
              <w:pStyle w:val="ICFTabletext"/>
              <w:keepNext/>
              <w:jc w:val="center"/>
              <w:rPr>
                <w:lang w:bidi="ar-SA"/>
              </w:rPr>
            </w:pPr>
            <w:r w:rsidRPr="004C12C9">
              <w:t xml:space="preserve"> - </w:t>
            </w:r>
          </w:p>
        </w:tc>
        <w:tc>
          <w:tcPr>
            <w:tcW w:w="1110" w:type="dxa"/>
            <w:noWrap/>
            <w:hideMark/>
          </w:tcPr>
          <w:p w14:paraId="0FDD71A8" w14:textId="3F9CDBDD" w:rsidR="00895A8C" w:rsidRPr="004C12C9" w:rsidRDefault="00B55AF0">
            <w:pPr>
              <w:pStyle w:val="ICFTabletext"/>
              <w:keepNext/>
              <w:jc w:val="center"/>
              <w:rPr>
                <w:lang w:bidi="ar-SA"/>
              </w:rPr>
            </w:pPr>
            <w:r w:rsidRPr="004C12C9">
              <w:t xml:space="preserve"> - </w:t>
            </w:r>
          </w:p>
        </w:tc>
      </w:tr>
      <w:tr w:rsidR="00895A8C" w:rsidRPr="004C12C9" w14:paraId="3A729921" w14:textId="77777777" w:rsidTr="00895A8C">
        <w:trPr>
          <w:trHeight w:val="283"/>
        </w:trPr>
        <w:tc>
          <w:tcPr>
            <w:tcW w:w="2695" w:type="dxa"/>
            <w:noWrap/>
          </w:tcPr>
          <w:p w14:paraId="58A3D7EE" w14:textId="77777777" w:rsidR="00895A8C" w:rsidRPr="004C12C9" w:rsidRDefault="00895A8C">
            <w:pPr>
              <w:pStyle w:val="ICFTabletext"/>
              <w:keepNext/>
              <w:rPr>
                <w:lang w:bidi="ar-SA"/>
              </w:rPr>
            </w:pPr>
            <w:r w:rsidRPr="004C12C9">
              <w:t>Xcel Energy</w:t>
            </w:r>
          </w:p>
        </w:tc>
        <w:tc>
          <w:tcPr>
            <w:tcW w:w="1109" w:type="dxa"/>
            <w:noWrap/>
          </w:tcPr>
          <w:p w14:paraId="209FAE23" w14:textId="77777777" w:rsidR="00895A8C" w:rsidRPr="004C12C9" w:rsidRDefault="00895A8C">
            <w:pPr>
              <w:pStyle w:val="ICFTabletext"/>
              <w:keepNext/>
              <w:jc w:val="center"/>
            </w:pPr>
            <w:r w:rsidRPr="004C12C9">
              <w:t xml:space="preserve"> 69.75 </w:t>
            </w:r>
          </w:p>
        </w:tc>
        <w:tc>
          <w:tcPr>
            <w:tcW w:w="1109" w:type="dxa"/>
            <w:noWrap/>
          </w:tcPr>
          <w:p w14:paraId="28E8450A" w14:textId="77777777" w:rsidR="00895A8C" w:rsidRPr="004C12C9" w:rsidRDefault="00895A8C">
            <w:pPr>
              <w:pStyle w:val="ICFTabletext"/>
              <w:keepNext/>
              <w:jc w:val="center"/>
            </w:pPr>
            <w:r w:rsidRPr="004C12C9">
              <w:t xml:space="preserve"> 19.84 </w:t>
            </w:r>
          </w:p>
        </w:tc>
        <w:tc>
          <w:tcPr>
            <w:tcW w:w="1109" w:type="dxa"/>
            <w:noWrap/>
          </w:tcPr>
          <w:p w14:paraId="71AD5FAE" w14:textId="77777777" w:rsidR="00895A8C" w:rsidRPr="004C12C9" w:rsidRDefault="00895A8C">
            <w:pPr>
              <w:pStyle w:val="ICFTabletext"/>
              <w:keepNext/>
              <w:jc w:val="center"/>
            </w:pPr>
            <w:r w:rsidRPr="004C12C9">
              <w:t xml:space="preserve"> 12.97 </w:t>
            </w:r>
          </w:p>
        </w:tc>
        <w:tc>
          <w:tcPr>
            <w:tcW w:w="1109" w:type="dxa"/>
            <w:noWrap/>
          </w:tcPr>
          <w:p w14:paraId="233C8841" w14:textId="6D52380B" w:rsidR="00895A8C" w:rsidRPr="004C12C9" w:rsidRDefault="00895A8C">
            <w:pPr>
              <w:pStyle w:val="ICFTabletext"/>
              <w:keepNext/>
              <w:jc w:val="center"/>
              <w:rPr>
                <w:lang w:bidi="ar-SA"/>
              </w:rPr>
            </w:pPr>
            <w:r w:rsidRPr="004C12C9">
              <w:t xml:space="preserve"> - </w:t>
            </w:r>
          </w:p>
        </w:tc>
        <w:tc>
          <w:tcPr>
            <w:tcW w:w="1109" w:type="dxa"/>
            <w:noWrap/>
          </w:tcPr>
          <w:p w14:paraId="6443EAC5" w14:textId="2871D727" w:rsidR="00895A8C" w:rsidRPr="004C12C9" w:rsidRDefault="00895A8C">
            <w:pPr>
              <w:pStyle w:val="ICFTabletext"/>
              <w:keepNext/>
              <w:jc w:val="center"/>
              <w:rPr>
                <w:lang w:bidi="ar-SA"/>
              </w:rPr>
            </w:pPr>
            <w:r w:rsidRPr="004C12C9">
              <w:t xml:space="preserve"> - </w:t>
            </w:r>
          </w:p>
        </w:tc>
        <w:tc>
          <w:tcPr>
            <w:tcW w:w="1110" w:type="dxa"/>
            <w:noWrap/>
          </w:tcPr>
          <w:p w14:paraId="1C927A82" w14:textId="703281E7" w:rsidR="00895A8C" w:rsidRPr="004C12C9" w:rsidRDefault="00895A8C">
            <w:pPr>
              <w:pStyle w:val="ICFTabletext"/>
              <w:keepNext/>
              <w:jc w:val="center"/>
              <w:rPr>
                <w:lang w:bidi="ar-SA"/>
              </w:rPr>
            </w:pPr>
            <w:r w:rsidRPr="004C12C9">
              <w:t xml:space="preserve"> - </w:t>
            </w:r>
          </w:p>
        </w:tc>
      </w:tr>
      <w:tr w:rsidR="00895A8C" w:rsidRPr="004C12C9" w14:paraId="5D8917AA" w14:textId="77777777" w:rsidTr="00895A8C">
        <w:trPr>
          <w:trHeight w:val="283"/>
        </w:trPr>
        <w:tc>
          <w:tcPr>
            <w:tcW w:w="2695" w:type="dxa"/>
            <w:noWrap/>
          </w:tcPr>
          <w:p w14:paraId="596960E7" w14:textId="77777777" w:rsidR="00895A8C" w:rsidRPr="004C12C9" w:rsidRDefault="00895A8C">
            <w:pPr>
              <w:pStyle w:val="ICFTabletext"/>
              <w:keepNext/>
              <w:rPr>
                <w:lang w:bidi="ar-SA"/>
              </w:rPr>
            </w:pPr>
            <w:r w:rsidRPr="004C12C9">
              <w:t>Minnesota Power</w:t>
            </w:r>
          </w:p>
        </w:tc>
        <w:tc>
          <w:tcPr>
            <w:tcW w:w="1109" w:type="dxa"/>
            <w:noWrap/>
          </w:tcPr>
          <w:p w14:paraId="3AB7568F" w14:textId="77777777" w:rsidR="00895A8C" w:rsidRPr="004C12C9" w:rsidRDefault="00895A8C">
            <w:pPr>
              <w:pStyle w:val="ICFTabletext"/>
              <w:keepNext/>
              <w:jc w:val="center"/>
            </w:pPr>
            <w:r w:rsidRPr="004C12C9">
              <w:t xml:space="preserve"> 162.74 </w:t>
            </w:r>
          </w:p>
        </w:tc>
        <w:tc>
          <w:tcPr>
            <w:tcW w:w="1109" w:type="dxa"/>
            <w:noWrap/>
          </w:tcPr>
          <w:p w14:paraId="26808138" w14:textId="77777777" w:rsidR="00895A8C" w:rsidRPr="004C12C9" w:rsidRDefault="00895A8C">
            <w:pPr>
              <w:pStyle w:val="ICFTabletext"/>
              <w:keepNext/>
              <w:jc w:val="center"/>
            </w:pPr>
            <w:r w:rsidRPr="004C12C9">
              <w:t xml:space="preserve"> 49.69 </w:t>
            </w:r>
          </w:p>
        </w:tc>
        <w:tc>
          <w:tcPr>
            <w:tcW w:w="1109" w:type="dxa"/>
            <w:noWrap/>
          </w:tcPr>
          <w:p w14:paraId="2AEA0FF2" w14:textId="77777777" w:rsidR="00895A8C" w:rsidRPr="004C12C9" w:rsidRDefault="00895A8C">
            <w:pPr>
              <w:pStyle w:val="ICFTabletext"/>
              <w:keepNext/>
              <w:jc w:val="center"/>
            </w:pPr>
            <w:r w:rsidRPr="004C12C9">
              <w:t xml:space="preserve"> 16.88 </w:t>
            </w:r>
          </w:p>
        </w:tc>
        <w:tc>
          <w:tcPr>
            <w:tcW w:w="1109" w:type="dxa"/>
            <w:noWrap/>
          </w:tcPr>
          <w:p w14:paraId="70727F24" w14:textId="6A363BA0" w:rsidR="00895A8C" w:rsidRPr="004C12C9" w:rsidRDefault="00895A8C">
            <w:pPr>
              <w:pStyle w:val="ICFTabletext"/>
              <w:keepNext/>
              <w:jc w:val="center"/>
              <w:rPr>
                <w:lang w:bidi="ar-SA"/>
              </w:rPr>
            </w:pPr>
            <w:r w:rsidRPr="004C12C9">
              <w:t xml:space="preserve"> - </w:t>
            </w:r>
          </w:p>
        </w:tc>
        <w:tc>
          <w:tcPr>
            <w:tcW w:w="1109" w:type="dxa"/>
            <w:noWrap/>
          </w:tcPr>
          <w:p w14:paraId="73848C2D" w14:textId="628EE952" w:rsidR="00895A8C" w:rsidRPr="004C12C9" w:rsidRDefault="00895A8C">
            <w:pPr>
              <w:pStyle w:val="ICFTabletext"/>
              <w:keepNext/>
              <w:jc w:val="center"/>
              <w:rPr>
                <w:lang w:bidi="ar-SA"/>
              </w:rPr>
            </w:pPr>
            <w:r w:rsidRPr="004C12C9">
              <w:t xml:space="preserve"> - </w:t>
            </w:r>
          </w:p>
        </w:tc>
        <w:tc>
          <w:tcPr>
            <w:tcW w:w="1110" w:type="dxa"/>
            <w:noWrap/>
          </w:tcPr>
          <w:p w14:paraId="3F027D2E" w14:textId="6F193BF4" w:rsidR="00895A8C" w:rsidRPr="004C12C9" w:rsidRDefault="00895A8C">
            <w:pPr>
              <w:pStyle w:val="ICFTabletext"/>
              <w:keepNext/>
              <w:jc w:val="center"/>
              <w:rPr>
                <w:lang w:bidi="ar-SA"/>
              </w:rPr>
            </w:pPr>
            <w:r w:rsidRPr="004C12C9">
              <w:t xml:space="preserve"> - </w:t>
            </w:r>
          </w:p>
        </w:tc>
      </w:tr>
      <w:tr w:rsidR="00895A8C" w:rsidRPr="004C12C9" w14:paraId="6FC9693C" w14:textId="77777777" w:rsidTr="00895A8C">
        <w:trPr>
          <w:trHeight w:val="283"/>
        </w:trPr>
        <w:tc>
          <w:tcPr>
            <w:tcW w:w="2695" w:type="dxa"/>
            <w:noWrap/>
          </w:tcPr>
          <w:p w14:paraId="6F5DB94F" w14:textId="77777777" w:rsidR="00895A8C" w:rsidRPr="004C12C9" w:rsidRDefault="00895A8C">
            <w:pPr>
              <w:pStyle w:val="ICFTabletext"/>
              <w:keepNext/>
              <w:rPr>
                <w:lang w:bidi="ar-SA"/>
              </w:rPr>
            </w:pPr>
            <w:r w:rsidRPr="004C12C9">
              <w:t>Great River Energy</w:t>
            </w:r>
          </w:p>
        </w:tc>
        <w:tc>
          <w:tcPr>
            <w:tcW w:w="1109" w:type="dxa"/>
            <w:noWrap/>
          </w:tcPr>
          <w:p w14:paraId="799B02C2" w14:textId="77777777" w:rsidR="00895A8C" w:rsidRPr="004C12C9" w:rsidRDefault="00895A8C">
            <w:pPr>
              <w:pStyle w:val="ICFTabletext"/>
              <w:keepNext/>
              <w:jc w:val="center"/>
            </w:pPr>
            <w:r w:rsidRPr="004C12C9">
              <w:t xml:space="preserve"> 161.81 </w:t>
            </w:r>
          </w:p>
        </w:tc>
        <w:tc>
          <w:tcPr>
            <w:tcW w:w="1109" w:type="dxa"/>
            <w:noWrap/>
          </w:tcPr>
          <w:p w14:paraId="4AC5BE71" w14:textId="77777777" w:rsidR="00895A8C" w:rsidRPr="004C12C9" w:rsidRDefault="00895A8C">
            <w:pPr>
              <w:pStyle w:val="ICFTabletext"/>
              <w:keepNext/>
              <w:jc w:val="center"/>
            </w:pPr>
            <w:r w:rsidRPr="004C12C9">
              <w:t xml:space="preserve"> 91.92 </w:t>
            </w:r>
          </w:p>
        </w:tc>
        <w:tc>
          <w:tcPr>
            <w:tcW w:w="1109" w:type="dxa"/>
            <w:noWrap/>
          </w:tcPr>
          <w:p w14:paraId="1F27D988" w14:textId="77777777" w:rsidR="00895A8C" w:rsidRPr="004C12C9" w:rsidRDefault="00895A8C">
            <w:pPr>
              <w:pStyle w:val="ICFTabletext"/>
              <w:keepNext/>
              <w:jc w:val="center"/>
            </w:pPr>
            <w:r w:rsidRPr="004C12C9">
              <w:t xml:space="preserve"> 33.76 </w:t>
            </w:r>
          </w:p>
        </w:tc>
        <w:tc>
          <w:tcPr>
            <w:tcW w:w="1109" w:type="dxa"/>
            <w:noWrap/>
          </w:tcPr>
          <w:p w14:paraId="56D10022" w14:textId="15ACE85E" w:rsidR="00895A8C" w:rsidRPr="004C12C9" w:rsidRDefault="00895A8C">
            <w:pPr>
              <w:pStyle w:val="ICFTabletext"/>
              <w:keepNext/>
              <w:jc w:val="center"/>
              <w:rPr>
                <w:lang w:bidi="ar-SA"/>
              </w:rPr>
            </w:pPr>
            <w:r w:rsidRPr="004C12C9">
              <w:t xml:space="preserve"> - </w:t>
            </w:r>
          </w:p>
        </w:tc>
        <w:tc>
          <w:tcPr>
            <w:tcW w:w="1109" w:type="dxa"/>
            <w:noWrap/>
          </w:tcPr>
          <w:p w14:paraId="2AFF0E5D" w14:textId="312F77D6" w:rsidR="00895A8C" w:rsidRPr="004C12C9" w:rsidRDefault="00895A8C">
            <w:pPr>
              <w:pStyle w:val="ICFTabletext"/>
              <w:keepNext/>
              <w:jc w:val="center"/>
              <w:rPr>
                <w:lang w:bidi="ar-SA"/>
              </w:rPr>
            </w:pPr>
            <w:r w:rsidRPr="004C12C9">
              <w:t xml:space="preserve"> - </w:t>
            </w:r>
          </w:p>
        </w:tc>
        <w:tc>
          <w:tcPr>
            <w:tcW w:w="1110" w:type="dxa"/>
            <w:noWrap/>
          </w:tcPr>
          <w:p w14:paraId="15D6E2D9" w14:textId="3401A06D" w:rsidR="00895A8C" w:rsidRPr="004C12C9" w:rsidRDefault="00895A8C">
            <w:pPr>
              <w:pStyle w:val="ICFTabletext"/>
              <w:keepNext/>
              <w:jc w:val="center"/>
              <w:rPr>
                <w:lang w:bidi="ar-SA"/>
              </w:rPr>
            </w:pPr>
            <w:r w:rsidRPr="004C12C9">
              <w:t xml:space="preserve"> - </w:t>
            </w:r>
          </w:p>
        </w:tc>
      </w:tr>
      <w:tr w:rsidR="00895A8C" w:rsidRPr="004C12C9" w14:paraId="5F37CD44" w14:textId="77777777" w:rsidTr="00895A8C">
        <w:trPr>
          <w:trHeight w:val="283"/>
        </w:trPr>
        <w:tc>
          <w:tcPr>
            <w:tcW w:w="2695" w:type="dxa"/>
            <w:noWrap/>
          </w:tcPr>
          <w:p w14:paraId="1CD70ACD" w14:textId="77777777" w:rsidR="00895A8C" w:rsidRPr="004C12C9" w:rsidRDefault="00895A8C">
            <w:pPr>
              <w:pStyle w:val="ICFTabletext"/>
              <w:keepNext/>
              <w:rPr>
                <w:lang w:bidi="ar-SA"/>
              </w:rPr>
            </w:pPr>
            <w:r w:rsidRPr="004C12C9">
              <w:t>Otter Tail Power Company</w:t>
            </w:r>
          </w:p>
        </w:tc>
        <w:tc>
          <w:tcPr>
            <w:tcW w:w="1109" w:type="dxa"/>
            <w:noWrap/>
          </w:tcPr>
          <w:p w14:paraId="00C61273" w14:textId="77777777" w:rsidR="00895A8C" w:rsidRPr="004C12C9" w:rsidRDefault="00895A8C">
            <w:pPr>
              <w:pStyle w:val="ICFTabletext"/>
              <w:keepNext/>
              <w:jc w:val="center"/>
            </w:pPr>
            <w:r w:rsidRPr="004C12C9">
              <w:t xml:space="preserve"> 141.40 </w:t>
            </w:r>
          </w:p>
        </w:tc>
        <w:tc>
          <w:tcPr>
            <w:tcW w:w="1109" w:type="dxa"/>
            <w:noWrap/>
          </w:tcPr>
          <w:p w14:paraId="49BE6D30" w14:textId="77777777" w:rsidR="00895A8C" w:rsidRPr="004C12C9" w:rsidRDefault="00895A8C">
            <w:pPr>
              <w:pStyle w:val="ICFTabletext"/>
              <w:keepNext/>
              <w:jc w:val="center"/>
            </w:pPr>
            <w:r w:rsidRPr="004C12C9">
              <w:t xml:space="preserve"> 91.44 </w:t>
            </w:r>
          </w:p>
        </w:tc>
        <w:tc>
          <w:tcPr>
            <w:tcW w:w="1109" w:type="dxa"/>
            <w:noWrap/>
          </w:tcPr>
          <w:p w14:paraId="296FB91C" w14:textId="77777777" w:rsidR="00895A8C" w:rsidRPr="004C12C9" w:rsidRDefault="00895A8C">
            <w:pPr>
              <w:pStyle w:val="ICFTabletext"/>
              <w:keepNext/>
              <w:jc w:val="center"/>
            </w:pPr>
            <w:r w:rsidRPr="004C12C9">
              <w:t xml:space="preserve"> 45.66 </w:t>
            </w:r>
          </w:p>
        </w:tc>
        <w:tc>
          <w:tcPr>
            <w:tcW w:w="1109" w:type="dxa"/>
            <w:noWrap/>
          </w:tcPr>
          <w:p w14:paraId="3E1D30FA" w14:textId="32249446" w:rsidR="00895A8C" w:rsidRPr="004C12C9" w:rsidRDefault="00895A8C">
            <w:pPr>
              <w:pStyle w:val="ICFTabletext"/>
              <w:keepNext/>
              <w:jc w:val="center"/>
              <w:rPr>
                <w:lang w:bidi="ar-SA"/>
              </w:rPr>
            </w:pPr>
            <w:r w:rsidRPr="004C12C9">
              <w:t xml:space="preserve"> - </w:t>
            </w:r>
          </w:p>
        </w:tc>
        <w:tc>
          <w:tcPr>
            <w:tcW w:w="1109" w:type="dxa"/>
            <w:noWrap/>
          </w:tcPr>
          <w:p w14:paraId="00ECBD71" w14:textId="31088AD3" w:rsidR="00895A8C" w:rsidRPr="004C12C9" w:rsidRDefault="00895A8C">
            <w:pPr>
              <w:pStyle w:val="ICFTabletext"/>
              <w:keepNext/>
              <w:jc w:val="center"/>
              <w:rPr>
                <w:lang w:bidi="ar-SA"/>
              </w:rPr>
            </w:pPr>
            <w:r w:rsidRPr="004C12C9">
              <w:t xml:space="preserve"> - </w:t>
            </w:r>
          </w:p>
        </w:tc>
        <w:tc>
          <w:tcPr>
            <w:tcW w:w="1110" w:type="dxa"/>
            <w:noWrap/>
          </w:tcPr>
          <w:p w14:paraId="152C4AA1" w14:textId="5457EBDB" w:rsidR="00895A8C" w:rsidRPr="004C12C9" w:rsidRDefault="00895A8C">
            <w:pPr>
              <w:pStyle w:val="ICFTabletext"/>
              <w:keepNext/>
              <w:jc w:val="center"/>
              <w:rPr>
                <w:lang w:bidi="ar-SA"/>
              </w:rPr>
            </w:pPr>
            <w:r w:rsidRPr="004C12C9">
              <w:t xml:space="preserve"> - </w:t>
            </w:r>
          </w:p>
        </w:tc>
      </w:tr>
    </w:tbl>
    <w:p w14:paraId="7ACA99AE" w14:textId="3181A14C" w:rsidR="00895A8C" w:rsidRPr="004C12C9" w:rsidRDefault="00125240" w:rsidP="00895A8C">
      <w:pPr>
        <w:pStyle w:val="TableFooter"/>
      </w:pPr>
      <w:r w:rsidRPr="004C12C9">
        <w:rPr>
          <w:vertAlign w:val="superscript"/>
        </w:rPr>
        <w:t>a</w:t>
      </w:r>
      <w:r w:rsidR="00895A8C" w:rsidRPr="004C12C9">
        <w:t xml:space="preserve"> Values shown are based on AR5 global warming potentials.</w:t>
      </w:r>
    </w:p>
    <w:p w14:paraId="0E933735" w14:textId="5515AAA3" w:rsidR="0050324C" w:rsidRPr="004C12C9" w:rsidRDefault="0050324C" w:rsidP="003828C3">
      <w:pPr>
        <w:pStyle w:val="Heading4"/>
      </w:pPr>
      <w:r w:rsidRPr="004C12C9">
        <w:rPr>
          <w:rFonts w:eastAsia="Times New Roman"/>
        </w:rPr>
        <w:t>Regional Average</w:t>
      </w:r>
    </w:p>
    <w:p w14:paraId="40B9B83B" w14:textId="656B11CC" w:rsidR="0050324C" w:rsidRPr="004C12C9" w:rsidRDefault="0050324C" w:rsidP="0080232D">
      <w:r w:rsidRPr="004C12C9">
        <w:rPr>
          <w:lang w:bidi="ar-SA"/>
        </w:rPr>
        <w:t xml:space="preserve">The lifecycle electricity emission factors for the region </w:t>
      </w:r>
      <w:r w:rsidR="00D4700E" w:rsidRPr="004C12C9">
        <w:rPr>
          <w:lang w:bidi="ar-SA"/>
        </w:rPr>
        <w:t xml:space="preserve">were </w:t>
      </w:r>
      <w:r w:rsidRPr="004C12C9">
        <w:rPr>
          <w:lang w:bidi="ar-SA"/>
        </w:rPr>
        <w:t>derived from EPA’s Emissions &amp; Generation Resource Integrated Database (eGRID)</w:t>
      </w:r>
      <w:r w:rsidR="00555F36" w:rsidRPr="004C12C9">
        <w:rPr>
          <w:rStyle w:val="FootnoteReference"/>
          <w:rFonts w:cs="Calibri"/>
          <w:color w:val="000000"/>
          <w:lang w:bidi="ar-SA"/>
        </w:rPr>
        <w:footnoteReference w:id="145"/>
      </w:r>
      <w:r w:rsidR="00555F36" w:rsidRPr="004C12C9">
        <w:rPr>
          <w:lang w:bidi="ar-SA"/>
        </w:rPr>
        <w:t xml:space="preserve"> </w:t>
      </w:r>
      <w:r w:rsidRPr="004C12C9">
        <w:rPr>
          <w:lang w:bidi="ar-SA"/>
        </w:rPr>
        <w:t>and GREET1 2024.</w:t>
      </w:r>
      <w:r w:rsidR="00555F36" w:rsidRPr="004C12C9">
        <w:rPr>
          <w:rStyle w:val="FootnoteReference"/>
          <w:rFonts w:cs="Calibri"/>
          <w:color w:val="000000"/>
          <w:lang w:bidi="ar-SA"/>
        </w:rPr>
        <w:footnoteReference w:id="146"/>
      </w:r>
      <w:r w:rsidR="00555F36" w:rsidRPr="004C12C9">
        <w:rPr>
          <w:lang w:bidi="ar-SA"/>
        </w:rPr>
        <w:t xml:space="preserve"> </w:t>
      </w:r>
      <w:r w:rsidRPr="004C12C9">
        <w:rPr>
          <w:lang w:bidi="ar-SA"/>
        </w:rPr>
        <w:t>The emission factor for electricity output in Minnesota for 202</w:t>
      </w:r>
      <w:r w:rsidR="0061200F" w:rsidRPr="004C12C9">
        <w:t>3</w:t>
      </w:r>
      <w:r w:rsidRPr="004C12C9">
        <w:rPr>
          <w:lang w:bidi="ar-SA"/>
        </w:rPr>
        <w:t xml:space="preserve"> </w:t>
      </w:r>
      <w:r w:rsidR="00D4700E" w:rsidRPr="004C12C9">
        <w:rPr>
          <w:lang w:bidi="ar-SA"/>
        </w:rPr>
        <w:t xml:space="preserve">were </w:t>
      </w:r>
      <w:r w:rsidRPr="004C12C9">
        <w:rPr>
          <w:lang w:bidi="ar-SA"/>
        </w:rPr>
        <w:t>obtained from eGRID (see</w:t>
      </w:r>
      <w:r w:rsidR="000C2BDE" w:rsidRPr="004C12C9">
        <w:t xml:space="preserve"> </w:t>
      </w:r>
      <w:r w:rsidR="006E19A3" w:rsidRPr="004C12C9">
        <w:fldChar w:fldCharType="begin" w:fldLock="1"/>
      </w:r>
      <w:r w:rsidR="006E19A3" w:rsidRPr="004C12C9">
        <w:instrText xml:space="preserve"> REF Tablec2 \h </w:instrText>
      </w:r>
      <w:r w:rsidR="006E19A3" w:rsidRPr="004C12C9">
        <w:fldChar w:fldCharType="separate"/>
      </w:r>
      <w:r w:rsidR="006E19A3" w:rsidRPr="004C12C9">
        <w:t>Table C-2</w:t>
      </w:r>
      <w:r w:rsidR="006E19A3" w:rsidRPr="004C12C9">
        <w:fldChar w:fldCharType="end"/>
      </w:r>
      <w:r w:rsidR="00AE5336" w:rsidRPr="004C12C9">
        <w:fldChar w:fldCharType="begin" w:fldLock="1"/>
      </w:r>
      <w:r w:rsidR="00AE5336" w:rsidRPr="004C12C9">
        <w:instrText xml:space="preserve"> REF Tablec2 \h </w:instrText>
      </w:r>
      <w:r w:rsidR="00AE5336" w:rsidRPr="004C12C9">
        <w:fldChar w:fldCharType="end"/>
      </w:r>
      <w:r w:rsidR="006E19A3" w:rsidRPr="004C12C9">
        <w:fldChar w:fldCharType="begin" w:fldLock="1"/>
      </w:r>
      <w:r w:rsidR="006E19A3" w:rsidRPr="004C12C9">
        <w:instrText xml:space="preserve"> REF Tablec2 \h </w:instrText>
      </w:r>
      <w:r w:rsidR="006E19A3" w:rsidRPr="004C12C9">
        <w:fldChar w:fldCharType="end"/>
      </w:r>
      <w:r w:rsidR="006E19A3" w:rsidRPr="004C12C9">
        <w:fldChar w:fldCharType="begin" w:fldLock="1"/>
      </w:r>
      <w:r w:rsidR="006E19A3" w:rsidRPr="004C12C9">
        <w:instrText xml:space="preserve"> REF Tablec2 \h </w:instrText>
      </w:r>
      <w:r w:rsidR="006E19A3" w:rsidRPr="004C12C9">
        <w:fldChar w:fldCharType="end"/>
      </w:r>
      <w:r w:rsidR="006E19A3" w:rsidRPr="004C12C9">
        <w:fldChar w:fldCharType="begin" w:fldLock="1"/>
      </w:r>
      <w:r w:rsidR="006E19A3" w:rsidRPr="004C12C9">
        <w:instrText xml:space="preserve"> REF Tablec2 \h </w:instrText>
      </w:r>
      <w:r w:rsidR="006E19A3" w:rsidRPr="004C12C9">
        <w:fldChar w:fldCharType="end"/>
      </w:r>
      <w:r w:rsidRPr="004C12C9">
        <w:rPr>
          <w:lang w:bidi="ar-SA"/>
        </w:rPr>
        <w:t xml:space="preserve">). </w:t>
      </w:r>
      <w:r w:rsidR="008D2DA0" w:rsidRPr="004C12C9">
        <w:t xml:space="preserve">The emission factor for upstream emissions associated with the production, transmission, and distribution of fuels used for electricity generation </w:t>
      </w:r>
      <w:r w:rsidR="00D4700E" w:rsidRPr="004C12C9">
        <w:t xml:space="preserve">were </w:t>
      </w:r>
      <w:r w:rsidR="008D2DA0" w:rsidRPr="004C12C9">
        <w:t xml:space="preserve">obtained from </w:t>
      </w:r>
      <w:r w:rsidR="00EA3D7F" w:rsidRPr="004C12C9">
        <w:rPr>
          <w:lang w:bidi="ar-SA"/>
        </w:rPr>
        <w:t>GREET1 2024</w:t>
      </w:r>
      <w:r w:rsidR="008D2DA0" w:rsidRPr="004C12C9">
        <w:t xml:space="preserve"> for 2025 and 2030 based on the fuel mix for the Midcontinent Independent System Operator (MISO) area</w:t>
      </w:r>
      <w:r w:rsidR="006C1013" w:rsidRPr="004C12C9">
        <w:t xml:space="preserve"> </w:t>
      </w:r>
      <w:r w:rsidRPr="004C12C9">
        <w:rPr>
          <w:lang w:bidi="ar-SA"/>
        </w:rPr>
        <w:t xml:space="preserve">(see </w:t>
      </w:r>
      <w:r w:rsidR="00A628A5" w:rsidRPr="004C12C9">
        <w:rPr>
          <w:lang w:bidi="ar-SA"/>
        </w:rPr>
        <w:fldChar w:fldCharType="begin" w:fldLock="1"/>
      </w:r>
      <w:r w:rsidR="00A628A5" w:rsidRPr="004C12C9">
        <w:rPr>
          <w:lang w:bidi="ar-SA"/>
        </w:rPr>
        <w:instrText xml:space="preserve"> REF Tablec3 \h </w:instrText>
      </w:r>
      <w:r w:rsidR="00A628A5" w:rsidRPr="004C12C9">
        <w:rPr>
          <w:lang w:bidi="ar-SA"/>
        </w:rPr>
      </w:r>
      <w:r w:rsidR="00A628A5" w:rsidRPr="004C12C9">
        <w:rPr>
          <w:lang w:bidi="ar-SA"/>
        </w:rPr>
        <w:fldChar w:fldCharType="separate"/>
      </w:r>
      <w:r w:rsidR="00A628A5" w:rsidRPr="004C12C9">
        <w:t>Table C-3</w:t>
      </w:r>
      <w:r w:rsidR="00A628A5" w:rsidRPr="004C12C9">
        <w:rPr>
          <w:lang w:bidi="ar-SA"/>
        </w:rPr>
        <w:fldChar w:fldCharType="end"/>
      </w:r>
      <w:r w:rsidR="00217AA5" w:rsidRPr="004C12C9">
        <w:rPr>
          <w:lang w:bidi="ar-SA"/>
        </w:rPr>
        <w:t xml:space="preserve"> </w:t>
      </w:r>
      <w:r w:rsidRPr="004C12C9">
        <w:rPr>
          <w:lang w:bidi="ar-SA"/>
        </w:rPr>
        <w:t xml:space="preserve">and </w:t>
      </w:r>
      <w:r w:rsidR="00A628A5" w:rsidRPr="004C12C9">
        <w:rPr>
          <w:lang w:bidi="ar-SA"/>
        </w:rPr>
        <w:fldChar w:fldCharType="begin" w:fldLock="1"/>
      </w:r>
      <w:r w:rsidR="00A628A5" w:rsidRPr="004C12C9">
        <w:rPr>
          <w:lang w:bidi="ar-SA"/>
        </w:rPr>
        <w:instrText xml:space="preserve"> REF Tablec4 \h </w:instrText>
      </w:r>
      <w:r w:rsidR="00A628A5" w:rsidRPr="004C12C9">
        <w:rPr>
          <w:lang w:bidi="ar-SA"/>
        </w:rPr>
      </w:r>
      <w:r w:rsidR="00A628A5" w:rsidRPr="004C12C9">
        <w:rPr>
          <w:lang w:bidi="ar-SA"/>
        </w:rPr>
        <w:fldChar w:fldCharType="separate"/>
      </w:r>
      <w:r w:rsidR="00A628A5" w:rsidRPr="004C12C9">
        <w:t>Table C-4</w:t>
      </w:r>
      <w:r w:rsidR="00A628A5" w:rsidRPr="004C12C9">
        <w:rPr>
          <w:lang w:bidi="ar-SA"/>
        </w:rPr>
        <w:fldChar w:fldCharType="end"/>
      </w:r>
      <w:r w:rsidRPr="004C12C9">
        <w:rPr>
          <w:lang w:bidi="ar-SA"/>
        </w:rPr>
        <w:t>)</w:t>
      </w:r>
      <w:r w:rsidR="00C758FE" w:rsidRPr="004C12C9">
        <w:rPr>
          <w:lang w:bidi="ar-SA"/>
        </w:rPr>
        <w:t>.</w:t>
      </w:r>
      <w:r w:rsidR="00C758FE" w:rsidRPr="004C12C9">
        <w:rPr>
          <w:rStyle w:val="FootnoteReference"/>
          <w:rFonts w:cs="Calibri"/>
          <w:color w:val="000000"/>
          <w:lang w:bidi="ar-SA"/>
        </w:rPr>
        <w:footnoteReference w:id="147"/>
      </w:r>
      <w:r w:rsidRPr="004C12C9">
        <w:rPr>
          <w:lang w:bidi="ar-SA"/>
        </w:rPr>
        <w:t xml:space="preserve"> The emission factors for electricity output for 2025 and 2030 </w:t>
      </w:r>
      <w:r w:rsidR="00D4700E" w:rsidRPr="004C12C9">
        <w:rPr>
          <w:lang w:bidi="ar-SA"/>
        </w:rPr>
        <w:t xml:space="preserve">were </w:t>
      </w:r>
      <w:r w:rsidRPr="004C12C9">
        <w:rPr>
          <w:lang w:bidi="ar-SA"/>
        </w:rPr>
        <w:t>separately calculated by projecting forward the 202</w:t>
      </w:r>
      <w:r w:rsidR="00417FD9" w:rsidRPr="004C12C9">
        <w:t>3</w:t>
      </w:r>
      <w:r w:rsidRPr="004C12C9">
        <w:rPr>
          <w:lang w:bidi="ar-SA"/>
        </w:rPr>
        <w:t xml:space="preserve"> generation-stage eGRID emission factor using the growth rate for the regional projections from </w:t>
      </w:r>
      <w:r w:rsidR="00EA3D7F" w:rsidRPr="004C12C9">
        <w:rPr>
          <w:lang w:bidi="ar-SA"/>
        </w:rPr>
        <w:t>GREET1 2024</w:t>
      </w:r>
      <w:r w:rsidRPr="004C12C9">
        <w:rPr>
          <w:lang w:bidi="ar-SA"/>
        </w:rPr>
        <w:t xml:space="preserve"> (see </w:t>
      </w:r>
      <w:r w:rsidR="00A628A5" w:rsidRPr="004C12C9">
        <w:rPr>
          <w:lang w:bidi="ar-SA"/>
        </w:rPr>
        <w:fldChar w:fldCharType="begin" w:fldLock="1"/>
      </w:r>
      <w:r w:rsidR="00A628A5" w:rsidRPr="004C12C9">
        <w:rPr>
          <w:lang w:bidi="ar-SA"/>
        </w:rPr>
        <w:instrText xml:space="preserve"> REF TableC5 \h </w:instrText>
      </w:r>
      <w:r w:rsidR="00A628A5" w:rsidRPr="004C12C9">
        <w:rPr>
          <w:lang w:bidi="ar-SA"/>
        </w:rPr>
      </w:r>
      <w:r w:rsidR="00A628A5" w:rsidRPr="004C12C9">
        <w:rPr>
          <w:lang w:bidi="ar-SA"/>
        </w:rPr>
        <w:fldChar w:fldCharType="separate"/>
      </w:r>
      <w:r w:rsidR="00A628A5" w:rsidRPr="004C12C9">
        <w:t>Table C-5</w:t>
      </w:r>
      <w:r w:rsidR="00A628A5" w:rsidRPr="004C12C9">
        <w:rPr>
          <w:lang w:bidi="ar-SA"/>
        </w:rPr>
        <w:fldChar w:fldCharType="end"/>
      </w:r>
      <w:r w:rsidR="00A628A5" w:rsidRPr="004C12C9">
        <w:rPr>
          <w:lang w:bidi="ar-SA"/>
        </w:rPr>
        <w:t>)</w:t>
      </w:r>
      <w:r w:rsidRPr="004C12C9">
        <w:rPr>
          <w:lang w:bidi="ar-SA"/>
        </w:rPr>
        <w:t>. </w:t>
      </w:r>
      <w:r w:rsidR="0080232D" w:rsidRPr="004C12C9">
        <w:t xml:space="preserve">The emission factors for each lifecycle stage for each year </w:t>
      </w:r>
      <w:r w:rsidR="00D4700E" w:rsidRPr="004C12C9">
        <w:t xml:space="preserve">were </w:t>
      </w:r>
      <w:r w:rsidR="0080232D" w:rsidRPr="004C12C9">
        <w:t xml:space="preserve">then summed to derive the average electricity emission factor for Minnesota. The tables below summarize the data used to derive the emission factors, as obtained from eGRID and </w:t>
      </w:r>
      <w:r w:rsidR="00EA3D7F" w:rsidRPr="004C12C9">
        <w:rPr>
          <w:lang w:bidi="ar-SA"/>
        </w:rPr>
        <w:t>GREET1 2024</w:t>
      </w:r>
      <w:r w:rsidR="0080232D" w:rsidRPr="004C12C9">
        <w:t>.</w:t>
      </w:r>
    </w:p>
    <w:p w14:paraId="4F99C245" w14:textId="11887A1E" w:rsidR="00990D5B" w:rsidRPr="004C12C9" w:rsidRDefault="00990D5B" w:rsidP="001C69DB">
      <w:pPr>
        <w:pStyle w:val="Caption"/>
      </w:pPr>
      <w:r w:rsidRPr="004C12C9">
        <w:lastRenderedPageBreak/>
        <w:t>Table C-</w:t>
      </w:r>
      <w:bookmarkStart w:id="280" w:name="Tablec2"/>
      <w:bookmarkEnd w:id="280"/>
      <w:r w:rsidR="00127094" w:rsidRPr="004C12C9">
        <w:fldChar w:fldCharType="begin"/>
      </w:r>
      <w:r w:rsidR="00127094" w:rsidRPr="004C12C9">
        <w:instrText xml:space="preserve"> SEQ Table_C- \* ARABIC </w:instrText>
      </w:r>
      <w:r w:rsidR="00127094" w:rsidRPr="004C12C9">
        <w:fldChar w:fldCharType="separate"/>
      </w:r>
      <w:r w:rsidR="00127094" w:rsidRPr="004C12C9">
        <w:t>2</w:t>
      </w:r>
      <w:r w:rsidR="00127094" w:rsidRPr="004C12C9">
        <w:fldChar w:fldCharType="end"/>
      </w:r>
      <w:r w:rsidRPr="004C12C9">
        <w:t>. Minnesota Combustion Electricity Emissions from eGRID, 2023 (lb/MWh)</w:t>
      </w:r>
    </w:p>
    <w:tbl>
      <w:tblPr>
        <w:tblW w:w="93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5"/>
        <w:gridCol w:w="3105"/>
        <w:gridCol w:w="3105"/>
      </w:tblGrid>
      <w:tr w:rsidR="0050324C" w:rsidRPr="004C12C9" w14:paraId="213B9F89" w14:textId="77777777" w:rsidTr="00656549">
        <w:trPr>
          <w:trHeight w:val="224"/>
        </w:trPr>
        <w:tc>
          <w:tcPr>
            <w:tcW w:w="3105" w:type="dxa"/>
            <w:shd w:val="clear" w:color="auto" w:fill="D9D9D9" w:themeFill="background1" w:themeFillShade="D9"/>
            <w:hideMark/>
          </w:tcPr>
          <w:p w14:paraId="61F647F1" w14:textId="77777777" w:rsidR="0050324C" w:rsidRPr="004C12C9" w:rsidRDefault="0050324C" w:rsidP="00276D0A">
            <w:pPr>
              <w:pStyle w:val="ICFTableHeading"/>
              <w:keepNext/>
            </w:pPr>
            <w:r w:rsidRPr="004C12C9">
              <w:t>CO</w:t>
            </w:r>
            <w:r w:rsidRPr="004C12C9">
              <w:rPr>
                <w:vertAlign w:val="subscript"/>
              </w:rPr>
              <w:t>2</w:t>
            </w:r>
            <w:r w:rsidRPr="004C12C9">
              <w:t> </w:t>
            </w:r>
          </w:p>
        </w:tc>
        <w:tc>
          <w:tcPr>
            <w:tcW w:w="3105" w:type="dxa"/>
            <w:shd w:val="clear" w:color="auto" w:fill="D9D9D9" w:themeFill="background1" w:themeFillShade="D9"/>
            <w:hideMark/>
          </w:tcPr>
          <w:p w14:paraId="4032E48F" w14:textId="77777777" w:rsidR="0050324C" w:rsidRPr="004C12C9" w:rsidRDefault="0050324C" w:rsidP="00276D0A">
            <w:pPr>
              <w:pStyle w:val="ICFTableHeading"/>
              <w:keepNext/>
            </w:pPr>
            <w:r w:rsidRPr="004C12C9">
              <w:t>CH</w:t>
            </w:r>
            <w:r w:rsidRPr="004C12C9">
              <w:rPr>
                <w:vertAlign w:val="subscript"/>
              </w:rPr>
              <w:t>4</w:t>
            </w:r>
            <w:r w:rsidRPr="004C12C9">
              <w:t> </w:t>
            </w:r>
          </w:p>
        </w:tc>
        <w:tc>
          <w:tcPr>
            <w:tcW w:w="3105" w:type="dxa"/>
            <w:shd w:val="clear" w:color="auto" w:fill="D9D9D9" w:themeFill="background1" w:themeFillShade="D9"/>
            <w:hideMark/>
          </w:tcPr>
          <w:p w14:paraId="7B770D06" w14:textId="77777777" w:rsidR="0050324C" w:rsidRPr="004C12C9" w:rsidRDefault="0050324C" w:rsidP="00276D0A">
            <w:pPr>
              <w:pStyle w:val="ICFTableHeading"/>
              <w:keepNext/>
            </w:pPr>
            <w:r w:rsidRPr="004C12C9">
              <w:t>N</w:t>
            </w:r>
            <w:r w:rsidRPr="004C12C9">
              <w:rPr>
                <w:vertAlign w:val="subscript"/>
              </w:rPr>
              <w:t>2</w:t>
            </w:r>
            <w:r w:rsidRPr="004C12C9">
              <w:t>0 </w:t>
            </w:r>
          </w:p>
        </w:tc>
      </w:tr>
      <w:tr w:rsidR="007A315A" w:rsidRPr="004C12C9" w14:paraId="1CEFDAA6" w14:textId="77777777" w:rsidTr="007B2BA2">
        <w:trPr>
          <w:trHeight w:val="300"/>
        </w:trPr>
        <w:tc>
          <w:tcPr>
            <w:tcW w:w="3105" w:type="dxa"/>
            <w:hideMark/>
          </w:tcPr>
          <w:p w14:paraId="07640418" w14:textId="3144B05D" w:rsidR="007A315A" w:rsidRPr="004C12C9" w:rsidRDefault="007A315A" w:rsidP="004F257D">
            <w:pPr>
              <w:pStyle w:val="ICFTabletext"/>
              <w:jc w:val="center"/>
            </w:pPr>
            <w:r w:rsidRPr="004C12C9">
              <w:t>747.38</w:t>
            </w:r>
          </w:p>
        </w:tc>
        <w:tc>
          <w:tcPr>
            <w:tcW w:w="3105" w:type="dxa"/>
            <w:hideMark/>
          </w:tcPr>
          <w:p w14:paraId="22FDBE79" w14:textId="21942C4F" w:rsidR="007A315A" w:rsidRPr="004C12C9" w:rsidRDefault="007A315A" w:rsidP="004F257D">
            <w:pPr>
              <w:pStyle w:val="ICFTabletext"/>
              <w:jc w:val="center"/>
            </w:pPr>
            <w:r w:rsidRPr="004C12C9">
              <w:t>0.073</w:t>
            </w:r>
          </w:p>
        </w:tc>
        <w:tc>
          <w:tcPr>
            <w:tcW w:w="3105" w:type="dxa"/>
            <w:hideMark/>
          </w:tcPr>
          <w:p w14:paraId="7B80F2CF" w14:textId="3073F9AE" w:rsidR="007A315A" w:rsidRPr="004C12C9" w:rsidRDefault="007A315A" w:rsidP="004F257D">
            <w:pPr>
              <w:pStyle w:val="ICFTabletext"/>
              <w:jc w:val="center"/>
            </w:pPr>
            <w:r w:rsidRPr="004C12C9">
              <w:t>0.01</w:t>
            </w:r>
          </w:p>
        </w:tc>
      </w:tr>
    </w:tbl>
    <w:p w14:paraId="38A3D810" w14:textId="3B401ABD" w:rsidR="0050324C" w:rsidRPr="004C12C9" w:rsidRDefault="0050324C" w:rsidP="0050324C">
      <w:pPr>
        <w:pStyle w:val="Default"/>
        <w:rPr>
          <w:sz w:val="22"/>
          <w:szCs w:val="22"/>
        </w:rPr>
      </w:pPr>
    </w:p>
    <w:p w14:paraId="1E10CA9A" w14:textId="57969D71" w:rsidR="00990D5B" w:rsidRPr="004C12C9" w:rsidRDefault="00990D5B" w:rsidP="00990D5B">
      <w:pPr>
        <w:pStyle w:val="Caption"/>
      </w:pPr>
      <w:bookmarkStart w:id="281" w:name="Tablec3"/>
      <w:r w:rsidRPr="004C12C9">
        <w:t>Table C-</w:t>
      </w:r>
      <w:r w:rsidR="00127094">
        <w:fldChar w:fldCharType="begin"/>
      </w:r>
      <w:r w:rsidR="00127094">
        <w:instrText xml:space="preserve"> SEQ Table_C- \* ARABIC </w:instrText>
      </w:r>
      <w:r w:rsidR="00127094">
        <w:fldChar w:fldCharType="separate"/>
      </w:r>
      <w:r w:rsidR="00127094" w:rsidRPr="004C12C9">
        <w:t>3</w:t>
      </w:r>
      <w:r w:rsidR="00127094">
        <w:fldChar w:fldCharType="end"/>
      </w:r>
      <w:bookmarkEnd w:id="281"/>
      <w:r w:rsidRPr="004C12C9">
        <w:t xml:space="preserve">. </w:t>
      </w:r>
      <w:r w:rsidR="00D4700E" w:rsidRPr="004C12C9">
        <w:t xml:space="preserve">GREET1 2024 </w:t>
      </w:r>
      <w:r w:rsidRPr="004C12C9">
        <w:t>Fuel Mix Assumptions</w:t>
      </w:r>
    </w:p>
    <w:tbl>
      <w:tblPr>
        <w:tblW w:w="62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0"/>
        <w:gridCol w:w="2142"/>
        <w:gridCol w:w="2143"/>
      </w:tblGrid>
      <w:tr w:rsidR="0050324C" w:rsidRPr="004C12C9" w14:paraId="4B58808C" w14:textId="77777777" w:rsidTr="00DB0345">
        <w:trPr>
          <w:trHeight w:val="300"/>
        </w:trPr>
        <w:tc>
          <w:tcPr>
            <w:tcW w:w="1920" w:type="dxa"/>
            <w:shd w:val="clear" w:color="auto" w:fill="D9D9D9" w:themeFill="background1" w:themeFillShade="D9"/>
            <w:hideMark/>
          </w:tcPr>
          <w:p w14:paraId="4AC46C3A" w14:textId="77777777" w:rsidR="0050324C" w:rsidRPr="004C12C9" w:rsidRDefault="0050324C" w:rsidP="000C727A">
            <w:pPr>
              <w:pStyle w:val="ICFTableHeading"/>
            </w:pPr>
            <w:r w:rsidRPr="004C12C9">
              <w:t>Energy Source </w:t>
            </w:r>
          </w:p>
        </w:tc>
        <w:tc>
          <w:tcPr>
            <w:tcW w:w="2142" w:type="dxa"/>
            <w:shd w:val="clear" w:color="auto" w:fill="D9D9D9" w:themeFill="background1" w:themeFillShade="D9"/>
            <w:hideMark/>
          </w:tcPr>
          <w:p w14:paraId="6C78C9FB" w14:textId="77777777" w:rsidR="0050324C" w:rsidRPr="004C12C9" w:rsidRDefault="0050324C" w:rsidP="000C727A">
            <w:pPr>
              <w:pStyle w:val="ICFTableHeading"/>
            </w:pPr>
            <w:r w:rsidRPr="004C12C9">
              <w:t>2025 </w:t>
            </w:r>
          </w:p>
        </w:tc>
        <w:tc>
          <w:tcPr>
            <w:tcW w:w="2143" w:type="dxa"/>
            <w:shd w:val="clear" w:color="auto" w:fill="D9D9D9" w:themeFill="background1" w:themeFillShade="D9"/>
            <w:hideMark/>
          </w:tcPr>
          <w:p w14:paraId="70E9907A" w14:textId="77777777" w:rsidR="0050324C" w:rsidRPr="004C12C9" w:rsidRDefault="0050324C" w:rsidP="000C727A">
            <w:pPr>
              <w:pStyle w:val="ICFTableHeading"/>
            </w:pPr>
            <w:r w:rsidRPr="004C12C9">
              <w:t>2030 </w:t>
            </w:r>
          </w:p>
        </w:tc>
      </w:tr>
      <w:tr w:rsidR="0050324C" w:rsidRPr="004C12C9" w14:paraId="6705D84B" w14:textId="77777777" w:rsidTr="00DB0345">
        <w:trPr>
          <w:trHeight w:val="300"/>
        </w:trPr>
        <w:tc>
          <w:tcPr>
            <w:tcW w:w="1920" w:type="dxa"/>
            <w:hideMark/>
          </w:tcPr>
          <w:p w14:paraId="1D4847D0" w14:textId="77777777" w:rsidR="0050324C" w:rsidRPr="004C12C9" w:rsidRDefault="0050324C" w:rsidP="000C727A">
            <w:pPr>
              <w:pStyle w:val="ICFTabletext"/>
              <w:rPr>
                <w:b/>
              </w:rPr>
            </w:pPr>
            <w:r w:rsidRPr="004C12C9">
              <w:t>Residual oil</w:t>
            </w:r>
            <w:r w:rsidRPr="004C12C9">
              <w:rPr>
                <w:b/>
              </w:rPr>
              <w:t> </w:t>
            </w:r>
          </w:p>
        </w:tc>
        <w:tc>
          <w:tcPr>
            <w:tcW w:w="2142" w:type="dxa"/>
            <w:hideMark/>
          </w:tcPr>
          <w:p w14:paraId="78F7BEF1" w14:textId="51EDD06A" w:rsidR="0050324C" w:rsidRPr="004C12C9" w:rsidRDefault="0050324C" w:rsidP="000C727A">
            <w:pPr>
              <w:pStyle w:val="ICFTabletext"/>
              <w:jc w:val="center"/>
            </w:pPr>
            <w:r w:rsidRPr="004C12C9">
              <w:t>0.2%</w:t>
            </w:r>
          </w:p>
        </w:tc>
        <w:tc>
          <w:tcPr>
            <w:tcW w:w="2143" w:type="dxa"/>
            <w:hideMark/>
          </w:tcPr>
          <w:p w14:paraId="53650F39" w14:textId="2B614814" w:rsidR="0050324C" w:rsidRPr="004C12C9" w:rsidRDefault="0050324C" w:rsidP="000C727A">
            <w:pPr>
              <w:pStyle w:val="ICFTabletext"/>
              <w:jc w:val="center"/>
            </w:pPr>
            <w:r w:rsidRPr="004C12C9">
              <w:t>0.1%</w:t>
            </w:r>
          </w:p>
        </w:tc>
      </w:tr>
      <w:tr w:rsidR="0050324C" w:rsidRPr="004C12C9" w14:paraId="2F9B05B0" w14:textId="77777777" w:rsidTr="00DB0345">
        <w:trPr>
          <w:trHeight w:val="300"/>
        </w:trPr>
        <w:tc>
          <w:tcPr>
            <w:tcW w:w="1920" w:type="dxa"/>
            <w:hideMark/>
          </w:tcPr>
          <w:p w14:paraId="6647A63C" w14:textId="77777777" w:rsidR="0050324C" w:rsidRPr="004C12C9" w:rsidRDefault="0050324C" w:rsidP="000C727A">
            <w:pPr>
              <w:pStyle w:val="ICFTabletext"/>
              <w:rPr>
                <w:b/>
              </w:rPr>
            </w:pPr>
            <w:r w:rsidRPr="004C12C9">
              <w:t>Natural gas</w:t>
            </w:r>
            <w:r w:rsidRPr="004C12C9">
              <w:rPr>
                <w:b/>
              </w:rPr>
              <w:t> </w:t>
            </w:r>
          </w:p>
        </w:tc>
        <w:tc>
          <w:tcPr>
            <w:tcW w:w="2142" w:type="dxa"/>
            <w:hideMark/>
          </w:tcPr>
          <w:p w14:paraId="65C148B3" w14:textId="4E16EB60" w:rsidR="0050324C" w:rsidRPr="004C12C9" w:rsidRDefault="0050324C" w:rsidP="000C727A">
            <w:pPr>
              <w:pStyle w:val="ICFTabletext"/>
              <w:jc w:val="center"/>
            </w:pPr>
            <w:r w:rsidRPr="004C12C9">
              <w:t>10.7%</w:t>
            </w:r>
          </w:p>
        </w:tc>
        <w:tc>
          <w:tcPr>
            <w:tcW w:w="2143" w:type="dxa"/>
            <w:hideMark/>
          </w:tcPr>
          <w:p w14:paraId="430EF35D" w14:textId="60509FFC" w:rsidR="0050324C" w:rsidRPr="004C12C9" w:rsidRDefault="0050324C" w:rsidP="000C727A">
            <w:pPr>
              <w:pStyle w:val="ICFTabletext"/>
              <w:jc w:val="center"/>
            </w:pPr>
            <w:r w:rsidRPr="004C12C9">
              <w:t>6.8%</w:t>
            </w:r>
          </w:p>
        </w:tc>
      </w:tr>
      <w:tr w:rsidR="0050324C" w:rsidRPr="004C12C9" w14:paraId="7DE26D72" w14:textId="77777777" w:rsidTr="00DB0345">
        <w:trPr>
          <w:trHeight w:val="300"/>
        </w:trPr>
        <w:tc>
          <w:tcPr>
            <w:tcW w:w="1920" w:type="dxa"/>
            <w:hideMark/>
          </w:tcPr>
          <w:p w14:paraId="6935EEAD" w14:textId="77777777" w:rsidR="0050324C" w:rsidRPr="004C12C9" w:rsidRDefault="0050324C" w:rsidP="000C727A">
            <w:pPr>
              <w:pStyle w:val="ICFTabletext"/>
              <w:rPr>
                <w:b/>
              </w:rPr>
            </w:pPr>
            <w:r w:rsidRPr="004C12C9">
              <w:t>Coal</w:t>
            </w:r>
            <w:r w:rsidRPr="004C12C9">
              <w:rPr>
                <w:b/>
              </w:rPr>
              <w:t> </w:t>
            </w:r>
          </w:p>
        </w:tc>
        <w:tc>
          <w:tcPr>
            <w:tcW w:w="2142" w:type="dxa"/>
            <w:hideMark/>
          </w:tcPr>
          <w:p w14:paraId="55125676" w14:textId="101665C9" w:rsidR="0050324C" w:rsidRPr="004C12C9" w:rsidRDefault="0050324C" w:rsidP="000C727A">
            <w:pPr>
              <w:pStyle w:val="ICFTabletext"/>
              <w:jc w:val="center"/>
            </w:pPr>
            <w:r w:rsidRPr="004C12C9">
              <w:t>35.3%</w:t>
            </w:r>
          </w:p>
        </w:tc>
        <w:tc>
          <w:tcPr>
            <w:tcW w:w="2143" w:type="dxa"/>
            <w:hideMark/>
          </w:tcPr>
          <w:p w14:paraId="3B8BD11F" w14:textId="464B7E53" w:rsidR="0050324C" w:rsidRPr="004C12C9" w:rsidRDefault="0050324C" w:rsidP="000C727A">
            <w:pPr>
              <w:pStyle w:val="ICFTabletext"/>
              <w:jc w:val="center"/>
            </w:pPr>
            <w:r w:rsidRPr="004C12C9">
              <w:t>11.3%</w:t>
            </w:r>
          </w:p>
        </w:tc>
      </w:tr>
      <w:tr w:rsidR="0050324C" w:rsidRPr="004C12C9" w14:paraId="773F0A6F" w14:textId="77777777" w:rsidTr="00DB0345">
        <w:trPr>
          <w:trHeight w:val="300"/>
        </w:trPr>
        <w:tc>
          <w:tcPr>
            <w:tcW w:w="1920" w:type="dxa"/>
            <w:hideMark/>
          </w:tcPr>
          <w:p w14:paraId="728DB0C9" w14:textId="77777777" w:rsidR="0050324C" w:rsidRPr="004C12C9" w:rsidRDefault="0050324C" w:rsidP="000C727A">
            <w:pPr>
              <w:pStyle w:val="ICFTabletext"/>
              <w:rPr>
                <w:b/>
              </w:rPr>
            </w:pPr>
            <w:r w:rsidRPr="004C12C9">
              <w:t>Nuclear power</w:t>
            </w:r>
            <w:r w:rsidRPr="004C12C9">
              <w:rPr>
                <w:b/>
              </w:rPr>
              <w:t> </w:t>
            </w:r>
          </w:p>
        </w:tc>
        <w:tc>
          <w:tcPr>
            <w:tcW w:w="2142" w:type="dxa"/>
            <w:hideMark/>
          </w:tcPr>
          <w:p w14:paraId="40C41152" w14:textId="593A19BB" w:rsidR="0050324C" w:rsidRPr="004C12C9" w:rsidRDefault="0050324C" w:rsidP="000C727A">
            <w:pPr>
              <w:pStyle w:val="ICFTabletext"/>
              <w:jc w:val="center"/>
            </w:pPr>
            <w:r w:rsidRPr="004C12C9">
              <w:t>10.6%</w:t>
            </w:r>
          </w:p>
        </w:tc>
        <w:tc>
          <w:tcPr>
            <w:tcW w:w="2143" w:type="dxa"/>
            <w:hideMark/>
          </w:tcPr>
          <w:p w14:paraId="3CD94BD5" w14:textId="24FA0423" w:rsidR="0050324C" w:rsidRPr="004C12C9" w:rsidRDefault="0050324C" w:rsidP="000C727A">
            <w:pPr>
              <w:pStyle w:val="ICFTabletext"/>
              <w:jc w:val="center"/>
            </w:pPr>
            <w:r w:rsidRPr="004C12C9">
              <w:t>9.7%</w:t>
            </w:r>
          </w:p>
        </w:tc>
      </w:tr>
      <w:tr w:rsidR="0050324C" w:rsidRPr="004C12C9" w14:paraId="4CE585EF" w14:textId="77777777" w:rsidTr="00DB0345">
        <w:trPr>
          <w:trHeight w:val="300"/>
        </w:trPr>
        <w:tc>
          <w:tcPr>
            <w:tcW w:w="1920" w:type="dxa"/>
            <w:hideMark/>
          </w:tcPr>
          <w:p w14:paraId="48803F48" w14:textId="77777777" w:rsidR="0050324C" w:rsidRPr="004C12C9" w:rsidRDefault="0050324C" w:rsidP="000C727A">
            <w:pPr>
              <w:pStyle w:val="ICFTabletext"/>
              <w:rPr>
                <w:b/>
              </w:rPr>
            </w:pPr>
            <w:r w:rsidRPr="004C12C9">
              <w:t>Biomass</w:t>
            </w:r>
            <w:r w:rsidRPr="004C12C9">
              <w:rPr>
                <w:b/>
              </w:rPr>
              <w:t> </w:t>
            </w:r>
          </w:p>
        </w:tc>
        <w:tc>
          <w:tcPr>
            <w:tcW w:w="2142" w:type="dxa"/>
            <w:hideMark/>
          </w:tcPr>
          <w:p w14:paraId="7B0889D7" w14:textId="267D6717" w:rsidR="0050324C" w:rsidRPr="004C12C9" w:rsidRDefault="0050324C" w:rsidP="000C727A">
            <w:pPr>
              <w:pStyle w:val="ICFTabletext"/>
              <w:jc w:val="center"/>
            </w:pPr>
            <w:r w:rsidRPr="004C12C9">
              <w:t>0.8%</w:t>
            </w:r>
          </w:p>
        </w:tc>
        <w:tc>
          <w:tcPr>
            <w:tcW w:w="2143" w:type="dxa"/>
            <w:hideMark/>
          </w:tcPr>
          <w:p w14:paraId="119CF166" w14:textId="33E8B5EC" w:rsidR="0050324C" w:rsidRPr="004C12C9" w:rsidRDefault="0050324C" w:rsidP="000C727A">
            <w:pPr>
              <w:pStyle w:val="ICFTabletext"/>
              <w:jc w:val="center"/>
            </w:pPr>
            <w:r w:rsidRPr="004C12C9">
              <w:t>0.7%</w:t>
            </w:r>
          </w:p>
        </w:tc>
      </w:tr>
      <w:tr w:rsidR="0050324C" w:rsidRPr="004C12C9" w14:paraId="38E6ED05" w14:textId="77777777" w:rsidTr="00DB0345">
        <w:trPr>
          <w:trHeight w:val="300"/>
        </w:trPr>
        <w:tc>
          <w:tcPr>
            <w:tcW w:w="1920" w:type="dxa"/>
            <w:hideMark/>
          </w:tcPr>
          <w:p w14:paraId="1C4FFE4A" w14:textId="019F884F" w:rsidR="0050324C" w:rsidRPr="004C12C9" w:rsidRDefault="0050324C" w:rsidP="000C727A">
            <w:pPr>
              <w:pStyle w:val="ICFTabletext"/>
              <w:rPr>
                <w:b/>
              </w:rPr>
            </w:pPr>
            <w:r w:rsidRPr="004C12C9">
              <w:t>Other</w:t>
            </w:r>
            <w:r w:rsidR="003C3EC9" w:rsidRPr="004C12C9">
              <w:rPr>
                <w:vertAlign w:val="superscript"/>
              </w:rPr>
              <w:t>a</w:t>
            </w:r>
            <w:r w:rsidRPr="004C12C9">
              <w:rPr>
                <w:b/>
                <w:vertAlign w:val="superscript"/>
              </w:rPr>
              <w:t> </w:t>
            </w:r>
          </w:p>
        </w:tc>
        <w:tc>
          <w:tcPr>
            <w:tcW w:w="2142" w:type="dxa"/>
            <w:hideMark/>
          </w:tcPr>
          <w:p w14:paraId="43DB15E7" w14:textId="0197ED0A" w:rsidR="0050324C" w:rsidRPr="004C12C9" w:rsidRDefault="0050324C" w:rsidP="000C727A">
            <w:pPr>
              <w:pStyle w:val="ICFTabletext"/>
              <w:jc w:val="center"/>
            </w:pPr>
            <w:r w:rsidRPr="004C12C9">
              <w:t>42.4%</w:t>
            </w:r>
          </w:p>
        </w:tc>
        <w:tc>
          <w:tcPr>
            <w:tcW w:w="2143" w:type="dxa"/>
            <w:hideMark/>
          </w:tcPr>
          <w:p w14:paraId="46E42186" w14:textId="3C6D44FE" w:rsidR="0050324C" w:rsidRPr="004C12C9" w:rsidRDefault="0050324C" w:rsidP="000C727A">
            <w:pPr>
              <w:pStyle w:val="ICFTabletext"/>
              <w:jc w:val="center"/>
            </w:pPr>
            <w:r w:rsidRPr="004C12C9">
              <w:t>71.3%</w:t>
            </w:r>
          </w:p>
        </w:tc>
      </w:tr>
    </w:tbl>
    <w:p w14:paraId="6DBFEF1C" w14:textId="254E913D" w:rsidR="0050324C" w:rsidRPr="004C12C9" w:rsidRDefault="003C3EC9" w:rsidP="000C727A">
      <w:pPr>
        <w:pStyle w:val="TableFooter"/>
        <w:rPr>
          <w:b/>
        </w:rPr>
      </w:pPr>
      <w:r w:rsidRPr="004C12C9">
        <w:rPr>
          <w:vertAlign w:val="superscript"/>
        </w:rPr>
        <w:t>a</w:t>
      </w:r>
      <w:r w:rsidRPr="004C12C9">
        <w:rPr>
          <w:b/>
          <w:vertAlign w:val="superscript"/>
        </w:rPr>
        <w:t> </w:t>
      </w:r>
      <w:r w:rsidR="0050324C" w:rsidRPr="004C12C9">
        <w:t>Includes hydroelectric, wind, and solar PV.</w:t>
      </w:r>
    </w:p>
    <w:p w14:paraId="4E6BE4F3" w14:textId="4822EC31" w:rsidR="00990D5B" w:rsidRPr="004C12C9" w:rsidRDefault="00990D5B" w:rsidP="00990D5B">
      <w:pPr>
        <w:pStyle w:val="Caption"/>
      </w:pPr>
      <w:bookmarkStart w:id="282" w:name="Tablec4"/>
      <w:r w:rsidRPr="004C12C9">
        <w:t>Table C-</w:t>
      </w:r>
      <w:r w:rsidR="00127094">
        <w:fldChar w:fldCharType="begin"/>
      </w:r>
      <w:r w:rsidR="00127094">
        <w:instrText xml:space="preserve"> SEQ Table_C- \* ARABIC </w:instrText>
      </w:r>
      <w:r w:rsidR="00127094">
        <w:fldChar w:fldCharType="separate"/>
      </w:r>
      <w:r w:rsidR="00127094" w:rsidRPr="004C12C9">
        <w:t>4</w:t>
      </w:r>
      <w:r w:rsidR="00127094">
        <w:fldChar w:fldCharType="end"/>
      </w:r>
      <w:bookmarkEnd w:id="282"/>
      <w:r w:rsidRPr="004C12C9">
        <w:t xml:space="preserve">. </w:t>
      </w:r>
      <w:r w:rsidR="00D4700E" w:rsidRPr="004C12C9">
        <w:t>GREET1 2024</w:t>
      </w:r>
      <w:r w:rsidRPr="004C12C9">
        <w:t xml:space="preserve"> Upstream Emissions from Electricity Generation</w:t>
      </w:r>
    </w:p>
    <w:tbl>
      <w:tblPr>
        <w:tblW w:w="62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5"/>
        <w:gridCol w:w="3105"/>
      </w:tblGrid>
      <w:tr w:rsidR="00F95124" w:rsidRPr="004C12C9" w14:paraId="4F76FB31" w14:textId="4DB0CBDF" w:rsidTr="00C87A1B">
        <w:trPr>
          <w:trHeight w:val="20"/>
        </w:trPr>
        <w:tc>
          <w:tcPr>
            <w:tcW w:w="3105" w:type="dxa"/>
            <w:shd w:val="clear" w:color="auto" w:fill="D9D9D9" w:themeFill="background1" w:themeFillShade="D9"/>
            <w:hideMark/>
          </w:tcPr>
          <w:p w14:paraId="2D4DECA9" w14:textId="77777777" w:rsidR="00F95124" w:rsidRPr="004C12C9" w:rsidRDefault="00F95124" w:rsidP="000C727A">
            <w:pPr>
              <w:pStyle w:val="ICFTableHeading"/>
            </w:pPr>
            <w:r w:rsidRPr="004C12C9">
              <w:t>Year </w:t>
            </w:r>
          </w:p>
        </w:tc>
        <w:tc>
          <w:tcPr>
            <w:tcW w:w="3105" w:type="dxa"/>
            <w:shd w:val="clear" w:color="auto" w:fill="D9D9D9" w:themeFill="background1" w:themeFillShade="D9"/>
            <w:hideMark/>
          </w:tcPr>
          <w:p w14:paraId="217CE557" w14:textId="7C428799" w:rsidR="00F95124" w:rsidRPr="004C12C9" w:rsidRDefault="00F95124" w:rsidP="000C727A">
            <w:pPr>
              <w:pStyle w:val="ICFTableHeading"/>
            </w:pPr>
            <w:r w:rsidRPr="004C12C9">
              <w:t>kgCO</w:t>
            </w:r>
            <w:r w:rsidRPr="004C12C9">
              <w:rPr>
                <w:vertAlign w:val="subscript"/>
              </w:rPr>
              <w:t>2</w:t>
            </w:r>
            <w:r w:rsidRPr="004C12C9">
              <w:t>e/MMBtu</w:t>
            </w:r>
            <w:r w:rsidR="003C3EC9" w:rsidRPr="004C12C9">
              <w:rPr>
                <w:vertAlign w:val="superscript"/>
              </w:rPr>
              <w:t>a</w:t>
            </w:r>
            <w:r w:rsidR="003C3EC9" w:rsidRPr="004C12C9">
              <w:rPr>
                <w:b w:val="0"/>
                <w:vertAlign w:val="superscript"/>
              </w:rPr>
              <w:t> </w:t>
            </w:r>
          </w:p>
        </w:tc>
      </w:tr>
      <w:tr w:rsidR="00F95124" w:rsidRPr="004C12C9" w14:paraId="45FA1D7F" w14:textId="79CCC00E" w:rsidTr="00C87A1B">
        <w:trPr>
          <w:trHeight w:val="20"/>
        </w:trPr>
        <w:tc>
          <w:tcPr>
            <w:tcW w:w="3105" w:type="dxa"/>
            <w:hideMark/>
          </w:tcPr>
          <w:p w14:paraId="228F76AC" w14:textId="77777777" w:rsidR="00F95124" w:rsidRPr="004C12C9" w:rsidRDefault="00F95124" w:rsidP="000C727A">
            <w:pPr>
              <w:pStyle w:val="ICFTabletext"/>
            </w:pPr>
            <w:r w:rsidRPr="004C12C9">
              <w:t>2025 </w:t>
            </w:r>
          </w:p>
        </w:tc>
        <w:tc>
          <w:tcPr>
            <w:tcW w:w="3105" w:type="dxa"/>
            <w:hideMark/>
          </w:tcPr>
          <w:p w14:paraId="74C85F3A" w14:textId="1A00A0BB" w:rsidR="00F95124" w:rsidRPr="004C12C9" w:rsidRDefault="00F95124" w:rsidP="000C727A">
            <w:pPr>
              <w:pStyle w:val="ICFTabletext"/>
              <w:jc w:val="center"/>
            </w:pPr>
            <w:r w:rsidRPr="004C12C9">
              <w:t>9.21</w:t>
            </w:r>
          </w:p>
        </w:tc>
      </w:tr>
      <w:tr w:rsidR="00F95124" w:rsidRPr="004C12C9" w14:paraId="0E401D38" w14:textId="578D2EFF" w:rsidTr="00C87A1B">
        <w:trPr>
          <w:trHeight w:val="20"/>
        </w:trPr>
        <w:tc>
          <w:tcPr>
            <w:tcW w:w="3105" w:type="dxa"/>
            <w:hideMark/>
          </w:tcPr>
          <w:p w14:paraId="274A5A7E" w14:textId="77777777" w:rsidR="00F95124" w:rsidRPr="004C12C9" w:rsidRDefault="00F95124" w:rsidP="000C727A">
            <w:pPr>
              <w:pStyle w:val="ICFTabletext"/>
            </w:pPr>
            <w:r w:rsidRPr="004C12C9">
              <w:t>2030 </w:t>
            </w:r>
          </w:p>
        </w:tc>
        <w:tc>
          <w:tcPr>
            <w:tcW w:w="3105" w:type="dxa"/>
            <w:hideMark/>
          </w:tcPr>
          <w:p w14:paraId="6A7E66F1" w14:textId="4491079A" w:rsidR="00F95124" w:rsidRPr="004C12C9" w:rsidRDefault="00F95124" w:rsidP="000C727A">
            <w:pPr>
              <w:pStyle w:val="ICFTabletext"/>
              <w:jc w:val="center"/>
            </w:pPr>
            <w:r w:rsidRPr="004C12C9">
              <w:t>3.82</w:t>
            </w:r>
          </w:p>
        </w:tc>
      </w:tr>
    </w:tbl>
    <w:p w14:paraId="5BDB1708" w14:textId="2E6448BA" w:rsidR="0050324C" w:rsidRPr="004C12C9" w:rsidRDefault="003C3EC9" w:rsidP="00990D5B">
      <w:pPr>
        <w:pStyle w:val="TableFooter"/>
      </w:pPr>
      <w:r w:rsidRPr="004C12C9">
        <w:rPr>
          <w:vertAlign w:val="superscript"/>
        </w:rPr>
        <w:t>a</w:t>
      </w:r>
      <w:r w:rsidR="0050324C" w:rsidRPr="004C12C9">
        <w:t xml:space="preserve"> Values shown are based on AR</w:t>
      </w:r>
      <w:r w:rsidR="00676080" w:rsidRPr="004C12C9">
        <w:t>5</w:t>
      </w:r>
      <w:r w:rsidR="0050324C" w:rsidRPr="004C12C9">
        <w:t xml:space="preserve"> global warming potentials.</w:t>
      </w:r>
    </w:p>
    <w:p w14:paraId="669BFA6C" w14:textId="7ECBDC1A" w:rsidR="00990D5B" w:rsidRPr="004C12C9" w:rsidRDefault="00990D5B" w:rsidP="00990D5B">
      <w:pPr>
        <w:pStyle w:val="Caption"/>
      </w:pPr>
      <w:bookmarkStart w:id="283" w:name="TableC5"/>
      <w:r w:rsidRPr="004C12C9">
        <w:t>Table C-</w:t>
      </w:r>
      <w:r w:rsidR="00127094">
        <w:fldChar w:fldCharType="begin"/>
      </w:r>
      <w:r w:rsidR="00127094">
        <w:instrText xml:space="preserve"> SEQ Table_C- \* ARABIC </w:instrText>
      </w:r>
      <w:r w:rsidR="00127094">
        <w:fldChar w:fldCharType="separate"/>
      </w:r>
      <w:r w:rsidR="00127094" w:rsidRPr="004C12C9">
        <w:t>5</w:t>
      </w:r>
      <w:r w:rsidR="00127094">
        <w:fldChar w:fldCharType="end"/>
      </w:r>
      <w:bookmarkEnd w:id="283"/>
      <w:r w:rsidRPr="004C12C9">
        <w:t xml:space="preserve">. </w:t>
      </w:r>
      <w:r w:rsidR="00D4700E" w:rsidRPr="004C12C9">
        <w:t>GREET1 2024</w:t>
      </w:r>
      <w:r w:rsidRPr="004C12C9">
        <w:t xml:space="preserve"> Electricity Combustion Emissions, MISO Region</w:t>
      </w:r>
    </w:p>
    <w:tbl>
      <w:tblPr>
        <w:tblW w:w="93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5"/>
        <w:gridCol w:w="3105"/>
        <w:gridCol w:w="3105"/>
      </w:tblGrid>
      <w:tr w:rsidR="0050324C" w:rsidRPr="004C12C9" w14:paraId="3A534828" w14:textId="77777777" w:rsidTr="000C727A">
        <w:trPr>
          <w:trHeight w:val="300"/>
        </w:trPr>
        <w:tc>
          <w:tcPr>
            <w:tcW w:w="3105" w:type="dxa"/>
            <w:shd w:val="clear" w:color="auto" w:fill="D9D9D9" w:themeFill="background1" w:themeFillShade="D9"/>
            <w:hideMark/>
          </w:tcPr>
          <w:p w14:paraId="7F0F78AD" w14:textId="77777777" w:rsidR="0050324C" w:rsidRPr="004C12C9" w:rsidRDefault="0050324C" w:rsidP="000C727A">
            <w:pPr>
              <w:pStyle w:val="ICFTableHeading"/>
            </w:pPr>
            <w:r w:rsidRPr="004C12C9">
              <w:t>Year </w:t>
            </w:r>
          </w:p>
        </w:tc>
        <w:tc>
          <w:tcPr>
            <w:tcW w:w="3105" w:type="dxa"/>
            <w:shd w:val="clear" w:color="auto" w:fill="D9D9D9" w:themeFill="background1" w:themeFillShade="D9"/>
            <w:hideMark/>
          </w:tcPr>
          <w:p w14:paraId="0F957ED6" w14:textId="77777777" w:rsidR="0050324C" w:rsidRPr="004C12C9" w:rsidRDefault="0050324C" w:rsidP="000C727A">
            <w:pPr>
              <w:pStyle w:val="ICFTableHeading"/>
            </w:pPr>
            <w:r w:rsidRPr="004C12C9">
              <w:t>gCO</w:t>
            </w:r>
            <w:r w:rsidRPr="004C12C9">
              <w:rPr>
                <w:vertAlign w:val="subscript"/>
              </w:rPr>
              <w:t>2</w:t>
            </w:r>
            <w:r w:rsidRPr="004C12C9">
              <w:t>e/MMBtu </w:t>
            </w:r>
          </w:p>
        </w:tc>
        <w:tc>
          <w:tcPr>
            <w:tcW w:w="3105" w:type="dxa"/>
            <w:shd w:val="clear" w:color="auto" w:fill="D9D9D9" w:themeFill="background1" w:themeFillShade="D9"/>
            <w:hideMark/>
          </w:tcPr>
          <w:p w14:paraId="752F8020" w14:textId="6DA16FB5" w:rsidR="0050324C" w:rsidRPr="004C12C9" w:rsidRDefault="0050324C" w:rsidP="000C727A">
            <w:pPr>
              <w:pStyle w:val="ICFTableHeading"/>
            </w:pPr>
            <w:r w:rsidRPr="004C12C9">
              <w:t>% of 202</w:t>
            </w:r>
            <w:r w:rsidR="00F4233D" w:rsidRPr="004C12C9">
              <w:t>3</w:t>
            </w:r>
          </w:p>
        </w:tc>
      </w:tr>
      <w:tr w:rsidR="00246C91" w:rsidRPr="004C12C9" w14:paraId="4826EA1A" w14:textId="77777777" w:rsidTr="000C727A">
        <w:trPr>
          <w:trHeight w:val="300"/>
        </w:trPr>
        <w:tc>
          <w:tcPr>
            <w:tcW w:w="3105" w:type="dxa"/>
            <w:hideMark/>
          </w:tcPr>
          <w:p w14:paraId="2803FC2D" w14:textId="723C6CA9" w:rsidR="00246C91" w:rsidRPr="004C12C9" w:rsidRDefault="00246C91" w:rsidP="000C727A">
            <w:pPr>
              <w:pStyle w:val="ICFTabletext"/>
            </w:pPr>
            <w:r w:rsidRPr="004C12C9">
              <w:t>202</w:t>
            </w:r>
            <w:r w:rsidR="003629DC" w:rsidRPr="004C12C9">
              <w:t>3</w:t>
            </w:r>
          </w:p>
        </w:tc>
        <w:tc>
          <w:tcPr>
            <w:tcW w:w="3105" w:type="dxa"/>
            <w:hideMark/>
          </w:tcPr>
          <w:p w14:paraId="3BEE156D" w14:textId="5AD73329" w:rsidR="00246C91" w:rsidRPr="004C12C9" w:rsidRDefault="00246C91" w:rsidP="000C727A">
            <w:pPr>
              <w:pStyle w:val="ICFTabletext"/>
              <w:jc w:val="center"/>
            </w:pPr>
            <w:r w:rsidRPr="004C12C9">
              <w:t>123,443.35</w:t>
            </w:r>
          </w:p>
        </w:tc>
        <w:tc>
          <w:tcPr>
            <w:tcW w:w="3105" w:type="dxa"/>
            <w:hideMark/>
          </w:tcPr>
          <w:p w14:paraId="37B8D096" w14:textId="52475077" w:rsidR="00246C91" w:rsidRPr="004C12C9" w:rsidRDefault="00246C91" w:rsidP="000C727A">
            <w:pPr>
              <w:pStyle w:val="ICFTabletext"/>
              <w:jc w:val="center"/>
            </w:pPr>
            <w:r w:rsidRPr="004C12C9">
              <w:t>100.0%</w:t>
            </w:r>
          </w:p>
        </w:tc>
      </w:tr>
      <w:tr w:rsidR="00246C91" w:rsidRPr="004C12C9" w14:paraId="5973B281" w14:textId="77777777" w:rsidTr="000C727A">
        <w:trPr>
          <w:trHeight w:val="300"/>
        </w:trPr>
        <w:tc>
          <w:tcPr>
            <w:tcW w:w="3105" w:type="dxa"/>
            <w:hideMark/>
          </w:tcPr>
          <w:p w14:paraId="17EFB898" w14:textId="77777777" w:rsidR="00246C91" w:rsidRPr="004C12C9" w:rsidRDefault="00246C91" w:rsidP="000C727A">
            <w:pPr>
              <w:pStyle w:val="ICFTabletext"/>
            </w:pPr>
            <w:r w:rsidRPr="004C12C9">
              <w:t>2025 </w:t>
            </w:r>
          </w:p>
        </w:tc>
        <w:tc>
          <w:tcPr>
            <w:tcW w:w="3105" w:type="dxa"/>
            <w:hideMark/>
          </w:tcPr>
          <w:p w14:paraId="62896E31" w14:textId="04D13E6B" w:rsidR="00246C91" w:rsidRPr="004C12C9" w:rsidRDefault="00246C91" w:rsidP="000C727A">
            <w:pPr>
              <w:pStyle w:val="ICFTabletext"/>
              <w:jc w:val="center"/>
            </w:pPr>
            <w:r w:rsidRPr="004C12C9">
              <w:t>125,942.88</w:t>
            </w:r>
          </w:p>
        </w:tc>
        <w:tc>
          <w:tcPr>
            <w:tcW w:w="3105" w:type="dxa"/>
            <w:hideMark/>
          </w:tcPr>
          <w:p w14:paraId="4D5538DF" w14:textId="74877856" w:rsidR="00246C91" w:rsidRPr="004C12C9" w:rsidRDefault="00246C91" w:rsidP="000C727A">
            <w:pPr>
              <w:pStyle w:val="ICFTabletext"/>
              <w:jc w:val="center"/>
            </w:pPr>
            <w:r w:rsidRPr="004C12C9">
              <w:t>102.0%</w:t>
            </w:r>
          </w:p>
        </w:tc>
      </w:tr>
      <w:tr w:rsidR="00246C91" w:rsidRPr="004C12C9" w14:paraId="1FA63451" w14:textId="77777777" w:rsidTr="000C727A">
        <w:trPr>
          <w:trHeight w:val="300"/>
        </w:trPr>
        <w:tc>
          <w:tcPr>
            <w:tcW w:w="3105" w:type="dxa"/>
            <w:hideMark/>
          </w:tcPr>
          <w:p w14:paraId="4693E37E" w14:textId="77777777" w:rsidR="00246C91" w:rsidRPr="004C12C9" w:rsidRDefault="00246C91" w:rsidP="000C727A">
            <w:pPr>
              <w:pStyle w:val="ICFTabletext"/>
            </w:pPr>
            <w:r w:rsidRPr="004C12C9">
              <w:t>2030 </w:t>
            </w:r>
          </w:p>
        </w:tc>
        <w:tc>
          <w:tcPr>
            <w:tcW w:w="3105" w:type="dxa"/>
            <w:hideMark/>
          </w:tcPr>
          <w:p w14:paraId="328B3071" w14:textId="3EE0D23A" w:rsidR="00246C91" w:rsidRPr="004C12C9" w:rsidRDefault="00246C91" w:rsidP="000C727A">
            <w:pPr>
              <w:pStyle w:val="ICFTabletext"/>
              <w:jc w:val="center"/>
            </w:pPr>
            <w:r w:rsidRPr="004C12C9">
              <w:t>45,477.97</w:t>
            </w:r>
          </w:p>
        </w:tc>
        <w:tc>
          <w:tcPr>
            <w:tcW w:w="3105" w:type="dxa"/>
            <w:hideMark/>
          </w:tcPr>
          <w:p w14:paraId="20CE2676" w14:textId="53130E45" w:rsidR="00246C91" w:rsidRPr="004C12C9" w:rsidRDefault="00246C91" w:rsidP="000C727A">
            <w:pPr>
              <w:pStyle w:val="ICFTabletext"/>
              <w:jc w:val="center"/>
            </w:pPr>
            <w:r w:rsidRPr="004C12C9">
              <w:t>36.8%</w:t>
            </w:r>
          </w:p>
        </w:tc>
      </w:tr>
    </w:tbl>
    <w:p w14:paraId="7F3D662B" w14:textId="2C3BB06F" w:rsidR="0050324C" w:rsidRPr="004C12C9" w:rsidRDefault="0050324C" w:rsidP="000C727A">
      <w:r w:rsidRPr="004C12C9">
        <w:t xml:space="preserve">The life cycle emission factors for Minnesota for 2025 and 2030 </w:t>
      </w:r>
      <w:r w:rsidR="00D73467" w:rsidRPr="004C12C9">
        <w:t>are</w:t>
      </w:r>
      <w:r w:rsidRPr="004C12C9">
        <w:t xml:space="preserve"> calculated by first summing the emissions from the upstream and generation stages and multiplying the total by the assumed transmission and distribution (T&amp;D) loss rate of 4.86 percent from </w:t>
      </w:r>
      <w:r w:rsidR="006A7F6D" w:rsidRPr="004C12C9">
        <w:rPr>
          <w:lang w:bidi="ar-SA"/>
        </w:rPr>
        <w:t>GREET1 2024.</w:t>
      </w:r>
      <w:r w:rsidR="006A7F6D" w:rsidRPr="004C12C9">
        <w:rPr>
          <w:rStyle w:val="FootnoteReference"/>
          <w:rFonts w:cs="Calibri"/>
          <w:color w:val="000000"/>
          <w:lang w:bidi="ar-SA"/>
        </w:rPr>
        <w:footnoteReference w:id="148"/>
      </w:r>
      <w:r w:rsidR="006A7F6D" w:rsidRPr="004C12C9">
        <w:rPr>
          <w:lang w:bidi="ar-SA"/>
        </w:rPr>
        <w:t xml:space="preserve"> </w:t>
      </w:r>
      <w:r w:rsidRPr="004C12C9">
        <w:t xml:space="preserve">This amount </w:t>
      </w:r>
      <w:r w:rsidR="00C54267" w:rsidRPr="004C12C9">
        <w:t xml:space="preserve">was </w:t>
      </w:r>
      <w:r w:rsidRPr="004C12C9">
        <w:t xml:space="preserve">added to the sum of the emissions from the upstream and generation stages to calculate the full lifecycle emission factors. For the years after 2030, emissions </w:t>
      </w:r>
      <w:r w:rsidR="001E31F2" w:rsidRPr="004C12C9">
        <w:t>are</w:t>
      </w:r>
      <w:r w:rsidRPr="004C12C9">
        <w:t xml:space="preserve"> linearly projected to reach zero by 2040, in accordance with Minnesota’s requirement that by 2040 all utilities in the state generate 100% of their electricity from carbon-free technologies.</w:t>
      </w:r>
      <w:r w:rsidR="00647F10" w:rsidRPr="004C12C9">
        <w:rPr>
          <w:rStyle w:val="FootnoteReference"/>
        </w:rPr>
        <w:footnoteReference w:id="149"/>
      </w:r>
    </w:p>
    <w:p w14:paraId="71858810" w14:textId="5846E036" w:rsidR="0050324C" w:rsidRPr="004C12C9" w:rsidRDefault="0050324C" w:rsidP="000C727A"/>
    <w:p w14:paraId="2AC1C52D" w14:textId="32144CE3" w:rsidR="0050324C" w:rsidRPr="004C12C9" w:rsidRDefault="0050324C" w:rsidP="00F85BDB">
      <w:pPr>
        <w:pStyle w:val="Heading4"/>
      </w:pPr>
      <w:r w:rsidRPr="004C12C9">
        <w:rPr>
          <w:rFonts w:eastAsia="Times New Roman"/>
        </w:rPr>
        <w:t>Xcel Energy</w:t>
      </w:r>
    </w:p>
    <w:p w14:paraId="66B61075" w14:textId="2F4D0F39" w:rsidR="0050324C" w:rsidRPr="004C12C9" w:rsidRDefault="0050324C" w:rsidP="00F85BDB">
      <w:r w:rsidRPr="004C12C9">
        <w:t xml:space="preserve">The lifecycle electricity emission factors for Xcel Energy </w:t>
      </w:r>
      <w:r w:rsidR="00045621" w:rsidRPr="004C12C9">
        <w:t xml:space="preserve">were </w:t>
      </w:r>
      <w:r w:rsidRPr="004C12C9">
        <w:t xml:space="preserve">derived based on the utility’s actual and projected energy mix through 2035, as provided by Xcel Energy and consistent with their approved </w:t>
      </w:r>
      <w:r w:rsidRPr="004C12C9">
        <w:rPr>
          <w:i/>
        </w:rPr>
        <w:t>Upper Midwest Integrated Resource Plan for 2024-2040</w:t>
      </w:r>
      <w:r w:rsidRPr="004C12C9">
        <w:t>.</w:t>
      </w:r>
      <w:r w:rsidR="00726319" w:rsidRPr="004C12C9">
        <w:rPr>
          <w:rStyle w:val="FootnoteReference"/>
        </w:rPr>
        <w:footnoteReference w:id="150"/>
      </w:r>
      <w:r w:rsidRPr="004C12C9">
        <w:t xml:space="preserve"> Although Xcel is projected to continue to use natural gas beyond 2040, it is assumed that by 2040, all electricity provided to customers in Minnesota will be generated using carbon-free energy sources, consistent with the state’s requirement. The assumed generation mix for Xcel Energy is summarized in </w:t>
      </w:r>
      <w:r w:rsidR="00735DE2" w:rsidRPr="004C12C9">
        <w:fldChar w:fldCharType="begin" w:fldLock="1"/>
      </w:r>
      <w:r w:rsidR="00735DE2" w:rsidRPr="004C12C9">
        <w:instrText xml:space="preserve"> REF TableC6 \h </w:instrText>
      </w:r>
      <w:r w:rsidR="00735DE2" w:rsidRPr="004C12C9">
        <w:fldChar w:fldCharType="separate"/>
      </w:r>
      <w:r w:rsidR="00735DE2" w:rsidRPr="004C12C9">
        <w:t>Table C-6</w:t>
      </w:r>
      <w:r w:rsidR="00735DE2" w:rsidRPr="004C12C9">
        <w:fldChar w:fldCharType="end"/>
      </w:r>
      <w:r w:rsidR="00B26B0E" w:rsidRPr="004C12C9">
        <w:fldChar w:fldCharType="begin" w:fldLock="1"/>
      </w:r>
      <w:r w:rsidR="00B26B0E" w:rsidRPr="004C12C9">
        <w:instrText xml:space="preserve"> REF _Ref195693894 \h  \* MERGEFORMAT </w:instrText>
      </w:r>
      <w:r w:rsidR="00B26B0E" w:rsidRPr="004C12C9">
        <w:fldChar w:fldCharType="separate"/>
      </w:r>
      <w:r w:rsidR="00B26B0E" w:rsidRPr="004C12C9">
        <w:fldChar w:fldCharType="end"/>
      </w:r>
      <w:r w:rsidR="00F008CF" w:rsidRPr="004C12C9">
        <w:fldChar w:fldCharType="begin" w:fldLock="1"/>
      </w:r>
      <w:r w:rsidR="00F008CF" w:rsidRPr="004C12C9">
        <w:instrText xml:space="preserve"> REF _Ref195693879 \h </w:instrText>
      </w:r>
      <w:r w:rsidR="00F85BDB" w:rsidRPr="004C12C9">
        <w:instrText xml:space="preserve"> \* MERGEFORMAT </w:instrText>
      </w:r>
      <w:r w:rsidR="00F008CF" w:rsidRPr="004C12C9">
        <w:fldChar w:fldCharType="separate"/>
      </w:r>
      <w:r w:rsidR="00F008CF" w:rsidRPr="004C12C9">
        <w:fldChar w:fldCharType="end"/>
      </w:r>
      <w:r w:rsidRPr="004C12C9">
        <w:t xml:space="preserve">. </w:t>
      </w:r>
      <w:r w:rsidR="00F31291" w:rsidRPr="004C12C9">
        <w:rPr>
          <w:lang w:bidi="ar-SA"/>
        </w:rPr>
        <w:t>GREET1 2024 wa</w:t>
      </w:r>
      <w:r w:rsidR="00B56FF2" w:rsidRPr="004C12C9">
        <w:t>s</w:t>
      </w:r>
      <w:r w:rsidRPr="004C12C9">
        <w:t xml:space="preserve"> </w:t>
      </w:r>
      <w:r w:rsidR="00F31291" w:rsidRPr="004C12C9">
        <w:t xml:space="preserve">then </w:t>
      </w:r>
      <w:r w:rsidRPr="004C12C9">
        <w:t>used to derive lifecycle emission factors associated with energy production and generation based on the assumed energy mix.</w:t>
      </w:r>
      <w:r w:rsidR="00F31291" w:rsidRPr="004C12C9">
        <w:rPr>
          <w:rStyle w:val="FootnoteReference"/>
          <w:rFonts w:cs="Calibri"/>
          <w:color w:val="000000"/>
          <w:lang w:bidi="ar-SA"/>
        </w:rPr>
        <w:t xml:space="preserve"> </w:t>
      </w:r>
      <w:r w:rsidR="00F31291" w:rsidRPr="004C12C9">
        <w:rPr>
          <w:rStyle w:val="FootnoteReference"/>
          <w:rFonts w:cs="Calibri"/>
          <w:color w:val="000000"/>
          <w:lang w:bidi="ar-SA"/>
        </w:rPr>
        <w:footnoteReference w:id="151"/>
      </w:r>
    </w:p>
    <w:p w14:paraId="25B48BE9" w14:textId="31A7893E" w:rsidR="00364946" w:rsidRPr="004C12C9" w:rsidRDefault="00364946" w:rsidP="00364946">
      <w:pPr>
        <w:pStyle w:val="Caption"/>
      </w:pPr>
      <w:bookmarkStart w:id="284" w:name="TableC6"/>
      <w:r w:rsidRPr="004C12C9">
        <w:t>Table C-</w:t>
      </w:r>
      <w:r w:rsidR="002D5AC8">
        <w:fldChar w:fldCharType="begin"/>
      </w:r>
      <w:r w:rsidR="002D5AC8">
        <w:instrText xml:space="preserve"> SEQ Table_C- \* ARABIC </w:instrText>
      </w:r>
      <w:r w:rsidR="002D5AC8">
        <w:fldChar w:fldCharType="separate"/>
      </w:r>
      <w:r w:rsidR="002D5AC8" w:rsidRPr="004C12C9">
        <w:t>6</w:t>
      </w:r>
      <w:r w:rsidR="002D5AC8">
        <w:fldChar w:fldCharType="end"/>
      </w:r>
      <w:bookmarkEnd w:id="284"/>
      <w:r w:rsidRPr="004C12C9">
        <w:t>. Electric Generation Mix Assumptions for Xcel Energy</w:t>
      </w:r>
    </w:p>
    <w:tbl>
      <w:tblPr>
        <w:tblW w:w="68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0"/>
        <w:gridCol w:w="1230"/>
        <w:gridCol w:w="1230"/>
        <w:gridCol w:w="1230"/>
        <w:gridCol w:w="1230"/>
      </w:tblGrid>
      <w:tr w:rsidR="0050324C" w:rsidRPr="004C12C9" w14:paraId="0D555D09" w14:textId="77777777" w:rsidTr="00482F2A">
        <w:trPr>
          <w:trHeight w:val="300"/>
        </w:trPr>
        <w:tc>
          <w:tcPr>
            <w:tcW w:w="1920" w:type="dxa"/>
            <w:shd w:val="clear" w:color="auto" w:fill="D9D9D9" w:themeFill="background1" w:themeFillShade="D9"/>
            <w:hideMark/>
          </w:tcPr>
          <w:p w14:paraId="7B4ED3A4" w14:textId="77777777" w:rsidR="0050324C" w:rsidRPr="004C12C9" w:rsidRDefault="0050324C" w:rsidP="00492632">
            <w:pPr>
              <w:pStyle w:val="ICFTableHeading"/>
            </w:pPr>
            <w:r w:rsidRPr="004C12C9">
              <w:t>Energy Source </w:t>
            </w:r>
          </w:p>
        </w:tc>
        <w:tc>
          <w:tcPr>
            <w:tcW w:w="1230" w:type="dxa"/>
            <w:shd w:val="clear" w:color="auto" w:fill="D9D9D9" w:themeFill="background1" w:themeFillShade="D9"/>
            <w:hideMark/>
          </w:tcPr>
          <w:p w14:paraId="1A1A26B4" w14:textId="77777777" w:rsidR="0050324C" w:rsidRPr="004C12C9" w:rsidRDefault="0050324C" w:rsidP="00492632">
            <w:pPr>
              <w:pStyle w:val="ICFTableHeading"/>
            </w:pPr>
            <w:r w:rsidRPr="004C12C9">
              <w:t>2025 </w:t>
            </w:r>
          </w:p>
        </w:tc>
        <w:tc>
          <w:tcPr>
            <w:tcW w:w="1230" w:type="dxa"/>
            <w:shd w:val="clear" w:color="auto" w:fill="D9D9D9" w:themeFill="background1" w:themeFillShade="D9"/>
            <w:hideMark/>
          </w:tcPr>
          <w:p w14:paraId="784B7F0F" w14:textId="77777777" w:rsidR="0050324C" w:rsidRPr="004C12C9" w:rsidRDefault="0050324C" w:rsidP="00492632">
            <w:pPr>
              <w:pStyle w:val="ICFTableHeading"/>
            </w:pPr>
            <w:r w:rsidRPr="004C12C9">
              <w:t>2030 </w:t>
            </w:r>
          </w:p>
        </w:tc>
        <w:tc>
          <w:tcPr>
            <w:tcW w:w="1230" w:type="dxa"/>
            <w:shd w:val="clear" w:color="auto" w:fill="D9D9D9" w:themeFill="background1" w:themeFillShade="D9"/>
            <w:hideMark/>
          </w:tcPr>
          <w:p w14:paraId="03566115" w14:textId="77777777" w:rsidR="0050324C" w:rsidRPr="004C12C9" w:rsidRDefault="0050324C" w:rsidP="00492632">
            <w:pPr>
              <w:pStyle w:val="ICFTableHeading"/>
            </w:pPr>
            <w:r w:rsidRPr="004C12C9">
              <w:t>2035 </w:t>
            </w:r>
          </w:p>
        </w:tc>
        <w:tc>
          <w:tcPr>
            <w:tcW w:w="1230" w:type="dxa"/>
            <w:shd w:val="clear" w:color="auto" w:fill="D9D9D9" w:themeFill="background1" w:themeFillShade="D9"/>
            <w:hideMark/>
          </w:tcPr>
          <w:p w14:paraId="23D71535" w14:textId="77777777" w:rsidR="0050324C" w:rsidRPr="004C12C9" w:rsidRDefault="0050324C" w:rsidP="00492632">
            <w:pPr>
              <w:pStyle w:val="ICFTableHeading"/>
            </w:pPr>
            <w:r w:rsidRPr="004C12C9">
              <w:t>2040 </w:t>
            </w:r>
          </w:p>
        </w:tc>
      </w:tr>
      <w:tr w:rsidR="0050324C" w:rsidRPr="004C12C9" w14:paraId="0630F75D" w14:textId="77777777" w:rsidTr="00482F2A">
        <w:trPr>
          <w:trHeight w:val="300"/>
        </w:trPr>
        <w:tc>
          <w:tcPr>
            <w:tcW w:w="1920" w:type="dxa"/>
            <w:hideMark/>
          </w:tcPr>
          <w:p w14:paraId="1EDEE063" w14:textId="77777777" w:rsidR="0050324C" w:rsidRPr="004C12C9" w:rsidRDefault="0050324C" w:rsidP="00492632">
            <w:pPr>
              <w:pStyle w:val="ICFTabletext"/>
              <w:rPr>
                <w:b/>
              </w:rPr>
            </w:pPr>
            <w:r w:rsidRPr="004C12C9">
              <w:t>Natural gas</w:t>
            </w:r>
            <w:r w:rsidRPr="004C12C9">
              <w:rPr>
                <w:b/>
              </w:rPr>
              <w:t> </w:t>
            </w:r>
          </w:p>
        </w:tc>
        <w:tc>
          <w:tcPr>
            <w:tcW w:w="1230" w:type="dxa"/>
            <w:hideMark/>
          </w:tcPr>
          <w:p w14:paraId="6752FFB1" w14:textId="2B615DF1" w:rsidR="0050324C" w:rsidRPr="004C12C9" w:rsidRDefault="0050324C" w:rsidP="00492632">
            <w:pPr>
              <w:pStyle w:val="ICFTabletext"/>
              <w:jc w:val="center"/>
            </w:pPr>
            <w:r w:rsidRPr="004C12C9">
              <w:t>12.0%</w:t>
            </w:r>
          </w:p>
        </w:tc>
        <w:tc>
          <w:tcPr>
            <w:tcW w:w="1230" w:type="dxa"/>
            <w:hideMark/>
          </w:tcPr>
          <w:p w14:paraId="76281F4F" w14:textId="515DA74A" w:rsidR="0050324C" w:rsidRPr="004C12C9" w:rsidRDefault="0050324C" w:rsidP="00492632">
            <w:pPr>
              <w:pStyle w:val="ICFTabletext"/>
              <w:jc w:val="center"/>
            </w:pPr>
            <w:r w:rsidRPr="004C12C9">
              <w:t>11.6%</w:t>
            </w:r>
          </w:p>
        </w:tc>
        <w:tc>
          <w:tcPr>
            <w:tcW w:w="1230" w:type="dxa"/>
            <w:hideMark/>
          </w:tcPr>
          <w:p w14:paraId="7C461D1F" w14:textId="10E79954" w:rsidR="0050324C" w:rsidRPr="004C12C9" w:rsidRDefault="0050324C" w:rsidP="00492632">
            <w:pPr>
              <w:pStyle w:val="ICFTabletext"/>
              <w:jc w:val="center"/>
            </w:pPr>
            <w:r w:rsidRPr="004C12C9">
              <w:t>7.6%</w:t>
            </w:r>
          </w:p>
        </w:tc>
        <w:tc>
          <w:tcPr>
            <w:tcW w:w="1230" w:type="dxa"/>
            <w:hideMark/>
          </w:tcPr>
          <w:p w14:paraId="28D81F2E" w14:textId="1FF1DE05" w:rsidR="0050324C" w:rsidRPr="004C12C9" w:rsidRDefault="0050324C" w:rsidP="00492632">
            <w:pPr>
              <w:pStyle w:val="ICFTabletext"/>
              <w:jc w:val="center"/>
            </w:pPr>
            <w:r w:rsidRPr="004C12C9">
              <w:t>0.0%</w:t>
            </w:r>
          </w:p>
        </w:tc>
      </w:tr>
      <w:tr w:rsidR="0050324C" w:rsidRPr="004C12C9" w14:paraId="5F19AA02" w14:textId="77777777" w:rsidTr="00482F2A">
        <w:trPr>
          <w:trHeight w:val="300"/>
        </w:trPr>
        <w:tc>
          <w:tcPr>
            <w:tcW w:w="1920" w:type="dxa"/>
            <w:hideMark/>
          </w:tcPr>
          <w:p w14:paraId="1F8E617C" w14:textId="77777777" w:rsidR="0050324C" w:rsidRPr="004C12C9" w:rsidRDefault="0050324C" w:rsidP="00492632">
            <w:pPr>
              <w:pStyle w:val="ICFTabletext"/>
              <w:rPr>
                <w:b/>
              </w:rPr>
            </w:pPr>
            <w:r w:rsidRPr="004C12C9">
              <w:t>Coal</w:t>
            </w:r>
            <w:r w:rsidRPr="004C12C9">
              <w:rPr>
                <w:b/>
              </w:rPr>
              <w:t> </w:t>
            </w:r>
          </w:p>
        </w:tc>
        <w:tc>
          <w:tcPr>
            <w:tcW w:w="1230" w:type="dxa"/>
            <w:hideMark/>
          </w:tcPr>
          <w:p w14:paraId="343E9C74" w14:textId="1CDF29A1" w:rsidR="0050324C" w:rsidRPr="004C12C9" w:rsidRDefault="0050324C" w:rsidP="00492632">
            <w:pPr>
              <w:pStyle w:val="ICFTabletext"/>
              <w:jc w:val="center"/>
            </w:pPr>
            <w:r w:rsidRPr="004C12C9">
              <w:t>15.0%</w:t>
            </w:r>
          </w:p>
        </w:tc>
        <w:tc>
          <w:tcPr>
            <w:tcW w:w="1230" w:type="dxa"/>
            <w:hideMark/>
          </w:tcPr>
          <w:p w14:paraId="6104CFC7" w14:textId="384CC7BA" w:rsidR="0050324C" w:rsidRPr="004C12C9" w:rsidRDefault="0050324C" w:rsidP="00492632">
            <w:pPr>
              <w:pStyle w:val="ICFTabletext"/>
              <w:jc w:val="center"/>
            </w:pPr>
            <w:r w:rsidRPr="004C12C9">
              <w:t>0.0%</w:t>
            </w:r>
          </w:p>
        </w:tc>
        <w:tc>
          <w:tcPr>
            <w:tcW w:w="1230" w:type="dxa"/>
            <w:hideMark/>
          </w:tcPr>
          <w:p w14:paraId="10A3E3A2" w14:textId="7496F3EC" w:rsidR="0050324C" w:rsidRPr="004C12C9" w:rsidRDefault="0050324C" w:rsidP="00492632">
            <w:pPr>
              <w:pStyle w:val="ICFTabletext"/>
              <w:jc w:val="center"/>
            </w:pPr>
            <w:r w:rsidRPr="004C12C9">
              <w:t>0.0%</w:t>
            </w:r>
          </w:p>
        </w:tc>
        <w:tc>
          <w:tcPr>
            <w:tcW w:w="1230" w:type="dxa"/>
            <w:hideMark/>
          </w:tcPr>
          <w:p w14:paraId="7A606543" w14:textId="5E189E44" w:rsidR="0050324C" w:rsidRPr="004C12C9" w:rsidRDefault="0050324C" w:rsidP="00492632">
            <w:pPr>
              <w:pStyle w:val="ICFTabletext"/>
              <w:jc w:val="center"/>
            </w:pPr>
            <w:r w:rsidRPr="004C12C9">
              <w:t>0.0%</w:t>
            </w:r>
          </w:p>
        </w:tc>
      </w:tr>
      <w:tr w:rsidR="0050324C" w:rsidRPr="004C12C9" w14:paraId="585CE795" w14:textId="77777777" w:rsidTr="00482F2A">
        <w:trPr>
          <w:trHeight w:val="300"/>
        </w:trPr>
        <w:tc>
          <w:tcPr>
            <w:tcW w:w="1920" w:type="dxa"/>
            <w:hideMark/>
          </w:tcPr>
          <w:p w14:paraId="769BF381" w14:textId="77777777" w:rsidR="0050324C" w:rsidRPr="004C12C9" w:rsidRDefault="0050324C" w:rsidP="00492632">
            <w:pPr>
              <w:pStyle w:val="ICFTabletext"/>
              <w:rPr>
                <w:b/>
              </w:rPr>
            </w:pPr>
            <w:r w:rsidRPr="004C12C9">
              <w:t>Nuclear power</w:t>
            </w:r>
            <w:r w:rsidRPr="004C12C9">
              <w:rPr>
                <w:b/>
              </w:rPr>
              <w:t> </w:t>
            </w:r>
          </w:p>
        </w:tc>
        <w:tc>
          <w:tcPr>
            <w:tcW w:w="1230" w:type="dxa"/>
            <w:hideMark/>
          </w:tcPr>
          <w:p w14:paraId="57D98177" w14:textId="717C8884" w:rsidR="0050324C" w:rsidRPr="004C12C9" w:rsidRDefault="0050324C" w:rsidP="00492632">
            <w:pPr>
              <w:pStyle w:val="ICFTabletext"/>
              <w:jc w:val="center"/>
            </w:pPr>
            <w:r w:rsidRPr="004C12C9">
              <w:t>27.0%</w:t>
            </w:r>
          </w:p>
        </w:tc>
        <w:tc>
          <w:tcPr>
            <w:tcW w:w="1230" w:type="dxa"/>
            <w:hideMark/>
          </w:tcPr>
          <w:p w14:paraId="4E4897C2" w14:textId="518E2CC8" w:rsidR="0050324C" w:rsidRPr="004C12C9" w:rsidRDefault="0050324C" w:rsidP="00492632">
            <w:pPr>
              <w:pStyle w:val="ICFTabletext"/>
              <w:jc w:val="center"/>
            </w:pPr>
            <w:r w:rsidRPr="004C12C9">
              <w:t>25.7%</w:t>
            </w:r>
          </w:p>
        </w:tc>
        <w:tc>
          <w:tcPr>
            <w:tcW w:w="1230" w:type="dxa"/>
            <w:hideMark/>
          </w:tcPr>
          <w:p w14:paraId="51F2CC09" w14:textId="5658E62C" w:rsidR="0050324C" w:rsidRPr="004C12C9" w:rsidRDefault="0050324C" w:rsidP="00492632">
            <w:pPr>
              <w:pStyle w:val="ICFTabletext"/>
              <w:jc w:val="center"/>
            </w:pPr>
            <w:r w:rsidRPr="004C12C9">
              <w:t>22.1%</w:t>
            </w:r>
          </w:p>
        </w:tc>
        <w:tc>
          <w:tcPr>
            <w:tcW w:w="1230" w:type="dxa"/>
            <w:hideMark/>
          </w:tcPr>
          <w:p w14:paraId="6A8A57F3" w14:textId="2B8306F1" w:rsidR="0050324C" w:rsidRPr="004C12C9" w:rsidRDefault="0050324C" w:rsidP="00492632">
            <w:pPr>
              <w:pStyle w:val="ICFTabletext"/>
              <w:jc w:val="center"/>
            </w:pPr>
            <w:r w:rsidRPr="004C12C9">
              <w:t>21.1%</w:t>
            </w:r>
          </w:p>
        </w:tc>
      </w:tr>
      <w:tr w:rsidR="0050324C" w:rsidRPr="004C12C9" w14:paraId="72F71C54" w14:textId="77777777" w:rsidTr="00482F2A">
        <w:trPr>
          <w:trHeight w:val="300"/>
        </w:trPr>
        <w:tc>
          <w:tcPr>
            <w:tcW w:w="1920" w:type="dxa"/>
            <w:hideMark/>
          </w:tcPr>
          <w:p w14:paraId="7F2D24F4" w14:textId="77777777" w:rsidR="0050324C" w:rsidRPr="004C12C9" w:rsidRDefault="0050324C" w:rsidP="00492632">
            <w:pPr>
              <w:pStyle w:val="ICFTabletext"/>
              <w:rPr>
                <w:b/>
              </w:rPr>
            </w:pPr>
            <w:r w:rsidRPr="004C12C9">
              <w:t>Biomass</w:t>
            </w:r>
            <w:r w:rsidRPr="004C12C9">
              <w:rPr>
                <w:b/>
              </w:rPr>
              <w:t> </w:t>
            </w:r>
          </w:p>
        </w:tc>
        <w:tc>
          <w:tcPr>
            <w:tcW w:w="1230" w:type="dxa"/>
            <w:hideMark/>
          </w:tcPr>
          <w:p w14:paraId="01EF9F14" w14:textId="5CAE2709" w:rsidR="0050324C" w:rsidRPr="004C12C9" w:rsidRDefault="0050324C" w:rsidP="00492632">
            <w:pPr>
              <w:pStyle w:val="ICFTabletext"/>
              <w:jc w:val="center"/>
            </w:pPr>
            <w:r w:rsidRPr="004C12C9">
              <w:t>0.7%</w:t>
            </w:r>
          </w:p>
        </w:tc>
        <w:tc>
          <w:tcPr>
            <w:tcW w:w="1230" w:type="dxa"/>
            <w:hideMark/>
          </w:tcPr>
          <w:p w14:paraId="60B66E3F" w14:textId="201C7C28" w:rsidR="0050324C" w:rsidRPr="004C12C9" w:rsidRDefault="0050324C" w:rsidP="00492632">
            <w:pPr>
              <w:pStyle w:val="ICFTabletext"/>
              <w:jc w:val="center"/>
            </w:pPr>
            <w:r w:rsidRPr="004C12C9">
              <w:t>0.5%</w:t>
            </w:r>
          </w:p>
        </w:tc>
        <w:tc>
          <w:tcPr>
            <w:tcW w:w="1230" w:type="dxa"/>
            <w:hideMark/>
          </w:tcPr>
          <w:p w14:paraId="51B058A1" w14:textId="7FD3D5FB" w:rsidR="0050324C" w:rsidRPr="004C12C9" w:rsidRDefault="0050324C" w:rsidP="00492632">
            <w:pPr>
              <w:pStyle w:val="ICFTabletext"/>
              <w:jc w:val="center"/>
            </w:pPr>
            <w:r w:rsidRPr="004C12C9">
              <w:t>0.3%</w:t>
            </w:r>
          </w:p>
        </w:tc>
        <w:tc>
          <w:tcPr>
            <w:tcW w:w="1230" w:type="dxa"/>
            <w:hideMark/>
          </w:tcPr>
          <w:p w14:paraId="7544FEFD" w14:textId="7CC4FB03" w:rsidR="0050324C" w:rsidRPr="004C12C9" w:rsidRDefault="0050324C" w:rsidP="00492632">
            <w:pPr>
              <w:pStyle w:val="ICFTabletext"/>
              <w:jc w:val="center"/>
            </w:pPr>
            <w:r w:rsidRPr="004C12C9">
              <w:t>0.1%</w:t>
            </w:r>
          </w:p>
        </w:tc>
      </w:tr>
      <w:tr w:rsidR="0050324C" w:rsidRPr="004C12C9" w14:paraId="39C03C94" w14:textId="77777777" w:rsidTr="00482F2A">
        <w:trPr>
          <w:trHeight w:val="300"/>
        </w:trPr>
        <w:tc>
          <w:tcPr>
            <w:tcW w:w="1920" w:type="dxa"/>
            <w:hideMark/>
          </w:tcPr>
          <w:p w14:paraId="0D06BC6D" w14:textId="37FDA3D7" w:rsidR="0050324C" w:rsidRPr="004C12C9" w:rsidRDefault="0050324C" w:rsidP="00492632">
            <w:pPr>
              <w:pStyle w:val="ICFTabletext"/>
              <w:rPr>
                <w:b/>
              </w:rPr>
            </w:pPr>
            <w:r w:rsidRPr="004C12C9">
              <w:t>Other</w:t>
            </w:r>
            <w:r w:rsidR="00482F2A" w:rsidRPr="004C12C9">
              <w:rPr>
                <w:vertAlign w:val="superscript"/>
              </w:rPr>
              <w:t xml:space="preserve"> a</w:t>
            </w:r>
            <w:r w:rsidR="00482F2A" w:rsidRPr="004C12C9">
              <w:rPr>
                <w:b/>
                <w:vertAlign w:val="superscript"/>
              </w:rPr>
              <w:t> </w:t>
            </w:r>
          </w:p>
        </w:tc>
        <w:tc>
          <w:tcPr>
            <w:tcW w:w="1230" w:type="dxa"/>
            <w:hideMark/>
          </w:tcPr>
          <w:p w14:paraId="56776974" w14:textId="2BDE939C" w:rsidR="0050324C" w:rsidRPr="004C12C9" w:rsidRDefault="0050324C" w:rsidP="00492632">
            <w:pPr>
              <w:pStyle w:val="ICFTabletext"/>
              <w:jc w:val="center"/>
            </w:pPr>
            <w:r w:rsidRPr="004C12C9">
              <w:t>45.3%</w:t>
            </w:r>
          </w:p>
        </w:tc>
        <w:tc>
          <w:tcPr>
            <w:tcW w:w="1230" w:type="dxa"/>
            <w:hideMark/>
          </w:tcPr>
          <w:p w14:paraId="3E156866" w14:textId="14D18258" w:rsidR="0050324C" w:rsidRPr="004C12C9" w:rsidRDefault="0050324C" w:rsidP="00492632">
            <w:pPr>
              <w:pStyle w:val="ICFTabletext"/>
              <w:jc w:val="center"/>
            </w:pPr>
            <w:r w:rsidRPr="004C12C9">
              <w:t>62.2%</w:t>
            </w:r>
          </w:p>
        </w:tc>
        <w:tc>
          <w:tcPr>
            <w:tcW w:w="1230" w:type="dxa"/>
            <w:hideMark/>
          </w:tcPr>
          <w:p w14:paraId="5652E20D" w14:textId="44822610" w:rsidR="0050324C" w:rsidRPr="004C12C9" w:rsidRDefault="0050324C" w:rsidP="00492632">
            <w:pPr>
              <w:pStyle w:val="ICFTabletext"/>
              <w:jc w:val="center"/>
            </w:pPr>
            <w:r w:rsidRPr="004C12C9">
              <w:t>70.1%</w:t>
            </w:r>
          </w:p>
        </w:tc>
        <w:tc>
          <w:tcPr>
            <w:tcW w:w="1230" w:type="dxa"/>
            <w:hideMark/>
          </w:tcPr>
          <w:p w14:paraId="44B6F420" w14:textId="4FFB0136" w:rsidR="0050324C" w:rsidRPr="004C12C9" w:rsidRDefault="0050324C" w:rsidP="00492632">
            <w:pPr>
              <w:pStyle w:val="ICFTabletext"/>
              <w:jc w:val="center"/>
            </w:pPr>
            <w:r w:rsidRPr="004C12C9">
              <w:t>78.9%</w:t>
            </w:r>
          </w:p>
        </w:tc>
      </w:tr>
    </w:tbl>
    <w:p w14:paraId="1EE0C226" w14:textId="4FD66F10" w:rsidR="0050324C" w:rsidRPr="004C12C9" w:rsidRDefault="00482F2A" w:rsidP="00F85BDB">
      <w:pPr>
        <w:pStyle w:val="TableFooter"/>
        <w:rPr>
          <w:b/>
        </w:rPr>
      </w:pPr>
      <w:r w:rsidRPr="004C12C9">
        <w:rPr>
          <w:vertAlign w:val="superscript"/>
        </w:rPr>
        <w:t>a</w:t>
      </w:r>
      <w:r w:rsidRPr="004C12C9">
        <w:rPr>
          <w:b/>
          <w:vertAlign w:val="superscript"/>
        </w:rPr>
        <w:t> </w:t>
      </w:r>
      <w:r w:rsidR="0050324C" w:rsidRPr="004C12C9">
        <w:t>Includes hydroelectric, wind, and solar PV.</w:t>
      </w:r>
    </w:p>
    <w:p w14:paraId="1A22C00D" w14:textId="706FA767" w:rsidR="0050324C" w:rsidRPr="004C12C9" w:rsidRDefault="0050324C" w:rsidP="00F85BDB">
      <w:pPr>
        <w:pStyle w:val="Heading4"/>
      </w:pPr>
      <w:r w:rsidRPr="004C12C9">
        <w:t> </w:t>
      </w:r>
      <w:r w:rsidRPr="004C12C9">
        <w:rPr>
          <w:rFonts w:eastAsia="Times New Roman"/>
        </w:rPr>
        <w:t>Minnesota Power</w:t>
      </w:r>
    </w:p>
    <w:p w14:paraId="422E7662" w14:textId="5B982DD2" w:rsidR="0050324C" w:rsidRPr="004C12C9" w:rsidRDefault="0050324C" w:rsidP="00F85BDB">
      <w:r w:rsidRPr="004C12C9">
        <w:t xml:space="preserve">The lifecycle electricity emission factors for Minnesota Power </w:t>
      </w:r>
      <w:r w:rsidR="001647F4" w:rsidRPr="004C12C9">
        <w:t xml:space="preserve">were </w:t>
      </w:r>
      <w:r w:rsidRPr="004C12C9">
        <w:t xml:space="preserve">derived based on information from the utility’s </w:t>
      </w:r>
      <w:r w:rsidRPr="004C12C9">
        <w:rPr>
          <w:i/>
        </w:rPr>
        <w:t>2025-2039 Integrated Resource Plan</w:t>
      </w:r>
      <w:r w:rsidRPr="004C12C9">
        <w:t xml:space="preserve"> that indicates that renewables account for 50% of the current energy mix and will reach 80% by 2030 and 90% by 2035</w:t>
      </w:r>
      <w:r w:rsidR="00732CE1" w:rsidRPr="004C12C9">
        <w:t>.</w:t>
      </w:r>
      <w:r w:rsidR="00732CE1" w:rsidRPr="004C12C9">
        <w:rPr>
          <w:rStyle w:val="FootnoteReference"/>
        </w:rPr>
        <w:footnoteReference w:id="152"/>
      </w:r>
      <w:r w:rsidR="00732CE1" w:rsidRPr="004C12C9">
        <w:t xml:space="preserve"> </w:t>
      </w:r>
      <w:r w:rsidRPr="004C12C9">
        <w:t xml:space="preserve">In addition, the utility plans to achieve a coal-free energy supply by 2035. The assumed generation mix for Minnesota Power is summarized below in </w:t>
      </w:r>
      <w:r w:rsidR="00735DE2" w:rsidRPr="004C12C9">
        <w:fldChar w:fldCharType="begin" w:fldLock="1"/>
      </w:r>
      <w:r w:rsidR="00735DE2" w:rsidRPr="004C12C9">
        <w:instrText xml:space="preserve"> REF TableC7 \h </w:instrText>
      </w:r>
      <w:r w:rsidR="00735DE2" w:rsidRPr="004C12C9">
        <w:fldChar w:fldCharType="separate"/>
      </w:r>
      <w:r w:rsidR="00735DE2" w:rsidRPr="004C12C9">
        <w:t>Table C-7</w:t>
      </w:r>
      <w:r w:rsidR="00735DE2" w:rsidRPr="004C12C9">
        <w:fldChar w:fldCharType="end"/>
      </w:r>
      <w:r w:rsidR="00F008CF" w:rsidRPr="004C12C9">
        <w:fldChar w:fldCharType="begin" w:fldLock="1"/>
      </w:r>
      <w:r w:rsidR="00F008CF" w:rsidRPr="004C12C9">
        <w:instrText xml:space="preserve"> REF _Ref195693894 \h </w:instrText>
      </w:r>
      <w:r w:rsidR="00F85BDB" w:rsidRPr="004C12C9">
        <w:instrText xml:space="preserve"> \* MERGEFORMAT </w:instrText>
      </w:r>
      <w:r w:rsidR="00F008CF" w:rsidRPr="004C12C9">
        <w:fldChar w:fldCharType="separate"/>
      </w:r>
      <w:r w:rsidR="00F008CF" w:rsidRPr="004C12C9">
        <w:fldChar w:fldCharType="end"/>
      </w:r>
      <w:r w:rsidRPr="004C12C9">
        <w:t xml:space="preserve">, which also assumes the utility will comply with the state’s requirement to generate 100% of their electricity from carbon-free technologies by 2040. </w:t>
      </w:r>
      <w:r w:rsidR="0095278A" w:rsidRPr="004C12C9">
        <w:rPr>
          <w:lang w:bidi="ar-SA"/>
        </w:rPr>
        <w:t>GREET1 2024 wa</w:t>
      </w:r>
      <w:r w:rsidR="0095278A" w:rsidRPr="004C12C9">
        <w:t xml:space="preserve">s then </w:t>
      </w:r>
      <w:r w:rsidRPr="004C12C9">
        <w:t>used to derive lifecycle emission factors associated with energy production and generation based on the assumed energy mix.</w:t>
      </w:r>
      <w:r w:rsidR="0095278A" w:rsidRPr="004C12C9">
        <w:rPr>
          <w:rStyle w:val="FootnoteReference"/>
          <w:rFonts w:cs="Calibri"/>
          <w:color w:val="000000"/>
          <w:lang w:bidi="ar-SA"/>
        </w:rPr>
        <w:t xml:space="preserve"> </w:t>
      </w:r>
      <w:r w:rsidR="0095278A" w:rsidRPr="004C12C9">
        <w:rPr>
          <w:rStyle w:val="FootnoteReference"/>
          <w:rFonts w:cs="Calibri"/>
          <w:color w:val="000000"/>
          <w:lang w:bidi="ar-SA"/>
        </w:rPr>
        <w:footnoteReference w:id="153"/>
      </w:r>
    </w:p>
    <w:p w14:paraId="658A47B1" w14:textId="66C98D7A" w:rsidR="00364946" w:rsidRPr="004C12C9" w:rsidRDefault="00364946" w:rsidP="0095278A">
      <w:pPr>
        <w:pStyle w:val="Caption"/>
      </w:pPr>
      <w:bookmarkStart w:id="285" w:name="TableC7"/>
      <w:r w:rsidRPr="004C12C9">
        <w:lastRenderedPageBreak/>
        <w:t>Table C-</w:t>
      </w:r>
      <w:r w:rsidR="00127094">
        <w:fldChar w:fldCharType="begin"/>
      </w:r>
      <w:r w:rsidR="00127094">
        <w:instrText xml:space="preserve"> SEQ Table_C- \* ARABIC </w:instrText>
      </w:r>
      <w:r w:rsidR="00127094">
        <w:fldChar w:fldCharType="separate"/>
      </w:r>
      <w:r w:rsidR="00127094" w:rsidRPr="004C12C9">
        <w:t>7</w:t>
      </w:r>
      <w:r w:rsidR="00127094">
        <w:fldChar w:fldCharType="end"/>
      </w:r>
      <w:bookmarkEnd w:id="285"/>
      <w:r w:rsidRPr="004C12C9">
        <w:t>. Electric Generation Mix Assumptions for Minnesota Power</w:t>
      </w:r>
    </w:p>
    <w:tbl>
      <w:tblPr>
        <w:tblW w:w="68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5"/>
        <w:gridCol w:w="1230"/>
        <w:gridCol w:w="1230"/>
        <w:gridCol w:w="1230"/>
        <w:gridCol w:w="1230"/>
      </w:tblGrid>
      <w:tr w:rsidR="0050324C" w:rsidRPr="004C12C9" w14:paraId="330233FB" w14:textId="77777777" w:rsidTr="00482F2A">
        <w:trPr>
          <w:trHeight w:val="300"/>
        </w:trPr>
        <w:tc>
          <w:tcPr>
            <w:tcW w:w="1965" w:type="dxa"/>
            <w:shd w:val="clear" w:color="auto" w:fill="D9D9D9" w:themeFill="background1" w:themeFillShade="D9"/>
            <w:hideMark/>
          </w:tcPr>
          <w:p w14:paraId="582CCA4D" w14:textId="77777777" w:rsidR="0050324C" w:rsidRPr="004C12C9" w:rsidRDefault="0050324C" w:rsidP="00276D0A">
            <w:pPr>
              <w:pStyle w:val="ICFTableHeading"/>
              <w:keepNext/>
            </w:pPr>
            <w:r w:rsidRPr="004C12C9">
              <w:t>Energy Source </w:t>
            </w:r>
          </w:p>
        </w:tc>
        <w:tc>
          <w:tcPr>
            <w:tcW w:w="1230" w:type="dxa"/>
            <w:shd w:val="clear" w:color="auto" w:fill="D9D9D9" w:themeFill="background1" w:themeFillShade="D9"/>
            <w:hideMark/>
          </w:tcPr>
          <w:p w14:paraId="4959BE65" w14:textId="77777777" w:rsidR="0050324C" w:rsidRPr="004C12C9" w:rsidRDefault="0050324C" w:rsidP="00276D0A">
            <w:pPr>
              <w:pStyle w:val="ICFTableHeading"/>
              <w:keepNext/>
            </w:pPr>
            <w:r w:rsidRPr="004C12C9">
              <w:t>2025 </w:t>
            </w:r>
          </w:p>
        </w:tc>
        <w:tc>
          <w:tcPr>
            <w:tcW w:w="1230" w:type="dxa"/>
            <w:shd w:val="clear" w:color="auto" w:fill="D9D9D9" w:themeFill="background1" w:themeFillShade="D9"/>
            <w:hideMark/>
          </w:tcPr>
          <w:p w14:paraId="12E9FB0A" w14:textId="77777777" w:rsidR="0050324C" w:rsidRPr="004C12C9" w:rsidRDefault="0050324C" w:rsidP="00276D0A">
            <w:pPr>
              <w:pStyle w:val="ICFTableHeading"/>
              <w:keepNext/>
            </w:pPr>
            <w:r w:rsidRPr="004C12C9">
              <w:t>2030 </w:t>
            </w:r>
          </w:p>
        </w:tc>
        <w:tc>
          <w:tcPr>
            <w:tcW w:w="1230" w:type="dxa"/>
            <w:shd w:val="clear" w:color="auto" w:fill="D9D9D9" w:themeFill="background1" w:themeFillShade="D9"/>
            <w:hideMark/>
          </w:tcPr>
          <w:p w14:paraId="35507A03" w14:textId="77777777" w:rsidR="0050324C" w:rsidRPr="004C12C9" w:rsidRDefault="0050324C" w:rsidP="00276D0A">
            <w:pPr>
              <w:pStyle w:val="ICFTableHeading"/>
              <w:keepNext/>
            </w:pPr>
            <w:r w:rsidRPr="004C12C9">
              <w:t>2035 </w:t>
            </w:r>
          </w:p>
        </w:tc>
        <w:tc>
          <w:tcPr>
            <w:tcW w:w="1230" w:type="dxa"/>
            <w:shd w:val="clear" w:color="auto" w:fill="D9D9D9" w:themeFill="background1" w:themeFillShade="D9"/>
            <w:hideMark/>
          </w:tcPr>
          <w:p w14:paraId="6B659496" w14:textId="77777777" w:rsidR="0050324C" w:rsidRPr="004C12C9" w:rsidRDefault="0050324C" w:rsidP="00276D0A">
            <w:pPr>
              <w:pStyle w:val="ICFTableHeading"/>
              <w:keepNext/>
            </w:pPr>
            <w:r w:rsidRPr="004C12C9">
              <w:t>2040 </w:t>
            </w:r>
          </w:p>
        </w:tc>
      </w:tr>
      <w:tr w:rsidR="0050324C" w:rsidRPr="004C12C9" w14:paraId="2A7711F3" w14:textId="77777777" w:rsidTr="00482F2A">
        <w:trPr>
          <w:trHeight w:val="300"/>
        </w:trPr>
        <w:tc>
          <w:tcPr>
            <w:tcW w:w="1965" w:type="dxa"/>
            <w:hideMark/>
          </w:tcPr>
          <w:p w14:paraId="7690F6D4" w14:textId="77777777" w:rsidR="0050324C" w:rsidRPr="004C12C9" w:rsidRDefault="0050324C" w:rsidP="00492632">
            <w:pPr>
              <w:pStyle w:val="ICFTabletext"/>
              <w:rPr>
                <w:b/>
              </w:rPr>
            </w:pPr>
            <w:r w:rsidRPr="004C12C9">
              <w:t>Natural gas</w:t>
            </w:r>
            <w:r w:rsidRPr="004C12C9">
              <w:rPr>
                <w:b/>
              </w:rPr>
              <w:t> </w:t>
            </w:r>
          </w:p>
        </w:tc>
        <w:tc>
          <w:tcPr>
            <w:tcW w:w="1230" w:type="dxa"/>
            <w:hideMark/>
          </w:tcPr>
          <w:p w14:paraId="325A0A45" w14:textId="6B6A66CE" w:rsidR="0050324C" w:rsidRPr="004C12C9" w:rsidRDefault="0050324C" w:rsidP="00492632">
            <w:pPr>
              <w:pStyle w:val="ICFTabletext"/>
              <w:jc w:val="center"/>
            </w:pPr>
            <w:r w:rsidRPr="004C12C9">
              <w:t>1.0%</w:t>
            </w:r>
          </w:p>
        </w:tc>
        <w:tc>
          <w:tcPr>
            <w:tcW w:w="1230" w:type="dxa"/>
            <w:hideMark/>
          </w:tcPr>
          <w:p w14:paraId="4348B83B" w14:textId="6BF6E624" w:rsidR="0050324C" w:rsidRPr="004C12C9" w:rsidRDefault="0050324C" w:rsidP="00492632">
            <w:pPr>
              <w:pStyle w:val="ICFTabletext"/>
              <w:jc w:val="center"/>
            </w:pPr>
            <w:r w:rsidRPr="004C12C9">
              <w:t>10.0%</w:t>
            </w:r>
          </w:p>
        </w:tc>
        <w:tc>
          <w:tcPr>
            <w:tcW w:w="1230" w:type="dxa"/>
            <w:hideMark/>
          </w:tcPr>
          <w:p w14:paraId="57D08DFE" w14:textId="79E7F646" w:rsidR="0050324C" w:rsidRPr="004C12C9" w:rsidRDefault="0050324C" w:rsidP="00492632">
            <w:pPr>
              <w:pStyle w:val="ICFTabletext"/>
              <w:jc w:val="center"/>
            </w:pPr>
            <w:r w:rsidRPr="004C12C9">
              <w:t>10.0%</w:t>
            </w:r>
          </w:p>
        </w:tc>
        <w:tc>
          <w:tcPr>
            <w:tcW w:w="1230" w:type="dxa"/>
            <w:hideMark/>
          </w:tcPr>
          <w:p w14:paraId="76E42BF3" w14:textId="52DFDDBB" w:rsidR="0050324C" w:rsidRPr="004C12C9" w:rsidRDefault="0050324C" w:rsidP="00492632">
            <w:pPr>
              <w:pStyle w:val="ICFTabletext"/>
              <w:jc w:val="center"/>
            </w:pPr>
            <w:r w:rsidRPr="004C12C9">
              <w:t>0.0%</w:t>
            </w:r>
          </w:p>
        </w:tc>
      </w:tr>
      <w:tr w:rsidR="0050324C" w:rsidRPr="004C12C9" w14:paraId="4E36B6B6" w14:textId="77777777" w:rsidTr="00482F2A">
        <w:trPr>
          <w:trHeight w:val="300"/>
        </w:trPr>
        <w:tc>
          <w:tcPr>
            <w:tcW w:w="1965" w:type="dxa"/>
            <w:hideMark/>
          </w:tcPr>
          <w:p w14:paraId="34F856BE" w14:textId="77777777" w:rsidR="0050324C" w:rsidRPr="004C12C9" w:rsidRDefault="0050324C" w:rsidP="00492632">
            <w:pPr>
              <w:pStyle w:val="ICFTabletext"/>
              <w:rPr>
                <w:b/>
              </w:rPr>
            </w:pPr>
            <w:r w:rsidRPr="004C12C9">
              <w:t>Coal</w:t>
            </w:r>
            <w:r w:rsidRPr="004C12C9">
              <w:rPr>
                <w:b/>
              </w:rPr>
              <w:t> </w:t>
            </w:r>
          </w:p>
        </w:tc>
        <w:tc>
          <w:tcPr>
            <w:tcW w:w="1230" w:type="dxa"/>
            <w:hideMark/>
          </w:tcPr>
          <w:p w14:paraId="36248B18" w14:textId="714A23F9" w:rsidR="0050324C" w:rsidRPr="004C12C9" w:rsidRDefault="0050324C" w:rsidP="00492632">
            <w:pPr>
              <w:pStyle w:val="ICFTabletext"/>
              <w:jc w:val="center"/>
            </w:pPr>
            <w:r w:rsidRPr="004C12C9">
              <w:t>49.0%</w:t>
            </w:r>
          </w:p>
        </w:tc>
        <w:tc>
          <w:tcPr>
            <w:tcW w:w="1230" w:type="dxa"/>
            <w:hideMark/>
          </w:tcPr>
          <w:p w14:paraId="32F8E9EB" w14:textId="44530DE1" w:rsidR="0050324C" w:rsidRPr="004C12C9" w:rsidRDefault="0050324C" w:rsidP="00492632">
            <w:pPr>
              <w:pStyle w:val="ICFTabletext"/>
              <w:jc w:val="center"/>
            </w:pPr>
            <w:r w:rsidRPr="004C12C9">
              <w:t>10.0%</w:t>
            </w:r>
          </w:p>
        </w:tc>
        <w:tc>
          <w:tcPr>
            <w:tcW w:w="1230" w:type="dxa"/>
            <w:hideMark/>
          </w:tcPr>
          <w:p w14:paraId="123299D1" w14:textId="4148457C" w:rsidR="0050324C" w:rsidRPr="004C12C9" w:rsidRDefault="0050324C" w:rsidP="00492632">
            <w:pPr>
              <w:pStyle w:val="ICFTabletext"/>
              <w:jc w:val="center"/>
            </w:pPr>
            <w:r w:rsidRPr="004C12C9">
              <w:t>0.0%</w:t>
            </w:r>
          </w:p>
        </w:tc>
        <w:tc>
          <w:tcPr>
            <w:tcW w:w="1230" w:type="dxa"/>
            <w:hideMark/>
          </w:tcPr>
          <w:p w14:paraId="3A43984E" w14:textId="0C9E6A3C" w:rsidR="0050324C" w:rsidRPr="004C12C9" w:rsidRDefault="0050324C" w:rsidP="00492632">
            <w:pPr>
              <w:pStyle w:val="ICFTabletext"/>
              <w:jc w:val="center"/>
            </w:pPr>
            <w:r w:rsidRPr="004C12C9">
              <w:t>0.0%</w:t>
            </w:r>
          </w:p>
        </w:tc>
      </w:tr>
      <w:tr w:rsidR="0050324C" w:rsidRPr="004C12C9" w14:paraId="7AEAB701" w14:textId="77777777" w:rsidTr="00482F2A">
        <w:trPr>
          <w:trHeight w:val="300"/>
        </w:trPr>
        <w:tc>
          <w:tcPr>
            <w:tcW w:w="1965" w:type="dxa"/>
            <w:hideMark/>
          </w:tcPr>
          <w:p w14:paraId="240C3DCF" w14:textId="6AB8187E" w:rsidR="0050324C" w:rsidRPr="004C12C9" w:rsidRDefault="0050324C" w:rsidP="00492632">
            <w:pPr>
              <w:pStyle w:val="ICFTabletext"/>
              <w:rPr>
                <w:b/>
              </w:rPr>
            </w:pPr>
            <w:r w:rsidRPr="004C12C9">
              <w:t>Others</w:t>
            </w:r>
            <w:r w:rsidR="00482F2A" w:rsidRPr="004C12C9">
              <w:rPr>
                <w:vertAlign w:val="superscript"/>
              </w:rPr>
              <w:t>a</w:t>
            </w:r>
            <w:r w:rsidR="00482F2A" w:rsidRPr="004C12C9">
              <w:rPr>
                <w:b/>
                <w:vertAlign w:val="superscript"/>
              </w:rPr>
              <w:t> </w:t>
            </w:r>
          </w:p>
        </w:tc>
        <w:tc>
          <w:tcPr>
            <w:tcW w:w="1230" w:type="dxa"/>
            <w:hideMark/>
          </w:tcPr>
          <w:p w14:paraId="04ABF1F0" w14:textId="345E3E83" w:rsidR="0050324C" w:rsidRPr="004C12C9" w:rsidRDefault="0050324C" w:rsidP="00492632">
            <w:pPr>
              <w:pStyle w:val="ICFTabletext"/>
              <w:jc w:val="center"/>
            </w:pPr>
            <w:r w:rsidRPr="004C12C9">
              <w:t>50.0%</w:t>
            </w:r>
          </w:p>
        </w:tc>
        <w:tc>
          <w:tcPr>
            <w:tcW w:w="1230" w:type="dxa"/>
            <w:hideMark/>
          </w:tcPr>
          <w:p w14:paraId="536D3F74" w14:textId="1E9102B4" w:rsidR="0050324C" w:rsidRPr="004C12C9" w:rsidRDefault="0050324C" w:rsidP="00492632">
            <w:pPr>
              <w:pStyle w:val="ICFTabletext"/>
              <w:jc w:val="center"/>
            </w:pPr>
            <w:r w:rsidRPr="004C12C9">
              <w:t>80.0%</w:t>
            </w:r>
          </w:p>
        </w:tc>
        <w:tc>
          <w:tcPr>
            <w:tcW w:w="1230" w:type="dxa"/>
            <w:hideMark/>
          </w:tcPr>
          <w:p w14:paraId="212838FB" w14:textId="3C21886F" w:rsidR="0050324C" w:rsidRPr="004C12C9" w:rsidRDefault="0050324C" w:rsidP="00492632">
            <w:pPr>
              <w:pStyle w:val="ICFTabletext"/>
              <w:jc w:val="center"/>
            </w:pPr>
            <w:r w:rsidRPr="004C12C9">
              <w:t>90.0%</w:t>
            </w:r>
          </w:p>
        </w:tc>
        <w:tc>
          <w:tcPr>
            <w:tcW w:w="1230" w:type="dxa"/>
            <w:hideMark/>
          </w:tcPr>
          <w:p w14:paraId="1F1EC7FB" w14:textId="6D7BEA61" w:rsidR="0050324C" w:rsidRPr="004C12C9" w:rsidRDefault="0050324C" w:rsidP="00492632">
            <w:pPr>
              <w:pStyle w:val="ICFTabletext"/>
              <w:jc w:val="center"/>
            </w:pPr>
            <w:r w:rsidRPr="004C12C9">
              <w:t>100.0%</w:t>
            </w:r>
          </w:p>
        </w:tc>
      </w:tr>
    </w:tbl>
    <w:p w14:paraId="377083BC" w14:textId="7C7D90C8" w:rsidR="0050324C" w:rsidRPr="004C12C9" w:rsidRDefault="00482F2A" w:rsidP="00F85BDB">
      <w:pPr>
        <w:pStyle w:val="TableFooter"/>
        <w:rPr>
          <w:b/>
        </w:rPr>
      </w:pPr>
      <w:r w:rsidRPr="004C12C9">
        <w:rPr>
          <w:vertAlign w:val="superscript"/>
        </w:rPr>
        <w:t>a</w:t>
      </w:r>
      <w:r w:rsidRPr="004C12C9">
        <w:t xml:space="preserve"> </w:t>
      </w:r>
      <w:r w:rsidR="0050324C" w:rsidRPr="004C12C9">
        <w:t>Includes hydroelectric, wind, and solar PV.</w:t>
      </w:r>
    </w:p>
    <w:p w14:paraId="727A87C7" w14:textId="782838E5" w:rsidR="0050324C" w:rsidRPr="004C12C9" w:rsidRDefault="0050324C" w:rsidP="00F85BDB">
      <w:pPr>
        <w:pStyle w:val="Heading4"/>
      </w:pPr>
      <w:r w:rsidRPr="004C12C9">
        <w:rPr>
          <w:rFonts w:eastAsia="Times New Roman"/>
        </w:rPr>
        <w:t>Great River Energy</w:t>
      </w:r>
    </w:p>
    <w:p w14:paraId="61B7DE3E" w14:textId="7B5353DD" w:rsidR="0050324C" w:rsidRPr="004C12C9" w:rsidRDefault="0050324C" w:rsidP="00F85BDB">
      <w:r w:rsidRPr="004C12C9">
        <w:t xml:space="preserve">The lifecycle electricity emission factors for Great River Energy </w:t>
      </w:r>
      <w:r w:rsidR="0095278A" w:rsidRPr="004C12C9">
        <w:t xml:space="preserve">were </w:t>
      </w:r>
      <w:r w:rsidRPr="004C12C9">
        <w:t>derived based on information available from the cooperative for 2024</w:t>
      </w:r>
      <w:r w:rsidR="00D30838" w:rsidRPr="004C12C9">
        <w:rPr>
          <w:rStyle w:val="FootnoteReference"/>
        </w:rPr>
        <w:footnoteReference w:id="154"/>
      </w:r>
      <w:r w:rsidRPr="004C12C9">
        <w:t xml:space="preserve"> and grid mix projections for 2037 from the cooperative’s </w:t>
      </w:r>
      <w:r w:rsidRPr="004C12C9">
        <w:rPr>
          <w:i/>
        </w:rPr>
        <w:t>2023-2037 Integrated Resource Plan</w:t>
      </w:r>
      <w:r w:rsidR="00732CE1" w:rsidRPr="004C12C9">
        <w:t>.</w:t>
      </w:r>
      <w:r w:rsidR="00732CE1" w:rsidRPr="004C12C9">
        <w:rPr>
          <w:rStyle w:val="FootnoteReference"/>
        </w:rPr>
        <w:footnoteReference w:id="155"/>
      </w:r>
      <w:r w:rsidR="00732CE1" w:rsidRPr="004C12C9">
        <w:t xml:space="preserve"> </w:t>
      </w:r>
      <w:r w:rsidRPr="004C12C9">
        <w:t xml:space="preserve">Estimates for 2024 and 2037 were linearly interpolated to derive estimates for 2025, 2030, and 2035. The assumed generation mix for Great River Energy is summarized below in </w:t>
      </w:r>
      <w:r w:rsidR="00735DE2" w:rsidRPr="004C12C9">
        <w:fldChar w:fldCharType="begin" w:fldLock="1"/>
      </w:r>
      <w:r w:rsidR="00735DE2" w:rsidRPr="004C12C9">
        <w:instrText xml:space="preserve"> REF TableC8 \h </w:instrText>
      </w:r>
      <w:r w:rsidR="00735DE2" w:rsidRPr="004C12C9">
        <w:fldChar w:fldCharType="separate"/>
      </w:r>
      <w:r w:rsidR="00735DE2" w:rsidRPr="004C12C9">
        <w:t>Table C-8</w:t>
      </w:r>
      <w:r w:rsidR="00735DE2" w:rsidRPr="004C12C9">
        <w:fldChar w:fldCharType="end"/>
      </w:r>
      <w:r w:rsidRPr="004C12C9">
        <w:t xml:space="preserve">, which also assumes the utility will comply with the state’s requirement to generate 100% of their electricity from carbon-free technologies by 2040. </w:t>
      </w:r>
      <w:r w:rsidR="0095278A" w:rsidRPr="004C12C9">
        <w:rPr>
          <w:lang w:bidi="ar-SA"/>
        </w:rPr>
        <w:t>GREET1 2024 wa</w:t>
      </w:r>
      <w:r w:rsidR="0095278A" w:rsidRPr="004C12C9">
        <w:t>s then</w:t>
      </w:r>
      <w:r w:rsidRPr="004C12C9">
        <w:t xml:space="preserve"> used to derive lifecycle emission factors associated with energy production and generation based on the assumed energy mix.</w:t>
      </w:r>
      <w:r w:rsidR="0095278A" w:rsidRPr="004C12C9">
        <w:rPr>
          <w:rStyle w:val="FootnoteReference"/>
          <w:rFonts w:cs="Calibri"/>
          <w:color w:val="000000"/>
          <w:lang w:bidi="ar-SA"/>
        </w:rPr>
        <w:t xml:space="preserve"> </w:t>
      </w:r>
      <w:r w:rsidR="0095278A" w:rsidRPr="004C12C9">
        <w:rPr>
          <w:rStyle w:val="FootnoteReference"/>
          <w:rFonts w:cs="Calibri"/>
          <w:color w:val="000000"/>
          <w:lang w:bidi="ar-SA"/>
        </w:rPr>
        <w:footnoteReference w:id="156"/>
      </w:r>
    </w:p>
    <w:p w14:paraId="6F4CCA4A" w14:textId="612D68B0" w:rsidR="00364946" w:rsidRPr="004C12C9" w:rsidRDefault="00364946" w:rsidP="00364946">
      <w:pPr>
        <w:pStyle w:val="Caption"/>
      </w:pPr>
      <w:bookmarkStart w:id="286" w:name="TableC8"/>
      <w:r w:rsidRPr="004C12C9">
        <w:t>Table C-</w:t>
      </w:r>
      <w:r w:rsidR="00127094">
        <w:fldChar w:fldCharType="begin"/>
      </w:r>
      <w:r w:rsidR="00127094">
        <w:instrText xml:space="preserve"> SEQ Table_C- \* ARABIC </w:instrText>
      </w:r>
      <w:r w:rsidR="00127094">
        <w:fldChar w:fldCharType="separate"/>
      </w:r>
      <w:r w:rsidR="00127094" w:rsidRPr="004C12C9">
        <w:t>8</w:t>
      </w:r>
      <w:r w:rsidR="00127094">
        <w:fldChar w:fldCharType="end"/>
      </w:r>
      <w:bookmarkEnd w:id="286"/>
      <w:r w:rsidRPr="004C12C9">
        <w:t>. Electric Generation Mix Assumptions for Great River Energy</w:t>
      </w:r>
    </w:p>
    <w:tbl>
      <w:tblPr>
        <w:tblW w:w="92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5"/>
        <w:gridCol w:w="1245"/>
        <w:gridCol w:w="1245"/>
        <w:gridCol w:w="1245"/>
        <w:gridCol w:w="1245"/>
        <w:gridCol w:w="1245"/>
        <w:gridCol w:w="1245"/>
      </w:tblGrid>
      <w:tr w:rsidR="0050324C" w:rsidRPr="004C12C9" w14:paraId="0C597158" w14:textId="77777777" w:rsidTr="00364946">
        <w:trPr>
          <w:trHeight w:val="300"/>
        </w:trPr>
        <w:tc>
          <w:tcPr>
            <w:tcW w:w="1815" w:type="dxa"/>
            <w:shd w:val="clear" w:color="auto" w:fill="D9D9D9" w:themeFill="background1" w:themeFillShade="D9"/>
            <w:hideMark/>
          </w:tcPr>
          <w:p w14:paraId="593C3B5D" w14:textId="77777777" w:rsidR="0050324C" w:rsidRPr="004C12C9" w:rsidRDefault="0050324C" w:rsidP="00492632">
            <w:pPr>
              <w:pStyle w:val="ICFTableHeading"/>
            </w:pPr>
            <w:r w:rsidRPr="004C12C9">
              <w:t>Energy Source </w:t>
            </w:r>
          </w:p>
        </w:tc>
        <w:tc>
          <w:tcPr>
            <w:tcW w:w="1245" w:type="dxa"/>
            <w:shd w:val="clear" w:color="auto" w:fill="D9D9D9" w:themeFill="background1" w:themeFillShade="D9"/>
            <w:hideMark/>
          </w:tcPr>
          <w:p w14:paraId="76BE52FF" w14:textId="77777777" w:rsidR="0050324C" w:rsidRPr="004C12C9" w:rsidRDefault="0050324C" w:rsidP="00492632">
            <w:pPr>
              <w:pStyle w:val="ICFTableHeading"/>
            </w:pPr>
            <w:r w:rsidRPr="004C12C9">
              <w:t>2024 </w:t>
            </w:r>
          </w:p>
        </w:tc>
        <w:tc>
          <w:tcPr>
            <w:tcW w:w="1245" w:type="dxa"/>
            <w:shd w:val="clear" w:color="auto" w:fill="D9D9D9" w:themeFill="background1" w:themeFillShade="D9"/>
            <w:hideMark/>
          </w:tcPr>
          <w:p w14:paraId="7E82F645" w14:textId="77777777" w:rsidR="0050324C" w:rsidRPr="004C12C9" w:rsidRDefault="0050324C" w:rsidP="00492632">
            <w:pPr>
              <w:pStyle w:val="ICFTableHeading"/>
            </w:pPr>
            <w:r w:rsidRPr="004C12C9">
              <w:t>2025 </w:t>
            </w:r>
          </w:p>
        </w:tc>
        <w:tc>
          <w:tcPr>
            <w:tcW w:w="1245" w:type="dxa"/>
            <w:shd w:val="clear" w:color="auto" w:fill="D9D9D9" w:themeFill="background1" w:themeFillShade="D9"/>
            <w:hideMark/>
          </w:tcPr>
          <w:p w14:paraId="012EBC2B" w14:textId="77777777" w:rsidR="0050324C" w:rsidRPr="004C12C9" w:rsidRDefault="0050324C" w:rsidP="00492632">
            <w:pPr>
              <w:pStyle w:val="ICFTableHeading"/>
            </w:pPr>
            <w:r w:rsidRPr="004C12C9">
              <w:t>2030 </w:t>
            </w:r>
          </w:p>
        </w:tc>
        <w:tc>
          <w:tcPr>
            <w:tcW w:w="1245" w:type="dxa"/>
            <w:shd w:val="clear" w:color="auto" w:fill="D9D9D9" w:themeFill="background1" w:themeFillShade="D9"/>
            <w:hideMark/>
          </w:tcPr>
          <w:p w14:paraId="78F55DE9" w14:textId="77777777" w:rsidR="0050324C" w:rsidRPr="004C12C9" w:rsidRDefault="0050324C" w:rsidP="00492632">
            <w:pPr>
              <w:pStyle w:val="ICFTableHeading"/>
            </w:pPr>
            <w:r w:rsidRPr="004C12C9">
              <w:t>2035 </w:t>
            </w:r>
          </w:p>
        </w:tc>
        <w:tc>
          <w:tcPr>
            <w:tcW w:w="1245" w:type="dxa"/>
            <w:shd w:val="clear" w:color="auto" w:fill="D9D9D9" w:themeFill="background1" w:themeFillShade="D9"/>
            <w:hideMark/>
          </w:tcPr>
          <w:p w14:paraId="7820BEDC" w14:textId="77777777" w:rsidR="0050324C" w:rsidRPr="004C12C9" w:rsidRDefault="0050324C" w:rsidP="00492632">
            <w:pPr>
              <w:pStyle w:val="ICFTableHeading"/>
            </w:pPr>
            <w:r w:rsidRPr="004C12C9">
              <w:t>2037 </w:t>
            </w:r>
          </w:p>
        </w:tc>
        <w:tc>
          <w:tcPr>
            <w:tcW w:w="1245" w:type="dxa"/>
            <w:shd w:val="clear" w:color="auto" w:fill="D9D9D9" w:themeFill="background1" w:themeFillShade="D9"/>
            <w:hideMark/>
          </w:tcPr>
          <w:p w14:paraId="1B46F609" w14:textId="77777777" w:rsidR="0050324C" w:rsidRPr="004C12C9" w:rsidRDefault="0050324C" w:rsidP="00492632">
            <w:pPr>
              <w:pStyle w:val="ICFTableHeading"/>
            </w:pPr>
            <w:r w:rsidRPr="004C12C9">
              <w:t>2040 </w:t>
            </w:r>
          </w:p>
        </w:tc>
      </w:tr>
      <w:tr w:rsidR="0050324C" w:rsidRPr="004C12C9" w14:paraId="60E7FAE8" w14:textId="77777777" w:rsidTr="00364946">
        <w:trPr>
          <w:trHeight w:val="300"/>
        </w:trPr>
        <w:tc>
          <w:tcPr>
            <w:tcW w:w="1815" w:type="dxa"/>
            <w:hideMark/>
          </w:tcPr>
          <w:p w14:paraId="5E5DE7AD" w14:textId="77777777" w:rsidR="0050324C" w:rsidRPr="004C12C9" w:rsidRDefault="0050324C" w:rsidP="00492632">
            <w:pPr>
              <w:pStyle w:val="ICFTabletext"/>
              <w:rPr>
                <w:b/>
              </w:rPr>
            </w:pPr>
            <w:r w:rsidRPr="004C12C9">
              <w:t>Residual oil</w:t>
            </w:r>
            <w:r w:rsidRPr="004C12C9">
              <w:rPr>
                <w:b/>
              </w:rPr>
              <w:t> </w:t>
            </w:r>
          </w:p>
        </w:tc>
        <w:tc>
          <w:tcPr>
            <w:tcW w:w="1245" w:type="dxa"/>
            <w:hideMark/>
          </w:tcPr>
          <w:p w14:paraId="538DC637" w14:textId="2BD93AF9" w:rsidR="0050324C" w:rsidRPr="004C12C9" w:rsidRDefault="0050324C" w:rsidP="00492632">
            <w:pPr>
              <w:pStyle w:val="ICFTabletext"/>
              <w:jc w:val="center"/>
            </w:pPr>
            <w:r w:rsidRPr="004C12C9">
              <w:t>0.1%</w:t>
            </w:r>
          </w:p>
        </w:tc>
        <w:tc>
          <w:tcPr>
            <w:tcW w:w="1245" w:type="dxa"/>
            <w:hideMark/>
          </w:tcPr>
          <w:p w14:paraId="00FA1B2E" w14:textId="47B83062" w:rsidR="0050324C" w:rsidRPr="004C12C9" w:rsidRDefault="0050324C" w:rsidP="00492632">
            <w:pPr>
              <w:pStyle w:val="ICFTabletext"/>
              <w:jc w:val="center"/>
            </w:pPr>
            <w:r w:rsidRPr="004C12C9">
              <w:t>0.3%</w:t>
            </w:r>
          </w:p>
        </w:tc>
        <w:tc>
          <w:tcPr>
            <w:tcW w:w="1245" w:type="dxa"/>
            <w:hideMark/>
          </w:tcPr>
          <w:p w14:paraId="15F1561B" w14:textId="0024F5D9" w:rsidR="0050324C" w:rsidRPr="004C12C9" w:rsidRDefault="0050324C" w:rsidP="00492632">
            <w:pPr>
              <w:pStyle w:val="ICFTabletext"/>
              <w:jc w:val="center"/>
            </w:pPr>
            <w:r w:rsidRPr="004C12C9">
              <w:t>1.4%</w:t>
            </w:r>
          </w:p>
        </w:tc>
        <w:tc>
          <w:tcPr>
            <w:tcW w:w="1245" w:type="dxa"/>
            <w:hideMark/>
          </w:tcPr>
          <w:p w14:paraId="66810B98" w14:textId="24F83BEF" w:rsidR="0050324C" w:rsidRPr="004C12C9" w:rsidRDefault="0050324C" w:rsidP="00492632">
            <w:pPr>
              <w:pStyle w:val="ICFTabletext"/>
              <w:jc w:val="center"/>
            </w:pPr>
            <w:r w:rsidRPr="004C12C9">
              <w:t>2.3%</w:t>
            </w:r>
          </w:p>
        </w:tc>
        <w:tc>
          <w:tcPr>
            <w:tcW w:w="1245" w:type="dxa"/>
            <w:hideMark/>
          </w:tcPr>
          <w:p w14:paraId="7FA6BDFD" w14:textId="621FF8D8" w:rsidR="0050324C" w:rsidRPr="004C12C9" w:rsidRDefault="0050324C" w:rsidP="00492632">
            <w:pPr>
              <w:pStyle w:val="ICFTabletext"/>
              <w:jc w:val="center"/>
            </w:pPr>
            <w:r w:rsidRPr="004C12C9">
              <w:t>2.5%</w:t>
            </w:r>
          </w:p>
        </w:tc>
        <w:tc>
          <w:tcPr>
            <w:tcW w:w="1245" w:type="dxa"/>
            <w:hideMark/>
          </w:tcPr>
          <w:p w14:paraId="3AD38D7E" w14:textId="7F9A6775" w:rsidR="0050324C" w:rsidRPr="004C12C9" w:rsidRDefault="0050324C" w:rsidP="00492632">
            <w:pPr>
              <w:pStyle w:val="ICFTabletext"/>
              <w:jc w:val="center"/>
            </w:pPr>
            <w:r w:rsidRPr="004C12C9">
              <w:t>0.0%</w:t>
            </w:r>
          </w:p>
        </w:tc>
      </w:tr>
      <w:tr w:rsidR="0050324C" w:rsidRPr="004C12C9" w14:paraId="572FE530" w14:textId="77777777" w:rsidTr="00364946">
        <w:trPr>
          <w:trHeight w:val="300"/>
        </w:trPr>
        <w:tc>
          <w:tcPr>
            <w:tcW w:w="1815" w:type="dxa"/>
            <w:hideMark/>
          </w:tcPr>
          <w:p w14:paraId="3E9171D8" w14:textId="77777777" w:rsidR="0050324C" w:rsidRPr="004C12C9" w:rsidRDefault="0050324C" w:rsidP="00492632">
            <w:pPr>
              <w:pStyle w:val="ICFTabletext"/>
              <w:rPr>
                <w:b/>
              </w:rPr>
            </w:pPr>
            <w:r w:rsidRPr="004C12C9">
              <w:t>Natural gas</w:t>
            </w:r>
            <w:r w:rsidRPr="004C12C9">
              <w:rPr>
                <w:b/>
              </w:rPr>
              <w:t> </w:t>
            </w:r>
          </w:p>
        </w:tc>
        <w:tc>
          <w:tcPr>
            <w:tcW w:w="1245" w:type="dxa"/>
            <w:hideMark/>
          </w:tcPr>
          <w:p w14:paraId="6CC943F5" w14:textId="617FF068" w:rsidR="0050324C" w:rsidRPr="004C12C9" w:rsidRDefault="0050324C" w:rsidP="00492632">
            <w:pPr>
              <w:pStyle w:val="ICFTabletext"/>
              <w:jc w:val="center"/>
            </w:pPr>
            <w:r w:rsidRPr="004C12C9">
              <w:t>5.3%</w:t>
            </w:r>
          </w:p>
        </w:tc>
        <w:tc>
          <w:tcPr>
            <w:tcW w:w="1245" w:type="dxa"/>
            <w:hideMark/>
          </w:tcPr>
          <w:p w14:paraId="0040FBB4" w14:textId="0436BE32" w:rsidR="0050324C" w:rsidRPr="004C12C9" w:rsidRDefault="0050324C" w:rsidP="00492632">
            <w:pPr>
              <w:pStyle w:val="ICFTabletext"/>
              <w:jc w:val="center"/>
            </w:pPr>
            <w:r w:rsidRPr="004C12C9">
              <w:t>5.2%</w:t>
            </w:r>
          </w:p>
        </w:tc>
        <w:tc>
          <w:tcPr>
            <w:tcW w:w="1245" w:type="dxa"/>
            <w:hideMark/>
          </w:tcPr>
          <w:p w14:paraId="5804D8DE" w14:textId="432B33AB" w:rsidR="0050324C" w:rsidRPr="004C12C9" w:rsidRDefault="0050324C" w:rsidP="00492632">
            <w:pPr>
              <w:pStyle w:val="ICFTabletext"/>
              <w:jc w:val="center"/>
            </w:pPr>
            <w:r w:rsidRPr="004C12C9">
              <w:t>4.4%</w:t>
            </w:r>
          </w:p>
        </w:tc>
        <w:tc>
          <w:tcPr>
            <w:tcW w:w="1245" w:type="dxa"/>
            <w:hideMark/>
          </w:tcPr>
          <w:p w14:paraId="4D00AA7F" w14:textId="6B6A071A" w:rsidR="0050324C" w:rsidRPr="004C12C9" w:rsidRDefault="0050324C" w:rsidP="00492632">
            <w:pPr>
              <w:pStyle w:val="ICFTabletext"/>
              <w:jc w:val="center"/>
            </w:pPr>
            <w:r w:rsidRPr="004C12C9">
              <w:t>3.7%</w:t>
            </w:r>
          </w:p>
        </w:tc>
        <w:tc>
          <w:tcPr>
            <w:tcW w:w="1245" w:type="dxa"/>
            <w:hideMark/>
          </w:tcPr>
          <w:p w14:paraId="2D9996F1" w14:textId="5D9F646F" w:rsidR="0050324C" w:rsidRPr="004C12C9" w:rsidRDefault="0050324C" w:rsidP="00492632">
            <w:pPr>
              <w:pStyle w:val="ICFTabletext"/>
              <w:jc w:val="center"/>
            </w:pPr>
            <w:r w:rsidRPr="004C12C9">
              <w:t>3.5%</w:t>
            </w:r>
          </w:p>
        </w:tc>
        <w:tc>
          <w:tcPr>
            <w:tcW w:w="1245" w:type="dxa"/>
            <w:hideMark/>
          </w:tcPr>
          <w:p w14:paraId="784055FE" w14:textId="46DCD70E" w:rsidR="0050324C" w:rsidRPr="004C12C9" w:rsidRDefault="0050324C" w:rsidP="00492632">
            <w:pPr>
              <w:pStyle w:val="ICFTabletext"/>
              <w:jc w:val="center"/>
            </w:pPr>
            <w:r w:rsidRPr="004C12C9">
              <w:t>0.0%</w:t>
            </w:r>
          </w:p>
        </w:tc>
      </w:tr>
      <w:tr w:rsidR="0050324C" w:rsidRPr="004C12C9" w14:paraId="1FE7083B" w14:textId="77777777" w:rsidTr="00364946">
        <w:trPr>
          <w:trHeight w:val="300"/>
        </w:trPr>
        <w:tc>
          <w:tcPr>
            <w:tcW w:w="1815" w:type="dxa"/>
            <w:hideMark/>
          </w:tcPr>
          <w:p w14:paraId="63783C46" w14:textId="77777777" w:rsidR="0050324C" w:rsidRPr="004C12C9" w:rsidRDefault="0050324C" w:rsidP="00492632">
            <w:pPr>
              <w:pStyle w:val="ICFTabletext"/>
              <w:rPr>
                <w:b/>
              </w:rPr>
            </w:pPr>
            <w:r w:rsidRPr="004C12C9">
              <w:t>Coal</w:t>
            </w:r>
            <w:r w:rsidRPr="004C12C9">
              <w:rPr>
                <w:b/>
              </w:rPr>
              <w:t> </w:t>
            </w:r>
          </w:p>
        </w:tc>
        <w:tc>
          <w:tcPr>
            <w:tcW w:w="1245" w:type="dxa"/>
            <w:hideMark/>
          </w:tcPr>
          <w:p w14:paraId="16AD4178" w14:textId="21332109" w:rsidR="0050324C" w:rsidRPr="004C12C9" w:rsidRDefault="0050324C" w:rsidP="00492632">
            <w:pPr>
              <w:pStyle w:val="ICFTabletext"/>
              <w:jc w:val="center"/>
            </w:pPr>
            <w:r w:rsidRPr="004C12C9">
              <w:t>49.9%</w:t>
            </w:r>
          </w:p>
        </w:tc>
        <w:tc>
          <w:tcPr>
            <w:tcW w:w="1245" w:type="dxa"/>
            <w:hideMark/>
          </w:tcPr>
          <w:p w14:paraId="0FB54BA0" w14:textId="41870DCB" w:rsidR="0050324C" w:rsidRPr="004C12C9" w:rsidRDefault="0050324C" w:rsidP="00492632">
            <w:pPr>
              <w:pStyle w:val="ICFTabletext"/>
              <w:jc w:val="center"/>
            </w:pPr>
            <w:r w:rsidRPr="004C12C9">
              <w:t>46.3%</w:t>
            </w:r>
          </w:p>
        </w:tc>
        <w:tc>
          <w:tcPr>
            <w:tcW w:w="1245" w:type="dxa"/>
            <w:hideMark/>
          </w:tcPr>
          <w:p w14:paraId="3922E0FD" w14:textId="7528EF12" w:rsidR="0050324C" w:rsidRPr="004C12C9" w:rsidRDefault="0050324C" w:rsidP="00492632">
            <w:pPr>
              <w:pStyle w:val="ICFTabletext"/>
              <w:jc w:val="center"/>
            </w:pPr>
            <w:r w:rsidRPr="004C12C9">
              <w:t>24.2%</w:t>
            </w:r>
          </w:p>
        </w:tc>
        <w:tc>
          <w:tcPr>
            <w:tcW w:w="1245" w:type="dxa"/>
            <w:hideMark/>
          </w:tcPr>
          <w:p w14:paraId="0A1E15AB" w14:textId="3E688CEF" w:rsidR="0050324C" w:rsidRPr="004C12C9" w:rsidRDefault="0050324C" w:rsidP="00492632">
            <w:pPr>
              <w:pStyle w:val="ICFTabletext"/>
              <w:jc w:val="center"/>
            </w:pPr>
            <w:r w:rsidRPr="004C12C9">
              <w:t>5.8%</w:t>
            </w:r>
          </w:p>
        </w:tc>
        <w:tc>
          <w:tcPr>
            <w:tcW w:w="1245" w:type="dxa"/>
            <w:hideMark/>
          </w:tcPr>
          <w:p w14:paraId="3F31E6BC" w14:textId="4BF38F5B" w:rsidR="0050324C" w:rsidRPr="004C12C9" w:rsidRDefault="0050324C" w:rsidP="00492632">
            <w:pPr>
              <w:pStyle w:val="ICFTabletext"/>
              <w:jc w:val="center"/>
            </w:pPr>
            <w:r w:rsidRPr="004C12C9">
              <w:t>2.2%</w:t>
            </w:r>
          </w:p>
        </w:tc>
        <w:tc>
          <w:tcPr>
            <w:tcW w:w="1245" w:type="dxa"/>
            <w:hideMark/>
          </w:tcPr>
          <w:p w14:paraId="786D9B2D" w14:textId="59CF6A6D" w:rsidR="0050324C" w:rsidRPr="004C12C9" w:rsidRDefault="0050324C" w:rsidP="00492632">
            <w:pPr>
              <w:pStyle w:val="ICFTabletext"/>
              <w:jc w:val="center"/>
            </w:pPr>
            <w:r w:rsidRPr="004C12C9">
              <w:t>0.0%</w:t>
            </w:r>
          </w:p>
        </w:tc>
      </w:tr>
      <w:tr w:rsidR="0050324C" w:rsidRPr="004C12C9" w14:paraId="781D7628" w14:textId="77777777" w:rsidTr="00364946">
        <w:trPr>
          <w:trHeight w:val="300"/>
        </w:trPr>
        <w:tc>
          <w:tcPr>
            <w:tcW w:w="1815" w:type="dxa"/>
            <w:hideMark/>
          </w:tcPr>
          <w:p w14:paraId="7D339513" w14:textId="77777777" w:rsidR="0050324C" w:rsidRPr="004C12C9" w:rsidRDefault="0050324C" w:rsidP="00492632">
            <w:pPr>
              <w:pStyle w:val="ICFTabletext"/>
              <w:rPr>
                <w:b/>
              </w:rPr>
            </w:pPr>
            <w:r w:rsidRPr="004C12C9">
              <w:t>Nuclear power</w:t>
            </w:r>
            <w:r w:rsidRPr="004C12C9">
              <w:rPr>
                <w:b/>
              </w:rPr>
              <w:t> </w:t>
            </w:r>
          </w:p>
        </w:tc>
        <w:tc>
          <w:tcPr>
            <w:tcW w:w="1245" w:type="dxa"/>
            <w:hideMark/>
          </w:tcPr>
          <w:p w14:paraId="3EEAEB58" w14:textId="0532C5AC" w:rsidR="0050324C" w:rsidRPr="004C12C9" w:rsidRDefault="0050324C" w:rsidP="00492632">
            <w:pPr>
              <w:pStyle w:val="ICFTabletext"/>
              <w:jc w:val="center"/>
            </w:pPr>
            <w:r w:rsidRPr="004C12C9">
              <w:t>3.3%</w:t>
            </w:r>
          </w:p>
        </w:tc>
        <w:tc>
          <w:tcPr>
            <w:tcW w:w="1245" w:type="dxa"/>
            <w:hideMark/>
          </w:tcPr>
          <w:p w14:paraId="5553691B" w14:textId="07D60472" w:rsidR="0050324C" w:rsidRPr="004C12C9" w:rsidRDefault="0050324C" w:rsidP="00492632">
            <w:pPr>
              <w:pStyle w:val="ICFTabletext"/>
              <w:jc w:val="center"/>
            </w:pPr>
            <w:r w:rsidRPr="004C12C9">
              <w:t>3.1%</w:t>
            </w:r>
          </w:p>
        </w:tc>
        <w:tc>
          <w:tcPr>
            <w:tcW w:w="1245" w:type="dxa"/>
            <w:hideMark/>
          </w:tcPr>
          <w:p w14:paraId="7BF41E5A" w14:textId="38753C4B" w:rsidR="0050324C" w:rsidRPr="004C12C9" w:rsidRDefault="0050324C" w:rsidP="00492632">
            <w:pPr>
              <w:pStyle w:val="ICFTabletext"/>
              <w:jc w:val="center"/>
            </w:pPr>
            <w:r w:rsidRPr="004C12C9">
              <w:t>2.1%</w:t>
            </w:r>
          </w:p>
        </w:tc>
        <w:tc>
          <w:tcPr>
            <w:tcW w:w="1245" w:type="dxa"/>
            <w:hideMark/>
          </w:tcPr>
          <w:p w14:paraId="5F3D51F6" w14:textId="0496C98A" w:rsidR="0050324C" w:rsidRPr="004C12C9" w:rsidRDefault="0050324C" w:rsidP="00492632">
            <w:pPr>
              <w:pStyle w:val="ICFTabletext"/>
              <w:jc w:val="center"/>
            </w:pPr>
            <w:r w:rsidRPr="004C12C9">
              <w:t>1.3%</w:t>
            </w:r>
          </w:p>
        </w:tc>
        <w:tc>
          <w:tcPr>
            <w:tcW w:w="1245" w:type="dxa"/>
            <w:hideMark/>
          </w:tcPr>
          <w:p w14:paraId="4E7E4087" w14:textId="27BE60C4" w:rsidR="0050324C" w:rsidRPr="004C12C9" w:rsidRDefault="0050324C" w:rsidP="00492632">
            <w:pPr>
              <w:pStyle w:val="ICFTabletext"/>
              <w:jc w:val="center"/>
            </w:pPr>
            <w:r w:rsidRPr="004C12C9">
              <w:t>1.1%</w:t>
            </w:r>
          </w:p>
        </w:tc>
        <w:tc>
          <w:tcPr>
            <w:tcW w:w="1245" w:type="dxa"/>
            <w:hideMark/>
          </w:tcPr>
          <w:p w14:paraId="5C7E660A" w14:textId="4D930A6E" w:rsidR="0050324C" w:rsidRPr="004C12C9" w:rsidRDefault="0050324C" w:rsidP="00492632">
            <w:pPr>
              <w:pStyle w:val="ICFTabletext"/>
              <w:jc w:val="center"/>
            </w:pPr>
            <w:r w:rsidRPr="004C12C9">
              <w:t>0.0%</w:t>
            </w:r>
          </w:p>
        </w:tc>
      </w:tr>
      <w:tr w:rsidR="0050324C" w:rsidRPr="004C12C9" w14:paraId="05316036" w14:textId="77777777" w:rsidTr="00364946">
        <w:trPr>
          <w:trHeight w:val="300"/>
        </w:trPr>
        <w:tc>
          <w:tcPr>
            <w:tcW w:w="1815" w:type="dxa"/>
            <w:hideMark/>
          </w:tcPr>
          <w:p w14:paraId="1D4AC549" w14:textId="77777777" w:rsidR="0050324C" w:rsidRPr="004C12C9" w:rsidRDefault="0050324C" w:rsidP="00492632">
            <w:pPr>
              <w:pStyle w:val="ICFTabletext"/>
              <w:rPr>
                <w:b/>
              </w:rPr>
            </w:pPr>
            <w:r w:rsidRPr="004C12C9">
              <w:t>Biomass</w:t>
            </w:r>
            <w:r w:rsidRPr="004C12C9">
              <w:rPr>
                <w:b/>
              </w:rPr>
              <w:t> </w:t>
            </w:r>
          </w:p>
        </w:tc>
        <w:tc>
          <w:tcPr>
            <w:tcW w:w="1245" w:type="dxa"/>
            <w:hideMark/>
          </w:tcPr>
          <w:p w14:paraId="587F3299" w14:textId="1D0405E4" w:rsidR="0050324C" w:rsidRPr="004C12C9" w:rsidRDefault="0050324C" w:rsidP="00492632">
            <w:pPr>
              <w:pStyle w:val="ICFTabletext"/>
              <w:jc w:val="center"/>
            </w:pPr>
            <w:r w:rsidRPr="004C12C9">
              <w:t>0.2%</w:t>
            </w:r>
          </w:p>
        </w:tc>
        <w:tc>
          <w:tcPr>
            <w:tcW w:w="1245" w:type="dxa"/>
            <w:hideMark/>
          </w:tcPr>
          <w:p w14:paraId="22C4F073" w14:textId="3E62ACD5" w:rsidR="0050324C" w:rsidRPr="004C12C9" w:rsidRDefault="0050324C" w:rsidP="00492632">
            <w:pPr>
              <w:pStyle w:val="ICFTabletext"/>
              <w:jc w:val="center"/>
            </w:pPr>
            <w:r w:rsidRPr="004C12C9">
              <w:t>0.2%</w:t>
            </w:r>
          </w:p>
        </w:tc>
        <w:tc>
          <w:tcPr>
            <w:tcW w:w="1245" w:type="dxa"/>
            <w:hideMark/>
          </w:tcPr>
          <w:p w14:paraId="78492F96" w14:textId="6A8D3946" w:rsidR="0050324C" w:rsidRPr="004C12C9" w:rsidRDefault="0050324C" w:rsidP="00492632">
            <w:pPr>
              <w:pStyle w:val="ICFTabletext"/>
              <w:jc w:val="center"/>
            </w:pPr>
            <w:r w:rsidRPr="004C12C9">
              <w:t>0.2%</w:t>
            </w:r>
          </w:p>
        </w:tc>
        <w:tc>
          <w:tcPr>
            <w:tcW w:w="1245" w:type="dxa"/>
            <w:hideMark/>
          </w:tcPr>
          <w:p w14:paraId="2AB37618" w14:textId="46DB20B9" w:rsidR="0050324C" w:rsidRPr="004C12C9" w:rsidRDefault="0050324C" w:rsidP="00492632">
            <w:pPr>
              <w:pStyle w:val="ICFTabletext"/>
              <w:jc w:val="center"/>
            </w:pPr>
            <w:r w:rsidRPr="004C12C9">
              <w:t>0.1%</w:t>
            </w:r>
          </w:p>
        </w:tc>
        <w:tc>
          <w:tcPr>
            <w:tcW w:w="1245" w:type="dxa"/>
            <w:hideMark/>
          </w:tcPr>
          <w:p w14:paraId="41C64013" w14:textId="5F83416E" w:rsidR="0050324C" w:rsidRPr="004C12C9" w:rsidRDefault="0050324C" w:rsidP="00492632">
            <w:pPr>
              <w:pStyle w:val="ICFTabletext"/>
              <w:jc w:val="center"/>
            </w:pPr>
            <w:r w:rsidRPr="004C12C9">
              <w:t>0.1%</w:t>
            </w:r>
          </w:p>
        </w:tc>
        <w:tc>
          <w:tcPr>
            <w:tcW w:w="1245" w:type="dxa"/>
            <w:hideMark/>
          </w:tcPr>
          <w:p w14:paraId="6D94EC12" w14:textId="49720C33" w:rsidR="0050324C" w:rsidRPr="004C12C9" w:rsidRDefault="0050324C" w:rsidP="00492632">
            <w:pPr>
              <w:pStyle w:val="ICFTabletext"/>
              <w:jc w:val="center"/>
            </w:pPr>
            <w:r w:rsidRPr="004C12C9">
              <w:t>0.0%</w:t>
            </w:r>
          </w:p>
        </w:tc>
      </w:tr>
      <w:tr w:rsidR="0050324C" w:rsidRPr="004C12C9" w14:paraId="3E494210" w14:textId="77777777" w:rsidTr="00364946">
        <w:trPr>
          <w:trHeight w:val="300"/>
        </w:trPr>
        <w:tc>
          <w:tcPr>
            <w:tcW w:w="1815" w:type="dxa"/>
            <w:hideMark/>
          </w:tcPr>
          <w:p w14:paraId="524499DC" w14:textId="43FE19F9" w:rsidR="0050324C" w:rsidRPr="004C12C9" w:rsidRDefault="0050324C" w:rsidP="00492632">
            <w:pPr>
              <w:pStyle w:val="ICFTabletext"/>
              <w:rPr>
                <w:b/>
              </w:rPr>
            </w:pPr>
            <w:r w:rsidRPr="004C12C9">
              <w:t>Others</w:t>
            </w:r>
            <w:r w:rsidR="00364946" w:rsidRPr="004C12C9">
              <w:rPr>
                <w:vertAlign w:val="superscript"/>
              </w:rPr>
              <w:t>a</w:t>
            </w:r>
            <w:r w:rsidRPr="004C12C9">
              <w:rPr>
                <w:b/>
                <w:vertAlign w:val="superscript"/>
              </w:rPr>
              <w:t> </w:t>
            </w:r>
          </w:p>
        </w:tc>
        <w:tc>
          <w:tcPr>
            <w:tcW w:w="1245" w:type="dxa"/>
            <w:hideMark/>
          </w:tcPr>
          <w:p w14:paraId="2CCF6723" w14:textId="374AE84E" w:rsidR="0050324C" w:rsidRPr="004C12C9" w:rsidRDefault="0050324C" w:rsidP="00492632">
            <w:pPr>
              <w:pStyle w:val="ICFTabletext"/>
              <w:jc w:val="center"/>
            </w:pPr>
            <w:r w:rsidRPr="004C12C9">
              <w:t>41.1%</w:t>
            </w:r>
          </w:p>
        </w:tc>
        <w:tc>
          <w:tcPr>
            <w:tcW w:w="1245" w:type="dxa"/>
            <w:hideMark/>
          </w:tcPr>
          <w:p w14:paraId="2BB477DE" w14:textId="4FBEC1C4" w:rsidR="0050324C" w:rsidRPr="004C12C9" w:rsidRDefault="0050324C" w:rsidP="00492632">
            <w:pPr>
              <w:pStyle w:val="ICFTabletext"/>
              <w:jc w:val="center"/>
            </w:pPr>
            <w:r w:rsidRPr="004C12C9">
              <w:t>45.0%</w:t>
            </w:r>
          </w:p>
        </w:tc>
        <w:tc>
          <w:tcPr>
            <w:tcW w:w="1245" w:type="dxa"/>
            <w:hideMark/>
          </w:tcPr>
          <w:p w14:paraId="4567446F" w14:textId="641C5657" w:rsidR="0050324C" w:rsidRPr="004C12C9" w:rsidRDefault="0050324C" w:rsidP="00492632">
            <w:pPr>
              <w:pStyle w:val="ICFTabletext"/>
              <w:jc w:val="center"/>
            </w:pPr>
            <w:r w:rsidRPr="004C12C9">
              <w:t>67.8%</w:t>
            </w:r>
          </w:p>
        </w:tc>
        <w:tc>
          <w:tcPr>
            <w:tcW w:w="1245" w:type="dxa"/>
            <w:hideMark/>
          </w:tcPr>
          <w:p w14:paraId="25B9266D" w14:textId="2E293527" w:rsidR="0050324C" w:rsidRPr="004C12C9" w:rsidRDefault="0050324C" w:rsidP="00492632">
            <w:pPr>
              <w:pStyle w:val="ICFTabletext"/>
              <w:jc w:val="center"/>
            </w:pPr>
            <w:r w:rsidRPr="004C12C9">
              <w:t>86.8%</w:t>
            </w:r>
          </w:p>
        </w:tc>
        <w:tc>
          <w:tcPr>
            <w:tcW w:w="1245" w:type="dxa"/>
            <w:hideMark/>
          </w:tcPr>
          <w:p w14:paraId="4B03DDBE" w14:textId="7DE8E212" w:rsidR="0050324C" w:rsidRPr="004C12C9" w:rsidRDefault="0050324C" w:rsidP="00492632">
            <w:pPr>
              <w:pStyle w:val="ICFTabletext"/>
              <w:jc w:val="center"/>
            </w:pPr>
            <w:r w:rsidRPr="004C12C9">
              <w:t>90.6%</w:t>
            </w:r>
          </w:p>
        </w:tc>
        <w:tc>
          <w:tcPr>
            <w:tcW w:w="1245" w:type="dxa"/>
            <w:hideMark/>
          </w:tcPr>
          <w:p w14:paraId="6E5E9A10" w14:textId="6A35C2A0" w:rsidR="0050324C" w:rsidRPr="004C12C9" w:rsidRDefault="0050324C" w:rsidP="00492632">
            <w:pPr>
              <w:pStyle w:val="ICFTabletext"/>
              <w:jc w:val="center"/>
            </w:pPr>
            <w:r w:rsidRPr="004C12C9">
              <w:t>100.0%</w:t>
            </w:r>
          </w:p>
        </w:tc>
      </w:tr>
    </w:tbl>
    <w:p w14:paraId="6BD029CA" w14:textId="52D3D2B6" w:rsidR="0050324C" w:rsidRPr="004C12C9" w:rsidRDefault="00364946" w:rsidP="00F85BDB">
      <w:pPr>
        <w:pStyle w:val="TableFooter"/>
        <w:rPr>
          <w:b/>
          <w:bCs/>
          <w:sz w:val="22"/>
          <w:szCs w:val="22"/>
        </w:rPr>
      </w:pPr>
      <w:r w:rsidRPr="004C12C9">
        <w:rPr>
          <w:vertAlign w:val="superscript"/>
        </w:rPr>
        <w:t>a</w:t>
      </w:r>
      <w:r w:rsidRPr="004C12C9">
        <w:rPr>
          <w:b/>
          <w:vertAlign w:val="superscript"/>
        </w:rPr>
        <w:t> </w:t>
      </w:r>
      <w:r w:rsidR="0050324C" w:rsidRPr="004C12C9">
        <w:t>Includes hydroelectric, wind, and solar PV.</w:t>
      </w:r>
    </w:p>
    <w:p w14:paraId="2BE01C0D" w14:textId="2347805D" w:rsidR="0050324C" w:rsidRPr="004C12C9" w:rsidRDefault="0050324C" w:rsidP="00F85BDB">
      <w:pPr>
        <w:pStyle w:val="Heading4"/>
      </w:pPr>
      <w:r w:rsidRPr="004C12C9">
        <w:rPr>
          <w:rFonts w:eastAsia="Times New Roman"/>
        </w:rPr>
        <w:t>Otter Tail Power Company</w:t>
      </w:r>
    </w:p>
    <w:p w14:paraId="4FA0E754" w14:textId="283DF57F" w:rsidR="0050324C" w:rsidRPr="004C12C9" w:rsidRDefault="0050324C" w:rsidP="00F85BDB">
      <w:r w:rsidRPr="004C12C9">
        <w:t xml:space="preserve">The lifecycle electricity emission factors for Otter Tail Power Company </w:t>
      </w:r>
      <w:r w:rsidR="0095278A" w:rsidRPr="004C12C9">
        <w:t xml:space="preserve">were </w:t>
      </w:r>
      <w:r w:rsidRPr="004C12C9">
        <w:t xml:space="preserve">derived based on energy delivery mix data from the utility’s </w:t>
      </w:r>
      <w:r w:rsidRPr="004C12C9">
        <w:rPr>
          <w:i/>
        </w:rPr>
        <w:t>ESG Report 2023</w:t>
      </w:r>
      <w:r w:rsidR="0099087E" w:rsidRPr="004C12C9">
        <w:t>.</w:t>
      </w:r>
      <w:r w:rsidR="0099087E" w:rsidRPr="004C12C9">
        <w:rPr>
          <w:rStyle w:val="FootnoteReference"/>
        </w:rPr>
        <w:footnoteReference w:id="157"/>
      </w:r>
      <w:r w:rsidR="0099087E" w:rsidRPr="004C12C9">
        <w:t xml:space="preserve"> </w:t>
      </w:r>
      <w:r w:rsidRPr="004C12C9">
        <w:t xml:space="preserve">The assumed generation mix for Otter Tail Power Company is summarized below in </w:t>
      </w:r>
      <w:r w:rsidR="00735DE2" w:rsidRPr="004C12C9">
        <w:fldChar w:fldCharType="begin" w:fldLock="1"/>
      </w:r>
      <w:r w:rsidR="00735DE2" w:rsidRPr="004C12C9">
        <w:instrText xml:space="preserve"> REF TableC9 \h </w:instrText>
      </w:r>
      <w:r w:rsidR="00735DE2" w:rsidRPr="004C12C9">
        <w:fldChar w:fldCharType="separate"/>
      </w:r>
      <w:r w:rsidR="00735DE2" w:rsidRPr="004C12C9">
        <w:t>Table C-9</w:t>
      </w:r>
      <w:r w:rsidR="00735DE2" w:rsidRPr="004C12C9">
        <w:fldChar w:fldCharType="end"/>
      </w:r>
      <w:r w:rsidRPr="004C12C9">
        <w:t xml:space="preserve">, which also assumes the utility will comply with the state’s requirement to generate 100% of their electricity from carbon-free technologies by 2040. </w:t>
      </w:r>
      <w:r w:rsidR="0095278A" w:rsidRPr="004C12C9">
        <w:rPr>
          <w:lang w:bidi="ar-SA"/>
        </w:rPr>
        <w:t xml:space="preserve">GREET1 2024 </w:t>
      </w:r>
      <w:r w:rsidR="0095278A" w:rsidRPr="004C12C9">
        <w:rPr>
          <w:lang w:bidi="ar-SA"/>
        </w:rPr>
        <w:lastRenderedPageBreak/>
        <w:t>wa</w:t>
      </w:r>
      <w:r w:rsidR="0095278A" w:rsidRPr="004C12C9">
        <w:t xml:space="preserve">s then </w:t>
      </w:r>
      <w:r w:rsidRPr="004C12C9">
        <w:t>used to derive lifecycle emission factors associated with energy production and generation based on the assumed energy mix.</w:t>
      </w:r>
      <w:r w:rsidR="0095278A" w:rsidRPr="004C12C9">
        <w:rPr>
          <w:rStyle w:val="FootnoteReference"/>
          <w:rFonts w:cs="Calibri"/>
          <w:color w:val="000000"/>
          <w:lang w:bidi="ar-SA"/>
        </w:rPr>
        <w:t xml:space="preserve"> </w:t>
      </w:r>
      <w:r w:rsidR="0095278A" w:rsidRPr="004C12C9">
        <w:rPr>
          <w:rStyle w:val="FootnoteReference"/>
          <w:rFonts w:cs="Calibri"/>
          <w:color w:val="000000"/>
          <w:lang w:bidi="ar-SA"/>
        </w:rPr>
        <w:footnoteReference w:id="158"/>
      </w:r>
    </w:p>
    <w:p w14:paraId="1F70AB86" w14:textId="33BCED7F" w:rsidR="00364946" w:rsidRPr="004C12C9" w:rsidRDefault="00364946" w:rsidP="00364946">
      <w:pPr>
        <w:pStyle w:val="Caption"/>
      </w:pPr>
      <w:bookmarkStart w:id="287" w:name="TableC9"/>
      <w:r w:rsidRPr="004C12C9">
        <w:t>Table C-</w:t>
      </w:r>
      <w:r w:rsidR="00127094">
        <w:fldChar w:fldCharType="begin"/>
      </w:r>
      <w:r w:rsidR="00127094">
        <w:instrText xml:space="preserve"> SEQ Table_C- \* ARABIC </w:instrText>
      </w:r>
      <w:r w:rsidR="00127094">
        <w:fldChar w:fldCharType="separate"/>
      </w:r>
      <w:r w:rsidR="00127094" w:rsidRPr="004C12C9">
        <w:t>9</w:t>
      </w:r>
      <w:r w:rsidR="00127094">
        <w:fldChar w:fldCharType="end"/>
      </w:r>
      <w:bookmarkEnd w:id="287"/>
      <w:r w:rsidRPr="004C12C9">
        <w:t>. Electric Generation Mix Assumptions for Otter Tail Power Company</w:t>
      </w:r>
    </w:p>
    <w:tbl>
      <w:tblPr>
        <w:tblW w:w="68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0"/>
        <w:gridCol w:w="1230"/>
        <w:gridCol w:w="1230"/>
        <w:gridCol w:w="1230"/>
        <w:gridCol w:w="1230"/>
      </w:tblGrid>
      <w:tr w:rsidR="0050324C" w:rsidRPr="004C12C9" w14:paraId="7D647C45" w14:textId="77777777" w:rsidTr="00C87A1B">
        <w:trPr>
          <w:trHeight w:val="300"/>
          <w:tblHeader/>
        </w:trPr>
        <w:tc>
          <w:tcPr>
            <w:tcW w:w="1920" w:type="dxa"/>
            <w:shd w:val="clear" w:color="auto" w:fill="D9D9D9" w:themeFill="background1" w:themeFillShade="D9"/>
            <w:hideMark/>
          </w:tcPr>
          <w:p w14:paraId="62E6E315" w14:textId="77777777" w:rsidR="0050324C" w:rsidRPr="004C12C9" w:rsidRDefault="0050324C" w:rsidP="00492632">
            <w:pPr>
              <w:pStyle w:val="ICFTableHeading"/>
            </w:pPr>
            <w:r w:rsidRPr="004C12C9">
              <w:t>Energy Source </w:t>
            </w:r>
          </w:p>
        </w:tc>
        <w:tc>
          <w:tcPr>
            <w:tcW w:w="1230" w:type="dxa"/>
            <w:shd w:val="clear" w:color="auto" w:fill="D9D9D9" w:themeFill="background1" w:themeFillShade="D9"/>
            <w:hideMark/>
          </w:tcPr>
          <w:p w14:paraId="4EA287DA" w14:textId="77777777" w:rsidR="0050324C" w:rsidRPr="004C12C9" w:rsidRDefault="0050324C" w:rsidP="00492632">
            <w:pPr>
              <w:pStyle w:val="ICFTableHeading"/>
            </w:pPr>
            <w:r w:rsidRPr="004C12C9">
              <w:t>2025 </w:t>
            </w:r>
          </w:p>
        </w:tc>
        <w:tc>
          <w:tcPr>
            <w:tcW w:w="1230" w:type="dxa"/>
            <w:shd w:val="clear" w:color="auto" w:fill="D9D9D9" w:themeFill="background1" w:themeFillShade="D9"/>
            <w:hideMark/>
          </w:tcPr>
          <w:p w14:paraId="4C428D43" w14:textId="77777777" w:rsidR="0050324C" w:rsidRPr="004C12C9" w:rsidRDefault="0050324C" w:rsidP="00492632">
            <w:pPr>
              <w:pStyle w:val="ICFTableHeading"/>
            </w:pPr>
            <w:r w:rsidRPr="004C12C9">
              <w:t>2030 </w:t>
            </w:r>
          </w:p>
        </w:tc>
        <w:tc>
          <w:tcPr>
            <w:tcW w:w="1230" w:type="dxa"/>
            <w:shd w:val="clear" w:color="auto" w:fill="D9D9D9" w:themeFill="background1" w:themeFillShade="D9"/>
            <w:hideMark/>
          </w:tcPr>
          <w:p w14:paraId="30321FBA" w14:textId="77777777" w:rsidR="0050324C" w:rsidRPr="004C12C9" w:rsidRDefault="0050324C" w:rsidP="00492632">
            <w:pPr>
              <w:pStyle w:val="ICFTableHeading"/>
            </w:pPr>
            <w:r w:rsidRPr="004C12C9">
              <w:t>2035 </w:t>
            </w:r>
          </w:p>
        </w:tc>
        <w:tc>
          <w:tcPr>
            <w:tcW w:w="1230" w:type="dxa"/>
            <w:shd w:val="clear" w:color="auto" w:fill="D9D9D9" w:themeFill="background1" w:themeFillShade="D9"/>
            <w:hideMark/>
          </w:tcPr>
          <w:p w14:paraId="0DF7FAFD" w14:textId="77777777" w:rsidR="0050324C" w:rsidRPr="004C12C9" w:rsidRDefault="0050324C" w:rsidP="00492632">
            <w:pPr>
              <w:pStyle w:val="ICFTableHeading"/>
            </w:pPr>
            <w:r w:rsidRPr="004C12C9">
              <w:t>2040 </w:t>
            </w:r>
          </w:p>
        </w:tc>
      </w:tr>
      <w:tr w:rsidR="0050324C" w:rsidRPr="004C12C9" w14:paraId="06C42239" w14:textId="77777777" w:rsidTr="00364946">
        <w:trPr>
          <w:trHeight w:val="300"/>
        </w:trPr>
        <w:tc>
          <w:tcPr>
            <w:tcW w:w="1920" w:type="dxa"/>
            <w:hideMark/>
          </w:tcPr>
          <w:p w14:paraId="13006465" w14:textId="77777777" w:rsidR="0050324C" w:rsidRPr="004C12C9" w:rsidRDefault="0050324C" w:rsidP="00492632">
            <w:pPr>
              <w:pStyle w:val="ICFTabletext"/>
              <w:rPr>
                <w:b/>
              </w:rPr>
            </w:pPr>
            <w:r w:rsidRPr="004C12C9">
              <w:t>Residual oil</w:t>
            </w:r>
            <w:r w:rsidRPr="004C12C9">
              <w:rPr>
                <w:b/>
              </w:rPr>
              <w:t> </w:t>
            </w:r>
          </w:p>
        </w:tc>
        <w:tc>
          <w:tcPr>
            <w:tcW w:w="1230" w:type="dxa"/>
            <w:hideMark/>
          </w:tcPr>
          <w:p w14:paraId="11183DF4" w14:textId="6B6C3D06" w:rsidR="0050324C" w:rsidRPr="004C12C9" w:rsidRDefault="0050324C" w:rsidP="00492632">
            <w:pPr>
              <w:pStyle w:val="ICFTabletext"/>
              <w:jc w:val="center"/>
            </w:pPr>
            <w:r w:rsidRPr="004C12C9">
              <w:t>3.3%</w:t>
            </w:r>
          </w:p>
        </w:tc>
        <w:tc>
          <w:tcPr>
            <w:tcW w:w="1230" w:type="dxa"/>
            <w:hideMark/>
          </w:tcPr>
          <w:p w14:paraId="6A0D6326" w14:textId="326E003F" w:rsidR="0050324C" w:rsidRPr="004C12C9" w:rsidRDefault="0050324C" w:rsidP="00492632">
            <w:pPr>
              <w:pStyle w:val="ICFTabletext"/>
              <w:jc w:val="center"/>
            </w:pPr>
            <w:r w:rsidRPr="004C12C9">
              <w:t>2.5%</w:t>
            </w:r>
          </w:p>
        </w:tc>
        <w:tc>
          <w:tcPr>
            <w:tcW w:w="1230" w:type="dxa"/>
            <w:hideMark/>
          </w:tcPr>
          <w:p w14:paraId="1EA19AC6" w14:textId="410C4E79" w:rsidR="0050324C" w:rsidRPr="004C12C9" w:rsidRDefault="0050324C" w:rsidP="00492632">
            <w:pPr>
              <w:pStyle w:val="ICFTabletext"/>
              <w:jc w:val="center"/>
            </w:pPr>
            <w:r w:rsidRPr="004C12C9">
              <w:t>1.3%</w:t>
            </w:r>
          </w:p>
        </w:tc>
        <w:tc>
          <w:tcPr>
            <w:tcW w:w="1230" w:type="dxa"/>
            <w:hideMark/>
          </w:tcPr>
          <w:p w14:paraId="38BB5BF9" w14:textId="102B4CC7" w:rsidR="0050324C" w:rsidRPr="004C12C9" w:rsidRDefault="0050324C" w:rsidP="00492632">
            <w:pPr>
              <w:pStyle w:val="ICFTabletext"/>
              <w:jc w:val="center"/>
            </w:pPr>
            <w:r w:rsidRPr="004C12C9">
              <w:t>0.0%</w:t>
            </w:r>
          </w:p>
        </w:tc>
      </w:tr>
      <w:tr w:rsidR="0050324C" w:rsidRPr="004C12C9" w14:paraId="030F3119" w14:textId="77777777" w:rsidTr="00364946">
        <w:trPr>
          <w:trHeight w:val="300"/>
        </w:trPr>
        <w:tc>
          <w:tcPr>
            <w:tcW w:w="1920" w:type="dxa"/>
            <w:hideMark/>
          </w:tcPr>
          <w:p w14:paraId="2D61921D" w14:textId="77777777" w:rsidR="0050324C" w:rsidRPr="004C12C9" w:rsidRDefault="0050324C" w:rsidP="00492632">
            <w:pPr>
              <w:pStyle w:val="ICFTabletext"/>
              <w:rPr>
                <w:b/>
              </w:rPr>
            </w:pPr>
            <w:r w:rsidRPr="004C12C9">
              <w:t>Natural gas</w:t>
            </w:r>
            <w:r w:rsidRPr="004C12C9">
              <w:rPr>
                <w:b/>
              </w:rPr>
              <w:t> </w:t>
            </w:r>
          </w:p>
        </w:tc>
        <w:tc>
          <w:tcPr>
            <w:tcW w:w="1230" w:type="dxa"/>
            <w:hideMark/>
          </w:tcPr>
          <w:p w14:paraId="132F3F39" w14:textId="682D3972" w:rsidR="0050324C" w:rsidRPr="004C12C9" w:rsidRDefault="0050324C" w:rsidP="00492632">
            <w:pPr>
              <w:pStyle w:val="ICFTabletext"/>
              <w:jc w:val="center"/>
            </w:pPr>
            <w:r w:rsidRPr="004C12C9">
              <w:t>8.7%</w:t>
            </w:r>
          </w:p>
        </w:tc>
        <w:tc>
          <w:tcPr>
            <w:tcW w:w="1230" w:type="dxa"/>
            <w:hideMark/>
          </w:tcPr>
          <w:p w14:paraId="16993BA3" w14:textId="2A01AB5F" w:rsidR="0050324C" w:rsidRPr="004C12C9" w:rsidRDefault="0050324C" w:rsidP="00492632">
            <w:pPr>
              <w:pStyle w:val="ICFTabletext"/>
              <w:jc w:val="center"/>
            </w:pPr>
            <w:r w:rsidRPr="004C12C9">
              <w:t>4.7%</w:t>
            </w:r>
          </w:p>
        </w:tc>
        <w:tc>
          <w:tcPr>
            <w:tcW w:w="1230" w:type="dxa"/>
            <w:hideMark/>
          </w:tcPr>
          <w:p w14:paraId="0F918C19" w14:textId="1D183700" w:rsidR="0050324C" w:rsidRPr="004C12C9" w:rsidRDefault="0050324C" w:rsidP="00492632">
            <w:pPr>
              <w:pStyle w:val="ICFTabletext"/>
              <w:jc w:val="center"/>
            </w:pPr>
            <w:r w:rsidRPr="004C12C9">
              <w:t>2.3%</w:t>
            </w:r>
          </w:p>
        </w:tc>
        <w:tc>
          <w:tcPr>
            <w:tcW w:w="1230" w:type="dxa"/>
            <w:hideMark/>
          </w:tcPr>
          <w:p w14:paraId="5DB8512E" w14:textId="4502CC86" w:rsidR="0050324C" w:rsidRPr="004C12C9" w:rsidRDefault="0050324C" w:rsidP="00492632">
            <w:pPr>
              <w:pStyle w:val="ICFTabletext"/>
              <w:jc w:val="center"/>
            </w:pPr>
            <w:r w:rsidRPr="004C12C9">
              <w:t>0.0%</w:t>
            </w:r>
          </w:p>
        </w:tc>
      </w:tr>
      <w:tr w:rsidR="0050324C" w:rsidRPr="004C12C9" w14:paraId="507592B2" w14:textId="77777777" w:rsidTr="00364946">
        <w:trPr>
          <w:trHeight w:val="300"/>
        </w:trPr>
        <w:tc>
          <w:tcPr>
            <w:tcW w:w="1920" w:type="dxa"/>
            <w:hideMark/>
          </w:tcPr>
          <w:p w14:paraId="78DB4852" w14:textId="77777777" w:rsidR="0050324C" w:rsidRPr="004C12C9" w:rsidRDefault="0050324C" w:rsidP="00492632">
            <w:pPr>
              <w:pStyle w:val="ICFTabletext"/>
              <w:rPr>
                <w:b/>
              </w:rPr>
            </w:pPr>
            <w:r w:rsidRPr="004C12C9">
              <w:t>Coal</w:t>
            </w:r>
            <w:r w:rsidRPr="004C12C9">
              <w:rPr>
                <w:b/>
              </w:rPr>
              <w:t> </w:t>
            </w:r>
          </w:p>
        </w:tc>
        <w:tc>
          <w:tcPr>
            <w:tcW w:w="1230" w:type="dxa"/>
            <w:hideMark/>
          </w:tcPr>
          <w:p w14:paraId="0F72737F" w14:textId="176CFC23" w:rsidR="0050324C" w:rsidRPr="004C12C9" w:rsidRDefault="0050324C" w:rsidP="00492632">
            <w:pPr>
              <w:pStyle w:val="ICFTabletext"/>
              <w:jc w:val="center"/>
            </w:pPr>
            <w:r w:rsidRPr="004C12C9">
              <w:t>34.9%</w:t>
            </w:r>
          </w:p>
        </w:tc>
        <w:tc>
          <w:tcPr>
            <w:tcW w:w="1230" w:type="dxa"/>
            <w:hideMark/>
          </w:tcPr>
          <w:p w14:paraId="34C5835D" w14:textId="4B117AD2" w:rsidR="0050324C" w:rsidRPr="004C12C9" w:rsidRDefault="0050324C" w:rsidP="00492632">
            <w:pPr>
              <w:pStyle w:val="ICFTabletext"/>
              <w:jc w:val="center"/>
            </w:pPr>
            <w:r w:rsidRPr="004C12C9">
              <w:t>22.6%</w:t>
            </w:r>
          </w:p>
        </w:tc>
        <w:tc>
          <w:tcPr>
            <w:tcW w:w="1230" w:type="dxa"/>
            <w:hideMark/>
          </w:tcPr>
          <w:p w14:paraId="184D516B" w14:textId="78A1954A" w:rsidR="0050324C" w:rsidRPr="004C12C9" w:rsidRDefault="0050324C" w:rsidP="00492632">
            <w:pPr>
              <w:pStyle w:val="ICFTabletext"/>
              <w:jc w:val="center"/>
            </w:pPr>
            <w:r w:rsidRPr="004C12C9">
              <w:t>11.3%</w:t>
            </w:r>
          </w:p>
        </w:tc>
        <w:tc>
          <w:tcPr>
            <w:tcW w:w="1230" w:type="dxa"/>
            <w:hideMark/>
          </w:tcPr>
          <w:p w14:paraId="6939260C" w14:textId="69E93144" w:rsidR="0050324C" w:rsidRPr="004C12C9" w:rsidRDefault="0050324C" w:rsidP="00492632">
            <w:pPr>
              <w:pStyle w:val="ICFTabletext"/>
              <w:jc w:val="center"/>
            </w:pPr>
            <w:r w:rsidRPr="004C12C9">
              <w:t>0.0%</w:t>
            </w:r>
          </w:p>
        </w:tc>
      </w:tr>
      <w:tr w:rsidR="0050324C" w:rsidRPr="004C12C9" w14:paraId="26315018" w14:textId="77777777" w:rsidTr="00364946">
        <w:trPr>
          <w:trHeight w:val="300"/>
        </w:trPr>
        <w:tc>
          <w:tcPr>
            <w:tcW w:w="1920" w:type="dxa"/>
            <w:hideMark/>
          </w:tcPr>
          <w:p w14:paraId="49898590" w14:textId="77777777" w:rsidR="0050324C" w:rsidRPr="004C12C9" w:rsidRDefault="0050324C" w:rsidP="00492632">
            <w:pPr>
              <w:pStyle w:val="ICFTabletext"/>
              <w:rPr>
                <w:b/>
              </w:rPr>
            </w:pPr>
            <w:r w:rsidRPr="004C12C9">
              <w:t>Nuclear power</w:t>
            </w:r>
            <w:r w:rsidRPr="004C12C9">
              <w:rPr>
                <w:b/>
              </w:rPr>
              <w:t> </w:t>
            </w:r>
          </w:p>
        </w:tc>
        <w:tc>
          <w:tcPr>
            <w:tcW w:w="1230" w:type="dxa"/>
            <w:hideMark/>
          </w:tcPr>
          <w:p w14:paraId="3BD5C96B" w14:textId="3213E16F" w:rsidR="0050324C" w:rsidRPr="004C12C9" w:rsidRDefault="0050324C" w:rsidP="00492632">
            <w:pPr>
              <w:pStyle w:val="ICFTabletext"/>
              <w:jc w:val="center"/>
            </w:pPr>
            <w:r w:rsidRPr="004C12C9">
              <w:t>3.2%</w:t>
            </w:r>
          </w:p>
        </w:tc>
        <w:tc>
          <w:tcPr>
            <w:tcW w:w="1230" w:type="dxa"/>
            <w:hideMark/>
          </w:tcPr>
          <w:p w14:paraId="139CDB20" w14:textId="3FBC3019" w:rsidR="0050324C" w:rsidRPr="004C12C9" w:rsidRDefault="0050324C" w:rsidP="00492632">
            <w:pPr>
              <w:pStyle w:val="ICFTabletext"/>
              <w:jc w:val="center"/>
            </w:pPr>
            <w:r w:rsidRPr="004C12C9">
              <w:t>3.1%</w:t>
            </w:r>
          </w:p>
        </w:tc>
        <w:tc>
          <w:tcPr>
            <w:tcW w:w="1230" w:type="dxa"/>
            <w:hideMark/>
          </w:tcPr>
          <w:p w14:paraId="038F1885" w14:textId="318E0194" w:rsidR="0050324C" w:rsidRPr="004C12C9" w:rsidRDefault="0050324C" w:rsidP="00492632">
            <w:pPr>
              <w:pStyle w:val="ICFTabletext"/>
              <w:jc w:val="center"/>
            </w:pPr>
            <w:r w:rsidRPr="004C12C9">
              <w:t>1.6%</w:t>
            </w:r>
          </w:p>
        </w:tc>
        <w:tc>
          <w:tcPr>
            <w:tcW w:w="1230" w:type="dxa"/>
            <w:hideMark/>
          </w:tcPr>
          <w:p w14:paraId="23AC5B25" w14:textId="2FDF6415" w:rsidR="0050324C" w:rsidRPr="004C12C9" w:rsidRDefault="0050324C" w:rsidP="00492632">
            <w:pPr>
              <w:pStyle w:val="ICFTabletext"/>
              <w:jc w:val="center"/>
            </w:pPr>
            <w:r w:rsidRPr="004C12C9">
              <w:t>0.0%</w:t>
            </w:r>
          </w:p>
        </w:tc>
      </w:tr>
      <w:tr w:rsidR="0050324C" w:rsidRPr="004C12C9" w14:paraId="14A9C291" w14:textId="77777777" w:rsidTr="00364946">
        <w:trPr>
          <w:trHeight w:val="300"/>
        </w:trPr>
        <w:tc>
          <w:tcPr>
            <w:tcW w:w="1920" w:type="dxa"/>
            <w:hideMark/>
          </w:tcPr>
          <w:p w14:paraId="4CDA5E4B" w14:textId="77777777" w:rsidR="0050324C" w:rsidRPr="004C12C9" w:rsidRDefault="0050324C" w:rsidP="00492632">
            <w:pPr>
              <w:pStyle w:val="ICFTabletext"/>
              <w:rPr>
                <w:b/>
              </w:rPr>
            </w:pPr>
            <w:r w:rsidRPr="004C12C9">
              <w:t>Biomass</w:t>
            </w:r>
            <w:r w:rsidRPr="004C12C9">
              <w:rPr>
                <w:b/>
              </w:rPr>
              <w:t> </w:t>
            </w:r>
          </w:p>
        </w:tc>
        <w:tc>
          <w:tcPr>
            <w:tcW w:w="1230" w:type="dxa"/>
            <w:hideMark/>
          </w:tcPr>
          <w:p w14:paraId="70603836" w14:textId="280F40E3" w:rsidR="0050324C" w:rsidRPr="004C12C9" w:rsidRDefault="0050324C" w:rsidP="00492632">
            <w:pPr>
              <w:pStyle w:val="ICFTabletext"/>
              <w:jc w:val="center"/>
            </w:pPr>
            <w:r w:rsidRPr="004C12C9">
              <w:t>0.2%</w:t>
            </w:r>
          </w:p>
        </w:tc>
        <w:tc>
          <w:tcPr>
            <w:tcW w:w="1230" w:type="dxa"/>
            <w:hideMark/>
          </w:tcPr>
          <w:p w14:paraId="36596F12" w14:textId="6C391456" w:rsidR="0050324C" w:rsidRPr="004C12C9" w:rsidRDefault="0050324C" w:rsidP="00492632">
            <w:pPr>
              <w:pStyle w:val="ICFTabletext"/>
              <w:jc w:val="center"/>
            </w:pPr>
            <w:r w:rsidRPr="004C12C9">
              <w:t>0.2%</w:t>
            </w:r>
          </w:p>
        </w:tc>
        <w:tc>
          <w:tcPr>
            <w:tcW w:w="1230" w:type="dxa"/>
            <w:hideMark/>
          </w:tcPr>
          <w:p w14:paraId="2006DE55" w14:textId="64CE1935" w:rsidR="0050324C" w:rsidRPr="004C12C9" w:rsidRDefault="0050324C" w:rsidP="00492632">
            <w:pPr>
              <w:pStyle w:val="ICFTabletext"/>
              <w:jc w:val="center"/>
            </w:pPr>
            <w:r w:rsidRPr="004C12C9">
              <w:t>0.1%</w:t>
            </w:r>
          </w:p>
        </w:tc>
        <w:tc>
          <w:tcPr>
            <w:tcW w:w="1230" w:type="dxa"/>
            <w:hideMark/>
          </w:tcPr>
          <w:p w14:paraId="428C1FB9" w14:textId="51A9EABB" w:rsidR="0050324C" w:rsidRPr="004C12C9" w:rsidRDefault="0050324C" w:rsidP="00492632">
            <w:pPr>
              <w:pStyle w:val="ICFTabletext"/>
              <w:jc w:val="center"/>
            </w:pPr>
            <w:r w:rsidRPr="004C12C9">
              <w:t>0.0%</w:t>
            </w:r>
          </w:p>
        </w:tc>
      </w:tr>
      <w:tr w:rsidR="0050324C" w:rsidRPr="004C12C9" w14:paraId="717B8742" w14:textId="77777777" w:rsidTr="00364946">
        <w:trPr>
          <w:trHeight w:val="300"/>
        </w:trPr>
        <w:tc>
          <w:tcPr>
            <w:tcW w:w="1920" w:type="dxa"/>
            <w:hideMark/>
          </w:tcPr>
          <w:p w14:paraId="4F99FDA8" w14:textId="0A785CA8" w:rsidR="0050324C" w:rsidRPr="004C12C9" w:rsidRDefault="0050324C" w:rsidP="00492632">
            <w:pPr>
              <w:pStyle w:val="ICFTabletext"/>
              <w:rPr>
                <w:b/>
              </w:rPr>
            </w:pPr>
            <w:r w:rsidRPr="004C12C9">
              <w:t>Others</w:t>
            </w:r>
            <w:r w:rsidR="00364946" w:rsidRPr="004C12C9">
              <w:rPr>
                <w:vertAlign w:val="superscript"/>
              </w:rPr>
              <w:t>a</w:t>
            </w:r>
            <w:r w:rsidR="00364946" w:rsidRPr="004C12C9">
              <w:rPr>
                <w:b/>
                <w:vertAlign w:val="superscript"/>
              </w:rPr>
              <w:t> </w:t>
            </w:r>
          </w:p>
        </w:tc>
        <w:tc>
          <w:tcPr>
            <w:tcW w:w="1230" w:type="dxa"/>
            <w:hideMark/>
          </w:tcPr>
          <w:p w14:paraId="61A4ECB9" w14:textId="7E9EF806" w:rsidR="0050324C" w:rsidRPr="004C12C9" w:rsidRDefault="0050324C" w:rsidP="00492632">
            <w:pPr>
              <w:pStyle w:val="ICFTabletext"/>
              <w:jc w:val="center"/>
            </w:pPr>
            <w:r w:rsidRPr="004C12C9">
              <w:t>49.7%</w:t>
            </w:r>
          </w:p>
        </w:tc>
        <w:tc>
          <w:tcPr>
            <w:tcW w:w="1230" w:type="dxa"/>
            <w:hideMark/>
          </w:tcPr>
          <w:p w14:paraId="0F1A551E" w14:textId="339DF431" w:rsidR="0050324C" w:rsidRPr="004C12C9" w:rsidRDefault="0050324C" w:rsidP="00492632">
            <w:pPr>
              <w:pStyle w:val="ICFTabletext"/>
              <w:jc w:val="center"/>
            </w:pPr>
            <w:r w:rsidRPr="004C12C9">
              <w:t>66.8%</w:t>
            </w:r>
          </w:p>
        </w:tc>
        <w:tc>
          <w:tcPr>
            <w:tcW w:w="1230" w:type="dxa"/>
            <w:hideMark/>
          </w:tcPr>
          <w:p w14:paraId="0040268F" w14:textId="4DADD8F0" w:rsidR="0050324C" w:rsidRPr="004C12C9" w:rsidRDefault="0050324C" w:rsidP="00492632">
            <w:pPr>
              <w:pStyle w:val="ICFTabletext"/>
              <w:jc w:val="center"/>
            </w:pPr>
            <w:r w:rsidRPr="004C12C9">
              <w:t>83.4%</w:t>
            </w:r>
          </w:p>
        </w:tc>
        <w:tc>
          <w:tcPr>
            <w:tcW w:w="1230" w:type="dxa"/>
            <w:hideMark/>
          </w:tcPr>
          <w:p w14:paraId="3813FA71" w14:textId="21684090" w:rsidR="0050324C" w:rsidRPr="004C12C9" w:rsidRDefault="0050324C" w:rsidP="00492632">
            <w:pPr>
              <w:pStyle w:val="ICFTabletext"/>
              <w:jc w:val="center"/>
            </w:pPr>
            <w:r w:rsidRPr="004C12C9">
              <w:t>100.0%</w:t>
            </w:r>
          </w:p>
        </w:tc>
      </w:tr>
    </w:tbl>
    <w:p w14:paraId="35744ECB" w14:textId="65294C8B" w:rsidR="00511754" w:rsidRPr="004C12C9" w:rsidRDefault="00364946" w:rsidP="00F85BDB">
      <w:pPr>
        <w:pStyle w:val="TableFooter"/>
        <w:rPr>
          <w:rFonts w:eastAsiaTheme="majorEastAsia"/>
          <w:b/>
        </w:rPr>
      </w:pPr>
      <w:r w:rsidRPr="004C12C9">
        <w:rPr>
          <w:vertAlign w:val="superscript"/>
        </w:rPr>
        <w:t>a</w:t>
      </w:r>
      <w:r w:rsidRPr="004C12C9">
        <w:rPr>
          <w:b/>
          <w:vertAlign w:val="superscript"/>
        </w:rPr>
        <w:t> </w:t>
      </w:r>
      <w:r w:rsidR="0050324C" w:rsidRPr="004C12C9">
        <w:t>Includes hydroelectric, wind, and solar PV.</w:t>
      </w:r>
    </w:p>
    <w:p w14:paraId="02C8731B" w14:textId="7B29D05D" w:rsidR="00511754" w:rsidRPr="004C12C9" w:rsidRDefault="00115E45" w:rsidP="00115E45">
      <w:pPr>
        <w:spacing w:before="120" w:after="0" w:line="271" w:lineRule="auto"/>
        <w:rPr>
          <w:rFonts w:cs="Calibri"/>
          <w:b/>
          <w:bCs/>
          <w:color w:val="000000"/>
          <w:lang w:bidi="ar-SA"/>
        </w:rPr>
      </w:pPr>
      <w:r w:rsidRPr="004C12C9">
        <w:rPr>
          <w:b/>
          <w:bCs/>
        </w:rPr>
        <w:br w:type="page"/>
      </w:r>
    </w:p>
    <w:p w14:paraId="42CC82D7" w14:textId="77777777" w:rsidR="00511754" w:rsidRPr="004C12C9" w:rsidRDefault="00511754" w:rsidP="00511754">
      <w:pPr>
        <w:pStyle w:val="Appendix"/>
      </w:pPr>
      <w:bookmarkStart w:id="288" w:name="_Toc219887795"/>
      <w:r w:rsidRPr="004C12C9">
        <w:lastRenderedPageBreak/>
        <w:t>User’s Manual</w:t>
      </w:r>
      <w:bookmarkEnd w:id="288"/>
    </w:p>
    <w:p w14:paraId="23FBB94A" w14:textId="4B7AECCA" w:rsidR="00387038" w:rsidRPr="004C12C9" w:rsidRDefault="00387038" w:rsidP="00972CF9">
      <w:bookmarkStart w:id="289" w:name="_Toc192247210"/>
      <w:bookmarkStart w:id="290" w:name="_Toc192248614"/>
      <w:r w:rsidRPr="004C12C9">
        <w:t>The Minnesota Climate Calculator</w:t>
      </w:r>
      <w:r w:rsidR="007F280B" w:rsidRPr="004C12C9">
        <w:t xml:space="preserve"> </w:t>
      </w:r>
      <w:r w:rsidRPr="004C12C9">
        <w:t xml:space="preserve">is an Excel-based </w:t>
      </w:r>
      <w:r w:rsidR="009F0307" w:rsidRPr="004C12C9">
        <w:t xml:space="preserve">calculator </w:t>
      </w:r>
      <w:r w:rsidRPr="004C12C9">
        <w:t xml:space="preserve">that estimates </w:t>
      </w:r>
      <w:r w:rsidR="00284FDA" w:rsidRPr="004C12C9">
        <w:t>greenhouse gas (</w:t>
      </w:r>
      <w:r w:rsidRPr="004C12C9">
        <w:t>GHG</w:t>
      </w:r>
      <w:r w:rsidR="00284FDA" w:rsidRPr="004C12C9">
        <w:t>)</w:t>
      </w:r>
      <w:r w:rsidRPr="004C12C9">
        <w:t xml:space="preserve"> emissions </w:t>
      </w:r>
      <w:r w:rsidR="003C4B95" w:rsidRPr="004C12C9">
        <w:t>from</w:t>
      </w:r>
      <w:r w:rsidRPr="004C12C9">
        <w:t xml:space="preserve"> development project</w:t>
      </w:r>
      <w:r w:rsidR="003C4B95" w:rsidRPr="004C12C9">
        <w:t>s in Minnesota</w:t>
      </w:r>
      <w:r w:rsidRPr="004C12C9">
        <w:t xml:space="preserve"> based on user inputs</w:t>
      </w:r>
      <w:r w:rsidR="002F7C35" w:rsidRPr="004C12C9">
        <w:t>,</w:t>
      </w:r>
      <w:r w:rsidRPr="004C12C9">
        <w:t xml:space="preserve"> default assumptions</w:t>
      </w:r>
      <w:r w:rsidR="002F7C35" w:rsidRPr="004C12C9">
        <w:t>,</w:t>
      </w:r>
      <w:r w:rsidRPr="004C12C9">
        <w:t xml:space="preserve"> and emission factors. The Excel-based </w:t>
      </w:r>
      <w:r w:rsidR="009F0307" w:rsidRPr="004C12C9">
        <w:t xml:space="preserve">calculator </w:t>
      </w:r>
      <w:r w:rsidRPr="004C12C9">
        <w:t xml:space="preserve">has dynamic functionality for users to select their project type and input details for each applicable emissions source and phase of the project. For select fields, users can decide whether to use default assumptions and emission factors or override them and provide their own inputs. Based on these selections and inputs, the </w:t>
      </w:r>
      <w:r w:rsidR="009F0307" w:rsidRPr="004C12C9">
        <w:t xml:space="preserve">calculator </w:t>
      </w:r>
      <w:r w:rsidRPr="004C12C9">
        <w:t>quantif</w:t>
      </w:r>
      <w:r w:rsidR="00D41B1C" w:rsidRPr="004C12C9">
        <w:t>ies</w:t>
      </w:r>
      <w:r w:rsidRPr="004C12C9">
        <w:t xml:space="preserve"> the cumulative and annualized </w:t>
      </w:r>
      <w:r w:rsidR="00BF779F" w:rsidRPr="004C12C9">
        <w:t>GHG</w:t>
      </w:r>
      <w:r w:rsidRPr="004C12C9">
        <w:t xml:space="preserve"> emissions from each emissions source and summarize</w:t>
      </w:r>
      <w:r w:rsidR="00D41B1C" w:rsidRPr="004C12C9">
        <w:t>s</w:t>
      </w:r>
      <w:r w:rsidRPr="004C12C9">
        <w:t xml:space="preserve"> the results in tables and charts</w:t>
      </w:r>
      <w:r w:rsidR="00B85412" w:rsidRPr="004C12C9">
        <w:t xml:space="preserve"> that can be used to respond to answer </w:t>
      </w:r>
      <w:r w:rsidR="006D6953" w:rsidRPr="004C12C9">
        <w:t>item</w:t>
      </w:r>
      <w:r w:rsidR="00B85412" w:rsidRPr="004C12C9">
        <w:t xml:space="preserve"> 18 of the Environmental Assessment Worksheet (EAW)</w:t>
      </w:r>
      <w:r w:rsidRPr="004C12C9">
        <w:t>.</w:t>
      </w:r>
      <w:r w:rsidR="00070D44" w:rsidRPr="004C12C9">
        <w:t xml:space="preserve"> The </w:t>
      </w:r>
      <w:r w:rsidR="009F0307" w:rsidRPr="004C12C9">
        <w:t xml:space="preserve">calculator </w:t>
      </w:r>
      <w:r w:rsidR="00070D44" w:rsidRPr="004C12C9">
        <w:t xml:space="preserve">also </w:t>
      </w:r>
      <w:r w:rsidR="00F46CE1" w:rsidRPr="004C12C9">
        <w:t>p</w:t>
      </w:r>
      <w:r w:rsidR="00BD4A0C" w:rsidRPr="004C12C9">
        <w:t>rovide</w:t>
      </w:r>
      <w:r w:rsidR="00F8204D" w:rsidRPr="004C12C9">
        <w:t>s</w:t>
      </w:r>
      <w:r w:rsidR="00BD4A0C" w:rsidRPr="004C12C9">
        <w:t xml:space="preserve"> </w:t>
      </w:r>
      <w:r w:rsidR="006831F2" w:rsidRPr="004C12C9">
        <w:t xml:space="preserve">qualitative </w:t>
      </w:r>
      <w:r w:rsidR="00BD4A0C" w:rsidRPr="004C12C9">
        <w:t>information on mitigation measures and adaptation strategies</w:t>
      </w:r>
      <w:r w:rsidR="00240C45" w:rsidRPr="004C12C9">
        <w:t>.</w:t>
      </w:r>
      <w:r w:rsidR="0000165A" w:rsidRPr="004C12C9">
        <w:t xml:space="preserve"> The remainder of this user manual is organized as follows: </w:t>
      </w:r>
    </w:p>
    <w:p w14:paraId="4652936A" w14:textId="2B599723" w:rsidR="0000165A" w:rsidRPr="004C12C9" w:rsidRDefault="007F736B" w:rsidP="003B5F7F">
      <w:pPr>
        <w:pStyle w:val="ListParagraph"/>
        <w:numPr>
          <w:ilvl w:val="0"/>
          <w:numId w:val="39"/>
        </w:numPr>
        <w:rPr>
          <w:i/>
          <w:iCs/>
        </w:rPr>
      </w:pPr>
      <w:r w:rsidRPr="004C12C9">
        <w:t xml:space="preserve">Section </w:t>
      </w:r>
      <w:r w:rsidR="00026723" w:rsidRPr="004C12C9">
        <w:fldChar w:fldCharType="begin" w:fldLock="1"/>
      </w:r>
      <w:r w:rsidR="00026723" w:rsidRPr="004C12C9">
        <w:instrText xml:space="preserve"> REF _Ref196747511 \n \h </w:instrText>
      </w:r>
      <w:r w:rsidR="00026723" w:rsidRPr="004C12C9">
        <w:fldChar w:fldCharType="separate"/>
      </w:r>
      <w:r w:rsidR="00026723" w:rsidRPr="004C12C9">
        <w:t>1</w:t>
      </w:r>
      <w:r w:rsidR="00026723" w:rsidRPr="004C12C9">
        <w:fldChar w:fldCharType="end"/>
      </w:r>
      <w:r w:rsidR="00026723" w:rsidRPr="004C12C9">
        <w:t xml:space="preserve">: </w:t>
      </w:r>
      <w:r w:rsidR="00026723" w:rsidRPr="004C12C9">
        <w:fldChar w:fldCharType="begin" w:fldLock="1"/>
      </w:r>
      <w:r w:rsidR="00026723" w:rsidRPr="004C12C9">
        <w:instrText xml:space="preserve"> REF _Ref196747543 \h </w:instrText>
      </w:r>
      <w:r w:rsidR="00026723" w:rsidRPr="004C12C9">
        <w:fldChar w:fldCharType="separate"/>
      </w:r>
      <w:r w:rsidR="00026723" w:rsidRPr="004C12C9">
        <w:t>Getting Started</w:t>
      </w:r>
      <w:r w:rsidR="00026723" w:rsidRPr="004C12C9">
        <w:fldChar w:fldCharType="end"/>
      </w:r>
    </w:p>
    <w:p w14:paraId="6D401B34" w14:textId="3CA0BE13" w:rsidR="00026723" w:rsidRPr="004C12C9" w:rsidRDefault="00026723" w:rsidP="003B5F7F">
      <w:pPr>
        <w:pStyle w:val="ListParagraph"/>
        <w:numPr>
          <w:ilvl w:val="0"/>
          <w:numId w:val="39"/>
        </w:numPr>
        <w:rPr>
          <w:i/>
          <w:iCs/>
        </w:rPr>
      </w:pPr>
      <w:r w:rsidRPr="004C12C9">
        <w:t xml:space="preserve">Section </w:t>
      </w:r>
      <w:r w:rsidRPr="004C12C9">
        <w:fldChar w:fldCharType="begin" w:fldLock="1"/>
      </w:r>
      <w:r w:rsidRPr="004C12C9">
        <w:instrText xml:space="preserve"> REF _Ref196747516 \n \h </w:instrText>
      </w:r>
      <w:r w:rsidRPr="004C12C9">
        <w:fldChar w:fldCharType="separate"/>
      </w:r>
      <w:r w:rsidRPr="004C12C9">
        <w:t>2</w:t>
      </w:r>
      <w:r w:rsidRPr="004C12C9">
        <w:fldChar w:fldCharType="end"/>
      </w:r>
      <w:r w:rsidRPr="004C12C9">
        <w:t xml:space="preserve">: </w:t>
      </w:r>
      <w:r w:rsidRPr="004C12C9">
        <w:fldChar w:fldCharType="begin" w:fldLock="1"/>
      </w:r>
      <w:r w:rsidRPr="004C12C9">
        <w:instrText xml:space="preserve"> REF _Ref196747546 \h </w:instrText>
      </w:r>
      <w:r w:rsidRPr="004C12C9">
        <w:fldChar w:fldCharType="separate"/>
      </w:r>
      <w:r w:rsidR="00875C4D" w:rsidRPr="004C12C9">
        <w:t>Calculator Structure</w:t>
      </w:r>
      <w:r w:rsidRPr="004C12C9">
        <w:fldChar w:fldCharType="end"/>
      </w:r>
    </w:p>
    <w:p w14:paraId="5E0D9C94" w14:textId="6D43E55D" w:rsidR="00026723" w:rsidRPr="004C12C9" w:rsidRDefault="00026723" w:rsidP="003B5F7F">
      <w:pPr>
        <w:pStyle w:val="ListParagraph"/>
        <w:numPr>
          <w:ilvl w:val="0"/>
          <w:numId w:val="39"/>
        </w:numPr>
        <w:rPr>
          <w:i/>
          <w:iCs/>
        </w:rPr>
      </w:pPr>
      <w:r w:rsidRPr="004C12C9">
        <w:t xml:space="preserve">Section </w:t>
      </w:r>
      <w:r w:rsidRPr="004C12C9">
        <w:fldChar w:fldCharType="begin" w:fldLock="1"/>
      </w:r>
      <w:r w:rsidRPr="004C12C9">
        <w:instrText xml:space="preserve"> REF _Ref196747519 \n \h </w:instrText>
      </w:r>
      <w:r w:rsidRPr="004C12C9">
        <w:fldChar w:fldCharType="separate"/>
      </w:r>
      <w:r w:rsidRPr="004C12C9">
        <w:t>3</w:t>
      </w:r>
      <w:r w:rsidRPr="004C12C9">
        <w:fldChar w:fldCharType="end"/>
      </w:r>
      <w:r w:rsidRPr="004C12C9">
        <w:t xml:space="preserve">: </w:t>
      </w:r>
      <w:r w:rsidRPr="004C12C9">
        <w:fldChar w:fldCharType="begin" w:fldLock="1"/>
      </w:r>
      <w:r w:rsidRPr="004C12C9">
        <w:instrText xml:space="preserve"> REF _Ref196747549 \h </w:instrText>
      </w:r>
      <w:r w:rsidRPr="004C12C9">
        <w:fldChar w:fldCharType="separate"/>
      </w:r>
      <w:r w:rsidRPr="004C12C9">
        <w:t>Using the Climate Calculator</w:t>
      </w:r>
      <w:r w:rsidRPr="004C12C9">
        <w:fldChar w:fldCharType="end"/>
      </w:r>
    </w:p>
    <w:p w14:paraId="6B29872F" w14:textId="742305ED" w:rsidR="00026723" w:rsidRPr="004C12C9" w:rsidRDefault="00026723" w:rsidP="003B5F7F">
      <w:pPr>
        <w:pStyle w:val="ListParagraph"/>
        <w:numPr>
          <w:ilvl w:val="0"/>
          <w:numId w:val="39"/>
        </w:numPr>
        <w:rPr>
          <w:i/>
          <w:iCs/>
        </w:rPr>
      </w:pPr>
      <w:r w:rsidRPr="004C12C9">
        <w:t xml:space="preserve">Section </w:t>
      </w:r>
      <w:r w:rsidRPr="004C12C9">
        <w:fldChar w:fldCharType="begin" w:fldLock="1"/>
      </w:r>
      <w:r w:rsidRPr="004C12C9">
        <w:instrText xml:space="preserve"> REF _Ref196747523 \n \h </w:instrText>
      </w:r>
      <w:r w:rsidRPr="004C12C9">
        <w:fldChar w:fldCharType="separate"/>
      </w:r>
      <w:r w:rsidRPr="004C12C9">
        <w:t>4</w:t>
      </w:r>
      <w:r w:rsidRPr="004C12C9">
        <w:fldChar w:fldCharType="end"/>
      </w:r>
      <w:r w:rsidRPr="004C12C9">
        <w:t xml:space="preserve">: </w:t>
      </w:r>
      <w:r w:rsidRPr="004C12C9">
        <w:fldChar w:fldCharType="begin" w:fldLock="1"/>
      </w:r>
      <w:r w:rsidRPr="004C12C9">
        <w:instrText xml:space="preserve"> REF _Ref196747552 \h </w:instrText>
      </w:r>
      <w:r w:rsidRPr="004C12C9">
        <w:fldChar w:fldCharType="separate"/>
      </w:r>
      <w:r w:rsidR="00875C4D" w:rsidRPr="004C12C9">
        <w:t>Calculator Inputs</w:t>
      </w:r>
      <w:r w:rsidRPr="004C12C9">
        <w:fldChar w:fldCharType="end"/>
      </w:r>
    </w:p>
    <w:p w14:paraId="271EBF6D" w14:textId="3F800602" w:rsidR="00026723" w:rsidRPr="004C12C9" w:rsidRDefault="00026723" w:rsidP="003B5F7F">
      <w:pPr>
        <w:pStyle w:val="ListParagraph"/>
        <w:numPr>
          <w:ilvl w:val="0"/>
          <w:numId w:val="39"/>
        </w:numPr>
        <w:rPr>
          <w:i/>
          <w:iCs/>
        </w:rPr>
      </w:pPr>
      <w:r w:rsidRPr="004C12C9">
        <w:t xml:space="preserve">Section </w:t>
      </w:r>
      <w:r w:rsidRPr="004C12C9">
        <w:fldChar w:fldCharType="begin" w:fldLock="1"/>
      </w:r>
      <w:r w:rsidRPr="004C12C9">
        <w:instrText xml:space="preserve"> REF _Ref196747526 \n \h </w:instrText>
      </w:r>
      <w:r w:rsidRPr="004C12C9">
        <w:fldChar w:fldCharType="separate"/>
      </w:r>
      <w:r w:rsidRPr="004C12C9">
        <w:t>5</w:t>
      </w:r>
      <w:r w:rsidRPr="004C12C9">
        <w:fldChar w:fldCharType="end"/>
      </w:r>
      <w:r w:rsidRPr="004C12C9">
        <w:t xml:space="preserve">: </w:t>
      </w:r>
      <w:r w:rsidRPr="004C12C9">
        <w:fldChar w:fldCharType="begin" w:fldLock="1"/>
      </w:r>
      <w:r w:rsidRPr="004C12C9">
        <w:instrText xml:space="preserve"> REF _Ref196747558 \h </w:instrText>
      </w:r>
      <w:r w:rsidRPr="004C12C9">
        <w:fldChar w:fldCharType="separate"/>
      </w:r>
      <w:r w:rsidRPr="004C12C9">
        <w:t>Emission Outputs</w:t>
      </w:r>
      <w:r w:rsidRPr="004C12C9">
        <w:fldChar w:fldCharType="end"/>
      </w:r>
    </w:p>
    <w:p w14:paraId="16D4B5B4" w14:textId="3E896A13" w:rsidR="00026723" w:rsidRPr="004C12C9" w:rsidRDefault="00026723" w:rsidP="003B5F7F">
      <w:pPr>
        <w:pStyle w:val="ListParagraph"/>
        <w:numPr>
          <w:ilvl w:val="0"/>
          <w:numId w:val="39"/>
        </w:numPr>
        <w:rPr>
          <w:i/>
          <w:iCs/>
        </w:rPr>
      </w:pPr>
      <w:r w:rsidRPr="004C12C9">
        <w:t xml:space="preserve">Section </w:t>
      </w:r>
      <w:r w:rsidRPr="004C12C9">
        <w:fldChar w:fldCharType="begin" w:fldLock="1"/>
      </w:r>
      <w:r w:rsidRPr="004C12C9">
        <w:instrText xml:space="preserve"> REF _Ref196747529 \n \h </w:instrText>
      </w:r>
      <w:r w:rsidRPr="004C12C9">
        <w:fldChar w:fldCharType="separate"/>
      </w:r>
      <w:r w:rsidRPr="004C12C9">
        <w:t>6</w:t>
      </w:r>
      <w:r w:rsidRPr="004C12C9">
        <w:fldChar w:fldCharType="end"/>
      </w:r>
      <w:r w:rsidRPr="004C12C9">
        <w:t xml:space="preserve">: </w:t>
      </w:r>
      <w:r w:rsidRPr="004C12C9">
        <w:fldChar w:fldCharType="begin" w:fldLock="1"/>
      </w:r>
      <w:r w:rsidRPr="004C12C9">
        <w:instrText xml:space="preserve"> REF _Ref196747529 \h </w:instrText>
      </w:r>
      <w:r w:rsidRPr="004C12C9">
        <w:fldChar w:fldCharType="separate"/>
      </w:r>
      <w:r w:rsidRPr="004C12C9">
        <w:t>Mitigation and Adaptation</w:t>
      </w:r>
      <w:r w:rsidRPr="004C12C9">
        <w:fldChar w:fldCharType="end"/>
      </w:r>
    </w:p>
    <w:p w14:paraId="18154F6A" w14:textId="64FC6DA0" w:rsidR="00511754" w:rsidRPr="004C12C9" w:rsidRDefault="00511754" w:rsidP="007F736B">
      <w:pPr>
        <w:pStyle w:val="Appendix2"/>
      </w:pPr>
      <w:bookmarkStart w:id="291" w:name="_Toc194319970"/>
      <w:bookmarkStart w:id="292" w:name="_Toc194676876"/>
      <w:bookmarkStart w:id="293" w:name="_Ref196747511"/>
      <w:bookmarkStart w:id="294" w:name="_Ref196747543"/>
      <w:bookmarkStart w:id="295" w:name="_Toc219887796"/>
      <w:r w:rsidRPr="004C12C9">
        <w:t>Getting Started</w:t>
      </w:r>
      <w:bookmarkEnd w:id="289"/>
      <w:bookmarkEnd w:id="290"/>
      <w:bookmarkEnd w:id="291"/>
      <w:bookmarkEnd w:id="292"/>
      <w:bookmarkEnd w:id="293"/>
      <w:bookmarkEnd w:id="294"/>
      <w:bookmarkEnd w:id="295"/>
    </w:p>
    <w:p w14:paraId="7B41648E" w14:textId="091FBEEB" w:rsidR="00E95772" w:rsidRPr="004C12C9" w:rsidRDefault="00E95772" w:rsidP="00304EFE">
      <w:r w:rsidRPr="004C12C9">
        <w:t xml:space="preserve">The </w:t>
      </w:r>
      <w:r w:rsidR="001B4F8D" w:rsidRPr="004C12C9">
        <w:t xml:space="preserve">calculator </w:t>
      </w:r>
      <w:r w:rsidRPr="004C12C9">
        <w:t>was developed using Microsoft® Excel</w:t>
      </w:r>
      <w:r w:rsidR="00741EED" w:rsidRPr="004C12C9">
        <w:t>®</w:t>
      </w:r>
      <w:r w:rsidRPr="004C12C9">
        <w:t xml:space="preserve"> </w:t>
      </w:r>
      <w:r w:rsidR="00CB3BBA" w:rsidRPr="004C12C9">
        <w:t>for Microsoft 365</w:t>
      </w:r>
      <w:r w:rsidRPr="004C12C9">
        <w:t xml:space="preserve">. While the module </w:t>
      </w:r>
      <w:r w:rsidR="006D03A1" w:rsidRPr="004C12C9">
        <w:t>should function properly using</w:t>
      </w:r>
      <w:r w:rsidRPr="004C12C9">
        <w:t xml:space="preserve"> older versions of Excel, it </w:t>
      </w:r>
      <w:r w:rsidR="006D03A1" w:rsidRPr="004C12C9">
        <w:t>works</w:t>
      </w:r>
      <w:r w:rsidRPr="004C12C9">
        <w:t xml:space="preserve"> best with Excel </w:t>
      </w:r>
      <w:r w:rsidR="00564DBF" w:rsidRPr="004C12C9">
        <w:t xml:space="preserve">for </w:t>
      </w:r>
      <w:r w:rsidR="00741EED" w:rsidRPr="004C12C9">
        <w:t>Microsoft 365</w:t>
      </w:r>
      <w:r w:rsidR="00564DBF" w:rsidRPr="004C12C9">
        <w:t xml:space="preserve"> </w:t>
      </w:r>
      <w:r w:rsidRPr="004C12C9">
        <w:t>or later</w:t>
      </w:r>
      <w:r w:rsidR="00304EFE" w:rsidRPr="004C12C9">
        <w:t xml:space="preserve"> on IBM-PC compatible computers</w:t>
      </w:r>
      <w:r w:rsidRPr="004C12C9">
        <w:t xml:space="preserve">. If </w:t>
      </w:r>
      <w:r w:rsidR="00C85D9C" w:rsidRPr="004C12C9">
        <w:t>a user is</w:t>
      </w:r>
      <w:r w:rsidRPr="004C12C9">
        <w:t xml:space="preserve"> using </w:t>
      </w:r>
      <w:r w:rsidR="00C85D9C" w:rsidRPr="004C12C9">
        <w:t>another</w:t>
      </w:r>
      <w:r w:rsidR="00FC16CA" w:rsidRPr="004C12C9">
        <w:t xml:space="preserve"> version of</w:t>
      </w:r>
      <w:r w:rsidRPr="004C12C9">
        <w:t xml:space="preserve"> Excel, instructions for opening the module </w:t>
      </w:r>
      <w:r w:rsidR="00BA25B7" w:rsidRPr="004C12C9">
        <w:t>or adjusting settings</w:t>
      </w:r>
      <w:r w:rsidRPr="004C12C9">
        <w:t xml:space="preserve"> </w:t>
      </w:r>
      <w:r w:rsidR="006D03A1" w:rsidRPr="004C12C9">
        <w:t>may</w:t>
      </w:r>
      <w:r w:rsidRPr="004C12C9">
        <w:t xml:space="preserve"> vary.</w:t>
      </w:r>
      <w:r w:rsidR="00213D4A" w:rsidRPr="004C12C9">
        <w:tab/>
      </w:r>
    </w:p>
    <w:p w14:paraId="1C1BE1A1" w14:textId="5B3D6BFB" w:rsidR="00FA3186" w:rsidRPr="004C12C9" w:rsidRDefault="00FA3186" w:rsidP="00FA3186">
      <w:pPr>
        <w:pStyle w:val="Heading4"/>
      </w:pPr>
      <w:r w:rsidRPr="004C12C9">
        <w:t>Microsoft Excel Security</w:t>
      </w:r>
    </w:p>
    <w:p w14:paraId="74AB953B" w14:textId="21EBF558" w:rsidR="00FA3186" w:rsidRPr="004C12C9" w:rsidRDefault="00FA3186" w:rsidP="00FA3186">
      <w:r w:rsidRPr="004C12C9">
        <w:t xml:space="preserve">If Excel’s default security settings are on, a Security Warning may appear when opening the </w:t>
      </w:r>
      <w:r w:rsidR="001B4F8D" w:rsidRPr="004C12C9">
        <w:t>calculator</w:t>
      </w:r>
      <w:r w:rsidRPr="004C12C9">
        <w:t>, indicating that macros are disabled. To enable macros,</w:t>
      </w:r>
      <w:r w:rsidR="006A5864" w:rsidRPr="004C12C9">
        <w:t xml:space="preserve"> either click “Enable Content” as shown </w:t>
      </w:r>
      <w:r w:rsidR="00EF2C6B" w:rsidRPr="004C12C9">
        <w:t xml:space="preserve">in </w:t>
      </w:r>
      <w:r w:rsidR="00EF2C6B" w:rsidRPr="004C12C9">
        <w:fldChar w:fldCharType="begin" w:fldLock="1"/>
      </w:r>
      <w:r w:rsidR="00EF2C6B" w:rsidRPr="004C12C9">
        <w:instrText xml:space="preserve"> REF _Ref196746013 \h </w:instrText>
      </w:r>
      <w:r w:rsidR="00EF2C6B" w:rsidRPr="004C12C9">
        <w:fldChar w:fldCharType="separate"/>
      </w:r>
      <w:r w:rsidR="00EF2C6B" w:rsidRPr="004C12C9">
        <w:t>Figure D-1</w:t>
      </w:r>
      <w:r w:rsidR="00EF2C6B" w:rsidRPr="004C12C9">
        <w:fldChar w:fldCharType="end"/>
      </w:r>
      <w:r w:rsidR="00EF2C6B" w:rsidRPr="004C12C9">
        <w:t xml:space="preserve"> </w:t>
      </w:r>
      <w:r w:rsidR="006A5864" w:rsidRPr="004C12C9">
        <w:t xml:space="preserve">or </w:t>
      </w:r>
      <w:r w:rsidRPr="004C12C9">
        <w:t>click “Options” in the security message, select “Enable this content,” then close the welcome message box.</w:t>
      </w:r>
    </w:p>
    <w:p w14:paraId="7905F4C0" w14:textId="3228407B" w:rsidR="00682014" w:rsidRPr="004C12C9" w:rsidRDefault="00EF2C6B" w:rsidP="00862FBF">
      <w:pPr>
        <w:pStyle w:val="Caption"/>
      </w:pPr>
      <w:bookmarkStart w:id="296" w:name="_Ref196746013"/>
      <w:bookmarkStart w:id="297" w:name="_Ref196382258"/>
      <w:r w:rsidRPr="004C12C9">
        <w:t>Figure D-</w:t>
      </w:r>
      <w:r w:rsidR="007D7818">
        <w:fldChar w:fldCharType="begin"/>
      </w:r>
      <w:r w:rsidR="007D7818">
        <w:instrText xml:space="preserve"> SEQ Figure_D- \* ARABIC </w:instrText>
      </w:r>
      <w:r w:rsidR="007D7818">
        <w:fldChar w:fldCharType="separate"/>
      </w:r>
      <w:r w:rsidR="00752F47">
        <w:rPr>
          <w:noProof/>
        </w:rPr>
        <w:t>1</w:t>
      </w:r>
      <w:r w:rsidR="007D7818">
        <w:fldChar w:fldCharType="end"/>
      </w:r>
      <w:r w:rsidRPr="004C12C9">
        <w:t>.</w:t>
      </w:r>
      <w:bookmarkEnd w:id="296"/>
      <w:r w:rsidRPr="004C12C9">
        <w:t xml:space="preserve"> </w:t>
      </w:r>
      <w:bookmarkEnd w:id="297"/>
      <w:r w:rsidR="006A5864" w:rsidRPr="004C12C9">
        <w:t>Microsoft Excel Macro Security Warning</w:t>
      </w:r>
    </w:p>
    <w:p w14:paraId="400E7707" w14:textId="77777777" w:rsidR="005F2302" w:rsidRPr="004C12C9" w:rsidRDefault="005F2302" w:rsidP="003D4389">
      <w:pPr>
        <w:spacing w:before="60" w:after="60"/>
      </w:pPr>
      <w:r w:rsidRPr="004C12C9">
        <w:rPr>
          <w:noProof/>
        </w:rPr>
        <w:drawing>
          <wp:inline distT="0" distB="0" distL="0" distR="0" wp14:anchorId="525C726E" wp14:editId="3F9ECC03">
            <wp:extent cx="5913755" cy="1798320"/>
            <wp:effectExtent l="19050" t="19050" r="10795" b="11430"/>
            <wp:docPr id="213414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650" name=""/>
                    <pic:cNvPicPr/>
                  </pic:nvPicPr>
                  <pic:blipFill rotWithShape="1">
                    <a:blip r:embed="rId138">
                      <a:extLst>
                        <a:ext uri="{28A0092B-C50C-407E-A947-70E740481C1C}">
                          <a14:useLocalDpi xmlns:a14="http://schemas.microsoft.com/office/drawing/2010/main" val="0"/>
                        </a:ext>
                      </a:extLst>
                    </a:blip>
                    <a:srcRect r="62075"/>
                    <a:stretch/>
                  </pic:blipFill>
                  <pic:spPr bwMode="auto">
                    <a:xfrm>
                      <a:off x="0" y="0"/>
                      <a:ext cx="5913755" cy="17983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88FE07" w14:textId="6D54BF39" w:rsidR="00FA3186" w:rsidRPr="004C12C9" w:rsidRDefault="00FA3186" w:rsidP="00FA3186">
      <w:r w:rsidRPr="004C12C9">
        <w:lastRenderedPageBreak/>
        <w:t xml:space="preserve">If the Security Warning does not appear, </w:t>
      </w:r>
      <w:r w:rsidR="00C85D9C" w:rsidRPr="004C12C9">
        <w:t>users</w:t>
      </w:r>
      <w:r w:rsidRPr="004C12C9">
        <w:t xml:space="preserve"> may need to adjust macro security settings. Exit the spreadsheet, re-launch Excel, and open the </w:t>
      </w:r>
      <w:r w:rsidR="007766D1" w:rsidRPr="004C12C9">
        <w:t>calculator</w:t>
      </w:r>
      <w:r w:rsidRPr="004C12C9">
        <w:t xml:space="preserve">. Click the Excel icon, select “Excel Options,” then “Trust Center.” Click “Trust Center Settings,” then “Macro Settings,” and choose “Disable all macros with notification.” </w:t>
      </w:r>
      <w:r w:rsidR="007F5F7C" w:rsidRPr="004C12C9">
        <w:t>Before re-opening the module</w:t>
      </w:r>
      <w:r w:rsidR="002262AE" w:rsidRPr="004C12C9">
        <w:t>,</w:t>
      </w:r>
      <w:r w:rsidR="007F5F7C" w:rsidRPr="004C12C9">
        <w:t xml:space="preserve"> </w:t>
      </w:r>
      <w:r w:rsidR="002262AE" w:rsidRPr="004C12C9">
        <w:t>right-</w:t>
      </w:r>
      <w:r w:rsidR="007F5F7C" w:rsidRPr="004C12C9">
        <w:t xml:space="preserve">click the file, select properties, and mark </w:t>
      </w:r>
      <w:r w:rsidR="00DC7C08" w:rsidRPr="004C12C9">
        <w:t>“</w:t>
      </w:r>
      <w:r w:rsidR="007F5F7C" w:rsidRPr="004C12C9">
        <w:t>Unblock</w:t>
      </w:r>
      <w:r w:rsidR="00DC7C08" w:rsidRPr="004C12C9">
        <w:t xml:space="preserve">” </w:t>
      </w:r>
      <w:r w:rsidR="0054424B" w:rsidRPr="004C12C9">
        <w:t xml:space="preserve">under the </w:t>
      </w:r>
      <w:r w:rsidR="00DC7C08" w:rsidRPr="004C12C9">
        <w:t>“General” tab</w:t>
      </w:r>
      <w:r w:rsidR="007F5F7C" w:rsidRPr="004C12C9">
        <w:t xml:space="preserve">. </w:t>
      </w:r>
      <w:r w:rsidRPr="004C12C9">
        <w:t xml:space="preserve">Open the module again and enable macros as described above. See </w:t>
      </w:r>
      <w:r w:rsidR="00F15355" w:rsidRPr="004C12C9">
        <w:fldChar w:fldCharType="begin" w:fldLock="1"/>
      </w:r>
      <w:r w:rsidR="00F15355" w:rsidRPr="004C12C9">
        <w:instrText xml:space="preserve"> REF _Ref196746066 \h </w:instrText>
      </w:r>
      <w:r w:rsidR="00F15355" w:rsidRPr="004C12C9">
        <w:fldChar w:fldCharType="separate"/>
      </w:r>
      <w:r w:rsidR="00F15355" w:rsidRPr="004C12C9">
        <w:t>Figure D-2</w:t>
      </w:r>
      <w:r w:rsidR="00F15355" w:rsidRPr="004C12C9">
        <w:fldChar w:fldCharType="end"/>
      </w:r>
      <w:r w:rsidR="00F15355" w:rsidRPr="004C12C9">
        <w:t xml:space="preserve"> </w:t>
      </w:r>
      <w:r w:rsidRPr="004C12C9">
        <w:t>for an example of this setting.</w:t>
      </w:r>
    </w:p>
    <w:p w14:paraId="23864DA7" w14:textId="0703FF8D" w:rsidR="00FA3186" w:rsidRPr="004C12C9" w:rsidRDefault="00EF2C6B" w:rsidP="00FA3186">
      <w:pPr>
        <w:pStyle w:val="Caption"/>
      </w:pPr>
      <w:bookmarkStart w:id="298" w:name="_Ref196746066"/>
      <w:bookmarkStart w:id="299" w:name="_Ref196382287"/>
      <w:r w:rsidRPr="004C12C9">
        <w:t>Figure D-</w:t>
      </w:r>
      <w:r w:rsidR="007D7818">
        <w:fldChar w:fldCharType="begin"/>
      </w:r>
      <w:r w:rsidR="007D7818">
        <w:instrText xml:space="preserve"> SEQ Figure_D- \* ARABIC </w:instrText>
      </w:r>
      <w:r w:rsidR="007D7818">
        <w:fldChar w:fldCharType="separate"/>
      </w:r>
      <w:r w:rsidR="00752F47">
        <w:rPr>
          <w:noProof/>
        </w:rPr>
        <w:t>2</w:t>
      </w:r>
      <w:r w:rsidR="007D7818">
        <w:fldChar w:fldCharType="end"/>
      </w:r>
      <w:r w:rsidRPr="004C12C9">
        <w:t>.</w:t>
      </w:r>
      <w:bookmarkEnd w:id="298"/>
      <w:r w:rsidRPr="004C12C9">
        <w:t xml:space="preserve"> </w:t>
      </w:r>
      <w:bookmarkEnd w:id="299"/>
      <w:r w:rsidR="00FA3186" w:rsidRPr="004C12C9">
        <w:t>Microsoft Excel Security Settings for Macros</w:t>
      </w:r>
    </w:p>
    <w:p w14:paraId="725DC3ED" w14:textId="77777777" w:rsidR="00FA3186" w:rsidRPr="004C12C9" w:rsidRDefault="00FA3186" w:rsidP="003D4389">
      <w:pPr>
        <w:spacing w:before="60" w:after="60"/>
      </w:pPr>
      <w:r w:rsidRPr="004C12C9">
        <w:rPr>
          <w:noProof/>
        </w:rPr>
        <w:drawing>
          <wp:inline distT="0" distB="0" distL="0" distR="0" wp14:anchorId="12324726" wp14:editId="61B0DFB9">
            <wp:extent cx="5772150" cy="4729956"/>
            <wp:effectExtent l="19050" t="19050" r="19050" b="13970"/>
            <wp:docPr id="1920573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7055" name="Picture 1" descr="A screenshot of a computer&#10;&#10;AI-generated content may be incorrect."/>
                    <pic:cNvPicPr/>
                  </pic:nvPicPr>
                  <pic:blipFill>
                    <a:blip r:embed="rId139"/>
                    <a:stretch>
                      <a:fillRect/>
                    </a:stretch>
                  </pic:blipFill>
                  <pic:spPr>
                    <a:xfrm>
                      <a:off x="0" y="0"/>
                      <a:ext cx="5786224" cy="4741489"/>
                    </a:xfrm>
                    <a:prstGeom prst="rect">
                      <a:avLst/>
                    </a:prstGeom>
                    <a:ln>
                      <a:solidFill>
                        <a:srgbClr val="414041"/>
                      </a:solidFill>
                    </a:ln>
                  </pic:spPr>
                </pic:pic>
              </a:graphicData>
            </a:graphic>
          </wp:inline>
        </w:drawing>
      </w:r>
    </w:p>
    <w:p w14:paraId="077F0CEA" w14:textId="512C9247" w:rsidR="00B05B94" w:rsidRPr="004C12C9" w:rsidRDefault="00B05B94" w:rsidP="00E31E37">
      <w:pPr>
        <w:pStyle w:val="Heading4"/>
      </w:pPr>
      <w:r w:rsidRPr="004C12C9">
        <w:t>Microsoft Excel Settings</w:t>
      </w:r>
    </w:p>
    <w:p w14:paraId="5B7C9655" w14:textId="29C988E5" w:rsidR="00F060C2" w:rsidRPr="004C12C9" w:rsidRDefault="00B05B94" w:rsidP="00972CF9">
      <w:pPr>
        <w:rPr>
          <w:rStyle w:val="StyleComicSansMS"/>
          <w:rFonts w:asciiTheme="minorHAnsi" w:hAnsiTheme="minorHAnsi" w:cstheme="minorHAnsi"/>
          <w:sz w:val="22"/>
        </w:rPr>
      </w:pPr>
      <w:r w:rsidRPr="004C12C9">
        <w:rPr>
          <w:rStyle w:val="StyleComicSansMS"/>
          <w:rFonts w:asciiTheme="minorHAnsi" w:hAnsiTheme="minorHAnsi" w:cstheme="minorHAnsi"/>
          <w:sz w:val="22"/>
        </w:rPr>
        <w:t xml:space="preserve">For the </w:t>
      </w:r>
      <w:r w:rsidR="007766D1" w:rsidRPr="004C12C9">
        <w:t xml:space="preserve">calculator </w:t>
      </w:r>
      <w:r w:rsidRPr="004C12C9">
        <w:rPr>
          <w:rStyle w:val="StyleComicSansMS"/>
          <w:rFonts w:asciiTheme="minorHAnsi" w:hAnsiTheme="minorHAnsi" w:cstheme="minorHAnsi"/>
          <w:sz w:val="22"/>
        </w:rPr>
        <w:t xml:space="preserve">to function properly, Excel must be set to automatic calculation. </w:t>
      </w:r>
      <w:r w:rsidR="00D3140D" w:rsidRPr="004C12C9">
        <w:rPr>
          <w:rStyle w:val="StyleComicSansMS"/>
          <w:rFonts w:asciiTheme="minorHAnsi" w:hAnsiTheme="minorHAnsi" w:cstheme="minorHAnsi"/>
          <w:sz w:val="22"/>
        </w:rPr>
        <w:t>In</w:t>
      </w:r>
      <w:r w:rsidRPr="004C12C9">
        <w:rPr>
          <w:rStyle w:val="StyleComicSansMS"/>
          <w:rFonts w:asciiTheme="minorHAnsi" w:hAnsiTheme="minorHAnsi" w:cstheme="minorHAnsi"/>
          <w:sz w:val="22"/>
        </w:rPr>
        <w:t xml:space="preserve"> the Formulas ribbon</w:t>
      </w:r>
      <w:r w:rsidR="00D3140D" w:rsidRPr="004C12C9">
        <w:rPr>
          <w:rStyle w:val="StyleComicSansMS"/>
          <w:rFonts w:asciiTheme="minorHAnsi" w:hAnsiTheme="minorHAnsi" w:cstheme="minorHAnsi"/>
          <w:sz w:val="22"/>
        </w:rPr>
        <w:t>,</w:t>
      </w:r>
      <w:r w:rsidRPr="004C12C9">
        <w:rPr>
          <w:rStyle w:val="StyleComicSansMS"/>
          <w:rFonts w:asciiTheme="minorHAnsi" w:hAnsiTheme="minorHAnsi" w:cstheme="minorHAnsi"/>
          <w:sz w:val="22"/>
        </w:rPr>
        <w:t xml:space="preserve"> select “Calculation Options”</w:t>
      </w:r>
      <w:r w:rsidR="00D3140D" w:rsidRPr="004C12C9">
        <w:rPr>
          <w:rStyle w:val="StyleComicSansMS"/>
          <w:rFonts w:asciiTheme="minorHAnsi" w:hAnsiTheme="minorHAnsi" w:cstheme="minorHAnsi"/>
          <w:sz w:val="22"/>
        </w:rPr>
        <w:t xml:space="preserve"> and m</w:t>
      </w:r>
      <w:r w:rsidRPr="004C12C9">
        <w:rPr>
          <w:rStyle w:val="StyleComicSansMS"/>
          <w:rFonts w:asciiTheme="minorHAnsi" w:hAnsiTheme="minorHAnsi" w:cstheme="minorHAnsi"/>
          <w:sz w:val="22"/>
        </w:rPr>
        <w:t>ake sure that the box next to the “Automatic” option is checked from the menu.</w:t>
      </w:r>
      <w:r w:rsidR="00813DD6" w:rsidRPr="004C12C9">
        <w:rPr>
          <w:rStyle w:val="StyleComicSansMS"/>
          <w:rFonts w:asciiTheme="minorHAnsi" w:hAnsiTheme="minorHAnsi" w:cstheme="minorHAnsi"/>
          <w:sz w:val="22"/>
        </w:rPr>
        <w:t xml:space="preserve"> See </w:t>
      </w:r>
      <w:r w:rsidR="00F15355" w:rsidRPr="004C12C9">
        <w:rPr>
          <w:rStyle w:val="StyleComicSansMS"/>
          <w:rFonts w:asciiTheme="minorHAnsi" w:hAnsiTheme="minorHAnsi" w:cstheme="minorHAnsi"/>
          <w:sz w:val="22"/>
        </w:rPr>
        <w:fldChar w:fldCharType="begin" w:fldLock="1"/>
      </w:r>
      <w:r w:rsidR="00F15355" w:rsidRPr="004C12C9">
        <w:rPr>
          <w:rStyle w:val="StyleComicSansMS"/>
          <w:rFonts w:asciiTheme="minorHAnsi" w:hAnsiTheme="minorHAnsi" w:cstheme="minorHAnsi"/>
          <w:sz w:val="22"/>
        </w:rPr>
        <w:instrText xml:space="preserve"> REF _Ref196746097 \h </w:instrText>
      </w:r>
      <w:r w:rsidR="00F15355" w:rsidRPr="004C12C9">
        <w:rPr>
          <w:rStyle w:val="StyleComicSansMS"/>
          <w:rFonts w:asciiTheme="minorHAnsi" w:hAnsiTheme="minorHAnsi" w:cstheme="minorHAnsi"/>
          <w:sz w:val="22"/>
        </w:rPr>
      </w:r>
      <w:r w:rsidR="00F15355" w:rsidRPr="004C12C9">
        <w:rPr>
          <w:rStyle w:val="StyleComicSansMS"/>
          <w:rFonts w:asciiTheme="minorHAnsi" w:hAnsiTheme="minorHAnsi" w:cstheme="minorHAnsi"/>
          <w:sz w:val="22"/>
        </w:rPr>
        <w:fldChar w:fldCharType="separate"/>
      </w:r>
      <w:r w:rsidR="00F15355" w:rsidRPr="004C12C9">
        <w:t>Figure D-3</w:t>
      </w:r>
      <w:r w:rsidR="00F15355" w:rsidRPr="004C12C9">
        <w:rPr>
          <w:rStyle w:val="StyleComicSansMS"/>
          <w:rFonts w:asciiTheme="minorHAnsi" w:hAnsiTheme="minorHAnsi" w:cstheme="minorHAnsi"/>
          <w:sz w:val="22"/>
        </w:rPr>
        <w:fldChar w:fldCharType="end"/>
      </w:r>
      <w:r w:rsidR="00F15355" w:rsidRPr="004C12C9">
        <w:rPr>
          <w:rStyle w:val="StyleComicSansMS"/>
          <w:rFonts w:asciiTheme="minorHAnsi" w:hAnsiTheme="minorHAnsi" w:cstheme="minorHAnsi"/>
          <w:sz w:val="22"/>
        </w:rPr>
        <w:t xml:space="preserve"> </w:t>
      </w:r>
      <w:r w:rsidR="00813DD6" w:rsidRPr="004C12C9">
        <w:rPr>
          <w:rStyle w:val="StyleComicSansMS"/>
          <w:rFonts w:asciiTheme="minorHAnsi" w:hAnsiTheme="minorHAnsi" w:cstheme="minorHAnsi"/>
          <w:sz w:val="22"/>
        </w:rPr>
        <w:t>for an example of t</w:t>
      </w:r>
      <w:r w:rsidR="00F060C2" w:rsidRPr="004C12C9">
        <w:rPr>
          <w:rStyle w:val="StyleComicSansMS"/>
          <w:rFonts w:asciiTheme="minorHAnsi" w:hAnsiTheme="minorHAnsi" w:cstheme="minorHAnsi"/>
          <w:sz w:val="22"/>
        </w:rPr>
        <w:t>his setting.</w:t>
      </w:r>
    </w:p>
    <w:p w14:paraId="7BE00066" w14:textId="114B3088" w:rsidR="0028303C" w:rsidRPr="004C12C9" w:rsidRDefault="00F15355" w:rsidP="00F060C2">
      <w:pPr>
        <w:pStyle w:val="Caption"/>
        <w:rPr>
          <w:rStyle w:val="StyleComicSansMS"/>
          <w:rFonts w:asciiTheme="minorHAnsi" w:hAnsiTheme="minorHAnsi" w:cstheme="minorHAnsi"/>
          <w:sz w:val="22"/>
        </w:rPr>
      </w:pPr>
      <w:bookmarkStart w:id="300" w:name="_Ref196746097"/>
      <w:bookmarkStart w:id="301" w:name="_Ref196382369"/>
      <w:r w:rsidRPr="004C12C9">
        <w:t>Figure D-</w:t>
      </w:r>
      <w:r w:rsidR="007D7818">
        <w:fldChar w:fldCharType="begin"/>
      </w:r>
      <w:r w:rsidR="007D7818">
        <w:instrText xml:space="preserve"> SEQ Figure_D- \* ARABIC </w:instrText>
      </w:r>
      <w:r w:rsidR="007D7818">
        <w:fldChar w:fldCharType="separate"/>
      </w:r>
      <w:r w:rsidR="00752F47">
        <w:rPr>
          <w:noProof/>
        </w:rPr>
        <w:t>3</w:t>
      </w:r>
      <w:r w:rsidR="007D7818">
        <w:fldChar w:fldCharType="end"/>
      </w:r>
      <w:r w:rsidRPr="004C12C9">
        <w:t>.</w:t>
      </w:r>
      <w:bookmarkEnd w:id="300"/>
      <w:r w:rsidRPr="004C12C9">
        <w:t xml:space="preserve"> </w:t>
      </w:r>
      <w:bookmarkEnd w:id="301"/>
      <w:r w:rsidR="0072646E" w:rsidRPr="004C12C9">
        <w:t xml:space="preserve">Microsoft Excel </w:t>
      </w:r>
      <w:r w:rsidR="00C225CB" w:rsidRPr="004C12C9">
        <w:t>S</w:t>
      </w:r>
      <w:r w:rsidR="0072646E" w:rsidRPr="004C12C9">
        <w:t xml:space="preserve">ettings for </w:t>
      </w:r>
      <w:r w:rsidR="00C225CB" w:rsidRPr="004C12C9">
        <w:t>A</w:t>
      </w:r>
      <w:r w:rsidR="00812CB6" w:rsidRPr="004C12C9">
        <w:t xml:space="preserve">utomatic </w:t>
      </w:r>
      <w:r w:rsidR="00C225CB" w:rsidRPr="004C12C9">
        <w:t>C</w:t>
      </w:r>
      <w:r w:rsidR="00812CB6" w:rsidRPr="004C12C9">
        <w:t>alculations</w:t>
      </w:r>
    </w:p>
    <w:p w14:paraId="45F52276" w14:textId="7E9D613F" w:rsidR="002C6CA8" w:rsidRPr="004C12C9" w:rsidRDefault="002C6CA8" w:rsidP="00F8204D">
      <w:pPr>
        <w:spacing w:before="0"/>
        <w:rPr>
          <w:rStyle w:val="StyleComicSansMS"/>
          <w:rFonts w:asciiTheme="minorHAnsi" w:hAnsiTheme="minorHAnsi" w:cstheme="minorHAnsi"/>
          <w:sz w:val="22"/>
        </w:rPr>
      </w:pPr>
      <w:r w:rsidRPr="004C12C9">
        <w:rPr>
          <w:rStyle w:val="StyleComicSansMS"/>
          <w:rFonts w:asciiTheme="minorHAnsi" w:hAnsiTheme="minorHAnsi" w:cstheme="minorHAnsi"/>
          <w:noProof/>
          <w:sz w:val="22"/>
        </w:rPr>
        <w:drawing>
          <wp:inline distT="0" distB="0" distL="0" distR="0" wp14:anchorId="76A8B547" wp14:editId="3FF63BF8">
            <wp:extent cx="5943600" cy="984885"/>
            <wp:effectExtent l="19050" t="19050" r="19050" b="24765"/>
            <wp:docPr id="372764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64386" name="Picture 1" descr="A screenshot of a computer&#10;&#10;AI-generated content may be incorrect."/>
                    <pic:cNvPicPr/>
                  </pic:nvPicPr>
                  <pic:blipFill>
                    <a:blip r:embed="rId140"/>
                    <a:stretch>
                      <a:fillRect/>
                    </a:stretch>
                  </pic:blipFill>
                  <pic:spPr>
                    <a:xfrm>
                      <a:off x="0" y="0"/>
                      <a:ext cx="5943600" cy="984885"/>
                    </a:xfrm>
                    <a:prstGeom prst="rect">
                      <a:avLst/>
                    </a:prstGeom>
                    <a:ln>
                      <a:solidFill>
                        <a:srgbClr val="414041"/>
                      </a:solidFill>
                    </a:ln>
                  </pic:spPr>
                </pic:pic>
              </a:graphicData>
            </a:graphic>
          </wp:inline>
        </w:drawing>
      </w:r>
    </w:p>
    <w:p w14:paraId="4BBA4F70" w14:textId="3395701D" w:rsidR="00511754" w:rsidRPr="004C12C9" w:rsidRDefault="007766D1" w:rsidP="007F736B">
      <w:pPr>
        <w:pStyle w:val="Appendix2"/>
      </w:pPr>
      <w:bookmarkStart w:id="302" w:name="_Toc192247211"/>
      <w:bookmarkStart w:id="303" w:name="_Toc192248615"/>
      <w:bookmarkStart w:id="304" w:name="_Toc194319971"/>
      <w:bookmarkStart w:id="305" w:name="_Toc194676877"/>
      <w:bookmarkStart w:id="306" w:name="_Ref196747516"/>
      <w:bookmarkStart w:id="307" w:name="_Ref196747546"/>
      <w:bookmarkStart w:id="308" w:name="_Toc219887797"/>
      <w:r w:rsidRPr="004C12C9">
        <w:lastRenderedPageBreak/>
        <w:t xml:space="preserve">Calculator </w:t>
      </w:r>
      <w:r w:rsidR="00511754" w:rsidRPr="004C12C9">
        <w:t>Structure</w:t>
      </w:r>
      <w:bookmarkEnd w:id="302"/>
      <w:bookmarkEnd w:id="303"/>
      <w:bookmarkEnd w:id="304"/>
      <w:bookmarkEnd w:id="305"/>
      <w:bookmarkEnd w:id="306"/>
      <w:bookmarkEnd w:id="307"/>
      <w:bookmarkEnd w:id="308"/>
    </w:p>
    <w:p w14:paraId="6F14A6C4" w14:textId="1BA84611" w:rsidR="00134E71" w:rsidRPr="004C12C9" w:rsidRDefault="00134E71" w:rsidP="00972CF9">
      <w:r w:rsidRPr="004C12C9">
        <w:t xml:space="preserve">The organization of the </w:t>
      </w:r>
      <w:r w:rsidR="007766D1" w:rsidRPr="004C12C9">
        <w:t xml:space="preserve">calculator </w:t>
      </w:r>
      <w:r w:rsidRPr="004C12C9">
        <w:t xml:space="preserve">is summarized in </w:t>
      </w:r>
      <w:r w:rsidR="002152FA" w:rsidRPr="004C12C9">
        <w:fldChar w:fldCharType="begin" w:fldLock="1"/>
      </w:r>
      <w:r w:rsidR="002152FA" w:rsidRPr="004C12C9">
        <w:instrText xml:space="preserve"> REF _Ref195878445 \h </w:instrText>
      </w:r>
      <w:r w:rsidR="002152FA" w:rsidRPr="004C12C9">
        <w:fldChar w:fldCharType="separate"/>
      </w:r>
      <w:r w:rsidR="00127094" w:rsidRPr="004C12C9">
        <w:t>Table D-1</w:t>
      </w:r>
      <w:r w:rsidR="002152FA" w:rsidRPr="004C12C9">
        <w:fldChar w:fldCharType="end"/>
      </w:r>
      <w:r w:rsidRPr="004C12C9">
        <w:t>.</w:t>
      </w:r>
    </w:p>
    <w:p w14:paraId="3E025166" w14:textId="0C70DDFE" w:rsidR="002152FA" w:rsidRPr="004C12C9" w:rsidRDefault="002152FA" w:rsidP="002152FA">
      <w:pPr>
        <w:pStyle w:val="Caption"/>
      </w:pPr>
      <w:bookmarkStart w:id="309" w:name="_Ref195878445"/>
      <w:r w:rsidRPr="004C12C9">
        <w:t>Table D-</w:t>
      </w:r>
      <w:r w:rsidR="00CD282D">
        <w:fldChar w:fldCharType="begin"/>
      </w:r>
      <w:r w:rsidR="00CD282D">
        <w:instrText xml:space="preserve"> SEQ Table_D- \* ARABIC </w:instrText>
      </w:r>
      <w:r w:rsidR="00CD282D">
        <w:fldChar w:fldCharType="separate"/>
      </w:r>
      <w:r w:rsidR="002B33A8">
        <w:rPr>
          <w:noProof/>
        </w:rPr>
        <w:t>1</w:t>
      </w:r>
      <w:r w:rsidR="00CD282D">
        <w:fldChar w:fldCharType="end"/>
      </w:r>
      <w:bookmarkEnd w:id="309"/>
      <w:r w:rsidRPr="004C12C9">
        <w:t xml:space="preserve">. </w:t>
      </w:r>
      <w:r w:rsidR="00657B8C" w:rsidRPr="004C12C9">
        <w:t xml:space="preserve">Climate </w:t>
      </w:r>
      <w:r w:rsidR="00192D29" w:rsidRPr="004C12C9">
        <w:t xml:space="preserve">Calculator </w:t>
      </w:r>
      <w:r w:rsidRPr="004C12C9">
        <w:t>Structure</w:t>
      </w:r>
    </w:p>
    <w:tbl>
      <w:tblPr>
        <w:tblStyle w:val="TableGridLight"/>
        <w:tblW w:w="9445" w:type="dxa"/>
        <w:tblLayout w:type="fixed"/>
        <w:tblLook w:val="04A0" w:firstRow="1" w:lastRow="0" w:firstColumn="1" w:lastColumn="0" w:noHBand="0" w:noVBand="1"/>
      </w:tblPr>
      <w:tblGrid>
        <w:gridCol w:w="1795"/>
        <w:gridCol w:w="7650"/>
      </w:tblGrid>
      <w:tr w:rsidR="00134E71" w:rsidRPr="004C12C9" w14:paraId="663C6F2F" w14:textId="77777777" w:rsidTr="00C961C0">
        <w:trPr>
          <w:trHeight w:val="180"/>
        </w:trPr>
        <w:tc>
          <w:tcPr>
            <w:tcW w:w="1795" w:type="dxa"/>
            <w:shd w:val="clear" w:color="auto" w:fill="D9D9D9" w:themeFill="background1" w:themeFillShade="D9"/>
          </w:tcPr>
          <w:p w14:paraId="14145875" w14:textId="77777777" w:rsidR="00134E71" w:rsidRPr="00E76022" w:rsidRDefault="00134E71" w:rsidP="00097C38">
            <w:pPr>
              <w:pStyle w:val="ICFTableHeading"/>
              <w:rPr>
                <w:sz w:val="21"/>
                <w:szCs w:val="21"/>
              </w:rPr>
            </w:pPr>
            <w:r w:rsidRPr="00E76022">
              <w:rPr>
                <w:sz w:val="21"/>
                <w:szCs w:val="21"/>
              </w:rPr>
              <w:t>Tab Name</w:t>
            </w:r>
          </w:p>
        </w:tc>
        <w:tc>
          <w:tcPr>
            <w:tcW w:w="7650" w:type="dxa"/>
            <w:shd w:val="clear" w:color="auto" w:fill="D9D9D9" w:themeFill="background1" w:themeFillShade="D9"/>
          </w:tcPr>
          <w:p w14:paraId="6B924A62" w14:textId="77777777" w:rsidR="00134E71" w:rsidRPr="00E76022" w:rsidRDefault="00134E71" w:rsidP="00097C38">
            <w:pPr>
              <w:pStyle w:val="ICFTableHeading"/>
              <w:rPr>
                <w:sz w:val="21"/>
                <w:szCs w:val="21"/>
              </w:rPr>
            </w:pPr>
            <w:r w:rsidRPr="00E76022">
              <w:rPr>
                <w:sz w:val="21"/>
                <w:szCs w:val="21"/>
              </w:rPr>
              <w:t>Contents</w:t>
            </w:r>
          </w:p>
        </w:tc>
      </w:tr>
      <w:tr w:rsidR="00134E71" w:rsidRPr="004C12C9" w14:paraId="769CB0D5" w14:textId="77777777" w:rsidTr="00C961C0">
        <w:trPr>
          <w:trHeight w:val="300"/>
        </w:trPr>
        <w:tc>
          <w:tcPr>
            <w:tcW w:w="1795" w:type="dxa"/>
          </w:tcPr>
          <w:p w14:paraId="37825955" w14:textId="77777777" w:rsidR="00134E71" w:rsidRPr="00E76022" w:rsidRDefault="00134E71" w:rsidP="009D6511">
            <w:pPr>
              <w:pStyle w:val="ICFTabletext"/>
              <w:rPr>
                <w:sz w:val="21"/>
                <w:szCs w:val="21"/>
              </w:rPr>
            </w:pPr>
            <w:r w:rsidRPr="00E76022">
              <w:rPr>
                <w:sz w:val="21"/>
                <w:szCs w:val="21"/>
              </w:rPr>
              <w:t>Introduction</w:t>
            </w:r>
          </w:p>
        </w:tc>
        <w:tc>
          <w:tcPr>
            <w:tcW w:w="7650" w:type="dxa"/>
          </w:tcPr>
          <w:p w14:paraId="1EA9E401" w14:textId="77D49000" w:rsidR="00134E71" w:rsidRPr="00E76022" w:rsidRDefault="00134E71" w:rsidP="009D6511">
            <w:pPr>
              <w:pStyle w:val="ICFTabletext"/>
              <w:rPr>
                <w:sz w:val="21"/>
                <w:szCs w:val="21"/>
              </w:rPr>
            </w:pPr>
            <w:r w:rsidRPr="00E76022">
              <w:rPr>
                <w:sz w:val="21"/>
                <w:szCs w:val="21"/>
              </w:rPr>
              <w:t xml:space="preserve">Summarizes the purpose, scope, and limitations of the </w:t>
            </w:r>
            <w:r w:rsidR="00192D29" w:rsidRPr="00E76022">
              <w:rPr>
                <w:sz w:val="21"/>
                <w:szCs w:val="21"/>
              </w:rPr>
              <w:t>calculator</w:t>
            </w:r>
            <w:r w:rsidRPr="00E76022">
              <w:rPr>
                <w:sz w:val="21"/>
                <w:szCs w:val="21"/>
              </w:rPr>
              <w:t>. Includes the version number and release date.</w:t>
            </w:r>
          </w:p>
        </w:tc>
      </w:tr>
      <w:tr w:rsidR="00134E71" w:rsidRPr="004C12C9" w14:paraId="6F33E0B9" w14:textId="77777777" w:rsidTr="00C961C0">
        <w:trPr>
          <w:trHeight w:val="300"/>
        </w:trPr>
        <w:tc>
          <w:tcPr>
            <w:tcW w:w="1795" w:type="dxa"/>
          </w:tcPr>
          <w:p w14:paraId="7438DD9A" w14:textId="77777777" w:rsidR="00134E71" w:rsidRPr="00E76022" w:rsidRDefault="00134E71" w:rsidP="009D6511">
            <w:pPr>
              <w:pStyle w:val="ICFTabletext"/>
              <w:rPr>
                <w:sz w:val="21"/>
                <w:szCs w:val="21"/>
              </w:rPr>
            </w:pPr>
            <w:r w:rsidRPr="00E76022">
              <w:rPr>
                <w:sz w:val="21"/>
                <w:szCs w:val="21"/>
              </w:rPr>
              <w:t>User Guide</w:t>
            </w:r>
          </w:p>
        </w:tc>
        <w:tc>
          <w:tcPr>
            <w:tcW w:w="7650" w:type="dxa"/>
          </w:tcPr>
          <w:p w14:paraId="449A5175" w14:textId="30A53827" w:rsidR="00134E71" w:rsidRPr="00E76022" w:rsidRDefault="00134E71" w:rsidP="009D6511">
            <w:pPr>
              <w:pStyle w:val="ICFTabletext"/>
              <w:rPr>
                <w:sz w:val="21"/>
                <w:szCs w:val="21"/>
              </w:rPr>
            </w:pPr>
            <w:r w:rsidRPr="00E76022">
              <w:rPr>
                <w:sz w:val="21"/>
                <w:szCs w:val="21"/>
              </w:rPr>
              <w:t xml:space="preserve">Includes instructional steps on how to use the </w:t>
            </w:r>
            <w:r w:rsidR="00192D29" w:rsidRPr="00E76022">
              <w:rPr>
                <w:sz w:val="21"/>
                <w:szCs w:val="21"/>
              </w:rPr>
              <w:t>calculator</w:t>
            </w:r>
            <w:r w:rsidRPr="00E76022">
              <w:rPr>
                <w:sz w:val="21"/>
                <w:szCs w:val="21"/>
              </w:rPr>
              <w:t>, a cell legend, and a table of contents describing the details of each tab.</w:t>
            </w:r>
          </w:p>
        </w:tc>
      </w:tr>
      <w:tr w:rsidR="00134E71" w:rsidRPr="004C12C9" w14:paraId="7EE37719" w14:textId="77777777" w:rsidTr="00C961C0">
        <w:trPr>
          <w:trHeight w:val="80"/>
        </w:trPr>
        <w:tc>
          <w:tcPr>
            <w:tcW w:w="1795" w:type="dxa"/>
          </w:tcPr>
          <w:p w14:paraId="344116A3" w14:textId="77777777" w:rsidR="00134E71" w:rsidRPr="00E76022" w:rsidRDefault="00134E71" w:rsidP="009D6511">
            <w:pPr>
              <w:pStyle w:val="ICFTabletext"/>
              <w:rPr>
                <w:sz w:val="21"/>
                <w:szCs w:val="21"/>
              </w:rPr>
            </w:pPr>
            <w:r w:rsidRPr="00E76022">
              <w:rPr>
                <w:sz w:val="21"/>
                <w:szCs w:val="21"/>
              </w:rPr>
              <w:t>Project Background</w:t>
            </w:r>
          </w:p>
        </w:tc>
        <w:tc>
          <w:tcPr>
            <w:tcW w:w="7650" w:type="dxa"/>
          </w:tcPr>
          <w:p w14:paraId="400E47C0" w14:textId="4D67F63A" w:rsidR="00134E71" w:rsidRPr="00E76022" w:rsidRDefault="00134E71" w:rsidP="009D6511">
            <w:pPr>
              <w:pStyle w:val="ICFTabletext"/>
              <w:rPr>
                <w:sz w:val="21"/>
                <w:szCs w:val="21"/>
              </w:rPr>
            </w:pPr>
            <w:r w:rsidRPr="00E76022">
              <w:rPr>
                <w:sz w:val="21"/>
                <w:szCs w:val="21"/>
              </w:rPr>
              <w:t>Prompts users to enter basic information about their project, including the project name, category, location, construction start date and duration, the year when the project is expected to be fully operational, the project lifespan, project acreage, building area</w:t>
            </w:r>
            <w:r w:rsidR="00EB3C48" w:rsidRPr="00E76022">
              <w:rPr>
                <w:sz w:val="21"/>
                <w:szCs w:val="21"/>
              </w:rPr>
              <w:t>, and electricity provider</w:t>
            </w:r>
            <w:r w:rsidRPr="00E76022">
              <w:rPr>
                <w:sz w:val="21"/>
                <w:szCs w:val="21"/>
              </w:rPr>
              <w:t xml:space="preserve">. </w:t>
            </w:r>
            <w:r w:rsidR="00B4265C" w:rsidRPr="00E76022">
              <w:rPr>
                <w:sz w:val="21"/>
                <w:szCs w:val="21"/>
              </w:rPr>
              <w:t xml:space="preserve">Allows the user to </w:t>
            </w:r>
            <w:r w:rsidR="00C01B02" w:rsidRPr="00E76022">
              <w:rPr>
                <w:sz w:val="21"/>
                <w:szCs w:val="21"/>
              </w:rPr>
              <w:t>select the preferred</w:t>
            </w:r>
            <w:r w:rsidR="00237862" w:rsidRPr="00E76022">
              <w:rPr>
                <w:sz w:val="21"/>
                <w:szCs w:val="21"/>
              </w:rPr>
              <w:t xml:space="preserve"> unit</w:t>
            </w:r>
            <w:r w:rsidR="009D11E7" w:rsidRPr="00E76022">
              <w:rPr>
                <w:sz w:val="21"/>
                <w:szCs w:val="21"/>
              </w:rPr>
              <w:t xml:space="preserve"> in which to present results.</w:t>
            </w:r>
            <w:r w:rsidR="00724687" w:rsidRPr="00E76022">
              <w:rPr>
                <w:sz w:val="21"/>
                <w:szCs w:val="21"/>
              </w:rPr>
              <w:t xml:space="preserve"> </w:t>
            </w:r>
            <w:r w:rsidRPr="00E76022">
              <w:rPr>
                <w:sz w:val="21"/>
                <w:szCs w:val="21"/>
              </w:rPr>
              <w:t xml:space="preserve">Based on the project category selected, the </w:t>
            </w:r>
            <w:r w:rsidR="00192D29" w:rsidRPr="00E76022">
              <w:rPr>
                <w:sz w:val="21"/>
                <w:szCs w:val="21"/>
              </w:rPr>
              <w:t xml:space="preserve">calculator </w:t>
            </w:r>
            <w:r w:rsidRPr="00E76022">
              <w:rPr>
                <w:sz w:val="21"/>
                <w:szCs w:val="21"/>
              </w:rPr>
              <w:t>specif</w:t>
            </w:r>
            <w:r w:rsidR="003F1FE2" w:rsidRPr="00E76022">
              <w:rPr>
                <w:sz w:val="21"/>
                <w:szCs w:val="21"/>
              </w:rPr>
              <w:t>ies</w:t>
            </w:r>
            <w:r w:rsidRPr="00E76022">
              <w:rPr>
                <w:sz w:val="21"/>
                <w:szCs w:val="21"/>
              </w:rPr>
              <w:t xml:space="preserve"> which emission sources may apply and give users the option to select and unselect emission sources to quantify. </w:t>
            </w:r>
          </w:p>
        </w:tc>
      </w:tr>
      <w:tr w:rsidR="00134E71" w:rsidRPr="004C12C9" w14:paraId="11247A5C" w14:textId="77777777" w:rsidTr="00C961C0">
        <w:trPr>
          <w:trHeight w:val="80"/>
        </w:trPr>
        <w:tc>
          <w:tcPr>
            <w:tcW w:w="1795" w:type="dxa"/>
          </w:tcPr>
          <w:p w14:paraId="775CFEED" w14:textId="77777777" w:rsidR="00134E71" w:rsidRPr="00E76022" w:rsidRDefault="00134E71" w:rsidP="009D6511">
            <w:pPr>
              <w:pStyle w:val="ICFTabletext"/>
              <w:rPr>
                <w:sz w:val="21"/>
                <w:szCs w:val="21"/>
              </w:rPr>
            </w:pPr>
            <w:r w:rsidRPr="00E76022">
              <w:rPr>
                <w:sz w:val="21"/>
                <w:szCs w:val="21"/>
              </w:rPr>
              <w:t>User Inputs</w:t>
            </w:r>
          </w:p>
        </w:tc>
        <w:tc>
          <w:tcPr>
            <w:tcW w:w="7650" w:type="dxa"/>
          </w:tcPr>
          <w:p w14:paraId="45ACCC40" w14:textId="361FA9C8" w:rsidR="00134E71" w:rsidRPr="00E76022" w:rsidRDefault="00134E71" w:rsidP="009D6511">
            <w:pPr>
              <w:pStyle w:val="ICFTabletext"/>
              <w:rPr>
                <w:sz w:val="21"/>
                <w:szCs w:val="21"/>
              </w:rPr>
            </w:pPr>
            <w:r w:rsidRPr="00E76022">
              <w:rPr>
                <w:sz w:val="21"/>
                <w:szCs w:val="21"/>
              </w:rPr>
              <w:t>Prompts users to enter the activity data needed to quantify emissions from the selected emission sources, organized by project phase. Users</w:t>
            </w:r>
            <w:r w:rsidRPr="00E76022" w:rsidDel="00E764A4">
              <w:rPr>
                <w:sz w:val="21"/>
                <w:szCs w:val="21"/>
              </w:rPr>
              <w:t xml:space="preserve"> </w:t>
            </w:r>
            <w:r w:rsidRPr="00E76022">
              <w:rPr>
                <w:sz w:val="21"/>
                <w:szCs w:val="21"/>
              </w:rPr>
              <w:t xml:space="preserve">also have the option to view and override, as desired, select default assumptions and emission factors. </w:t>
            </w:r>
          </w:p>
        </w:tc>
      </w:tr>
      <w:tr w:rsidR="005E1F50" w:rsidRPr="004C12C9" w14:paraId="6DEDF59A" w14:textId="77777777" w:rsidTr="00C961C0">
        <w:trPr>
          <w:trHeight w:val="80"/>
        </w:trPr>
        <w:tc>
          <w:tcPr>
            <w:tcW w:w="1795" w:type="dxa"/>
          </w:tcPr>
          <w:p w14:paraId="339A8A87" w14:textId="7F0824F1" w:rsidR="005E1F50" w:rsidRPr="00E76022" w:rsidRDefault="005E1F50" w:rsidP="009D6511">
            <w:pPr>
              <w:pStyle w:val="ICFTabletext"/>
              <w:rPr>
                <w:sz w:val="21"/>
                <w:szCs w:val="21"/>
              </w:rPr>
            </w:pPr>
            <w:r w:rsidRPr="00E76022">
              <w:rPr>
                <w:sz w:val="21"/>
                <w:szCs w:val="21"/>
              </w:rPr>
              <w:t>Notes</w:t>
            </w:r>
          </w:p>
        </w:tc>
        <w:tc>
          <w:tcPr>
            <w:tcW w:w="7650" w:type="dxa"/>
          </w:tcPr>
          <w:p w14:paraId="4AC11FCE" w14:textId="1C6F8D5F" w:rsidR="005E1F50" w:rsidRPr="00E76022" w:rsidRDefault="00FC21B9" w:rsidP="009D6511">
            <w:pPr>
              <w:pStyle w:val="ICFTabletext"/>
              <w:rPr>
                <w:sz w:val="21"/>
                <w:szCs w:val="21"/>
              </w:rPr>
            </w:pPr>
            <w:r w:rsidRPr="00E76022">
              <w:rPr>
                <w:sz w:val="21"/>
                <w:szCs w:val="21"/>
              </w:rPr>
              <w:t xml:space="preserve">Allows </w:t>
            </w:r>
            <w:r w:rsidR="000B59D4" w:rsidRPr="00E76022">
              <w:rPr>
                <w:sz w:val="21"/>
                <w:szCs w:val="21"/>
              </w:rPr>
              <w:t xml:space="preserve">users to </w:t>
            </w:r>
            <w:r w:rsidRPr="00E76022">
              <w:rPr>
                <w:sz w:val="21"/>
                <w:szCs w:val="21"/>
              </w:rPr>
              <w:t xml:space="preserve">document </w:t>
            </w:r>
            <w:r w:rsidR="000B59D4" w:rsidRPr="00E76022">
              <w:rPr>
                <w:sz w:val="21"/>
                <w:szCs w:val="21"/>
              </w:rPr>
              <w:t>assumptions</w:t>
            </w:r>
            <w:r w:rsidRPr="00E76022">
              <w:rPr>
                <w:sz w:val="21"/>
                <w:szCs w:val="21"/>
              </w:rPr>
              <w:t>, data sources</w:t>
            </w:r>
            <w:r w:rsidR="00EF1F56" w:rsidRPr="00E76022">
              <w:rPr>
                <w:sz w:val="21"/>
                <w:szCs w:val="21"/>
              </w:rPr>
              <w:t>,</w:t>
            </w:r>
            <w:r w:rsidR="000B59D4" w:rsidRPr="00E76022" w:rsidDel="00EF1F56">
              <w:rPr>
                <w:sz w:val="21"/>
                <w:szCs w:val="21"/>
              </w:rPr>
              <w:t xml:space="preserve"> </w:t>
            </w:r>
            <w:r w:rsidR="000B59D4" w:rsidRPr="00E76022">
              <w:rPr>
                <w:sz w:val="21"/>
                <w:szCs w:val="21"/>
              </w:rPr>
              <w:t>notes</w:t>
            </w:r>
            <w:r w:rsidR="00EF1F56" w:rsidRPr="00E76022">
              <w:rPr>
                <w:sz w:val="21"/>
                <w:szCs w:val="21"/>
              </w:rPr>
              <w:t xml:space="preserve"> for reviewers, special circumstances or other helpful information</w:t>
            </w:r>
            <w:r w:rsidR="000B59D4" w:rsidRPr="00E76022">
              <w:rPr>
                <w:sz w:val="21"/>
                <w:szCs w:val="21"/>
              </w:rPr>
              <w:t xml:space="preserve"> specific to their project</w:t>
            </w:r>
            <w:r w:rsidR="00246207" w:rsidRPr="00E76022">
              <w:rPr>
                <w:sz w:val="21"/>
                <w:szCs w:val="21"/>
              </w:rPr>
              <w:t xml:space="preserve">, </w:t>
            </w:r>
            <w:r w:rsidR="00EF1F56" w:rsidRPr="00E76022">
              <w:rPr>
                <w:sz w:val="21"/>
                <w:szCs w:val="21"/>
              </w:rPr>
              <w:t>organized</w:t>
            </w:r>
            <w:r w:rsidR="00246207" w:rsidRPr="00E76022">
              <w:rPr>
                <w:sz w:val="21"/>
                <w:szCs w:val="21"/>
              </w:rPr>
              <w:t xml:space="preserve"> by </w:t>
            </w:r>
            <w:r w:rsidR="0060107A" w:rsidRPr="00E76022">
              <w:rPr>
                <w:sz w:val="21"/>
                <w:szCs w:val="21"/>
              </w:rPr>
              <w:t xml:space="preserve">project </w:t>
            </w:r>
            <w:r w:rsidR="00254491" w:rsidRPr="00E76022">
              <w:rPr>
                <w:sz w:val="21"/>
                <w:szCs w:val="21"/>
              </w:rPr>
              <w:t xml:space="preserve">phase and </w:t>
            </w:r>
            <w:r w:rsidR="0060107A" w:rsidRPr="00E76022">
              <w:rPr>
                <w:sz w:val="21"/>
                <w:szCs w:val="21"/>
              </w:rPr>
              <w:t>emissions source</w:t>
            </w:r>
            <w:r w:rsidR="000B59D4" w:rsidRPr="00E76022">
              <w:rPr>
                <w:sz w:val="21"/>
                <w:szCs w:val="21"/>
              </w:rPr>
              <w:t>.</w:t>
            </w:r>
          </w:p>
        </w:tc>
      </w:tr>
      <w:tr w:rsidR="00134E71" w:rsidRPr="004C12C9" w14:paraId="5F8CA25B" w14:textId="77777777" w:rsidTr="00C961C0">
        <w:trPr>
          <w:trHeight w:val="80"/>
        </w:trPr>
        <w:tc>
          <w:tcPr>
            <w:tcW w:w="1795" w:type="dxa"/>
          </w:tcPr>
          <w:p w14:paraId="3F76DD5C" w14:textId="77777777" w:rsidR="00134E71" w:rsidRPr="00E76022" w:rsidRDefault="00134E71" w:rsidP="009D6511">
            <w:pPr>
              <w:pStyle w:val="ICFTabletext"/>
              <w:rPr>
                <w:sz w:val="21"/>
                <w:szCs w:val="21"/>
              </w:rPr>
            </w:pPr>
            <w:r w:rsidRPr="00E76022">
              <w:rPr>
                <w:sz w:val="21"/>
                <w:szCs w:val="21"/>
              </w:rPr>
              <w:t xml:space="preserve">Construction </w:t>
            </w:r>
          </w:p>
        </w:tc>
        <w:tc>
          <w:tcPr>
            <w:tcW w:w="7650" w:type="dxa"/>
          </w:tcPr>
          <w:p w14:paraId="4E16E644" w14:textId="77777777" w:rsidR="00134E71" w:rsidRPr="00E76022" w:rsidRDefault="00134E71" w:rsidP="009D6511">
            <w:pPr>
              <w:pStyle w:val="ICFTabletext"/>
              <w:rPr>
                <w:sz w:val="21"/>
                <w:szCs w:val="21"/>
              </w:rPr>
            </w:pPr>
            <w:r w:rsidRPr="00E76022">
              <w:rPr>
                <w:sz w:val="21"/>
                <w:szCs w:val="21"/>
              </w:rPr>
              <w:t>Shows the calculations for quantifying emissions from each applicable emissions source during the construction phase of the project, drawing on user inputs, assumptions, constants, and emission factors.</w:t>
            </w:r>
          </w:p>
        </w:tc>
      </w:tr>
      <w:tr w:rsidR="00134E71" w:rsidRPr="004C12C9" w14:paraId="79B6D8E0" w14:textId="77777777" w:rsidTr="00C961C0">
        <w:trPr>
          <w:trHeight w:val="80"/>
        </w:trPr>
        <w:tc>
          <w:tcPr>
            <w:tcW w:w="1795" w:type="dxa"/>
          </w:tcPr>
          <w:p w14:paraId="313D6D3A" w14:textId="77777777" w:rsidR="00134E71" w:rsidRPr="00E76022" w:rsidRDefault="00134E71" w:rsidP="009D6511">
            <w:pPr>
              <w:pStyle w:val="ICFTabletext"/>
              <w:rPr>
                <w:sz w:val="21"/>
                <w:szCs w:val="21"/>
              </w:rPr>
            </w:pPr>
            <w:r w:rsidRPr="00E76022">
              <w:rPr>
                <w:sz w:val="21"/>
                <w:szCs w:val="21"/>
              </w:rPr>
              <w:t>Operation</w:t>
            </w:r>
          </w:p>
        </w:tc>
        <w:tc>
          <w:tcPr>
            <w:tcW w:w="7650" w:type="dxa"/>
          </w:tcPr>
          <w:p w14:paraId="1C9420B1" w14:textId="77777777" w:rsidR="00134E71" w:rsidRPr="00E76022" w:rsidRDefault="00134E71" w:rsidP="009D6511">
            <w:pPr>
              <w:pStyle w:val="ICFTabletext"/>
              <w:rPr>
                <w:sz w:val="21"/>
                <w:szCs w:val="21"/>
              </w:rPr>
            </w:pPr>
            <w:r w:rsidRPr="00E76022">
              <w:rPr>
                <w:sz w:val="21"/>
                <w:szCs w:val="21"/>
              </w:rPr>
              <w:t>Shows the calculations for quantifying emissions from each applicable emissions source during the operational phase of the project, drawing on user inputs, assumptions, constants, and emission factors.</w:t>
            </w:r>
          </w:p>
        </w:tc>
      </w:tr>
      <w:tr w:rsidR="00134E71" w:rsidRPr="004C12C9" w14:paraId="3C59F1DF" w14:textId="77777777" w:rsidTr="00C961C0">
        <w:trPr>
          <w:trHeight w:val="80"/>
        </w:trPr>
        <w:tc>
          <w:tcPr>
            <w:tcW w:w="1795" w:type="dxa"/>
          </w:tcPr>
          <w:p w14:paraId="76AAFA84" w14:textId="77777777" w:rsidR="00134E71" w:rsidRPr="00E76022" w:rsidRDefault="00134E71" w:rsidP="009D6511">
            <w:pPr>
              <w:pStyle w:val="ICFTabletext"/>
              <w:rPr>
                <w:sz w:val="21"/>
                <w:szCs w:val="21"/>
              </w:rPr>
            </w:pPr>
            <w:r w:rsidRPr="00E76022">
              <w:rPr>
                <w:sz w:val="21"/>
                <w:szCs w:val="21"/>
              </w:rPr>
              <w:t>Results</w:t>
            </w:r>
          </w:p>
        </w:tc>
        <w:tc>
          <w:tcPr>
            <w:tcW w:w="7650" w:type="dxa"/>
          </w:tcPr>
          <w:p w14:paraId="18597E96" w14:textId="15563B17" w:rsidR="00134E71" w:rsidRPr="00E76022" w:rsidRDefault="00134E71" w:rsidP="009D6511">
            <w:pPr>
              <w:pStyle w:val="ICFTabletext"/>
              <w:rPr>
                <w:sz w:val="21"/>
                <w:szCs w:val="21"/>
              </w:rPr>
            </w:pPr>
            <w:r w:rsidRPr="00E76022">
              <w:rPr>
                <w:sz w:val="21"/>
                <w:szCs w:val="21"/>
              </w:rPr>
              <w:t xml:space="preserve">Provides a summary of cumulative and annualized project-related lifetime emissions by emissions source and project phase. </w:t>
            </w:r>
          </w:p>
        </w:tc>
      </w:tr>
      <w:tr w:rsidR="000135E8" w:rsidRPr="004C12C9" w14:paraId="239DEDCD" w14:textId="77777777" w:rsidTr="00C961C0">
        <w:trPr>
          <w:trHeight w:val="80"/>
        </w:trPr>
        <w:tc>
          <w:tcPr>
            <w:tcW w:w="1795" w:type="dxa"/>
          </w:tcPr>
          <w:p w14:paraId="500DC818" w14:textId="10D0E81E" w:rsidR="000135E8" w:rsidRPr="00E76022" w:rsidRDefault="000135E8" w:rsidP="009D6511">
            <w:pPr>
              <w:pStyle w:val="ICFTabletext"/>
              <w:rPr>
                <w:sz w:val="21"/>
                <w:szCs w:val="21"/>
              </w:rPr>
            </w:pPr>
            <w:r w:rsidRPr="00E76022">
              <w:rPr>
                <w:sz w:val="21"/>
                <w:szCs w:val="21"/>
              </w:rPr>
              <w:t>Charts</w:t>
            </w:r>
          </w:p>
        </w:tc>
        <w:tc>
          <w:tcPr>
            <w:tcW w:w="7650" w:type="dxa"/>
          </w:tcPr>
          <w:p w14:paraId="3BC22F50" w14:textId="6C11BFB1" w:rsidR="000135E8" w:rsidRPr="00E76022" w:rsidRDefault="009D2262" w:rsidP="009D6511">
            <w:pPr>
              <w:pStyle w:val="ICFTabletext"/>
              <w:rPr>
                <w:sz w:val="21"/>
                <w:szCs w:val="21"/>
              </w:rPr>
            </w:pPr>
            <w:r w:rsidRPr="00E76022">
              <w:rPr>
                <w:sz w:val="21"/>
                <w:szCs w:val="21"/>
              </w:rPr>
              <w:t>Graphically summarizes cumulative and annualized GHG emissions by source.</w:t>
            </w:r>
          </w:p>
        </w:tc>
      </w:tr>
      <w:tr w:rsidR="00134E71" w:rsidRPr="004C12C9" w14:paraId="2397F9C5" w14:textId="77777777" w:rsidTr="00C961C0">
        <w:trPr>
          <w:trHeight w:val="80"/>
        </w:trPr>
        <w:tc>
          <w:tcPr>
            <w:tcW w:w="1795" w:type="dxa"/>
          </w:tcPr>
          <w:p w14:paraId="61A0C663" w14:textId="77777777" w:rsidR="00134E71" w:rsidRPr="00E76022" w:rsidRDefault="00134E71" w:rsidP="009D6511">
            <w:pPr>
              <w:pStyle w:val="ICFTabletext"/>
              <w:rPr>
                <w:sz w:val="21"/>
                <w:szCs w:val="21"/>
              </w:rPr>
            </w:pPr>
            <w:r w:rsidRPr="00E76022">
              <w:rPr>
                <w:sz w:val="21"/>
                <w:szCs w:val="21"/>
              </w:rPr>
              <w:t>Mitigation</w:t>
            </w:r>
          </w:p>
        </w:tc>
        <w:tc>
          <w:tcPr>
            <w:tcW w:w="7650" w:type="dxa"/>
          </w:tcPr>
          <w:p w14:paraId="6FE79DA7" w14:textId="0BD762C1" w:rsidR="00134E71" w:rsidRPr="00E76022" w:rsidRDefault="002632F2" w:rsidP="009D6511">
            <w:pPr>
              <w:pStyle w:val="ICFTabletext"/>
              <w:rPr>
                <w:sz w:val="21"/>
                <w:szCs w:val="21"/>
              </w:rPr>
            </w:pPr>
            <w:r w:rsidRPr="00E76022">
              <w:rPr>
                <w:sz w:val="21"/>
                <w:szCs w:val="21"/>
              </w:rPr>
              <w:t>Identifie</w:t>
            </w:r>
            <w:r w:rsidR="0045398F" w:rsidRPr="00E76022">
              <w:rPr>
                <w:sz w:val="21"/>
                <w:szCs w:val="21"/>
              </w:rPr>
              <w:t>s</w:t>
            </w:r>
            <w:r w:rsidRPr="00E76022">
              <w:rPr>
                <w:sz w:val="21"/>
                <w:szCs w:val="21"/>
              </w:rPr>
              <w:t xml:space="preserve"> </w:t>
            </w:r>
            <w:r w:rsidR="0045398F" w:rsidRPr="00E76022">
              <w:rPr>
                <w:sz w:val="21"/>
                <w:szCs w:val="21"/>
              </w:rPr>
              <w:t>potential</w:t>
            </w:r>
            <w:r w:rsidR="00134E71" w:rsidRPr="00E76022">
              <w:rPr>
                <w:sz w:val="21"/>
                <w:szCs w:val="21"/>
              </w:rPr>
              <w:t xml:space="preserve"> mitigation measures</w:t>
            </w:r>
            <w:r w:rsidR="00747457" w:rsidRPr="00E76022">
              <w:rPr>
                <w:sz w:val="21"/>
                <w:szCs w:val="21"/>
              </w:rPr>
              <w:t xml:space="preserve"> to reduce GHG emissions</w:t>
            </w:r>
            <w:r w:rsidR="003513A3" w:rsidRPr="00E76022">
              <w:rPr>
                <w:sz w:val="21"/>
                <w:szCs w:val="21"/>
              </w:rPr>
              <w:t>,</w:t>
            </w:r>
            <w:r w:rsidR="00EF6543" w:rsidRPr="00E76022">
              <w:rPr>
                <w:sz w:val="21"/>
                <w:szCs w:val="21"/>
              </w:rPr>
              <w:t xml:space="preserve"> </w:t>
            </w:r>
            <w:r w:rsidR="00EE2475" w:rsidRPr="00E76022">
              <w:rPr>
                <w:sz w:val="21"/>
                <w:szCs w:val="21"/>
              </w:rPr>
              <w:t>organized</w:t>
            </w:r>
            <w:r w:rsidR="00EF6543" w:rsidRPr="00E76022">
              <w:rPr>
                <w:sz w:val="21"/>
                <w:szCs w:val="21"/>
              </w:rPr>
              <w:t xml:space="preserve"> by </w:t>
            </w:r>
            <w:r w:rsidR="00132E20" w:rsidRPr="00E76022">
              <w:rPr>
                <w:sz w:val="21"/>
                <w:szCs w:val="21"/>
              </w:rPr>
              <w:t>the primary source through which emission reductions are expected</w:t>
            </w:r>
            <w:r w:rsidR="00134E71" w:rsidRPr="00E76022">
              <w:rPr>
                <w:sz w:val="21"/>
                <w:szCs w:val="21"/>
              </w:rPr>
              <w:t xml:space="preserve">. </w:t>
            </w:r>
          </w:p>
        </w:tc>
      </w:tr>
      <w:tr w:rsidR="00380B54" w:rsidRPr="004C12C9" w14:paraId="35207608" w14:textId="77777777" w:rsidTr="00C961C0">
        <w:trPr>
          <w:trHeight w:val="80"/>
        </w:trPr>
        <w:tc>
          <w:tcPr>
            <w:tcW w:w="1795" w:type="dxa"/>
          </w:tcPr>
          <w:p w14:paraId="270CD7AA" w14:textId="06AC25F1" w:rsidR="00380B54" w:rsidRPr="00862FBF" w:rsidRDefault="009A25D7" w:rsidP="009D6511">
            <w:pPr>
              <w:pStyle w:val="ICFTabletext"/>
              <w:rPr>
                <w:sz w:val="21"/>
                <w:szCs w:val="21"/>
              </w:rPr>
            </w:pPr>
            <w:r w:rsidRPr="00E76022">
              <w:rPr>
                <w:sz w:val="21"/>
                <w:szCs w:val="21"/>
              </w:rPr>
              <w:t>Quantified Reductions</w:t>
            </w:r>
          </w:p>
        </w:tc>
        <w:tc>
          <w:tcPr>
            <w:tcW w:w="7650" w:type="dxa"/>
          </w:tcPr>
          <w:p w14:paraId="32BA6E26" w14:textId="64D6EF75" w:rsidR="00380B54" w:rsidRPr="00862FBF" w:rsidRDefault="009A25D7" w:rsidP="009D6511">
            <w:pPr>
              <w:pStyle w:val="ICFTabletext"/>
              <w:rPr>
                <w:sz w:val="21"/>
                <w:szCs w:val="21"/>
              </w:rPr>
            </w:pPr>
            <w:r w:rsidRPr="00E76022">
              <w:rPr>
                <w:sz w:val="21"/>
                <w:szCs w:val="21"/>
              </w:rPr>
              <w:t>Quantifies GHG emission reductions from select mitigation measures.</w:t>
            </w:r>
          </w:p>
        </w:tc>
      </w:tr>
      <w:tr w:rsidR="00134E71" w:rsidRPr="004C12C9" w14:paraId="10685725" w14:textId="77777777" w:rsidTr="00C961C0">
        <w:trPr>
          <w:trHeight w:val="80"/>
        </w:trPr>
        <w:tc>
          <w:tcPr>
            <w:tcW w:w="1795" w:type="dxa"/>
          </w:tcPr>
          <w:p w14:paraId="1855B5D6" w14:textId="77777777" w:rsidR="00134E71" w:rsidRPr="00E76022" w:rsidRDefault="00134E71" w:rsidP="009D6511">
            <w:pPr>
              <w:pStyle w:val="ICFTabletext"/>
              <w:rPr>
                <w:sz w:val="21"/>
                <w:szCs w:val="21"/>
              </w:rPr>
            </w:pPr>
            <w:r w:rsidRPr="00E76022">
              <w:rPr>
                <w:sz w:val="21"/>
                <w:szCs w:val="21"/>
              </w:rPr>
              <w:t>Adaptation</w:t>
            </w:r>
          </w:p>
        </w:tc>
        <w:tc>
          <w:tcPr>
            <w:tcW w:w="7650" w:type="dxa"/>
          </w:tcPr>
          <w:p w14:paraId="2B2DA038" w14:textId="4DADAA89" w:rsidR="00134E71" w:rsidRPr="00E76022" w:rsidRDefault="00EF3FA6" w:rsidP="009D6511">
            <w:pPr>
              <w:pStyle w:val="ICFTabletext"/>
              <w:rPr>
                <w:sz w:val="21"/>
                <w:szCs w:val="21"/>
              </w:rPr>
            </w:pPr>
            <w:r w:rsidRPr="00E76022">
              <w:rPr>
                <w:sz w:val="21"/>
                <w:szCs w:val="21"/>
              </w:rPr>
              <w:t xml:space="preserve">Identifies potential </w:t>
            </w:r>
            <w:r w:rsidR="00134E71" w:rsidRPr="00E76022">
              <w:rPr>
                <w:sz w:val="21"/>
                <w:szCs w:val="21"/>
              </w:rPr>
              <w:t>adaptation strategies</w:t>
            </w:r>
            <w:r w:rsidR="00E92DF9" w:rsidRPr="00E76022">
              <w:rPr>
                <w:sz w:val="21"/>
                <w:szCs w:val="21"/>
              </w:rPr>
              <w:t>, organized by climate trend and project characteristic</w:t>
            </w:r>
            <w:r w:rsidR="004E4AB5" w:rsidRPr="00E76022">
              <w:rPr>
                <w:sz w:val="21"/>
                <w:szCs w:val="21"/>
              </w:rPr>
              <w:t>s</w:t>
            </w:r>
            <w:r w:rsidR="00EA7A2F" w:rsidRPr="00E76022">
              <w:rPr>
                <w:sz w:val="21"/>
                <w:szCs w:val="21"/>
              </w:rPr>
              <w:t>.</w:t>
            </w:r>
            <w:r w:rsidR="00134E71" w:rsidRPr="00E76022">
              <w:rPr>
                <w:sz w:val="21"/>
                <w:szCs w:val="21"/>
              </w:rPr>
              <w:t xml:space="preserve"> </w:t>
            </w:r>
          </w:p>
        </w:tc>
      </w:tr>
      <w:tr w:rsidR="00134E71" w:rsidRPr="004C12C9" w14:paraId="50835775" w14:textId="77777777" w:rsidTr="00C961C0">
        <w:trPr>
          <w:trHeight w:val="80"/>
        </w:trPr>
        <w:tc>
          <w:tcPr>
            <w:tcW w:w="1795" w:type="dxa"/>
          </w:tcPr>
          <w:p w14:paraId="0DE3CEE8" w14:textId="01359AA5" w:rsidR="00134E71" w:rsidRPr="00E76022" w:rsidRDefault="00134E71" w:rsidP="009D6511">
            <w:pPr>
              <w:pStyle w:val="ICFTabletext"/>
              <w:rPr>
                <w:sz w:val="21"/>
                <w:szCs w:val="21"/>
              </w:rPr>
            </w:pPr>
            <w:r w:rsidRPr="00E76022">
              <w:rPr>
                <w:sz w:val="21"/>
                <w:szCs w:val="21"/>
              </w:rPr>
              <w:t>Assumptions</w:t>
            </w:r>
          </w:p>
        </w:tc>
        <w:tc>
          <w:tcPr>
            <w:tcW w:w="7650" w:type="dxa"/>
          </w:tcPr>
          <w:p w14:paraId="7785510D" w14:textId="2039D380" w:rsidR="00134E71" w:rsidRPr="00E76022" w:rsidRDefault="00134E71" w:rsidP="009D6511">
            <w:pPr>
              <w:pStyle w:val="ICFTabletext"/>
              <w:rPr>
                <w:sz w:val="21"/>
                <w:szCs w:val="21"/>
              </w:rPr>
            </w:pPr>
            <w:r w:rsidRPr="00E76022">
              <w:rPr>
                <w:sz w:val="21"/>
                <w:szCs w:val="21"/>
              </w:rPr>
              <w:t>Summarizes assumptions, including both activity data and emission factors, that are used in the calculations.</w:t>
            </w:r>
          </w:p>
        </w:tc>
      </w:tr>
      <w:tr w:rsidR="00134E71" w:rsidRPr="004C12C9" w14:paraId="1FE3B01A" w14:textId="77777777" w:rsidTr="00C961C0">
        <w:trPr>
          <w:trHeight w:val="80"/>
        </w:trPr>
        <w:tc>
          <w:tcPr>
            <w:tcW w:w="1795" w:type="dxa"/>
          </w:tcPr>
          <w:p w14:paraId="59BF0788" w14:textId="77777777" w:rsidR="00134E71" w:rsidRPr="00E76022" w:rsidRDefault="00134E71" w:rsidP="009D6511">
            <w:pPr>
              <w:pStyle w:val="ICFTabletext"/>
              <w:rPr>
                <w:sz w:val="21"/>
                <w:szCs w:val="21"/>
              </w:rPr>
            </w:pPr>
            <w:r w:rsidRPr="00E76022">
              <w:rPr>
                <w:sz w:val="21"/>
                <w:szCs w:val="21"/>
              </w:rPr>
              <w:t>Constants</w:t>
            </w:r>
          </w:p>
        </w:tc>
        <w:tc>
          <w:tcPr>
            <w:tcW w:w="7650" w:type="dxa"/>
          </w:tcPr>
          <w:p w14:paraId="1090D90E" w14:textId="55CE4490" w:rsidR="00134E71" w:rsidRPr="00E76022" w:rsidRDefault="00134E71" w:rsidP="009D6511">
            <w:pPr>
              <w:pStyle w:val="ICFTabletext"/>
              <w:rPr>
                <w:sz w:val="21"/>
                <w:szCs w:val="21"/>
              </w:rPr>
            </w:pPr>
            <w:r w:rsidRPr="00E76022">
              <w:rPr>
                <w:sz w:val="21"/>
                <w:szCs w:val="21"/>
              </w:rPr>
              <w:t>Lists constants and conversion factors used in the calculations.</w:t>
            </w:r>
          </w:p>
        </w:tc>
      </w:tr>
      <w:tr w:rsidR="00134E71" w:rsidRPr="004C12C9" w14:paraId="355CAAD3" w14:textId="77777777" w:rsidTr="00C961C0">
        <w:trPr>
          <w:trHeight w:val="80"/>
        </w:trPr>
        <w:tc>
          <w:tcPr>
            <w:tcW w:w="1795" w:type="dxa"/>
          </w:tcPr>
          <w:p w14:paraId="7CE789E4" w14:textId="64099B01" w:rsidR="00134E71" w:rsidRPr="00E76022" w:rsidRDefault="00A20231" w:rsidP="009D6511">
            <w:pPr>
              <w:pStyle w:val="ICFTabletext"/>
              <w:rPr>
                <w:sz w:val="21"/>
                <w:szCs w:val="21"/>
              </w:rPr>
            </w:pPr>
            <w:r w:rsidRPr="00E76022">
              <w:rPr>
                <w:sz w:val="21"/>
                <w:szCs w:val="21"/>
              </w:rPr>
              <w:t>Other (</w:t>
            </w:r>
            <w:r w:rsidR="004C12C9" w:rsidRPr="00E76022">
              <w:rPr>
                <w:sz w:val="21"/>
                <w:szCs w:val="21"/>
              </w:rPr>
              <w:t>Variable</w:t>
            </w:r>
            <w:r w:rsidR="00C961C0" w:rsidRPr="00E76022">
              <w:rPr>
                <w:sz w:val="21"/>
                <w:szCs w:val="21"/>
              </w:rPr>
              <w:t xml:space="preserve"> Names</w:t>
            </w:r>
            <w:r w:rsidRPr="00E76022">
              <w:rPr>
                <w:sz w:val="21"/>
                <w:szCs w:val="21"/>
              </w:rPr>
              <w:t>)</w:t>
            </w:r>
          </w:p>
        </w:tc>
        <w:tc>
          <w:tcPr>
            <w:tcW w:w="7650" w:type="dxa"/>
          </w:tcPr>
          <w:p w14:paraId="59A1F5B9" w14:textId="28BB2A75" w:rsidR="00134E71" w:rsidRPr="00E76022" w:rsidRDefault="004D1A18" w:rsidP="009D6511">
            <w:pPr>
              <w:pStyle w:val="ICFTabletext"/>
              <w:rPr>
                <w:sz w:val="21"/>
                <w:szCs w:val="21"/>
              </w:rPr>
            </w:pPr>
            <w:r w:rsidRPr="00E76022">
              <w:rPr>
                <w:sz w:val="21"/>
                <w:szCs w:val="21"/>
              </w:rPr>
              <w:t xml:space="preserve">Additional </w:t>
            </w:r>
            <w:r w:rsidR="006423FB" w:rsidRPr="00E76022">
              <w:rPr>
                <w:sz w:val="21"/>
                <w:szCs w:val="21"/>
              </w:rPr>
              <w:t>white tabs that d</w:t>
            </w:r>
            <w:r w:rsidR="006932C9" w:rsidRPr="00E76022">
              <w:rPr>
                <w:sz w:val="21"/>
                <w:szCs w:val="21"/>
              </w:rPr>
              <w:t>ocument</w:t>
            </w:r>
            <w:r w:rsidR="00134E71" w:rsidRPr="00E76022">
              <w:rPr>
                <w:sz w:val="21"/>
                <w:szCs w:val="21"/>
              </w:rPr>
              <w:t xml:space="preserve"> raw data inputs and </w:t>
            </w:r>
            <w:r w:rsidR="003F1FE2" w:rsidRPr="00E76022">
              <w:rPr>
                <w:sz w:val="21"/>
                <w:szCs w:val="21"/>
              </w:rPr>
              <w:t>the interim calculations</w:t>
            </w:r>
            <w:r w:rsidR="00134E71" w:rsidRPr="00E76022">
              <w:rPr>
                <w:sz w:val="21"/>
                <w:szCs w:val="21"/>
              </w:rPr>
              <w:t xml:space="preserve"> used to derive the assumptions. </w:t>
            </w:r>
          </w:p>
        </w:tc>
      </w:tr>
    </w:tbl>
    <w:p w14:paraId="46513896" w14:textId="39A1058A" w:rsidR="00511754" w:rsidRPr="004C12C9" w:rsidRDefault="008A1798" w:rsidP="007F736B">
      <w:pPr>
        <w:pStyle w:val="Appendix2"/>
      </w:pPr>
      <w:bookmarkStart w:id="310" w:name="_Toc194319972"/>
      <w:bookmarkStart w:id="311" w:name="_Toc194676878"/>
      <w:bookmarkStart w:id="312" w:name="_Ref196747519"/>
      <w:bookmarkStart w:id="313" w:name="_Ref196747549"/>
      <w:bookmarkStart w:id="314" w:name="_Toc219887798"/>
      <w:r w:rsidRPr="004C12C9">
        <w:lastRenderedPageBreak/>
        <w:t>Using the Climate Calculator</w:t>
      </w:r>
      <w:bookmarkEnd w:id="310"/>
      <w:bookmarkEnd w:id="311"/>
      <w:bookmarkEnd w:id="312"/>
      <w:bookmarkEnd w:id="313"/>
      <w:bookmarkEnd w:id="314"/>
    </w:p>
    <w:p w14:paraId="0D9ECBB7" w14:textId="4EF3B9A4" w:rsidR="00EF55C0" w:rsidRPr="004C12C9" w:rsidRDefault="00B6720E" w:rsidP="00A97651">
      <w:r w:rsidRPr="004C12C9">
        <w:t xml:space="preserve">The </w:t>
      </w:r>
      <w:r w:rsidR="00DD495F" w:rsidRPr="004C12C9">
        <w:t xml:space="preserve">general </w:t>
      </w:r>
      <w:r w:rsidRPr="004C12C9">
        <w:t xml:space="preserve">process for using the </w:t>
      </w:r>
      <w:r w:rsidR="00192D29" w:rsidRPr="004C12C9">
        <w:t xml:space="preserve">calculator </w:t>
      </w:r>
      <w:r w:rsidR="00B3693B" w:rsidRPr="004C12C9">
        <w:t xml:space="preserve">is summarized by the </w:t>
      </w:r>
      <w:r w:rsidR="002A0FA1" w:rsidRPr="004C12C9">
        <w:t xml:space="preserve">six </w:t>
      </w:r>
      <w:r w:rsidR="00B3693B" w:rsidRPr="004C12C9">
        <w:t xml:space="preserve">steps </w:t>
      </w:r>
      <w:r w:rsidR="004C314D" w:rsidRPr="004C12C9">
        <w:t>outline in</w:t>
      </w:r>
      <w:r w:rsidR="00145BDB" w:rsidRPr="004C12C9">
        <w:t xml:space="preserve"> </w:t>
      </w:r>
      <w:r w:rsidR="00145BDB" w:rsidRPr="004C12C9">
        <w:fldChar w:fldCharType="begin" w:fldLock="1"/>
      </w:r>
      <w:r w:rsidR="00145BDB" w:rsidRPr="004C12C9">
        <w:instrText xml:space="preserve"> REF _Ref196746141 \h </w:instrText>
      </w:r>
      <w:r w:rsidR="00145BDB" w:rsidRPr="004C12C9">
        <w:fldChar w:fldCharType="separate"/>
      </w:r>
      <w:r w:rsidR="00145BDB" w:rsidRPr="004C12C9">
        <w:t>Figure D-4</w:t>
      </w:r>
      <w:r w:rsidR="00145BDB" w:rsidRPr="004C12C9">
        <w:fldChar w:fldCharType="end"/>
      </w:r>
      <w:r w:rsidR="00B3693B" w:rsidRPr="004C12C9">
        <w:t>.</w:t>
      </w:r>
      <w:r w:rsidR="00133924" w:rsidRPr="004C12C9">
        <w:t xml:space="preserve"> Instructions and guidance are embedded throughout the </w:t>
      </w:r>
      <w:r w:rsidR="00192D29" w:rsidRPr="004C12C9">
        <w:t xml:space="preserve">calculator </w:t>
      </w:r>
      <w:r w:rsidR="00133924" w:rsidRPr="004C12C9">
        <w:t xml:space="preserve">to help guide users through this process. </w:t>
      </w:r>
      <w:r w:rsidR="00EC0ED4" w:rsidRPr="004C12C9">
        <w:t>Instruction</w:t>
      </w:r>
      <w:r w:rsidR="00283BB4" w:rsidRPr="004C12C9">
        <w:t>al</w:t>
      </w:r>
      <w:r w:rsidR="00EC0ED4" w:rsidRPr="004C12C9">
        <w:t xml:space="preserve"> </w:t>
      </w:r>
      <w:r w:rsidR="00347929" w:rsidRPr="004C12C9">
        <w:t xml:space="preserve">or informational </w:t>
      </w:r>
      <w:r w:rsidR="00EC0ED4" w:rsidRPr="004C12C9">
        <w:t xml:space="preserve">language is found at the top of each </w:t>
      </w:r>
      <w:r w:rsidR="00283BB4" w:rsidRPr="004C12C9">
        <w:t>tab</w:t>
      </w:r>
      <w:r w:rsidR="000F1A03" w:rsidRPr="004C12C9">
        <w:t xml:space="preserve"> and</w:t>
      </w:r>
      <w:r w:rsidR="00415DE8" w:rsidRPr="004C12C9">
        <w:t>/or</w:t>
      </w:r>
      <w:r w:rsidR="000F1A03" w:rsidRPr="004C12C9">
        <w:t xml:space="preserve"> </w:t>
      </w:r>
      <w:r w:rsidR="001A14E5" w:rsidRPr="004C12C9">
        <w:t>section and</w:t>
      </w:r>
      <w:r w:rsidR="009C43E4" w:rsidRPr="004C12C9">
        <w:t xml:space="preserve"> </w:t>
      </w:r>
      <w:r w:rsidR="00B356B2" w:rsidRPr="004C12C9">
        <w:t>provided</w:t>
      </w:r>
      <w:r w:rsidR="009070DB" w:rsidRPr="004C12C9">
        <w:t xml:space="preserve"> in pop</w:t>
      </w:r>
      <w:r w:rsidR="00B66B5F" w:rsidRPr="004C12C9">
        <w:t>-</w:t>
      </w:r>
      <w:r w:rsidR="009070DB" w:rsidRPr="004C12C9">
        <w:t xml:space="preserve">up </w:t>
      </w:r>
      <w:r w:rsidR="00C35CCC" w:rsidRPr="004C12C9">
        <w:t>text box</w:t>
      </w:r>
      <w:r w:rsidR="00B356B2" w:rsidRPr="004C12C9">
        <w:t>es</w:t>
      </w:r>
      <w:r w:rsidR="00C35CCC" w:rsidRPr="004C12C9">
        <w:t xml:space="preserve"> </w:t>
      </w:r>
      <w:r w:rsidR="00B356B2" w:rsidRPr="004C12C9">
        <w:t>for select cells</w:t>
      </w:r>
      <w:r w:rsidR="00C35CCC" w:rsidRPr="004C12C9">
        <w:t>.</w:t>
      </w:r>
      <w:r w:rsidR="00E51223" w:rsidRPr="004C12C9">
        <w:t xml:space="preserve"> Additional features of the </w:t>
      </w:r>
      <w:r w:rsidR="00192D29" w:rsidRPr="004C12C9">
        <w:t xml:space="preserve">calculator </w:t>
      </w:r>
      <w:r w:rsidR="00E51223" w:rsidRPr="004C12C9">
        <w:t xml:space="preserve">that support data accuracy, completeness, and </w:t>
      </w:r>
      <w:r w:rsidR="00BF6B1C" w:rsidRPr="004C12C9">
        <w:t xml:space="preserve">usability are discussed </w:t>
      </w:r>
      <w:r w:rsidR="0052787E" w:rsidRPr="004C12C9">
        <w:t>further in the remainder of this section.</w:t>
      </w:r>
    </w:p>
    <w:p w14:paraId="7A0B0444" w14:textId="6044130E" w:rsidR="00145BDB" w:rsidRPr="004C12C9" w:rsidRDefault="00145BDB" w:rsidP="001F360F">
      <w:pPr>
        <w:pStyle w:val="Caption"/>
      </w:pPr>
      <w:bookmarkStart w:id="315" w:name="_Ref196746141"/>
      <w:r w:rsidRPr="004C12C9">
        <w:t>Figure D-</w:t>
      </w:r>
      <w:r w:rsidR="00294C36">
        <w:fldChar w:fldCharType="begin"/>
      </w:r>
      <w:r w:rsidR="00294C36">
        <w:instrText xml:space="preserve"> SEQ Figure_D- \* ARABIC </w:instrText>
      </w:r>
      <w:r w:rsidR="00294C36">
        <w:fldChar w:fldCharType="separate"/>
      </w:r>
      <w:r w:rsidR="00752F47">
        <w:rPr>
          <w:noProof/>
        </w:rPr>
        <w:t>4</w:t>
      </w:r>
      <w:r w:rsidR="00294C36">
        <w:fldChar w:fldCharType="end"/>
      </w:r>
      <w:bookmarkEnd w:id="315"/>
      <w:r w:rsidRPr="004C12C9">
        <w:t>.</w:t>
      </w:r>
      <w:r w:rsidR="0052787E" w:rsidRPr="004C12C9">
        <w:t xml:space="preserve"> </w:t>
      </w:r>
      <w:r w:rsidR="005A7D0F" w:rsidRPr="004C12C9">
        <w:t xml:space="preserve">Overview of the Process for Using the </w:t>
      </w:r>
      <w:r w:rsidR="000E68E2" w:rsidRPr="004C12C9">
        <w:t xml:space="preserve">Climate </w:t>
      </w:r>
      <w:r w:rsidR="00192D29" w:rsidRPr="004C12C9">
        <w:t>Calculator</w:t>
      </w:r>
    </w:p>
    <w:p w14:paraId="1484B794" w14:textId="176E042A" w:rsidR="001C1FFC" w:rsidRPr="004C12C9" w:rsidRDefault="001C1FFC" w:rsidP="00A97651">
      <w:r w:rsidRPr="004C12C9">
        <w:rPr>
          <w:noProof/>
        </w:rPr>
        <w:drawing>
          <wp:inline distT="0" distB="0" distL="0" distR="0" wp14:anchorId="194B0206" wp14:editId="5CCCAC76">
            <wp:extent cx="5943600" cy="2286000"/>
            <wp:effectExtent l="0" t="0" r="0" b="57150"/>
            <wp:docPr id="160922106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462DD78A" w14:textId="4455A6EC" w:rsidR="0008690C" w:rsidRPr="004C12C9" w:rsidRDefault="008C66C4" w:rsidP="0008690C">
      <w:r w:rsidRPr="004C12C9">
        <w:rPr>
          <w:b/>
          <w:bCs/>
        </w:rPr>
        <w:t>Formattin</w:t>
      </w:r>
      <w:r w:rsidR="0008690C" w:rsidRPr="004C12C9">
        <w:rPr>
          <w:b/>
          <w:bCs/>
        </w:rPr>
        <w:t>g:</w:t>
      </w:r>
      <w:r w:rsidR="0008690C" w:rsidRPr="004C12C9">
        <w:t xml:space="preserve"> Formatting is used throughout the </w:t>
      </w:r>
      <w:r w:rsidR="00136ECC" w:rsidRPr="004C12C9">
        <w:t xml:space="preserve">calculator </w:t>
      </w:r>
      <w:r w:rsidR="0008690C" w:rsidRPr="004C12C9">
        <w:t>to help users understand wh</w:t>
      </w:r>
      <w:r w:rsidR="002561B4" w:rsidRPr="004C12C9">
        <w:t xml:space="preserve">ere to enter data and what </w:t>
      </w:r>
      <w:r w:rsidR="00663C47" w:rsidRPr="004C12C9">
        <w:t>the data in each cell represents.</w:t>
      </w:r>
      <w:r w:rsidR="0008690C" w:rsidRPr="004C12C9">
        <w:t xml:space="preserve"> The cell legend used in the </w:t>
      </w:r>
      <w:r w:rsidR="00136ECC" w:rsidRPr="004C12C9">
        <w:t xml:space="preserve">calculator </w:t>
      </w:r>
      <w:r w:rsidR="0008690C" w:rsidRPr="004C12C9">
        <w:t xml:space="preserve">is </w:t>
      </w:r>
      <w:r w:rsidR="00946D8C" w:rsidRPr="004C12C9">
        <w:t>shown</w:t>
      </w:r>
      <w:r w:rsidR="0008690C" w:rsidRPr="004C12C9">
        <w:t xml:space="preserve"> in </w:t>
      </w:r>
      <w:r w:rsidR="0008690C" w:rsidRPr="004C12C9">
        <w:fldChar w:fldCharType="begin" w:fldLock="1"/>
      </w:r>
      <w:r w:rsidR="0008690C" w:rsidRPr="004C12C9">
        <w:instrText xml:space="preserve"> REF _Ref195878497 \h </w:instrText>
      </w:r>
      <w:r w:rsidR="0008690C" w:rsidRPr="004C12C9">
        <w:fldChar w:fldCharType="separate"/>
      </w:r>
      <w:r w:rsidR="0008690C" w:rsidRPr="004C12C9">
        <w:t>Table D-2</w:t>
      </w:r>
      <w:r w:rsidR="0008690C" w:rsidRPr="004C12C9">
        <w:fldChar w:fldCharType="end"/>
      </w:r>
      <w:r w:rsidR="0008690C" w:rsidRPr="004C12C9">
        <w:t>.</w:t>
      </w:r>
    </w:p>
    <w:p w14:paraId="67B2B567" w14:textId="24F171CB" w:rsidR="0008690C" w:rsidRPr="004C12C9" w:rsidRDefault="0008690C" w:rsidP="0008690C">
      <w:pPr>
        <w:pStyle w:val="Caption"/>
      </w:pPr>
      <w:r w:rsidRPr="004C12C9">
        <w:t>Table D-</w:t>
      </w:r>
      <w:r w:rsidR="00CD282D">
        <w:fldChar w:fldCharType="begin"/>
      </w:r>
      <w:r w:rsidR="00CD282D">
        <w:instrText xml:space="preserve"> SEQ Table_D- \* ARABIC </w:instrText>
      </w:r>
      <w:r w:rsidR="00CD282D">
        <w:fldChar w:fldCharType="separate"/>
      </w:r>
      <w:r w:rsidR="00CD282D" w:rsidRPr="004C12C9">
        <w:t>2</w:t>
      </w:r>
      <w:r w:rsidR="00CD282D">
        <w:fldChar w:fldCharType="end"/>
      </w:r>
      <w:r w:rsidRPr="004C12C9">
        <w:t xml:space="preserve">. </w:t>
      </w:r>
      <w:r w:rsidR="000E68E2" w:rsidRPr="004C12C9">
        <w:t xml:space="preserve">Climate </w:t>
      </w:r>
      <w:r w:rsidR="00136ECC" w:rsidRPr="004C12C9">
        <w:rPr>
          <w:color w:val="auto"/>
        </w:rPr>
        <w:t xml:space="preserve">Calculator </w:t>
      </w:r>
      <w:r w:rsidRPr="004C12C9">
        <w:rPr>
          <w:color w:val="auto"/>
        </w:rPr>
        <w:t>Cell Legend</w:t>
      </w:r>
    </w:p>
    <w:tbl>
      <w:tblPr>
        <w:tblW w:w="9445" w:type="dxa"/>
        <w:tblBorders>
          <w:top w:val="single" w:sz="4" w:space="0" w:color="A8A8A0" w:themeColor="background2" w:themeShade="BF"/>
          <w:left w:val="single" w:sz="4" w:space="0" w:color="A8A8A0" w:themeColor="background2" w:themeShade="BF"/>
          <w:bottom w:val="single" w:sz="4" w:space="0" w:color="A8A8A0" w:themeColor="background2" w:themeShade="BF"/>
          <w:right w:val="single" w:sz="4" w:space="0" w:color="A8A8A0" w:themeColor="background2" w:themeShade="BF"/>
          <w:insideH w:val="single" w:sz="4" w:space="0" w:color="A8A8A0" w:themeColor="background2" w:themeShade="BF"/>
          <w:insideV w:val="single" w:sz="4" w:space="0" w:color="A8A8A0" w:themeColor="background2" w:themeShade="BF"/>
        </w:tblBorders>
        <w:tblLook w:val="04A0" w:firstRow="1" w:lastRow="0" w:firstColumn="1" w:lastColumn="0" w:noHBand="0" w:noVBand="1"/>
      </w:tblPr>
      <w:tblGrid>
        <w:gridCol w:w="976"/>
        <w:gridCol w:w="8469"/>
      </w:tblGrid>
      <w:tr w:rsidR="0008690C" w:rsidRPr="004C12C9" w14:paraId="168D0459" w14:textId="77777777">
        <w:trPr>
          <w:trHeight w:val="300"/>
        </w:trPr>
        <w:tc>
          <w:tcPr>
            <w:tcW w:w="976" w:type="dxa"/>
            <w:shd w:val="clear" w:color="auto" w:fill="D9D9D9" w:themeFill="background1" w:themeFillShade="D9"/>
            <w:noWrap/>
            <w:vAlign w:val="center"/>
          </w:tcPr>
          <w:p w14:paraId="4DE61C50" w14:textId="77777777" w:rsidR="0008690C" w:rsidRPr="004C12C9" w:rsidRDefault="0008690C">
            <w:pPr>
              <w:keepNext/>
              <w:spacing w:before="40" w:after="40" w:line="240" w:lineRule="auto"/>
              <w:rPr>
                <w:rFonts w:asciiTheme="minorHAnsi" w:hAnsiTheme="minorHAnsi" w:cstheme="minorHAnsi"/>
                <w:b/>
                <w:bCs/>
                <w:color w:val="000000"/>
                <w:lang w:bidi="ar-SA"/>
              </w:rPr>
            </w:pPr>
            <w:r w:rsidRPr="004C12C9">
              <w:rPr>
                <w:rFonts w:asciiTheme="minorHAnsi" w:hAnsiTheme="minorHAnsi" w:cstheme="minorHAnsi"/>
                <w:b/>
                <w:bCs/>
                <w:color w:val="000000"/>
                <w:lang w:bidi="ar-SA"/>
              </w:rPr>
              <w:t>Legend</w:t>
            </w:r>
          </w:p>
        </w:tc>
        <w:tc>
          <w:tcPr>
            <w:tcW w:w="8469" w:type="dxa"/>
            <w:shd w:val="clear" w:color="auto" w:fill="D9D9D9" w:themeFill="background1" w:themeFillShade="D9"/>
            <w:noWrap/>
            <w:vAlign w:val="bottom"/>
          </w:tcPr>
          <w:p w14:paraId="0FD9187C" w14:textId="77777777" w:rsidR="0008690C" w:rsidRPr="004C12C9" w:rsidRDefault="0008690C">
            <w:pPr>
              <w:keepNext/>
              <w:spacing w:before="40" w:after="40" w:line="240" w:lineRule="auto"/>
              <w:rPr>
                <w:rFonts w:asciiTheme="minorHAnsi" w:hAnsiTheme="minorHAnsi" w:cstheme="minorHAnsi"/>
                <w:b/>
                <w:bCs/>
                <w:color w:val="000000"/>
                <w:lang w:bidi="ar-SA"/>
              </w:rPr>
            </w:pPr>
            <w:r w:rsidRPr="004C12C9">
              <w:rPr>
                <w:rFonts w:asciiTheme="minorHAnsi" w:hAnsiTheme="minorHAnsi" w:cstheme="minorHAnsi"/>
                <w:b/>
                <w:bCs/>
                <w:color w:val="000000"/>
                <w:lang w:bidi="ar-SA"/>
              </w:rPr>
              <w:t>Criteria</w:t>
            </w:r>
          </w:p>
        </w:tc>
      </w:tr>
      <w:tr w:rsidR="0008690C" w:rsidRPr="004C12C9" w14:paraId="4DFCE88F" w14:textId="77777777">
        <w:trPr>
          <w:trHeight w:val="300"/>
        </w:trPr>
        <w:tc>
          <w:tcPr>
            <w:tcW w:w="976" w:type="dxa"/>
            <w:shd w:val="clear" w:color="auto" w:fill="F5E1A4"/>
            <w:noWrap/>
            <w:vAlign w:val="center"/>
            <w:hideMark/>
          </w:tcPr>
          <w:p w14:paraId="3AEC7FC2" w14:textId="77777777" w:rsidR="0008690C" w:rsidRPr="004C12C9" w:rsidRDefault="0008690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1DEDFC83" w14:textId="77777777" w:rsidR="0008690C" w:rsidRPr="004C12C9" w:rsidRDefault="0008690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Yellow cells are </w:t>
            </w:r>
            <w:r w:rsidRPr="004C12C9">
              <w:rPr>
                <w:rFonts w:asciiTheme="minorHAnsi" w:hAnsiTheme="minorHAnsi" w:cstheme="minorHAnsi"/>
                <w:b/>
                <w:bCs/>
                <w:color w:val="000000"/>
                <w:lang w:bidi="ar-SA"/>
              </w:rPr>
              <w:t>data input fields</w:t>
            </w:r>
            <w:r w:rsidRPr="004C12C9">
              <w:rPr>
                <w:rFonts w:asciiTheme="minorHAnsi" w:hAnsiTheme="minorHAnsi" w:cstheme="minorHAnsi"/>
                <w:color w:val="000000"/>
                <w:lang w:bidi="ar-SA"/>
              </w:rPr>
              <w:t>.</w:t>
            </w:r>
          </w:p>
        </w:tc>
      </w:tr>
      <w:tr w:rsidR="0008690C" w:rsidRPr="004C12C9" w14:paraId="02C53D4A" w14:textId="77777777">
        <w:trPr>
          <w:trHeight w:val="300"/>
        </w:trPr>
        <w:tc>
          <w:tcPr>
            <w:tcW w:w="976" w:type="dxa"/>
            <w:shd w:val="clear" w:color="000000" w:fill="003865"/>
            <w:noWrap/>
            <w:vAlign w:val="center"/>
            <w:hideMark/>
          </w:tcPr>
          <w:p w14:paraId="7A728DE9" w14:textId="77777777" w:rsidR="0008690C" w:rsidRPr="004C12C9" w:rsidRDefault="0008690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17BB2D4A" w14:textId="77777777" w:rsidR="0008690C" w:rsidRPr="004C12C9" w:rsidRDefault="0008690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Blue cells are </w:t>
            </w:r>
            <w:r w:rsidRPr="004C12C9">
              <w:rPr>
                <w:rFonts w:asciiTheme="minorHAnsi" w:hAnsiTheme="minorHAnsi" w:cstheme="minorHAnsi"/>
                <w:b/>
                <w:bCs/>
                <w:color w:val="000000"/>
                <w:lang w:bidi="ar-SA"/>
              </w:rPr>
              <w:t>headings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w:t>
            </w:r>
          </w:p>
        </w:tc>
      </w:tr>
      <w:tr w:rsidR="0008690C" w:rsidRPr="004C12C9" w14:paraId="519F498E" w14:textId="77777777">
        <w:trPr>
          <w:trHeight w:val="300"/>
        </w:trPr>
        <w:tc>
          <w:tcPr>
            <w:tcW w:w="976" w:type="dxa"/>
            <w:shd w:val="clear" w:color="000000" w:fill="FFFFFF"/>
            <w:noWrap/>
            <w:vAlign w:val="center"/>
            <w:hideMark/>
          </w:tcPr>
          <w:p w14:paraId="63CCE558" w14:textId="77777777" w:rsidR="0008690C" w:rsidRPr="004C12C9" w:rsidRDefault="0008690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46875A48" w14:textId="77777777" w:rsidR="0008690C" w:rsidRPr="004C12C9" w:rsidRDefault="0008690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White cells are </w:t>
            </w:r>
            <w:r w:rsidRPr="004C12C9">
              <w:rPr>
                <w:rFonts w:asciiTheme="minorHAnsi" w:hAnsiTheme="minorHAnsi" w:cstheme="minorHAnsi"/>
                <w:b/>
                <w:bCs/>
                <w:color w:val="000000"/>
                <w:lang w:bidi="ar-SA"/>
              </w:rPr>
              <w:t>lists or constants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 xml:space="preserve">. </w:t>
            </w:r>
          </w:p>
        </w:tc>
      </w:tr>
      <w:tr w:rsidR="0008690C" w:rsidRPr="004C12C9" w14:paraId="1B2A1FED" w14:textId="77777777">
        <w:trPr>
          <w:trHeight w:val="300"/>
        </w:trPr>
        <w:tc>
          <w:tcPr>
            <w:tcW w:w="976" w:type="dxa"/>
            <w:shd w:val="clear" w:color="auto" w:fill="78BE21"/>
            <w:noWrap/>
            <w:vAlign w:val="center"/>
            <w:hideMark/>
          </w:tcPr>
          <w:p w14:paraId="66D5BEC6" w14:textId="77777777" w:rsidR="0008690C" w:rsidRPr="004C12C9" w:rsidRDefault="0008690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3104AB3D" w14:textId="77777777" w:rsidR="0008690C" w:rsidRPr="004C12C9" w:rsidRDefault="0008690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Green cells are </w:t>
            </w:r>
            <w:r w:rsidRPr="004C12C9">
              <w:rPr>
                <w:rFonts w:asciiTheme="minorHAnsi" w:hAnsiTheme="minorHAnsi" w:cstheme="minorHAnsi"/>
                <w:b/>
                <w:bCs/>
                <w:color w:val="000000"/>
                <w:lang w:bidi="ar-SA"/>
              </w:rPr>
              <w:t>calculated fields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 xml:space="preserve">. </w:t>
            </w:r>
          </w:p>
        </w:tc>
      </w:tr>
      <w:tr w:rsidR="0008690C" w:rsidRPr="004C12C9" w14:paraId="2C480482" w14:textId="77777777">
        <w:trPr>
          <w:trHeight w:val="300"/>
        </w:trPr>
        <w:tc>
          <w:tcPr>
            <w:tcW w:w="976" w:type="dxa"/>
            <w:shd w:val="clear" w:color="000000" w:fill="E4F7CE"/>
            <w:noWrap/>
            <w:vAlign w:val="center"/>
            <w:hideMark/>
          </w:tcPr>
          <w:p w14:paraId="3A1775A1" w14:textId="77777777" w:rsidR="0008690C" w:rsidRPr="004C12C9" w:rsidRDefault="0008690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3108739C" w14:textId="77777777" w:rsidR="0008690C" w:rsidRPr="004C12C9" w:rsidRDefault="0008690C">
            <w:pPr>
              <w:spacing w:before="40" w:after="40" w:line="240" w:lineRule="auto"/>
              <w:rPr>
                <w:rFonts w:asciiTheme="minorHAnsi" w:hAnsiTheme="minorHAnsi" w:cstheme="minorHAnsi"/>
                <w:lang w:bidi="ar-SA"/>
              </w:rPr>
            </w:pPr>
            <w:r w:rsidRPr="004C12C9">
              <w:rPr>
                <w:rFonts w:asciiTheme="minorHAnsi" w:hAnsiTheme="minorHAnsi" w:cstheme="minorHAnsi"/>
                <w:lang w:bidi="ar-SA"/>
              </w:rPr>
              <w:t xml:space="preserve">Light green cells are </w:t>
            </w:r>
            <w:r w:rsidRPr="004C12C9">
              <w:rPr>
                <w:rFonts w:asciiTheme="minorHAnsi" w:hAnsiTheme="minorHAnsi" w:cstheme="minorHAnsi"/>
                <w:b/>
                <w:bCs/>
                <w:lang w:bidi="ar-SA"/>
              </w:rPr>
              <w:t xml:space="preserve">calculated fields </w:t>
            </w:r>
            <w:r w:rsidRPr="004C12C9">
              <w:rPr>
                <w:rFonts w:asciiTheme="minorHAnsi" w:hAnsiTheme="minorHAnsi" w:cstheme="minorHAnsi"/>
                <w:lang w:bidi="ar-SA"/>
              </w:rPr>
              <w:t xml:space="preserve">for interim calculations and are </w:t>
            </w:r>
            <w:r w:rsidRPr="004C12C9">
              <w:rPr>
                <w:rFonts w:asciiTheme="minorHAnsi" w:hAnsiTheme="minorHAnsi" w:cstheme="minorHAnsi"/>
                <w:b/>
                <w:bCs/>
                <w:lang w:bidi="ar-SA"/>
              </w:rPr>
              <w:t>not editable</w:t>
            </w:r>
            <w:r w:rsidRPr="004C12C9">
              <w:rPr>
                <w:rFonts w:asciiTheme="minorHAnsi" w:hAnsiTheme="minorHAnsi" w:cstheme="minorHAnsi"/>
                <w:lang w:bidi="ar-SA"/>
              </w:rPr>
              <w:t>.</w:t>
            </w:r>
          </w:p>
        </w:tc>
      </w:tr>
      <w:tr w:rsidR="0008690C" w:rsidRPr="004C12C9" w14:paraId="5BA92345" w14:textId="77777777">
        <w:trPr>
          <w:trHeight w:val="300"/>
        </w:trPr>
        <w:tc>
          <w:tcPr>
            <w:tcW w:w="976" w:type="dxa"/>
            <w:shd w:val="clear" w:color="000000" w:fill="A4BCC2"/>
            <w:noWrap/>
            <w:vAlign w:val="center"/>
            <w:hideMark/>
          </w:tcPr>
          <w:p w14:paraId="61E1CB16" w14:textId="77777777" w:rsidR="0008690C" w:rsidRPr="004C12C9" w:rsidRDefault="0008690C">
            <w:pPr>
              <w:spacing w:before="0" w:after="0" w:line="240" w:lineRule="auto"/>
              <w:rPr>
                <w:rFonts w:asciiTheme="minorHAnsi" w:hAnsiTheme="minorHAnsi" w:cstheme="minorHAnsi"/>
                <w:color w:val="008EAA"/>
                <w:lang w:bidi="ar-SA"/>
              </w:rPr>
            </w:pPr>
            <w:r w:rsidRPr="004C12C9">
              <w:rPr>
                <w:rFonts w:asciiTheme="minorHAnsi" w:hAnsiTheme="minorHAnsi" w:cstheme="minorHAnsi"/>
                <w:color w:val="008EAA"/>
                <w:lang w:bidi="ar-SA"/>
              </w:rPr>
              <w:t> </w:t>
            </w:r>
          </w:p>
        </w:tc>
        <w:tc>
          <w:tcPr>
            <w:tcW w:w="8469" w:type="dxa"/>
            <w:noWrap/>
            <w:vAlign w:val="center"/>
            <w:hideMark/>
          </w:tcPr>
          <w:p w14:paraId="2E38FF5B" w14:textId="77777777" w:rsidR="0008690C" w:rsidRPr="004C12C9" w:rsidRDefault="0008690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Gray cells are </w:t>
            </w:r>
            <w:r w:rsidRPr="004C12C9">
              <w:rPr>
                <w:rFonts w:asciiTheme="minorHAnsi" w:hAnsiTheme="minorHAnsi" w:cstheme="minorHAnsi"/>
                <w:b/>
                <w:bCs/>
                <w:color w:val="000000"/>
                <w:lang w:bidi="ar-SA"/>
              </w:rPr>
              <w:t xml:space="preserve">assumptions </w:t>
            </w:r>
            <w:r w:rsidRPr="004C12C9">
              <w:rPr>
                <w:rFonts w:asciiTheme="minorHAnsi" w:hAnsiTheme="minorHAnsi" w:cstheme="minorHAnsi"/>
                <w:color w:val="000000"/>
                <w:lang w:bidi="ar-SA"/>
              </w:rPr>
              <w:t>and are</w:t>
            </w:r>
            <w:r w:rsidRPr="004C12C9">
              <w:rPr>
                <w:rFonts w:asciiTheme="minorHAnsi" w:hAnsiTheme="minorHAnsi" w:cstheme="minorHAnsi"/>
                <w:b/>
                <w:bCs/>
                <w:color w:val="000000"/>
                <w:lang w:bidi="ar-SA"/>
              </w:rPr>
              <w:t xml:space="preserve"> not editable</w:t>
            </w:r>
            <w:r w:rsidRPr="004C12C9">
              <w:rPr>
                <w:rFonts w:asciiTheme="minorHAnsi" w:hAnsiTheme="minorHAnsi" w:cstheme="minorHAnsi"/>
                <w:color w:val="000000"/>
                <w:lang w:bidi="ar-SA"/>
              </w:rPr>
              <w:t>.</w:t>
            </w:r>
          </w:p>
        </w:tc>
      </w:tr>
      <w:tr w:rsidR="0008690C" w:rsidRPr="004C12C9" w14:paraId="6862A438" w14:textId="77777777">
        <w:trPr>
          <w:trHeight w:val="300"/>
        </w:trPr>
        <w:tc>
          <w:tcPr>
            <w:tcW w:w="976" w:type="dxa"/>
            <w:shd w:val="diagStripe" w:color="000000" w:fill="808080"/>
            <w:noWrap/>
            <w:vAlign w:val="bottom"/>
            <w:hideMark/>
          </w:tcPr>
          <w:p w14:paraId="02BAE669" w14:textId="77777777" w:rsidR="0008690C" w:rsidRPr="004C12C9" w:rsidRDefault="0008690C">
            <w:pPr>
              <w:spacing w:before="0" w:after="0" w:line="240" w:lineRule="auto"/>
              <w:rPr>
                <w:rFonts w:asciiTheme="minorHAnsi" w:hAnsiTheme="minorHAnsi" w:cstheme="minorHAnsi"/>
                <w:lang w:bidi="ar-SA"/>
              </w:rPr>
            </w:pPr>
            <w:r w:rsidRPr="004C12C9">
              <w:rPr>
                <w:rFonts w:asciiTheme="minorHAnsi" w:hAnsiTheme="minorHAnsi" w:cstheme="minorHAnsi"/>
                <w:lang w:bidi="ar-SA"/>
              </w:rPr>
              <w:t> </w:t>
            </w:r>
          </w:p>
        </w:tc>
        <w:tc>
          <w:tcPr>
            <w:tcW w:w="8469" w:type="dxa"/>
            <w:noWrap/>
            <w:vAlign w:val="center"/>
            <w:hideMark/>
          </w:tcPr>
          <w:p w14:paraId="5726038A" w14:textId="77777777" w:rsidR="0008690C" w:rsidRPr="004C12C9" w:rsidRDefault="0008690C">
            <w:pPr>
              <w:spacing w:before="40" w:after="40" w:line="240" w:lineRule="auto"/>
              <w:rPr>
                <w:rFonts w:asciiTheme="minorHAnsi" w:hAnsiTheme="minorHAnsi" w:cstheme="minorHAnsi"/>
                <w:lang w:bidi="ar-SA"/>
              </w:rPr>
            </w:pPr>
            <w:r w:rsidRPr="004C12C9">
              <w:rPr>
                <w:rFonts w:asciiTheme="minorHAnsi" w:hAnsiTheme="minorHAnsi" w:cstheme="minorHAnsi"/>
                <w:lang w:bidi="ar-SA"/>
              </w:rPr>
              <w:t xml:space="preserve">Black cells are for </w:t>
            </w:r>
            <w:r w:rsidRPr="004C12C9">
              <w:rPr>
                <w:rFonts w:asciiTheme="minorHAnsi" w:hAnsiTheme="minorHAnsi" w:cstheme="minorHAnsi"/>
                <w:b/>
                <w:bCs/>
                <w:lang w:bidi="ar-SA"/>
              </w:rPr>
              <w:t>emissions sources that are not applicable</w:t>
            </w:r>
            <w:r w:rsidRPr="004C12C9">
              <w:rPr>
                <w:rFonts w:asciiTheme="minorHAnsi" w:hAnsiTheme="minorHAnsi" w:cstheme="minorHAnsi"/>
                <w:lang w:bidi="ar-SA"/>
              </w:rPr>
              <w:t xml:space="preserve"> and are not calculated.</w:t>
            </w:r>
          </w:p>
        </w:tc>
      </w:tr>
    </w:tbl>
    <w:p w14:paraId="70810BFE" w14:textId="54B5F9F1" w:rsidR="00F472F1" w:rsidRPr="004C12C9" w:rsidRDefault="006F2681" w:rsidP="007D7818">
      <w:r w:rsidRPr="004C12C9">
        <w:rPr>
          <w:b/>
          <w:bCs/>
        </w:rPr>
        <w:t>Navigation:</w:t>
      </w:r>
      <w:r w:rsidRPr="004C12C9">
        <w:t xml:space="preserve"> </w:t>
      </w:r>
      <w:r w:rsidR="00E36411" w:rsidRPr="004C12C9">
        <w:t xml:space="preserve">As shown in </w:t>
      </w:r>
      <w:r w:rsidR="000D00D6" w:rsidRPr="004C12C9">
        <w:fldChar w:fldCharType="begin" w:fldLock="1"/>
      </w:r>
      <w:r w:rsidR="000D00D6" w:rsidRPr="004C12C9">
        <w:instrText xml:space="preserve"> REF _Ref196762086 \h </w:instrText>
      </w:r>
      <w:r w:rsidR="000D00D6" w:rsidRPr="004C12C9">
        <w:fldChar w:fldCharType="separate"/>
      </w:r>
      <w:r w:rsidR="00294C36" w:rsidRPr="004C12C9">
        <w:t>Figure D-5</w:t>
      </w:r>
      <w:r w:rsidR="000D00D6" w:rsidRPr="004C12C9">
        <w:fldChar w:fldCharType="end"/>
      </w:r>
      <w:r w:rsidR="000D00D6" w:rsidRPr="004C12C9">
        <w:t>, t</w:t>
      </w:r>
      <w:r w:rsidR="00435C55" w:rsidRPr="004C12C9">
        <w:t xml:space="preserve">he </w:t>
      </w:r>
      <w:r w:rsidR="00136ECC" w:rsidRPr="004C12C9">
        <w:t xml:space="preserve">calculator </w:t>
      </w:r>
      <w:r w:rsidR="00435C55" w:rsidRPr="004C12C9">
        <w:t xml:space="preserve">is </w:t>
      </w:r>
      <w:r w:rsidR="002629B8" w:rsidRPr="004C12C9">
        <w:t xml:space="preserve">organized </w:t>
      </w:r>
      <w:r w:rsidR="00435C55" w:rsidRPr="004C12C9">
        <w:t xml:space="preserve">into </w:t>
      </w:r>
      <w:r w:rsidR="00BE1AA2" w:rsidRPr="004C12C9">
        <w:t>informational tabs (shad</w:t>
      </w:r>
      <w:r w:rsidR="00431D8C" w:rsidRPr="004C12C9">
        <w:t>e</w:t>
      </w:r>
      <w:r w:rsidR="00BE1AA2" w:rsidRPr="004C12C9">
        <w:t xml:space="preserve">d in </w:t>
      </w:r>
      <w:r w:rsidR="00431D8C" w:rsidRPr="004C12C9">
        <w:t xml:space="preserve">dark blue) </w:t>
      </w:r>
      <w:r w:rsidR="00435C55" w:rsidRPr="004C12C9">
        <w:t>inpu</w:t>
      </w:r>
      <w:r w:rsidR="00BF0C73" w:rsidRPr="004C12C9">
        <w:t>t</w:t>
      </w:r>
      <w:r w:rsidR="00CC1DE1" w:rsidRPr="004C12C9">
        <w:t xml:space="preserve"> tabs </w:t>
      </w:r>
      <w:r w:rsidR="002152FA" w:rsidRPr="004C12C9">
        <w:t>(</w:t>
      </w:r>
      <w:r w:rsidR="00CC1DE1" w:rsidRPr="004C12C9">
        <w:t xml:space="preserve">shaded in </w:t>
      </w:r>
      <w:r w:rsidR="00BB7B50" w:rsidRPr="004C12C9">
        <w:t>yellow</w:t>
      </w:r>
      <w:r w:rsidR="002152FA" w:rsidRPr="004C12C9">
        <w:t>)</w:t>
      </w:r>
      <w:r w:rsidR="00BB7B50" w:rsidRPr="004C12C9">
        <w:t xml:space="preserve">, </w:t>
      </w:r>
      <w:r w:rsidR="0014391F" w:rsidRPr="004C12C9">
        <w:t xml:space="preserve">calculation tabs </w:t>
      </w:r>
      <w:r w:rsidR="002152FA" w:rsidRPr="004C12C9">
        <w:t>(</w:t>
      </w:r>
      <w:r w:rsidR="0014391F" w:rsidRPr="004C12C9">
        <w:t>shaded in green</w:t>
      </w:r>
      <w:r w:rsidR="002152FA" w:rsidRPr="004C12C9">
        <w:t>)</w:t>
      </w:r>
      <w:r w:rsidR="00BF0C73" w:rsidRPr="004C12C9">
        <w:t xml:space="preserve">, </w:t>
      </w:r>
      <w:r w:rsidR="009E48EE" w:rsidRPr="004C12C9">
        <w:t xml:space="preserve">mitigation </w:t>
      </w:r>
      <w:r w:rsidR="00F26ED3" w:rsidRPr="004C12C9">
        <w:t xml:space="preserve">and </w:t>
      </w:r>
      <w:r w:rsidR="009E48EE" w:rsidRPr="004C12C9">
        <w:t xml:space="preserve">adaptation </w:t>
      </w:r>
      <w:r w:rsidR="00B77858" w:rsidRPr="004C12C9">
        <w:t xml:space="preserve">tabs </w:t>
      </w:r>
      <w:r w:rsidR="002152FA" w:rsidRPr="004C12C9">
        <w:t>(</w:t>
      </w:r>
      <w:r w:rsidR="00B77858" w:rsidRPr="004C12C9">
        <w:t>shaded in blue</w:t>
      </w:r>
      <w:r w:rsidR="002152FA" w:rsidRPr="004C12C9">
        <w:t>)</w:t>
      </w:r>
      <w:r w:rsidR="00B77858" w:rsidRPr="004C12C9">
        <w:t>,</w:t>
      </w:r>
      <w:r w:rsidR="002E272B" w:rsidRPr="004C12C9">
        <w:t xml:space="preserve"> and </w:t>
      </w:r>
      <w:r w:rsidR="00B77858" w:rsidRPr="004C12C9">
        <w:t>assumptions</w:t>
      </w:r>
      <w:r w:rsidR="002E272B" w:rsidRPr="004C12C9">
        <w:t xml:space="preserve"> </w:t>
      </w:r>
      <w:r w:rsidR="00F26ED3" w:rsidRPr="004C12C9">
        <w:t xml:space="preserve">and </w:t>
      </w:r>
      <w:r w:rsidR="00B77858" w:rsidRPr="004C12C9">
        <w:t xml:space="preserve">constants tabs </w:t>
      </w:r>
      <w:r w:rsidR="002152FA" w:rsidRPr="004C12C9">
        <w:t>(</w:t>
      </w:r>
      <w:r w:rsidR="00B77858" w:rsidRPr="004C12C9">
        <w:t>shaded in light blue</w:t>
      </w:r>
      <w:r w:rsidR="002152FA" w:rsidRPr="004C12C9">
        <w:t>)</w:t>
      </w:r>
      <w:r w:rsidR="00B77858" w:rsidRPr="004C12C9">
        <w:t>.</w:t>
      </w:r>
      <w:r w:rsidR="002E272B" w:rsidRPr="004C12C9">
        <w:t xml:space="preserve"> Users can navigate through the </w:t>
      </w:r>
      <w:r w:rsidR="00F472F1" w:rsidRPr="004C12C9">
        <w:t>sections of the</w:t>
      </w:r>
      <w:r w:rsidR="002E272B" w:rsidRPr="004C12C9">
        <w:t xml:space="preserve"> </w:t>
      </w:r>
      <w:r w:rsidR="00EA4393" w:rsidRPr="004C12C9">
        <w:t xml:space="preserve">calculator </w:t>
      </w:r>
      <w:r w:rsidR="002E272B" w:rsidRPr="004C12C9">
        <w:t xml:space="preserve">by selecting the </w:t>
      </w:r>
      <w:r w:rsidR="00EA6B0B" w:rsidRPr="004C12C9">
        <w:t xml:space="preserve">navigation </w:t>
      </w:r>
      <w:r w:rsidR="002E272B" w:rsidRPr="004C12C9">
        <w:t>arrows at the top of each tab</w:t>
      </w:r>
      <w:r w:rsidR="00A62F26" w:rsidRPr="004C12C9">
        <w:t xml:space="preserve"> or clicking </w:t>
      </w:r>
      <w:r w:rsidR="00B76DE3" w:rsidRPr="004C12C9">
        <w:t>directly on</w:t>
      </w:r>
      <w:r w:rsidR="00A62F26" w:rsidRPr="004C12C9">
        <w:t xml:space="preserve"> the tab </w:t>
      </w:r>
      <w:r w:rsidR="00B76DE3" w:rsidRPr="004C12C9">
        <w:t xml:space="preserve">name </w:t>
      </w:r>
      <w:r w:rsidR="00360989" w:rsidRPr="004C12C9">
        <w:t>at the bottom of Excel</w:t>
      </w:r>
      <w:r w:rsidR="00F472F1" w:rsidRPr="004C12C9">
        <w:t>. Users can navigate to the top of each tab by selecting</w:t>
      </w:r>
      <w:r w:rsidR="00525EBD" w:rsidRPr="004C12C9">
        <w:t xml:space="preserve"> the return to top buttons at the bottom of tabs. </w:t>
      </w:r>
      <w:r w:rsidR="00D55E04" w:rsidRPr="004C12C9">
        <w:t xml:space="preserve">On the User Inputs, Construction, and Operation tabs, users can select the green boxes at the top to navigate to specific sections of a tab. </w:t>
      </w:r>
      <w:r w:rsidR="001012D6" w:rsidRPr="004C12C9">
        <w:t>A</w:t>
      </w:r>
      <w:r w:rsidR="00D55E04" w:rsidRPr="004C12C9">
        <w:t>n example of the navigation features on the User Inputs tab</w:t>
      </w:r>
      <w:r w:rsidR="001012D6" w:rsidRPr="004C12C9">
        <w:t xml:space="preserve"> is shown in </w:t>
      </w:r>
      <w:r w:rsidR="001012D6" w:rsidRPr="004C12C9">
        <w:fldChar w:fldCharType="begin" w:fldLock="1"/>
      </w:r>
      <w:r w:rsidR="001012D6" w:rsidRPr="004C12C9">
        <w:instrText xml:space="preserve"> REF _Ref195793615 \h </w:instrText>
      </w:r>
      <w:r w:rsidR="001012D6" w:rsidRPr="004C12C9">
        <w:fldChar w:fldCharType="separate"/>
      </w:r>
      <w:r w:rsidR="00294C36" w:rsidRPr="004C12C9">
        <w:t>Figure D-6</w:t>
      </w:r>
      <w:r w:rsidR="001012D6" w:rsidRPr="004C12C9">
        <w:fldChar w:fldCharType="end"/>
      </w:r>
      <w:r w:rsidR="00D55E04" w:rsidRPr="004C12C9">
        <w:t>.</w:t>
      </w:r>
      <w:r w:rsidR="00212263" w:rsidRPr="004C12C9">
        <w:t xml:space="preserve"> </w:t>
      </w:r>
    </w:p>
    <w:p w14:paraId="26924A5E" w14:textId="7316881A" w:rsidR="00B04045" w:rsidRPr="004C12C9" w:rsidRDefault="00B04045" w:rsidP="00B04045">
      <w:pPr>
        <w:pStyle w:val="Caption"/>
      </w:pPr>
      <w:bookmarkStart w:id="316" w:name="_Ref196762086"/>
      <w:r w:rsidRPr="004C12C9">
        <w:lastRenderedPageBreak/>
        <w:t>Figure D-</w:t>
      </w:r>
      <w:r w:rsidR="00294C36">
        <w:fldChar w:fldCharType="begin"/>
      </w:r>
      <w:r w:rsidR="00294C36">
        <w:instrText xml:space="preserve"> SEQ Figure_D- \* ARABIC </w:instrText>
      </w:r>
      <w:r w:rsidR="00294C36">
        <w:fldChar w:fldCharType="separate"/>
      </w:r>
      <w:r w:rsidR="00752F47">
        <w:rPr>
          <w:noProof/>
        </w:rPr>
        <w:t>5</w:t>
      </w:r>
      <w:r w:rsidR="00294C36">
        <w:fldChar w:fldCharType="end"/>
      </w:r>
      <w:bookmarkEnd w:id="316"/>
      <w:r w:rsidRPr="004C12C9">
        <w:t>. Tab Organization and Coloring</w:t>
      </w:r>
    </w:p>
    <w:p w14:paraId="4A12BCE2" w14:textId="550CAAD2" w:rsidR="003E28BD" w:rsidRPr="004C12C9" w:rsidRDefault="004C6B41" w:rsidP="00B04045">
      <w:pPr>
        <w:spacing w:before="60" w:after="60"/>
      </w:pPr>
      <w:r w:rsidRPr="004C6B41">
        <w:rPr>
          <w:noProof/>
        </w:rPr>
        <w:drawing>
          <wp:inline distT="0" distB="0" distL="0" distR="0" wp14:anchorId="108DA306" wp14:editId="30297E0F">
            <wp:extent cx="6010814" cy="125868"/>
            <wp:effectExtent l="19050" t="19050" r="9525" b="26670"/>
            <wp:docPr id="176532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7792" name=""/>
                    <pic:cNvPicPr/>
                  </pic:nvPicPr>
                  <pic:blipFill>
                    <a:blip r:embed="rId146"/>
                    <a:stretch>
                      <a:fillRect/>
                    </a:stretch>
                  </pic:blipFill>
                  <pic:spPr>
                    <a:xfrm>
                      <a:off x="0" y="0"/>
                      <a:ext cx="6751780" cy="141384"/>
                    </a:xfrm>
                    <a:prstGeom prst="rect">
                      <a:avLst/>
                    </a:prstGeom>
                    <a:ln>
                      <a:solidFill>
                        <a:schemeClr val="tx2"/>
                      </a:solidFill>
                    </a:ln>
                  </pic:spPr>
                </pic:pic>
              </a:graphicData>
            </a:graphic>
          </wp:inline>
        </w:drawing>
      </w:r>
      <w:r w:rsidRPr="004C6B41" w:rsidDel="004C6B41">
        <w:t xml:space="preserve"> </w:t>
      </w:r>
    </w:p>
    <w:p w14:paraId="37260827" w14:textId="0D47C984" w:rsidR="00D55E04" w:rsidRPr="004C12C9" w:rsidRDefault="002D63C2" w:rsidP="00D55E04">
      <w:pPr>
        <w:pStyle w:val="Caption"/>
      </w:pPr>
      <w:bookmarkStart w:id="317" w:name="_Ref195793615"/>
      <w:r w:rsidRPr="004C12C9">
        <w:t>Figure D-</w:t>
      </w:r>
      <w:r w:rsidR="00294C36">
        <w:fldChar w:fldCharType="begin"/>
      </w:r>
      <w:r w:rsidR="00294C36">
        <w:instrText xml:space="preserve"> SEQ Figure_D- \* ARABIC </w:instrText>
      </w:r>
      <w:r w:rsidR="00294C36">
        <w:fldChar w:fldCharType="separate"/>
      </w:r>
      <w:r w:rsidR="00752F47">
        <w:rPr>
          <w:noProof/>
        </w:rPr>
        <w:t>6</w:t>
      </w:r>
      <w:r w:rsidR="00294C36">
        <w:fldChar w:fldCharType="end"/>
      </w:r>
      <w:bookmarkEnd w:id="317"/>
      <w:r w:rsidR="00D55E04" w:rsidRPr="004C12C9">
        <w:t xml:space="preserve">. Navigation </w:t>
      </w:r>
      <w:r w:rsidR="002152FA" w:rsidRPr="004C12C9">
        <w:t>F</w:t>
      </w:r>
      <w:r w:rsidR="00D55E04" w:rsidRPr="004C12C9">
        <w:t xml:space="preserve">eatures on the User Inputs </w:t>
      </w:r>
      <w:r w:rsidR="002152FA" w:rsidRPr="004C12C9">
        <w:t>T</w:t>
      </w:r>
      <w:r w:rsidR="00D55E04" w:rsidRPr="004C12C9">
        <w:t>ab</w:t>
      </w:r>
    </w:p>
    <w:p w14:paraId="2F958DBA" w14:textId="56E08999" w:rsidR="009856DF" w:rsidRPr="004C12C9" w:rsidRDefault="00AA3E73" w:rsidP="00B04045">
      <w:pPr>
        <w:spacing w:before="60" w:after="60"/>
      </w:pPr>
      <w:r w:rsidRPr="004C12C9">
        <w:rPr>
          <w:noProof/>
        </w:rPr>
        <w:drawing>
          <wp:inline distT="0" distB="0" distL="0" distR="0" wp14:anchorId="737D8207" wp14:editId="79D4BDF2">
            <wp:extent cx="5943600" cy="2169160"/>
            <wp:effectExtent l="19050" t="19050" r="19050" b="21590"/>
            <wp:docPr id="671902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02265" name="Picture 1" descr="A screenshot of a computer&#10;&#10;AI-generated content may be incorrect."/>
                    <pic:cNvPicPr/>
                  </pic:nvPicPr>
                  <pic:blipFill>
                    <a:blip r:embed="rId147"/>
                    <a:stretch>
                      <a:fillRect/>
                    </a:stretch>
                  </pic:blipFill>
                  <pic:spPr>
                    <a:xfrm>
                      <a:off x="0" y="0"/>
                      <a:ext cx="5943600" cy="2169160"/>
                    </a:xfrm>
                    <a:prstGeom prst="rect">
                      <a:avLst/>
                    </a:prstGeom>
                    <a:ln>
                      <a:solidFill>
                        <a:schemeClr val="tx2"/>
                      </a:solidFill>
                    </a:ln>
                  </pic:spPr>
                </pic:pic>
              </a:graphicData>
            </a:graphic>
          </wp:inline>
        </w:drawing>
      </w:r>
      <w:r w:rsidR="002216A5" w:rsidRPr="004C12C9" w:rsidDel="006802B9">
        <w:t xml:space="preserve"> </w:t>
      </w:r>
    </w:p>
    <w:p w14:paraId="105E63F5" w14:textId="2917ABCF" w:rsidR="00927910" w:rsidRPr="004C12C9" w:rsidRDefault="00CC4BE1" w:rsidP="00A97651">
      <w:r w:rsidRPr="004C12C9">
        <w:rPr>
          <w:b/>
          <w:bCs/>
        </w:rPr>
        <w:t>Applying Defaults:</w:t>
      </w:r>
      <w:r w:rsidRPr="004C12C9">
        <w:t xml:space="preserve"> </w:t>
      </w:r>
      <w:r w:rsidR="009B467D" w:rsidRPr="004C12C9">
        <w:t xml:space="preserve">Default </w:t>
      </w:r>
      <w:r w:rsidR="004A7A10" w:rsidRPr="004C12C9">
        <w:t xml:space="preserve">assumptions are </w:t>
      </w:r>
      <w:r w:rsidR="00A33B13" w:rsidRPr="004C12C9">
        <w:t>available for select user inputs</w:t>
      </w:r>
      <w:r w:rsidR="009274BF" w:rsidRPr="004C12C9">
        <w:t xml:space="preserve">. </w:t>
      </w:r>
      <w:r w:rsidR="00756990" w:rsidRPr="004C12C9">
        <w:t xml:space="preserve">Default data are displayed in gray cells and link to </w:t>
      </w:r>
      <w:r w:rsidR="00152D48" w:rsidRPr="004C12C9">
        <w:t>values</w:t>
      </w:r>
      <w:r w:rsidR="00BF58BA" w:rsidRPr="004C12C9">
        <w:t xml:space="preserve"> summarized </w:t>
      </w:r>
      <w:r w:rsidR="00881BC9" w:rsidRPr="004C12C9">
        <w:t xml:space="preserve">on </w:t>
      </w:r>
      <w:r w:rsidR="00756990" w:rsidRPr="004C12C9">
        <w:t xml:space="preserve">the </w:t>
      </w:r>
      <w:r w:rsidR="00A465CE" w:rsidRPr="004C12C9">
        <w:t>A</w:t>
      </w:r>
      <w:r w:rsidR="00756990" w:rsidRPr="004C12C9">
        <w:t xml:space="preserve">ssumptions tab. </w:t>
      </w:r>
      <w:r w:rsidR="000E4F3E" w:rsidRPr="004C12C9">
        <w:t xml:space="preserve">For inputs where default data </w:t>
      </w:r>
      <w:r w:rsidR="001249A4" w:rsidRPr="004C12C9">
        <w:t>are</w:t>
      </w:r>
      <w:r w:rsidR="000E4F3E" w:rsidRPr="004C12C9">
        <w:t xml:space="preserve"> available, </w:t>
      </w:r>
      <w:r w:rsidR="00923812" w:rsidRPr="004C12C9">
        <w:t xml:space="preserve">an </w:t>
      </w:r>
      <w:r w:rsidR="002E2A32" w:rsidRPr="004C12C9">
        <w:t>“</w:t>
      </w:r>
      <w:r w:rsidR="000E4F3E" w:rsidRPr="004C12C9">
        <w:t>Apply Defaults</w:t>
      </w:r>
      <w:r w:rsidR="002E2A32" w:rsidRPr="004C12C9">
        <w:t>”</w:t>
      </w:r>
      <w:r w:rsidR="000E4F3E" w:rsidRPr="004C12C9">
        <w:t xml:space="preserve"> button </w:t>
      </w:r>
      <w:r w:rsidR="00923812" w:rsidRPr="004C12C9">
        <w:t xml:space="preserve">is </w:t>
      </w:r>
      <w:r w:rsidR="001C6BF2" w:rsidRPr="004C12C9">
        <w:t>included</w:t>
      </w:r>
      <w:r w:rsidR="000E4F3E" w:rsidRPr="004C12C9">
        <w:t xml:space="preserve"> next to these inputs to allow users to </w:t>
      </w:r>
      <w:r w:rsidR="006C2626" w:rsidRPr="004C12C9">
        <w:t xml:space="preserve">easily </w:t>
      </w:r>
      <w:r w:rsidR="004B6D40" w:rsidRPr="004C12C9">
        <w:t xml:space="preserve">populate </w:t>
      </w:r>
      <w:r w:rsidR="00D91B33" w:rsidRPr="004C12C9">
        <w:t xml:space="preserve">the </w:t>
      </w:r>
      <w:r w:rsidR="00EA4393" w:rsidRPr="004C12C9">
        <w:t xml:space="preserve">calculator </w:t>
      </w:r>
      <w:r w:rsidR="00D91B33" w:rsidRPr="004C12C9">
        <w:t xml:space="preserve">with </w:t>
      </w:r>
      <w:r w:rsidR="000E4F3E" w:rsidRPr="004C12C9">
        <w:t>default</w:t>
      </w:r>
      <w:r w:rsidR="00D91B33" w:rsidRPr="004C12C9">
        <w:t xml:space="preserve"> values</w:t>
      </w:r>
      <w:r w:rsidR="000E4F3E" w:rsidRPr="004C12C9">
        <w:t xml:space="preserve">. </w:t>
      </w:r>
      <w:r w:rsidR="00EB220B" w:rsidRPr="004C12C9">
        <w:t>A ‘Reset ALL Inputs’ button is also included to remove all inputs, both those that are defaults and user</w:t>
      </w:r>
      <w:r w:rsidR="00A25D3D" w:rsidRPr="004C12C9">
        <w:t>-provided</w:t>
      </w:r>
      <w:r w:rsidR="00EB220B" w:rsidRPr="004C12C9">
        <w:t xml:space="preserve"> inputs, from each emission source.</w:t>
      </w:r>
      <w:r w:rsidR="00467AF5" w:rsidRPr="004C12C9">
        <w:t xml:space="preserve"> </w:t>
      </w:r>
      <w:r w:rsidR="005148B1" w:rsidRPr="004C12C9">
        <w:t xml:space="preserve">Note that the </w:t>
      </w:r>
      <w:r w:rsidR="005A037D" w:rsidRPr="004C12C9">
        <w:t>“R</w:t>
      </w:r>
      <w:r w:rsidR="005148B1" w:rsidRPr="004C12C9">
        <w:t>eset</w:t>
      </w:r>
      <w:r w:rsidR="005A037D" w:rsidRPr="004C12C9">
        <w:t>”</w:t>
      </w:r>
      <w:r w:rsidR="005148B1" w:rsidRPr="004C12C9">
        <w:t xml:space="preserve"> button will clear all user inputs</w:t>
      </w:r>
      <w:r w:rsidR="00991C79" w:rsidRPr="004C12C9">
        <w:t xml:space="preserve"> from the input fields</w:t>
      </w:r>
      <w:r w:rsidR="008912BE" w:rsidRPr="004C12C9">
        <w:t xml:space="preserve">, even </w:t>
      </w:r>
      <w:r w:rsidR="00991C79" w:rsidRPr="004C12C9">
        <w:t xml:space="preserve">manually entered or edited values. </w:t>
      </w:r>
      <w:r w:rsidR="001A0F14" w:rsidRPr="004C12C9">
        <w:t xml:space="preserve">An </w:t>
      </w:r>
      <w:r w:rsidR="00002890" w:rsidRPr="004C12C9">
        <w:t xml:space="preserve">example of the default </w:t>
      </w:r>
      <w:r w:rsidR="00764F94" w:rsidRPr="004C12C9">
        <w:t xml:space="preserve">and reset </w:t>
      </w:r>
      <w:r w:rsidR="00002890" w:rsidRPr="004C12C9">
        <w:t>buttons on the User Inputs tab</w:t>
      </w:r>
      <w:r w:rsidR="001A0F14" w:rsidRPr="004C12C9">
        <w:t xml:space="preserve"> is shown in </w:t>
      </w:r>
      <w:r w:rsidR="001A0F14" w:rsidRPr="004C12C9">
        <w:fldChar w:fldCharType="begin" w:fldLock="1"/>
      </w:r>
      <w:r w:rsidR="001A0F14" w:rsidRPr="004C12C9">
        <w:instrText xml:space="preserve"> REF _Ref196762530 \h </w:instrText>
      </w:r>
      <w:r w:rsidR="001A0F14" w:rsidRPr="004C12C9">
        <w:fldChar w:fldCharType="separate"/>
      </w:r>
      <w:r w:rsidR="00294C36" w:rsidRPr="004C12C9">
        <w:t>Figure D-7</w:t>
      </w:r>
      <w:r w:rsidR="001A0F14" w:rsidRPr="004C12C9">
        <w:fldChar w:fldCharType="end"/>
      </w:r>
      <w:r w:rsidR="00002890" w:rsidRPr="004C12C9">
        <w:t>.</w:t>
      </w:r>
    </w:p>
    <w:p w14:paraId="52D8D8EF" w14:textId="644B7C54" w:rsidR="00A711BD" w:rsidRPr="004C12C9" w:rsidRDefault="002D63C2" w:rsidP="0059737E">
      <w:pPr>
        <w:pStyle w:val="Caption"/>
      </w:pPr>
      <w:bookmarkStart w:id="318" w:name="_Ref196756443"/>
      <w:bookmarkStart w:id="319" w:name="_Ref196762530"/>
      <w:r w:rsidRPr="004C12C9">
        <w:t>Figure D-</w:t>
      </w:r>
      <w:r w:rsidR="00294C36">
        <w:fldChar w:fldCharType="begin"/>
      </w:r>
      <w:r w:rsidR="00294C36">
        <w:instrText xml:space="preserve"> SEQ Figure_D- \* ARABIC </w:instrText>
      </w:r>
      <w:r w:rsidR="00294C36">
        <w:fldChar w:fldCharType="separate"/>
      </w:r>
      <w:r w:rsidR="00752F47">
        <w:rPr>
          <w:noProof/>
        </w:rPr>
        <w:t>7</w:t>
      </w:r>
      <w:r w:rsidR="00294C36">
        <w:fldChar w:fldCharType="end"/>
      </w:r>
      <w:bookmarkEnd w:id="318"/>
      <w:bookmarkEnd w:id="319"/>
      <w:r w:rsidR="00A711BD" w:rsidRPr="004C12C9">
        <w:t xml:space="preserve">. </w:t>
      </w:r>
      <w:r w:rsidR="00023CBB" w:rsidRPr="004C12C9">
        <w:t xml:space="preserve">Example of </w:t>
      </w:r>
      <w:r w:rsidR="005A037D" w:rsidRPr="004C12C9">
        <w:t>A</w:t>
      </w:r>
      <w:r w:rsidR="00002890" w:rsidRPr="004C12C9">
        <w:t>pplying</w:t>
      </w:r>
      <w:r w:rsidR="00023CBB" w:rsidRPr="004C12C9">
        <w:t xml:space="preserve"> </w:t>
      </w:r>
      <w:r w:rsidR="005A037D" w:rsidRPr="004C12C9">
        <w:t xml:space="preserve">Defaults </w:t>
      </w:r>
      <w:r w:rsidR="00023CBB" w:rsidRPr="004C12C9">
        <w:t xml:space="preserve">and </w:t>
      </w:r>
      <w:r w:rsidR="005A037D" w:rsidRPr="004C12C9">
        <w:t>R</w:t>
      </w:r>
      <w:r w:rsidR="00023CBB" w:rsidRPr="004C12C9">
        <w:t xml:space="preserve">eset </w:t>
      </w:r>
      <w:r w:rsidR="005A037D" w:rsidRPr="004C12C9">
        <w:t>B</w:t>
      </w:r>
      <w:r w:rsidR="00023CBB" w:rsidRPr="004C12C9">
        <w:t xml:space="preserve">uttons for an </w:t>
      </w:r>
      <w:r w:rsidR="005A037D" w:rsidRPr="004C12C9">
        <w:t>E</w:t>
      </w:r>
      <w:r w:rsidR="00023CBB" w:rsidRPr="004C12C9">
        <w:t xml:space="preserve">mission </w:t>
      </w:r>
      <w:r w:rsidR="005A037D" w:rsidRPr="004C12C9">
        <w:t>S</w:t>
      </w:r>
      <w:r w:rsidR="00023CBB" w:rsidRPr="004C12C9">
        <w:t xml:space="preserve">ource on the User Inputs </w:t>
      </w:r>
      <w:r w:rsidR="005A037D" w:rsidRPr="004C12C9">
        <w:t>T</w:t>
      </w:r>
      <w:r w:rsidR="00023CBB" w:rsidRPr="004C12C9">
        <w:t>ab</w:t>
      </w:r>
    </w:p>
    <w:p w14:paraId="4DD77ACC" w14:textId="5DB6A030" w:rsidR="00A711BD" w:rsidRPr="004C12C9" w:rsidRDefault="00BC738C" w:rsidP="0059737E">
      <w:pPr>
        <w:spacing w:before="60" w:after="60"/>
      </w:pPr>
      <w:r w:rsidRPr="004C12C9">
        <w:rPr>
          <w:noProof/>
        </w:rPr>
        <w:drawing>
          <wp:inline distT="0" distB="0" distL="0" distR="0" wp14:anchorId="422C4833" wp14:editId="6A6A7E5D">
            <wp:extent cx="5943600" cy="2268855"/>
            <wp:effectExtent l="19050" t="19050" r="19050" b="17145"/>
            <wp:docPr id="44878624"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624" name="Picture 1" descr="A screenshot of a spreadsheet&#10;&#10;AI-generated content may be incorrect."/>
                    <pic:cNvPicPr/>
                  </pic:nvPicPr>
                  <pic:blipFill>
                    <a:blip r:embed="rId148"/>
                    <a:stretch>
                      <a:fillRect/>
                    </a:stretch>
                  </pic:blipFill>
                  <pic:spPr>
                    <a:xfrm>
                      <a:off x="0" y="0"/>
                      <a:ext cx="5943600" cy="2268855"/>
                    </a:xfrm>
                    <a:prstGeom prst="rect">
                      <a:avLst/>
                    </a:prstGeom>
                    <a:ln>
                      <a:solidFill>
                        <a:schemeClr val="tx2"/>
                      </a:solidFill>
                    </a:ln>
                  </pic:spPr>
                </pic:pic>
              </a:graphicData>
            </a:graphic>
          </wp:inline>
        </w:drawing>
      </w:r>
    </w:p>
    <w:p w14:paraId="48645994" w14:textId="0C26F50D" w:rsidR="00C64B9E" w:rsidRPr="004C12C9" w:rsidRDefault="004363F1" w:rsidP="00A97651">
      <w:r w:rsidRPr="004C12C9">
        <w:rPr>
          <w:b/>
          <w:bCs/>
        </w:rPr>
        <w:t>Shading and Hiding</w:t>
      </w:r>
      <w:r w:rsidR="00A73229" w:rsidRPr="004C12C9">
        <w:rPr>
          <w:b/>
          <w:bCs/>
        </w:rPr>
        <w:t>:</w:t>
      </w:r>
      <w:r w:rsidR="00A73229" w:rsidRPr="004C12C9">
        <w:t xml:space="preserve"> </w:t>
      </w:r>
      <w:r w:rsidR="005F1471" w:rsidRPr="004C12C9">
        <w:t xml:space="preserve">Gray shading with </w:t>
      </w:r>
      <w:r w:rsidR="00E60482" w:rsidRPr="004C12C9">
        <w:t>black dashed lines</w:t>
      </w:r>
      <w:r w:rsidR="005F1471" w:rsidRPr="004C12C9">
        <w:t xml:space="preserve"> are used throughout the </w:t>
      </w:r>
      <w:r w:rsidR="00EA4393" w:rsidRPr="004C12C9">
        <w:t xml:space="preserve">calculator </w:t>
      </w:r>
      <w:r w:rsidR="00B226A3" w:rsidRPr="004C12C9">
        <w:t xml:space="preserve">when values are </w:t>
      </w:r>
      <w:r w:rsidR="002F7345" w:rsidRPr="004C12C9">
        <w:t xml:space="preserve">not applicable based on </w:t>
      </w:r>
      <w:r w:rsidR="00C5086B" w:rsidRPr="004C12C9">
        <w:t>prior selections made by the user</w:t>
      </w:r>
      <w:r w:rsidR="00E60482" w:rsidRPr="004C12C9">
        <w:t xml:space="preserve">. </w:t>
      </w:r>
      <w:r w:rsidR="000F5058" w:rsidRPr="004C12C9">
        <w:t>On the User Inputs tab, u</w:t>
      </w:r>
      <w:r w:rsidR="00E60482" w:rsidRPr="004C12C9">
        <w:t xml:space="preserve">sers may choose to hide all these rows </w:t>
      </w:r>
      <w:r w:rsidR="00572975" w:rsidRPr="004C12C9">
        <w:t xml:space="preserve">for sources that are </w:t>
      </w:r>
      <w:r w:rsidR="007136BA" w:rsidRPr="004C12C9">
        <w:t>identified as not applicable</w:t>
      </w:r>
      <w:r w:rsidR="00A914E5" w:rsidRPr="004C12C9">
        <w:t xml:space="preserve"> </w:t>
      </w:r>
      <w:r w:rsidR="00E60482" w:rsidRPr="004C12C9">
        <w:t xml:space="preserve">by selecting the </w:t>
      </w:r>
      <w:r w:rsidR="002E2A32" w:rsidRPr="004C12C9">
        <w:t>“</w:t>
      </w:r>
      <w:r w:rsidR="00FF2EDF" w:rsidRPr="004C12C9">
        <w:t>Hide Sources Not Applicable</w:t>
      </w:r>
      <w:r w:rsidR="002E2A32" w:rsidRPr="004C12C9">
        <w:t>”</w:t>
      </w:r>
      <w:r w:rsidR="00FF2EDF" w:rsidRPr="004C12C9">
        <w:t xml:space="preserve"> button at the top of </w:t>
      </w:r>
      <w:r w:rsidR="007F014D" w:rsidRPr="004C12C9">
        <w:t xml:space="preserve">the </w:t>
      </w:r>
      <w:r w:rsidR="00FF2EDF" w:rsidRPr="004C12C9">
        <w:t xml:space="preserve">tab. </w:t>
      </w:r>
      <w:r w:rsidR="00772BA7" w:rsidRPr="004C12C9">
        <w:t xml:space="preserve">Rows for </w:t>
      </w:r>
      <w:r w:rsidR="001066C6" w:rsidRPr="004C12C9">
        <w:t xml:space="preserve">non-applicable sources are automatically hidden </w:t>
      </w:r>
      <w:r w:rsidR="000F3720" w:rsidRPr="004C12C9">
        <w:t xml:space="preserve">in </w:t>
      </w:r>
      <w:r w:rsidR="001066C6" w:rsidRPr="004C12C9">
        <w:t xml:space="preserve">the </w:t>
      </w:r>
      <w:r w:rsidR="000F3720" w:rsidRPr="004C12C9">
        <w:t xml:space="preserve">Results </w:t>
      </w:r>
      <w:r w:rsidR="001066C6" w:rsidRPr="004C12C9">
        <w:t xml:space="preserve">and </w:t>
      </w:r>
      <w:r w:rsidR="000F3720" w:rsidRPr="004C12C9">
        <w:t xml:space="preserve">Charts </w:t>
      </w:r>
      <w:r w:rsidR="001066C6" w:rsidRPr="004C12C9">
        <w:t>tabs.</w:t>
      </w:r>
      <w:r w:rsidR="005659B2" w:rsidRPr="004C12C9">
        <w:t xml:space="preserve"> See </w:t>
      </w:r>
      <w:r w:rsidR="002A00DA" w:rsidRPr="004C12C9">
        <w:fldChar w:fldCharType="begin" w:fldLock="1"/>
      </w:r>
      <w:r w:rsidR="002A00DA" w:rsidRPr="004C12C9">
        <w:instrText xml:space="preserve"> REF _Ref196763396 \h </w:instrText>
      </w:r>
      <w:r w:rsidR="002A00DA" w:rsidRPr="004C12C9">
        <w:fldChar w:fldCharType="separate"/>
      </w:r>
      <w:r w:rsidR="00294C36" w:rsidRPr="004C12C9">
        <w:t>Figure D-8</w:t>
      </w:r>
      <w:r w:rsidR="002A00DA" w:rsidRPr="004C12C9">
        <w:fldChar w:fldCharType="end"/>
      </w:r>
      <w:r w:rsidR="002A00DA" w:rsidRPr="004C12C9">
        <w:t xml:space="preserve"> </w:t>
      </w:r>
      <w:r w:rsidR="005659B2" w:rsidRPr="004C12C9">
        <w:t>for an example of these features.</w:t>
      </w:r>
    </w:p>
    <w:p w14:paraId="610AF260" w14:textId="2E00EDF8" w:rsidR="00AF0E06" w:rsidRPr="004C12C9" w:rsidRDefault="002D63C2" w:rsidP="00FF3322">
      <w:pPr>
        <w:pStyle w:val="Caption"/>
      </w:pPr>
      <w:bookmarkStart w:id="320" w:name="_Ref196757258"/>
      <w:bookmarkStart w:id="321" w:name="_Ref196763396"/>
      <w:r w:rsidRPr="004C12C9">
        <w:lastRenderedPageBreak/>
        <w:t>Figure D-</w:t>
      </w:r>
      <w:r w:rsidR="00294C36">
        <w:fldChar w:fldCharType="begin"/>
      </w:r>
      <w:r w:rsidR="00294C36">
        <w:instrText xml:space="preserve"> SEQ Figure_D- \* ARABIC </w:instrText>
      </w:r>
      <w:r w:rsidR="00294C36">
        <w:fldChar w:fldCharType="separate"/>
      </w:r>
      <w:r w:rsidR="00752F47">
        <w:rPr>
          <w:noProof/>
        </w:rPr>
        <w:t>8</w:t>
      </w:r>
      <w:r w:rsidR="00294C36">
        <w:fldChar w:fldCharType="end"/>
      </w:r>
      <w:bookmarkEnd w:id="320"/>
      <w:bookmarkEnd w:id="321"/>
      <w:r w:rsidR="00AF0E06" w:rsidRPr="004C12C9">
        <w:t xml:space="preserve">. Example of </w:t>
      </w:r>
      <w:r w:rsidR="001F11E6" w:rsidRPr="004C12C9">
        <w:t>S</w:t>
      </w:r>
      <w:r w:rsidR="00AF0E06" w:rsidRPr="004C12C9">
        <w:t xml:space="preserve">hading and </w:t>
      </w:r>
      <w:r w:rsidR="001F11E6" w:rsidRPr="004C12C9">
        <w:t>H</w:t>
      </w:r>
      <w:r w:rsidR="00AF0E06" w:rsidRPr="004C12C9">
        <w:t>iding</w:t>
      </w:r>
      <w:r w:rsidR="005659B2" w:rsidRPr="004C12C9">
        <w:t xml:space="preserve"> for </w:t>
      </w:r>
      <w:r w:rsidR="001F11E6" w:rsidRPr="004C12C9">
        <w:t>Not Applicable E</w:t>
      </w:r>
      <w:r w:rsidR="005659B2" w:rsidRPr="004C12C9">
        <w:t xml:space="preserve">missions </w:t>
      </w:r>
      <w:r w:rsidR="001F11E6" w:rsidRPr="004C12C9">
        <w:t>S</w:t>
      </w:r>
      <w:r w:rsidR="005659B2" w:rsidRPr="004C12C9">
        <w:t xml:space="preserve">ources </w:t>
      </w:r>
    </w:p>
    <w:p w14:paraId="75740F55" w14:textId="4CC0D300" w:rsidR="00AF0E06" w:rsidRPr="004C12C9" w:rsidRDefault="0057559A" w:rsidP="00FF3322">
      <w:pPr>
        <w:spacing w:before="60" w:after="60"/>
      </w:pPr>
      <w:r w:rsidRPr="004C12C9">
        <w:rPr>
          <w:noProof/>
        </w:rPr>
        <w:drawing>
          <wp:inline distT="0" distB="0" distL="0" distR="0" wp14:anchorId="1C6B826A" wp14:editId="39525BD0">
            <wp:extent cx="5943600" cy="2292985"/>
            <wp:effectExtent l="19050" t="19050" r="19050" b="12065"/>
            <wp:docPr id="808819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19322" name="Picture 1" descr="A screenshot of a computer&#10;&#10;AI-generated content may be incorrect."/>
                    <pic:cNvPicPr/>
                  </pic:nvPicPr>
                  <pic:blipFill>
                    <a:blip r:embed="rId149"/>
                    <a:stretch>
                      <a:fillRect/>
                    </a:stretch>
                  </pic:blipFill>
                  <pic:spPr>
                    <a:xfrm>
                      <a:off x="0" y="0"/>
                      <a:ext cx="5943600" cy="2292985"/>
                    </a:xfrm>
                    <a:prstGeom prst="rect">
                      <a:avLst/>
                    </a:prstGeom>
                    <a:ln>
                      <a:solidFill>
                        <a:schemeClr val="accent1"/>
                      </a:solidFill>
                    </a:ln>
                  </pic:spPr>
                </pic:pic>
              </a:graphicData>
            </a:graphic>
          </wp:inline>
        </w:drawing>
      </w:r>
    </w:p>
    <w:p w14:paraId="5BB4B3DC" w14:textId="18E9E782" w:rsidR="00450FF9" w:rsidRPr="004C12C9" w:rsidRDefault="009428F8" w:rsidP="00A97651">
      <w:r w:rsidRPr="004C12C9">
        <w:rPr>
          <w:b/>
          <w:bCs/>
        </w:rPr>
        <w:t>Data Validations:</w:t>
      </w:r>
      <w:r w:rsidRPr="004C12C9">
        <w:t xml:space="preserve"> </w:t>
      </w:r>
      <w:r w:rsidR="00B06D13" w:rsidRPr="004C12C9">
        <w:t>Data validation</w:t>
      </w:r>
      <w:r w:rsidR="00604B1D" w:rsidRPr="004C12C9">
        <w:t>s are</w:t>
      </w:r>
      <w:r w:rsidR="00B06D13" w:rsidRPr="004C12C9">
        <w:t xml:space="preserve"> built into user input fields</w:t>
      </w:r>
      <w:r w:rsidR="00F77033" w:rsidRPr="004C12C9">
        <w:t xml:space="preserve"> to </w:t>
      </w:r>
      <w:r w:rsidR="0050779D" w:rsidRPr="004C12C9">
        <w:t xml:space="preserve">help </w:t>
      </w:r>
      <w:r w:rsidR="00F77033" w:rsidRPr="004C12C9">
        <w:t xml:space="preserve">ensure </w:t>
      </w:r>
      <w:r w:rsidR="00725530" w:rsidRPr="004C12C9">
        <w:t xml:space="preserve">data </w:t>
      </w:r>
      <w:r w:rsidR="00314F01" w:rsidRPr="004C12C9">
        <w:t>qu</w:t>
      </w:r>
      <w:r w:rsidR="00D04965" w:rsidRPr="004C12C9">
        <w:t>ality and accuracy</w:t>
      </w:r>
      <w:r w:rsidR="00597E26" w:rsidRPr="004C12C9">
        <w:t xml:space="preserve">. Validations include </w:t>
      </w:r>
      <w:r w:rsidR="00E27B9C" w:rsidRPr="004C12C9">
        <w:t>value ranges, drop-down lists</w:t>
      </w:r>
      <w:r w:rsidR="00E90E2D" w:rsidRPr="004C12C9">
        <w:t xml:space="preserve">, and </w:t>
      </w:r>
      <w:r w:rsidR="00D04965" w:rsidRPr="004C12C9">
        <w:t xml:space="preserve">formatting restrictions. </w:t>
      </w:r>
      <w:r w:rsidR="009C4EC7" w:rsidRPr="004C12C9">
        <w:t xml:space="preserve">A </w:t>
      </w:r>
      <w:r w:rsidR="00B17717" w:rsidRPr="004C12C9">
        <w:t>pop-up</w:t>
      </w:r>
      <w:r w:rsidR="009C4EC7" w:rsidRPr="004C12C9">
        <w:t xml:space="preserve"> message will appear if you try to enter a nonvalid </w:t>
      </w:r>
      <w:r w:rsidR="00B17717" w:rsidRPr="004C12C9">
        <w:t>value into a user input field. A</w:t>
      </w:r>
      <w:r w:rsidR="00BD7EE2" w:rsidRPr="004C12C9">
        <w:t xml:space="preserve">n example of </w:t>
      </w:r>
      <w:r w:rsidR="00B17717" w:rsidRPr="004C12C9">
        <w:t>a</w:t>
      </w:r>
      <w:r w:rsidR="00BD7EE2" w:rsidRPr="004C12C9">
        <w:t xml:space="preserve"> data </w:t>
      </w:r>
      <w:r w:rsidR="0069242A" w:rsidRPr="004C12C9">
        <w:t>validation</w:t>
      </w:r>
      <w:r w:rsidR="00BD7EE2" w:rsidRPr="004C12C9">
        <w:t xml:space="preserve"> </w:t>
      </w:r>
      <w:r w:rsidR="00754E02" w:rsidRPr="004C12C9">
        <w:t xml:space="preserve">pop-up message </w:t>
      </w:r>
      <w:r w:rsidR="00B17717" w:rsidRPr="004C12C9">
        <w:t xml:space="preserve">is shown in </w:t>
      </w:r>
      <w:r w:rsidR="00E2576D" w:rsidRPr="004C12C9">
        <w:fldChar w:fldCharType="begin" w:fldLock="1"/>
      </w:r>
      <w:r w:rsidR="00E2576D" w:rsidRPr="004C12C9">
        <w:instrText xml:space="preserve"> REF _Ref196765314 \h </w:instrText>
      </w:r>
      <w:r w:rsidR="00E2576D" w:rsidRPr="004C12C9">
        <w:fldChar w:fldCharType="separate"/>
      </w:r>
      <w:r w:rsidR="00294C36" w:rsidRPr="004C12C9">
        <w:t>Figure D-9</w:t>
      </w:r>
      <w:r w:rsidR="00E2576D" w:rsidRPr="004C12C9">
        <w:fldChar w:fldCharType="end"/>
      </w:r>
      <w:r w:rsidR="00BD7EE2" w:rsidRPr="004C12C9">
        <w:t>.</w:t>
      </w:r>
    </w:p>
    <w:p w14:paraId="123562C8" w14:textId="64F093E6" w:rsidR="0061663B" w:rsidRPr="004C12C9" w:rsidRDefault="002D63C2" w:rsidP="0061663B">
      <w:pPr>
        <w:pStyle w:val="Caption"/>
        <w:spacing w:before="60"/>
      </w:pPr>
      <w:bookmarkStart w:id="322" w:name="_Ref196757521"/>
      <w:bookmarkStart w:id="323" w:name="_Ref196765314"/>
      <w:r w:rsidRPr="004C12C9">
        <w:t>Figure D-</w:t>
      </w:r>
      <w:r w:rsidR="00294C36">
        <w:fldChar w:fldCharType="begin"/>
      </w:r>
      <w:r w:rsidR="00294C36">
        <w:instrText xml:space="preserve"> SEQ Figure_D- \* ARABIC </w:instrText>
      </w:r>
      <w:r w:rsidR="00294C36">
        <w:fldChar w:fldCharType="separate"/>
      </w:r>
      <w:r w:rsidR="00752F47">
        <w:rPr>
          <w:noProof/>
        </w:rPr>
        <w:t>9</w:t>
      </w:r>
      <w:r w:rsidR="00294C36">
        <w:fldChar w:fldCharType="end"/>
      </w:r>
      <w:bookmarkEnd w:id="322"/>
      <w:bookmarkEnd w:id="323"/>
      <w:r w:rsidR="00C44EEE" w:rsidRPr="004C12C9">
        <w:t xml:space="preserve">. Example of </w:t>
      </w:r>
      <w:r w:rsidR="001F11E6" w:rsidRPr="004C12C9">
        <w:t>D</w:t>
      </w:r>
      <w:r w:rsidR="00C44EEE" w:rsidRPr="004C12C9">
        <w:t xml:space="preserve">ata </w:t>
      </w:r>
      <w:r w:rsidR="001F11E6" w:rsidRPr="004C12C9">
        <w:t>V</w:t>
      </w:r>
      <w:r w:rsidR="00C44EEE" w:rsidRPr="004C12C9">
        <w:t xml:space="preserve">alidation on the </w:t>
      </w:r>
      <w:r w:rsidR="004C512E" w:rsidRPr="004C12C9">
        <w:t>User Inputs</w:t>
      </w:r>
      <w:r w:rsidR="0061663B" w:rsidRPr="004C12C9">
        <w:t xml:space="preserve"> </w:t>
      </w:r>
      <w:r w:rsidR="001F11E6" w:rsidRPr="004C12C9">
        <w:t>T</w:t>
      </w:r>
      <w:r w:rsidR="00C44EEE" w:rsidRPr="004C12C9">
        <w:t>ab</w:t>
      </w:r>
      <w:r w:rsidR="00EC50F6" w:rsidRPr="004C12C9">
        <w:t xml:space="preserve"> </w:t>
      </w:r>
    </w:p>
    <w:p w14:paraId="2A8402C7" w14:textId="1229F86D" w:rsidR="00C44EEE" w:rsidRPr="004C12C9" w:rsidRDefault="00BC62DD" w:rsidP="00E2576D">
      <w:pPr>
        <w:pStyle w:val="Caption"/>
        <w:spacing w:before="60"/>
      </w:pPr>
      <w:r w:rsidRPr="004C12C9">
        <w:rPr>
          <w:noProof/>
        </w:rPr>
        <w:drawing>
          <wp:inline distT="0" distB="0" distL="0" distR="0" wp14:anchorId="04076E35" wp14:editId="65325E1D">
            <wp:extent cx="5943600" cy="2738120"/>
            <wp:effectExtent l="19050" t="19050" r="19050" b="24130"/>
            <wp:docPr id="6478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14" name="Picture 1" descr="A screenshot of a computer&#10;&#10;AI-generated content may be incorrect."/>
                    <pic:cNvPicPr/>
                  </pic:nvPicPr>
                  <pic:blipFill>
                    <a:blip r:embed="rId150"/>
                    <a:stretch>
                      <a:fillRect/>
                    </a:stretch>
                  </pic:blipFill>
                  <pic:spPr>
                    <a:xfrm>
                      <a:off x="0" y="0"/>
                      <a:ext cx="5943600" cy="2738120"/>
                    </a:xfrm>
                    <a:prstGeom prst="rect">
                      <a:avLst/>
                    </a:prstGeom>
                    <a:ln>
                      <a:solidFill>
                        <a:schemeClr val="tx2"/>
                      </a:solidFill>
                    </a:ln>
                  </pic:spPr>
                </pic:pic>
              </a:graphicData>
            </a:graphic>
          </wp:inline>
        </w:drawing>
      </w:r>
    </w:p>
    <w:p w14:paraId="705B9A6D" w14:textId="5B3BA9BC" w:rsidR="00FA12FA" w:rsidRPr="004C12C9" w:rsidRDefault="00450FF9" w:rsidP="00A97651">
      <w:r w:rsidRPr="004C12C9">
        <w:rPr>
          <w:b/>
          <w:bCs/>
        </w:rPr>
        <w:t>Data Checks:</w:t>
      </w:r>
      <w:r w:rsidRPr="004C12C9">
        <w:t xml:space="preserve"> </w:t>
      </w:r>
      <w:r w:rsidR="000C1C25" w:rsidRPr="004C12C9">
        <w:t xml:space="preserve">Data checks are used to alert users to </w:t>
      </w:r>
      <w:r w:rsidR="00786830" w:rsidRPr="004C12C9">
        <w:t xml:space="preserve">incomplete or incorrectly entered data. </w:t>
      </w:r>
      <w:r w:rsidR="00EE595D" w:rsidRPr="004C12C9">
        <w:t>C</w:t>
      </w:r>
      <w:r w:rsidR="000E4F3E" w:rsidRPr="004C12C9">
        <w:t>hecker</w:t>
      </w:r>
      <w:r w:rsidR="00EE595D" w:rsidRPr="004C12C9">
        <w:t xml:space="preserve"> icon</w:t>
      </w:r>
      <w:r w:rsidR="000E4F3E" w:rsidRPr="004C12C9">
        <w:t xml:space="preserve">s are included next to each </w:t>
      </w:r>
      <w:r w:rsidR="00786830" w:rsidRPr="004C12C9">
        <w:t xml:space="preserve">required </w:t>
      </w:r>
      <w:r w:rsidR="000E4F3E" w:rsidRPr="004C12C9">
        <w:t>field</w:t>
      </w:r>
      <w:r w:rsidR="005145CE" w:rsidRPr="004C12C9">
        <w:t xml:space="preserve"> or table</w:t>
      </w:r>
      <w:r w:rsidR="000E4F3E" w:rsidRPr="004C12C9">
        <w:t xml:space="preserve">. A red </w:t>
      </w:r>
      <w:r w:rsidR="001E1BDE" w:rsidRPr="004C12C9">
        <w:t>“</w:t>
      </w:r>
      <w:r w:rsidR="000E4F3E" w:rsidRPr="004C12C9">
        <w:t>x</w:t>
      </w:r>
      <w:r w:rsidR="001E1BDE" w:rsidRPr="004C12C9">
        <w:t>”</w:t>
      </w:r>
      <w:r w:rsidR="000E4F3E" w:rsidRPr="004C12C9">
        <w:t xml:space="preserve"> icon will appear next to a field if it is left blank</w:t>
      </w:r>
      <w:r w:rsidR="001E1BDE" w:rsidRPr="004C12C9">
        <w:t>,</w:t>
      </w:r>
      <w:r w:rsidR="000E4F3E" w:rsidRPr="004C12C9">
        <w:t xml:space="preserve"> and a green check icon will appear if the field has been </w:t>
      </w:r>
      <w:r w:rsidR="005F20B9" w:rsidRPr="004C12C9">
        <w:t>populated</w:t>
      </w:r>
      <w:r w:rsidR="000E4F3E" w:rsidRPr="004C12C9">
        <w:t xml:space="preserve">. Checkers are not included for fields </w:t>
      </w:r>
      <w:r w:rsidR="005F20B9" w:rsidRPr="004C12C9">
        <w:t>where inputs are optional</w:t>
      </w:r>
      <w:r w:rsidR="000E4F3E" w:rsidRPr="004C12C9">
        <w:t xml:space="preserve">. </w:t>
      </w:r>
      <w:r w:rsidR="005D2EA5" w:rsidRPr="004C12C9">
        <w:t xml:space="preserve">Red text will also display if inputs are </w:t>
      </w:r>
      <w:r w:rsidR="00222289" w:rsidRPr="004C12C9">
        <w:t xml:space="preserve">entered </w:t>
      </w:r>
      <w:r w:rsidR="00240C64" w:rsidRPr="004C12C9">
        <w:t>incorrectly</w:t>
      </w:r>
      <w:r w:rsidR="00F569D0" w:rsidRPr="004C12C9">
        <w:t xml:space="preserve"> (s</w:t>
      </w:r>
      <w:r w:rsidR="001436BE" w:rsidRPr="004C12C9">
        <w:t>ee</w:t>
      </w:r>
      <w:r w:rsidR="00294C36" w:rsidRPr="004C12C9">
        <w:t xml:space="preserve"> </w:t>
      </w:r>
      <w:r w:rsidR="00294C36" w:rsidRPr="004C12C9">
        <w:fldChar w:fldCharType="begin" w:fldLock="1"/>
      </w:r>
      <w:r w:rsidR="00294C36" w:rsidRPr="004C12C9">
        <w:instrText xml:space="preserve"> REF _Ref196765768 \h </w:instrText>
      </w:r>
      <w:r w:rsidR="00294C36" w:rsidRPr="004C12C9">
        <w:fldChar w:fldCharType="separate"/>
      </w:r>
      <w:r w:rsidR="009429CD" w:rsidRPr="004C12C9">
        <w:t>Figure D-10</w:t>
      </w:r>
      <w:r w:rsidR="00294C36" w:rsidRPr="004C12C9">
        <w:fldChar w:fldCharType="end"/>
      </w:r>
      <w:r w:rsidR="00F569D0" w:rsidRPr="004C12C9">
        <w:t>). Furthermore, if all inputs are not provided on the Project Background tab, a pop-up message will be displayed when users navigate to the User Inputs tab. Similarly, if not all user inputs are provided for emissions sources selected as applicable, a pop-up message and red error text will also appear when users navigate to the Results tab</w:t>
      </w:r>
      <w:r w:rsidR="009429CD" w:rsidRPr="004C12C9">
        <w:t xml:space="preserve"> (see </w:t>
      </w:r>
      <w:r w:rsidR="009429CD" w:rsidRPr="004C12C9">
        <w:fldChar w:fldCharType="begin" w:fldLock="1"/>
      </w:r>
      <w:r w:rsidR="009429CD" w:rsidRPr="004C12C9">
        <w:instrText xml:space="preserve"> REF _Ref196765879 \h </w:instrText>
      </w:r>
      <w:r w:rsidR="009429CD" w:rsidRPr="004C12C9">
        <w:fldChar w:fldCharType="separate"/>
      </w:r>
      <w:r w:rsidR="009429CD" w:rsidRPr="004C12C9">
        <w:t>Figure D-11</w:t>
      </w:r>
      <w:r w:rsidR="009429CD" w:rsidRPr="004C12C9">
        <w:fldChar w:fldCharType="end"/>
      </w:r>
      <w:r w:rsidR="009429CD" w:rsidRPr="004C12C9">
        <w:t>)</w:t>
      </w:r>
      <w:r w:rsidR="00F569D0" w:rsidRPr="004C12C9">
        <w:t>.</w:t>
      </w:r>
    </w:p>
    <w:p w14:paraId="3C050C02" w14:textId="07F82A26" w:rsidR="00294C36" w:rsidRPr="004C12C9" w:rsidRDefault="00294C36" w:rsidP="00294C36">
      <w:pPr>
        <w:pStyle w:val="Caption"/>
      </w:pPr>
      <w:bookmarkStart w:id="324" w:name="_Ref196765768"/>
      <w:bookmarkStart w:id="325" w:name="_Ref195793158"/>
      <w:r w:rsidRPr="004C12C9">
        <w:lastRenderedPageBreak/>
        <w:t>Figure D-</w:t>
      </w:r>
      <w:r>
        <w:fldChar w:fldCharType="begin"/>
      </w:r>
      <w:r>
        <w:instrText xml:space="preserve"> SEQ Figure_D- \* ARABIC </w:instrText>
      </w:r>
      <w:r>
        <w:fldChar w:fldCharType="separate"/>
      </w:r>
      <w:r w:rsidR="00752F47">
        <w:rPr>
          <w:noProof/>
        </w:rPr>
        <w:t>10</w:t>
      </w:r>
      <w:r>
        <w:fldChar w:fldCharType="end"/>
      </w:r>
      <w:bookmarkEnd w:id="324"/>
      <w:r w:rsidRPr="004C12C9">
        <w:t>. Example of Error Checkers for Land Use Change (Construction) User Inputs</w:t>
      </w:r>
    </w:p>
    <w:p w14:paraId="28AA80EB" w14:textId="1FB5F2A7" w:rsidR="00294C36" w:rsidRPr="004C12C9" w:rsidRDefault="00F258B9" w:rsidP="00294C36">
      <w:pPr>
        <w:spacing w:before="60" w:after="60"/>
      </w:pPr>
      <w:r w:rsidRPr="00F258B9">
        <w:rPr>
          <w:noProof/>
        </w:rPr>
        <w:drawing>
          <wp:inline distT="0" distB="0" distL="0" distR="0" wp14:anchorId="77ED8CB9" wp14:editId="01345049">
            <wp:extent cx="5943600" cy="1924050"/>
            <wp:effectExtent l="19050" t="19050" r="19050" b="19050"/>
            <wp:docPr id="17965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8040" name=""/>
                    <pic:cNvPicPr/>
                  </pic:nvPicPr>
                  <pic:blipFill>
                    <a:blip r:embed="rId151"/>
                    <a:stretch>
                      <a:fillRect/>
                    </a:stretch>
                  </pic:blipFill>
                  <pic:spPr>
                    <a:xfrm>
                      <a:off x="0" y="0"/>
                      <a:ext cx="5943600" cy="1924050"/>
                    </a:xfrm>
                    <a:prstGeom prst="rect">
                      <a:avLst/>
                    </a:prstGeom>
                    <a:ln>
                      <a:solidFill>
                        <a:schemeClr val="tx2"/>
                      </a:solidFill>
                    </a:ln>
                  </pic:spPr>
                </pic:pic>
              </a:graphicData>
            </a:graphic>
          </wp:inline>
        </w:drawing>
      </w:r>
    </w:p>
    <w:p w14:paraId="634C19A5" w14:textId="4E9059FF" w:rsidR="00B17717" w:rsidRPr="004C12C9" w:rsidRDefault="00B17717" w:rsidP="00B17717">
      <w:pPr>
        <w:pStyle w:val="Caption"/>
      </w:pPr>
      <w:bookmarkStart w:id="326" w:name="_Ref196765879"/>
      <w:r w:rsidRPr="004C12C9">
        <w:t>Figure D-</w:t>
      </w:r>
      <w:r w:rsidR="009429CD">
        <w:fldChar w:fldCharType="begin"/>
      </w:r>
      <w:r w:rsidR="009429CD">
        <w:instrText xml:space="preserve"> SEQ Figure_D- \* ARABIC </w:instrText>
      </w:r>
      <w:r w:rsidR="009429CD">
        <w:fldChar w:fldCharType="separate"/>
      </w:r>
      <w:r w:rsidR="00752F47">
        <w:rPr>
          <w:noProof/>
        </w:rPr>
        <w:t>11</w:t>
      </w:r>
      <w:r w:rsidR="009429CD">
        <w:fldChar w:fldCharType="end"/>
      </w:r>
      <w:bookmarkEnd w:id="326"/>
      <w:r w:rsidRPr="004C12C9">
        <w:t>. Example of Data Validation on the Results Tab</w:t>
      </w:r>
    </w:p>
    <w:p w14:paraId="7980B0A6" w14:textId="77777777" w:rsidR="00B17717" w:rsidRPr="004C12C9" w:rsidRDefault="00B17717" w:rsidP="00B17717">
      <w:pPr>
        <w:spacing w:before="60" w:after="60"/>
      </w:pPr>
      <w:r w:rsidRPr="004C12C9">
        <w:rPr>
          <w:noProof/>
        </w:rPr>
        <w:drawing>
          <wp:inline distT="0" distB="0" distL="0" distR="0" wp14:anchorId="5905BBC0" wp14:editId="4C00A0DF">
            <wp:extent cx="5943600" cy="2806065"/>
            <wp:effectExtent l="19050" t="19050" r="19050" b="13335"/>
            <wp:docPr id="1159089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55944" name="Picture 1" descr="A screenshot of a computer&#10;&#10;AI-generated content may be incorrect."/>
                    <pic:cNvPicPr/>
                  </pic:nvPicPr>
                  <pic:blipFill>
                    <a:blip r:embed="rId152"/>
                    <a:stretch>
                      <a:fillRect/>
                    </a:stretch>
                  </pic:blipFill>
                  <pic:spPr>
                    <a:xfrm>
                      <a:off x="0" y="0"/>
                      <a:ext cx="5943600" cy="2806065"/>
                    </a:xfrm>
                    <a:prstGeom prst="rect">
                      <a:avLst/>
                    </a:prstGeom>
                    <a:ln>
                      <a:solidFill>
                        <a:schemeClr val="accent1"/>
                      </a:solidFill>
                    </a:ln>
                  </pic:spPr>
                </pic:pic>
              </a:graphicData>
            </a:graphic>
          </wp:inline>
        </w:drawing>
      </w:r>
    </w:p>
    <w:bookmarkEnd w:id="325"/>
    <w:p w14:paraId="748E992B" w14:textId="77777777" w:rsidR="008F70D2" w:rsidRPr="004C12C9" w:rsidRDefault="008F70D2">
      <w:pPr>
        <w:spacing w:before="120" w:after="0" w:line="271" w:lineRule="auto"/>
        <w:rPr>
          <w:rFonts w:asciiTheme="minorHAnsi" w:eastAsiaTheme="majorEastAsia" w:hAnsiTheme="minorHAnsi" w:cs="Arial"/>
          <w:b/>
          <w:color w:val="003865" w:themeColor="accent1"/>
          <w:sz w:val="26"/>
          <w:szCs w:val="24"/>
        </w:rPr>
      </w:pPr>
      <w:r w:rsidRPr="004C12C9">
        <w:br w:type="page"/>
      </w:r>
    </w:p>
    <w:p w14:paraId="28A99462" w14:textId="7FF6B0A8" w:rsidR="00511754" w:rsidRPr="004C12C9" w:rsidRDefault="00DF04D4" w:rsidP="007F736B">
      <w:pPr>
        <w:pStyle w:val="Appendix2"/>
      </w:pPr>
      <w:bookmarkStart w:id="327" w:name="_Toc192247213"/>
      <w:bookmarkStart w:id="328" w:name="_Toc192248617"/>
      <w:bookmarkStart w:id="329" w:name="_Toc194319973"/>
      <w:bookmarkStart w:id="330" w:name="_Toc194676879"/>
      <w:bookmarkStart w:id="331" w:name="_Ref196747523"/>
      <w:bookmarkStart w:id="332" w:name="_Ref196747552"/>
      <w:bookmarkStart w:id="333" w:name="_Toc219887799"/>
      <w:r w:rsidRPr="004C12C9">
        <w:lastRenderedPageBreak/>
        <w:t xml:space="preserve">Calculator </w:t>
      </w:r>
      <w:r w:rsidR="00511754" w:rsidRPr="004C12C9">
        <w:t>Inputs</w:t>
      </w:r>
      <w:bookmarkEnd w:id="327"/>
      <w:bookmarkEnd w:id="328"/>
      <w:bookmarkEnd w:id="329"/>
      <w:bookmarkEnd w:id="330"/>
      <w:bookmarkEnd w:id="331"/>
      <w:bookmarkEnd w:id="332"/>
      <w:bookmarkEnd w:id="333"/>
    </w:p>
    <w:p w14:paraId="7F206910" w14:textId="2D4D6DA2" w:rsidR="00037343" w:rsidRPr="004C12C9" w:rsidRDefault="00EB46EE" w:rsidP="00972CF9">
      <w:bookmarkStart w:id="334" w:name="_Toc192247214"/>
      <w:bookmarkStart w:id="335" w:name="_Toc192248618"/>
      <w:r w:rsidRPr="004C12C9">
        <w:t xml:space="preserve">Users of the </w:t>
      </w:r>
      <w:r w:rsidR="00DF04D4" w:rsidRPr="004C12C9">
        <w:t xml:space="preserve">calculator </w:t>
      </w:r>
      <w:r w:rsidR="00A70545" w:rsidRPr="004C12C9">
        <w:t>are</w:t>
      </w:r>
      <w:r w:rsidR="00CB09C3" w:rsidRPr="004C12C9">
        <w:t xml:space="preserve"> required to enter data into the Project Background and User Inputs tabs. </w:t>
      </w:r>
      <w:r w:rsidR="00800ED0" w:rsidRPr="004C12C9">
        <w:t>Detailed g</w:t>
      </w:r>
      <w:r w:rsidR="005815E6" w:rsidRPr="004C12C9">
        <w:t xml:space="preserve">uidance on </w:t>
      </w:r>
      <w:r w:rsidR="0065559A" w:rsidRPr="004C12C9">
        <w:t xml:space="preserve">when and </w:t>
      </w:r>
      <w:r w:rsidR="002168A3" w:rsidRPr="004C12C9">
        <w:t xml:space="preserve">what </w:t>
      </w:r>
      <w:r w:rsidR="00976C28" w:rsidRPr="004C12C9">
        <w:t xml:space="preserve">to enter in each </w:t>
      </w:r>
      <w:r w:rsidR="00D67939" w:rsidRPr="004C12C9">
        <w:t xml:space="preserve">field </w:t>
      </w:r>
      <w:r w:rsidR="006B115C" w:rsidRPr="004C12C9">
        <w:t xml:space="preserve">are </w:t>
      </w:r>
      <w:r w:rsidR="001E5757" w:rsidRPr="004C12C9">
        <w:t xml:space="preserve">provided </w:t>
      </w:r>
      <w:r w:rsidR="004C40AF" w:rsidRPr="004C12C9">
        <w:t xml:space="preserve">by </w:t>
      </w:r>
      <w:r w:rsidR="00E33214" w:rsidRPr="004C12C9">
        <w:t xml:space="preserve">tab and </w:t>
      </w:r>
      <w:r w:rsidR="004C40AF" w:rsidRPr="004C12C9">
        <w:t xml:space="preserve">subsection </w:t>
      </w:r>
      <w:r w:rsidR="00BB5341" w:rsidRPr="004C12C9">
        <w:t>below.</w:t>
      </w:r>
    </w:p>
    <w:p w14:paraId="73EAEBA1" w14:textId="76E3DF79" w:rsidR="00E33214" w:rsidRPr="004C12C9" w:rsidRDefault="00E33214" w:rsidP="00CD282D">
      <w:pPr>
        <w:pStyle w:val="Heading4"/>
      </w:pPr>
      <w:r w:rsidRPr="004C12C9">
        <w:t>Project Background Tab</w:t>
      </w:r>
    </w:p>
    <w:p w14:paraId="12F0381F" w14:textId="0E739BCC" w:rsidR="006B7EBD" w:rsidRPr="004C12C9" w:rsidRDefault="00193415" w:rsidP="00972CF9">
      <w:r w:rsidRPr="004C12C9">
        <w:rPr>
          <w:b/>
          <w:bCs/>
        </w:rPr>
        <w:t xml:space="preserve">Project </w:t>
      </w:r>
      <w:r w:rsidR="00D30154" w:rsidRPr="004C12C9">
        <w:rPr>
          <w:b/>
          <w:bCs/>
        </w:rPr>
        <w:t>Information</w:t>
      </w:r>
      <w:r w:rsidR="00DD5908" w:rsidRPr="004C12C9">
        <w:rPr>
          <w:b/>
          <w:bCs/>
        </w:rPr>
        <w:t xml:space="preserve">: </w:t>
      </w:r>
      <w:r w:rsidR="00FE17FC" w:rsidRPr="004C12C9">
        <w:t>Users are required to provide information on</w:t>
      </w:r>
      <w:r w:rsidR="00FE17FC" w:rsidRPr="004C12C9">
        <w:rPr>
          <w:b/>
          <w:bCs/>
        </w:rPr>
        <w:t xml:space="preserve"> </w:t>
      </w:r>
      <w:r w:rsidR="006A1C9C" w:rsidRPr="004C12C9">
        <w:t xml:space="preserve">the </w:t>
      </w:r>
      <w:r w:rsidR="00120070" w:rsidRPr="004C12C9">
        <w:t xml:space="preserve">type, </w:t>
      </w:r>
      <w:r w:rsidR="006A1C9C" w:rsidRPr="004C12C9">
        <w:t>timeframe</w:t>
      </w:r>
      <w:r w:rsidR="00120070" w:rsidRPr="004C12C9">
        <w:t>,</w:t>
      </w:r>
      <w:r w:rsidR="006A1C9C" w:rsidRPr="004C12C9">
        <w:t xml:space="preserve"> and size</w:t>
      </w:r>
      <w:r w:rsidR="00120070" w:rsidRPr="004C12C9">
        <w:t xml:space="preserve"> of their proposed project</w:t>
      </w:r>
      <w:r w:rsidR="008D4809" w:rsidRPr="004C12C9">
        <w:t xml:space="preserve"> as well as </w:t>
      </w:r>
      <w:r w:rsidR="0075763F" w:rsidRPr="004C12C9">
        <w:t>energy source</w:t>
      </w:r>
      <w:r w:rsidR="0075763F" w:rsidRPr="004C12C9">
        <w:rPr>
          <w:b/>
          <w:bCs/>
        </w:rPr>
        <w:t xml:space="preserve"> </w:t>
      </w:r>
      <w:r w:rsidR="008D4809" w:rsidRPr="004C12C9">
        <w:t>information</w:t>
      </w:r>
      <w:r w:rsidR="00B7376E" w:rsidRPr="004C12C9">
        <w:t xml:space="preserve">, </w:t>
      </w:r>
      <w:r w:rsidR="003F2EBD" w:rsidRPr="004C12C9">
        <w:t xml:space="preserve">as </w:t>
      </w:r>
      <w:r w:rsidR="00B7376E" w:rsidRPr="004C12C9">
        <w:t>available</w:t>
      </w:r>
      <w:r w:rsidR="006971EE" w:rsidRPr="004C12C9">
        <w:t xml:space="preserve">. </w:t>
      </w:r>
      <w:r w:rsidR="00B8345A" w:rsidRPr="004C12C9">
        <w:t xml:space="preserve">Results </w:t>
      </w:r>
      <w:r w:rsidR="00117F2E" w:rsidRPr="004C12C9">
        <w:t>will</w:t>
      </w:r>
      <w:r w:rsidR="00B8345A" w:rsidRPr="004C12C9">
        <w:t xml:space="preserve"> not calculate if </w:t>
      </w:r>
      <w:r w:rsidR="00117F2E" w:rsidRPr="004C12C9">
        <w:t xml:space="preserve">certain </w:t>
      </w:r>
      <w:r w:rsidR="00B8345A" w:rsidRPr="004C12C9">
        <w:t xml:space="preserve">fields are left blank, as highlighted by red x marks. </w:t>
      </w:r>
      <w:r w:rsidR="006B7EBD" w:rsidRPr="004C12C9">
        <w:t>Project information inputs</w:t>
      </w:r>
      <w:r w:rsidR="003F2EBD" w:rsidRPr="004C12C9">
        <w:t>, inc</w:t>
      </w:r>
      <w:r w:rsidR="003235D2" w:rsidRPr="004C12C9">
        <w:t>luding information on the field type</w:t>
      </w:r>
      <w:r w:rsidR="00C4479F" w:rsidRPr="004C12C9">
        <w:t xml:space="preserve">, data validations, availability of default assumptions, and </w:t>
      </w:r>
      <w:r w:rsidR="00451CB9" w:rsidRPr="004C12C9">
        <w:t xml:space="preserve">use within the </w:t>
      </w:r>
      <w:r w:rsidR="00DF04D4" w:rsidRPr="004C12C9">
        <w:t>calculator</w:t>
      </w:r>
      <w:r w:rsidR="00451CB9" w:rsidRPr="004C12C9">
        <w:t>, are</w:t>
      </w:r>
      <w:r w:rsidR="003071DD" w:rsidRPr="004C12C9">
        <w:t xml:space="preserve"> detailed </w:t>
      </w:r>
      <w:r w:rsidR="004146E8" w:rsidRPr="004C12C9">
        <w:t xml:space="preserve">in </w:t>
      </w:r>
      <w:r w:rsidR="004146E8" w:rsidRPr="004C12C9">
        <w:fldChar w:fldCharType="begin" w:fldLock="1"/>
      </w:r>
      <w:r w:rsidR="004146E8" w:rsidRPr="004C12C9">
        <w:instrText xml:space="preserve"> REF _Ref195880268 \h </w:instrText>
      </w:r>
      <w:r w:rsidR="004146E8" w:rsidRPr="004C12C9">
        <w:fldChar w:fldCharType="separate"/>
      </w:r>
      <w:r w:rsidR="00127094" w:rsidRPr="004C12C9">
        <w:t>Table D-3</w:t>
      </w:r>
      <w:r w:rsidR="004146E8" w:rsidRPr="004C12C9">
        <w:fldChar w:fldCharType="end"/>
      </w:r>
      <w:r w:rsidR="004146E8" w:rsidRPr="004C12C9">
        <w:t>.</w:t>
      </w:r>
    </w:p>
    <w:p w14:paraId="3678C3A7" w14:textId="13FFBC10" w:rsidR="00B7376E" w:rsidRPr="004C12C9" w:rsidRDefault="00B7376E" w:rsidP="00F27F70">
      <w:pPr>
        <w:pStyle w:val="Caption"/>
      </w:pPr>
      <w:r w:rsidRPr="004C12C9">
        <w:t>Table D-</w:t>
      </w:r>
      <w:r w:rsidR="00CD282D">
        <w:fldChar w:fldCharType="begin"/>
      </w:r>
      <w:r w:rsidR="00CD282D">
        <w:instrText xml:space="preserve"> SEQ Table_D- \* ARABIC </w:instrText>
      </w:r>
      <w:r w:rsidR="00CD282D">
        <w:fldChar w:fldCharType="separate"/>
      </w:r>
      <w:r w:rsidR="00CD282D" w:rsidRPr="004C12C9">
        <w:t>3</w:t>
      </w:r>
      <w:r w:rsidR="00CD282D">
        <w:fldChar w:fldCharType="end"/>
      </w:r>
      <w:r w:rsidRPr="004C12C9">
        <w:t>. Project Information User Inputs on the Project Background Tab</w:t>
      </w:r>
    </w:p>
    <w:tbl>
      <w:tblPr>
        <w:tblW w:w="9426" w:type="dxa"/>
        <w:tblLook w:val="04A0" w:firstRow="1" w:lastRow="0" w:firstColumn="1" w:lastColumn="0" w:noHBand="0" w:noVBand="1"/>
      </w:tblPr>
      <w:tblGrid>
        <w:gridCol w:w="1885"/>
        <w:gridCol w:w="1287"/>
        <w:gridCol w:w="1953"/>
        <w:gridCol w:w="1511"/>
        <w:gridCol w:w="2790"/>
      </w:tblGrid>
      <w:tr w:rsidR="00B7376E" w:rsidRPr="004C12C9" w14:paraId="4216D4B5" w14:textId="77777777" w:rsidTr="00FD2D3D">
        <w:trPr>
          <w:cantSplit/>
          <w:trHeight w:val="233"/>
          <w:tblHeader/>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55F987F" w14:textId="77777777" w:rsidR="00B7376E" w:rsidRPr="004C12C9" w:rsidRDefault="00B7376E" w:rsidP="00B7376E">
            <w:pPr>
              <w:pStyle w:val="ICFTableHeading"/>
              <w:rPr>
                <w:sz w:val="20"/>
                <w:szCs w:val="18"/>
              </w:rPr>
            </w:pPr>
            <w:r w:rsidRPr="004C12C9">
              <w:rPr>
                <w:sz w:val="20"/>
                <w:szCs w:val="18"/>
              </w:rPr>
              <w:t>Input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F6A151A" w14:textId="77777777" w:rsidR="00B7376E" w:rsidRPr="004C12C9" w:rsidRDefault="00B7376E" w:rsidP="00B7376E">
            <w:pPr>
              <w:pStyle w:val="ICFTableHeading"/>
              <w:rPr>
                <w:sz w:val="20"/>
                <w:szCs w:val="18"/>
              </w:rPr>
            </w:pPr>
            <w:r w:rsidRPr="004C12C9">
              <w:rPr>
                <w:sz w:val="20"/>
                <w:szCs w:val="18"/>
              </w:rPr>
              <w:t>Input Type</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3B885E7" w14:textId="77777777" w:rsidR="00B7376E" w:rsidRPr="004C12C9" w:rsidRDefault="00B7376E" w:rsidP="00B7376E">
            <w:pPr>
              <w:pStyle w:val="ICFTableHeading"/>
              <w:rPr>
                <w:sz w:val="20"/>
                <w:szCs w:val="18"/>
              </w:rPr>
            </w:pPr>
            <w:r w:rsidRPr="004C12C9">
              <w:rPr>
                <w:sz w:val="20"/>
                <w:szCs w:val="18"/>
              </w:rPr>
              <w:t>Data validation</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8F5A157" w14:textId="77777777" w:rsidR="00B7376E" w:rsidRPr="004C12C9" w:rsidRDefault="00B7376E" w:rsidP="00B7376E">
            <w:pPr>
              <w:pStyle w:val="ICFTableHeading"/>
              <w:rPr>
                <w:sz w:val="20"/>
                <w:szCs w:val="18"/>
              </w:rPr>
            </w:pPr>
            <w:r w:rsidRPr="004C12C9">
              <w:rPr>
                <w:sz w:val="20"/>
                <w:szCs w:val="18"/>
              </w:rPr>
              <w:t>Default Assumption</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23B902E" w14:textId="0349216E" w:rsidR="00B7376E" w:rsidRPr="004C12C9" w:rsidRDefault="004A375A" w:rsidP="00B7376E">
            <w:pPr>
              <w:pStyle w:val="ICFTableHeading"/>
              <w:rPr>
                <w:sz w:val="20"/>
                <w:szCs w:val="18"/>
              </w:rPr>
            </w:pPr>
            <w:r w:rsidRPr="004C12C9">
              <w:rPr>
                <w:sz w:val="20"/>
                <w:szCs w:val="18"/>
              </w:rPr>
              <w:t>Description</w:t>
            </w:r>
            <w:r w:rsidR="00D92F11" w:rsidRPr="004C12C9">
              <w:rPr>
                <w:sz w:val="20"/>
                <w:szCs w:val="18"/>
              </w:rPr>
              <w:t>/Use</w:t>
            </w:r>
          </w:p>
        </w:tc>
      </w:tr>
      <w:tr w:rsidR="00B7376E" w:rsidRPr="004C12C9" w14:paraId="778B1C79" w14:textId="77777777" w:rsidTr="00FD2D3D">
        <w:trPr>
          <w:cantSplit/>
          <w:trHeight w:val="377"/>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EAECBE" w14:textId="77777777" w:rsidR="00B7376E" w:rsidRPr="004C12C9" w:rsidRDefault="00B7376E" w:rsidP="00B7376E">
            <w:pPr>
              <w:pStyle w:val="ICFTabletext"/>
              <w:rPr>
                <w:sz w:val="20"/>
              </w:rPr>
            </w:pPr>
            <w:r w:rsidRPr="004C12C9">
              <w:rPr>
                <w:sz w:val="20"/>
              </w:rPr>
              <w:t>Project Name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88D5FE" w14:textId="77777777" w:rsidR="00B7376E" w:rsidRPr="004C12C9" w:rsidRDefault="00B7376E" w:rsidP="00B7376E">
            <w:pPr>
              <w:pStyle w:val="ICFTabletext"/>
              <w:rPr>
                <w:sz w:val="20"/>
              </w:rPr>
            </w:pPr>
            <w:r w:rsidRPr="004C12C9">
              <w:rPr>
                <w:sz w:val="20"/>
              </w:rPr>
              <w:t>Text</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86481E" w14:textId="77777777" w:rsidR="00B7376E" w:rsidRPr="004C12C9" w:rsidRDefault="00B7376E" w:rsidP="00B7376E">
            <w:pPr>
              <w:pStyle w:val="ICFTabletext"/>
              <w:rPr>
                <w:sz w:val="20"/>
              </w:rPr>
            </w:pPr>
            <w:r w:rsidRPr="004C12C9">
              <w:rPr>
                <w:sz w:val="20"/>
              </w:rPr>
              <w:t>NA</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8979D7"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14303B" w14:textId="6F55C766" w:rsidR="00B7376E" w:rsidRPr="004C12C9" w:rsidRDefault="00B7376E" w:rsidP="00B7376E">
            <w:pPr>
              <w:pStyle w:val="ICFTabletext"/>
              <w:rPr>
                <w:sz w:val="20"/>
              </w:rPr>
            </w:pPr>
            <w:r w:rsidRPr="004C12C9">
              <w:rPr>
                <w:sz w:val="20"/>
              </w:rPr>
              <w:t>This input is optional</w:t>
            </w:r>
            <w:r w:rsidR="00D92F11" w:rsidRPr="004C12C9">
              <w:rPr>
                <w:sz w:val="20"/>
              </w:rPr>
              <w:t>.</w:t>
            </w:r>
          </w:p>
        </w:tc>
      </w:tr>
      <w:tr w:rsidR="00B7376E" w:rsidRPr="004C12C9" w14:paraId="3CE1CCEF"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D05461" w14:textId="77777777" w:rsidR="00B7376E" w:rsidRPr="004C12C9" w:rsidRDefault="00B7376E" w:rsidP="00B7376E">
            <w:pPr>
              <w:pStyle w:val="ICFTabletext"/>
              <w:rPr>
                <w:sz w:val="20"/>
              </w:rPr>
            </w:pPr>
            <w:r w:rsidRPr="004C12C9">
              <w:rPr>
                <w:sz w:val="20"/>
              </w:rPr>
              <w:t>Project Category (primary)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41E1FC" w14:textId="77777777" w:rsidR="00B7376E" w:rsidRPr="004C12C9" w:rsidRDefault="00B7376E" w:rsidP="00B7376E">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8744BB" w14:textId="350E2DEC" w:rsidR="00B7376E" w:rsidRPr="004C12C9" w:rsidRDefault="007B2D8F" w:rsidP="00B7376E">
            <w:pPr>
              <w:pStyle w:val="ICFTabletext"/>
              <w:rPr>
                <w:sz w:val="20"/>
              </w:rPr>
            </w:pPr>
            <w:r w:rsidRPr="004C12C9">
              <w:rPr>
                <w:sz w:val="20"/>
              </w:rPr>
              <w:t xml:space="preserve">Must match value from drop-down list. </w:t>
            </w:r>
            <w:r w:rsidR="00B7376E" w:rsidRPr="004C12C9">
              <w:rPr>
                <w:sz w:val="20"/>
              </w:rPr>
              <w:t>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649F03"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351135" w14:textId="77777777" w:rsidR="00B7376E" w:rsidRPr="004C12C9" w:rsidRDefault="00B7376E" w:rsidP="00B7376E">
            <w:pPr>
              <w:pStyle w:val="ICFTabletext"/>
              <w:rPr>
                <w:sz w:val="20"/>
              </w:rPr>
            </w:pPr>
            <w:r w:rsidRPr="004C12C9">
              <w:rPr>
                <w:sz w:val="20"/>
              </w:rPr>
              <w:t>Used for default emission source applicability.</w:t>
            </w:r>
          </w:p>
        </w:tc>
      </w:tr>
      <w:tr w:rsidR="00B7376E" w:rsidRPr="004C12C9" w14:paraId="4D3F699F"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7FCCE2" w14:textId="77777777" w:rsidR="00B7376E" w:rsidRPr="004C12C9" w:rsidRDefault="00B7376E" w:rsidP="00B7376E">
            <w:pPr>
              <w:pStyle w:val="ICFTabletext"/>
              <w:rPr>
                <w:sz w:val="20"/>
              </w:rPr>
            </w:pPr>
            <w:r w:rsidRPr="004C12C9">
              <w:rPr>
                <w:sz w:val="20"/>
              </w:rPr>
              <w:t>Project Category (secondary)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E3CEB1" w14:textId="77777777" w:rsidR="00B7376E" w:rsidRPr="004C12C9" w:rsidRDefault="00B7376E" w:rsidP="00B7376E">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7D5F47" w14:textId="10933EE1" w:rsidR="00B7376E" w:rsidRPr="004C12C9" w:rsidRDefault="007B2D8F" w:rsidP="00B7376E">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BCEDC1"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F9B91C" w14:textId="51315D01" w:rsidR="00B7376E" w:rsidRPr="004C12C9" w:rsidRDefault="00F17553" w:rsidP="00B7376E">
            <w:pPr>
              <w:pStyle w:val="ICFTabletext"/>
              <w:rPr>
                <w:sz w:val="20"/>
              </w:rPr>
            </w:pPr>
            <w:r w:rsidRPr="004C12C9">
              <w:rPr>
                <w:sz w:val="20"/>
              </w:rPr>
              <w:t>Used for default emission source applicability.</w:t>
            </w:r>
          </w:p>
        </w:tc>
      </w:tr>
      <w:tr w:rsidR="00B7376E" w:rsidRPr="004C12C9" w14:paraId="24B6E82A"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3DBBF" w14:textId="77777777" w:rsidR="00B7376E" w:rsidRPr="004C12C9" w:rsidRDefault="00B7376E" w:rsidP="00B7376E">
            <w:pPr>
              <w:pStyle w:val="ICFTabletext"/>
              <w:rPr>
                <w:sz w:val="20"/>
              </w:rPr>
            </w:pPr>
            <w:r w:rsidRPr="004C12C9">
              <w:rPr>
                <w:sz w:val="20"/>
              </w:rPr>
              <w:t>Location (County)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D1DFD7" w14:textId="77777777" w:rsidR="00B7376E" w:rsidRPr="004C12C9" w:rsidRDefault="00B7376E" w:rsidP="00B7376E">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851072" w14:textId="581FE778" w:rsidR="00B7376E" w:rsidRPr="004C12C9" w:rsidRDefault="007B2D8F" w:rsidP="00B7376E">
            <w:pPr>
              <w:pStyle w:val="ICFTabletext"/>
              <w:rPr>
                <w:sz w:val="20"/>
              </w:rPr>
            </w:pPr>
            <w:r w:rsidRPr="004C12C9">
              <w:rPr>
                <w:sz w:val="20"/>
              </w:rPr>
              <w:t xml:space="preserve">Must match value from drop-down list. </w:t>
            </w:r>
            <w:r w:rsidR="00B7376E" w:rsidRPr="004C12C9">
              <w:rPr>
                <w:sz w:val="20"/>
              </w:rPr>
              <w:t>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D4E159"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D5D772" w14:textId="51C603B2" w:rsidR="00B7376E" w:rsidRPr="004C12C9" w:rsidRDefault="00B7376E" w:rsidP="00B7376E">
            <w:pPr>
              <w:pStyle w:val="ICFTabletext"/>
              <w:rPr>
                <w:sz w:val="20"/>
              </w:rPr>
            </w:pPr>
            <w:r w:rsidRPr="004C12C9">
              <w:rPr>
                <w:sz w:val="20"/>
              </w:rPr>
              <w:t xml:space="preserve">Location where the project will be built. </w:t>
            </w:r>
            <w:r w:rsidR="005F30FE" w:rsidRPr="004C12C9">
              <w:rPr>
                <w:sz w:val="20"/>
              </w:rPr>
              <w:t>U</w:t>
            </w:r>
            <w:r w:rsidRPr="004C12C9">
              <w:rPr>
                <w:sz w:val="20"/>
              </w:rPr>
              <w:t xml:space="preserve">sed for </w:t>
            </w:r>
            <w:r w:rsidR="00575E70" w:rsidRPr="004C12C9">
              <w:rPr>
                <w:sz w:val="20"/>
              </w:rPr>
              <w:t xml:space="preserve">default </w:t>
            </w:r>
            <w:r w:rsidR="00EC664C" w:rsidRPr="004C12C9">
              <w:rPr>
                <w:sz w:val="20"/>
              </w:rPr>
              <w:t>treatment of waste off-site</w:t>
            </w:r>
            <w:r w:rsidR="005F30FE" w:rsidRPr="004C12C9">
              <w:rPr>
                <w:sz w:val="20"/>
              </w:rPr>
              <w:t xml:space="preserve"> assumptions.</w:t>
            </w:r>
          </w:p>
        </w:tc>
      </w:tr>
      <w:tr w:rsidR="00B7376E" w:rsidRPr="004C12C9" w14:paraId="57EB5264"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F54C22" w14:textId="77777777" w:rsidR="00B7376E" w:rsidRPr="004C12C9" w:rsidRDefault="00B7376E" w:rsidP="00B7376E">
            <w:pPr>
              <w:pStyle w:val="ICFTabletext"/>
              <w:rPr>
                <w:sz w:val="20"/>
              </w:rPr>
            </w:pPr>
            <w:r w:rsidRPr="004C12C9">
              <w:rPr>
                <w:sz w:val="20"/>
              </w:rPr>
              <w:t>Construction Start Date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7662A8" w14:textId="77777777" w:rsidR="00B7376E" w:rsidRPr="004C12C9" w:rsidRDefault="00B7376E" w:rsidP="00B7376E">
            <w:pPr>
              <w:pStyle w:val="ICFTabletext"/>
              <w:rPr>
                <w:sz w:val="20"/>
              </w:rPr>
            </w:pPr>
            <w:r w:rsidRPr="004C12C9">
              <w:rPr>
                <w:sz w:val="20"/>
              </w:rPr>
              <w:t xml:space="preserve">mm/dd/yyyy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B3AA9D" w14:textId="77777777" w:rsidR="00B7376E" w:rsidRPr="004C12C9" w:rsidRDefault="00B7376E" w:rsidP="00B7376E">
            <w:pPr>
              <w:pStyle w:val="ICFTabletext"/>
              <w:rPr>
                <w:sz w:val="20"/>
              </w:rPr>
            </w:pPr>
            <w:r w:rsidRPr="004C12C9">
              <w:rPr>
                <w:sz w:val="20"/>
              </w:rPr>
              <w:t>Validation for date format.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A50BDE"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544C1" w14:textId="2113780C" w:rsidR="00B7376E" w:rsidRPr="004C12C9" w:rsidRDefault="004C2B5A" w:rsidP="00B7376E">
            <w:pPr>
              <w:pStyle w:val="ICFTabletext"/>
              <w:rPr>
                <w:sz w:val="20"/>
              </w:rPr>
            </w:pPr>
            <w:r w:rsidRPr="004C12C9">
              <w:rPr>
                <w:sz w:val="20"/>
              </w:rPr>
              <w:t>The a</w:t>
            </w:r>
            <w:r w:rsidR="00B7376E" w:rsidRPr="004C12C9">
              <w:rPr>
                <w:sz w:val="20"/>
              </w:rPr>
              <w:t xml:space="preserve">nticipated </w:t>
            </w:r>
            <w:r w:rsidR="0023165A" w:rsidRPr="004C12C9">
              <w:rPr>
                <w:sz w:val="20"/>
              </w:rPr>
              <w:t xml:space="preserve">start date of </w:t>
            </w:r>
            <w:r w:rsidR="00B7376E" w:rsidRPr="004C12C9">
              <w:rPr>
                <w:sz w:val="20"/>
              </w:rPr>
              <w:t xml:space="preserve">project construction. </w:t>
            </w:r>
            <w:r w:rsidR="00DF7460" w:rsidRPr="004C12C9">
              <w:rPr>
                <w:sz w:val="20"/>
              </w:rPr>
              <w:t>U</w:t>
            </w:r>
            <w:r w:rsidR="00B7376E" w:rsidRPr="004C12C9">
              <w:rPr>
                <w:sz w:val="20"/>
              </w:rPr>
              <w:t xml:space="preserve">sed </w:t>
            </w:r>
            <w:r w:rsidR="00545396" w:rsidRPr="004C12C9">
              <w:rPr>
                <w:sz w:val="20"/>
              </w:rPr>
              <w:t xml:space="preserve">to calculate </w:t>
            </w:r>
            <w:r w:rsidR="00EE1D93" w:rsidRPr="004C12C9">
              <w:rPr>
                <w:sz w:val="20"/>
              </w:rPr>
              <w:t>project li</w:t>
            </w:r>
            <w:r w:rsidR="00C813A0" w:rsidRPr="004C12C9">
              <w:rPr>
                <w:sz w:val="20"/>
              </w:rPr>
              <w:t>fetime</w:t>
            </w:r>
            <w:r w:rsidR="00B06519" w:rsidRPr="004C12C9">
              <w:rPr>
                <w:sz w:val="20"/>
              </w:rPr>
              <w:t xml:space="preserve"> and cumulative emissions. </w:t>
            </w:r>
            <w:r w:rsidR="00BD6B3E" w:rsidRPr="004C12C9">
              <w:rPr>
                <w:sz w:val="20"/>
              </w:rPr>
              <w:t xml:space="preserve"> </w:t>
            </w:r>
            <w:r w:rsidR="00C45FF5" w:rsidRPr="004C12C9">
              <w:rPr>
                <w:sz w:val="20"/>
              </w:rPr>
              <w:t>Used</w:t>
            </w:r>
            <w:r w:rsidR="00BD6B3E" w:rsidRPr="004C12C9">
              <w:rPr>
                <w:sz w:val="20"/>
              </w:rPr>
              <w:t xml:space="preserve"> </w:t>
            </w:r>
            <w:r w:rsidR="00562001" w:rsidRPr="004C12C9">
              <w:rPr>
                <w:sz w:val="20"/>
              </w:rPr>
              <w:t>to determine</w:t>
            </w:r>
            <w:r w:rsidR="00E93DAA" w:rsidRPr="004C12C9">
              <w:rPr>
                <w:sz w:val="20"/>
              </w:rPr>
              <w:t xml:space="preserve"> </w:t>
            </w:r>
            <w:r w:rsidR="004B6C79" w:rsidRPr="004C12C9">
              <w:rPr>
                <w:sz w:val="20"/>
              </w:rPr>
              <w:t>the</w:t>
            </w:r>
            <w:r w:rsidR="00562001" w:rsidRPr="004C12C9">
              <w:rPr>
                <w:sz w:val="20"/>
              </w:rPr>
              <w:t xml:space="preserve"> </w:t>
            </w:r>
            <w:r w:rsidR="00E93DAA" w:rsidRPr="004C12C9">
              <w:rPr>
                <w:sz w:val="20"/>
              </w:rPr>
              <w:t xml:space="preserve">annually variable </w:t>
            </w:r>
            <w:r w:rsidR="00956D5B" w:rsidRPr="004C12C9">
              <w:rPr>
                <w:sz w:val="20"/>
              </w:rPr>
              <w:t>emission facto</w:t>
            </w:r>
            <w:r w:rsidR="00925D00" w:rsidRPr="004C12C9">
              <w:rPr>
                <w:sz w:val="20"/>
              </w:rPr>
              <w:t>rs</w:t>
            </w:r>
            <w:r w:rsidR="004F4468" w:rsidRPr="004C12C9">
              <w:rPr>
                <w:sz w:val="20"/>
              </w:rPr>
              <w:t xml:space="preserve"> for </w:t>
            </w:r>
            <w:r w:rsidR="009148F1" w:rsidRPr="004C12C9">
              <w:rPr>
                <w:sz w:val="20"/>
              </w:rPr>
              <w:t>calculating emissions from</w:t>
            </w:r>
            <w:r w:rsidR="008253B5" w:rsidRPr="004C12C9">
              <w:rPr>
                <w:sz w:val="20"/>
              </w:rPr>
              <w:t xml:space="preserve"> the transportation of material inputs and </w:t>
            </w:r>
            <w:r w:rsidR="00C50912" w:rsidRPr="004C12C9">
              <w:rPr>
                <w:sz w:val="20"/>
              </w:rPr>
              <w:t xml:space="preserve">construction </w:t>
            </w:r>
            <w:r w:rsidR="008253B5" w:rsidRPr="004C12C9">
              <w:rPr>
                <w:sz w:val="20"/>
              </w:rPr>
              <w:t>electricity consumption.</w:t>
            </w:r>
            <w:r w:rsidR="009148F1" w:rsidRPr="004C12C9">
              <w:rPr>
                <w:sz w:val="20"/>
              </w:rPr>
              <w:t xml:space="preserve"> </w:t>
            </w:r>
          </w:p>
        </w:tc>
      </w:tr>
      <w:tr w:rsidR="00B7376E" w:rsidRPr="004C12C9" w14:paraId="092C2FBA"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49B98" w14:textId="77777777" w:rsidR="00B7376E" w:rsidRPr="004C12C9" w:rsidRDefault="00B7376E" w:rsidP="00B7376E">
            <w:pPr>
              <w:pStyle w:val="ICFTabletext"/>
              <w:rPr>
                <w:sz w:val="20"/>
              </w:rPr>
            </w:pPr>
            <w:r w:rsidRPr="004C12C9">
              <w:rPr>
                <w:sz w:val="20"/>
              </w:rPr>
              <w:t>Operational Year</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920B30" w14:textId="77777777" w:rsidR="00B7376E" w:rsidRPr="004C12C9" w:rsidRDefault="00B7376E" w:rsidP="00B7376E">
            <w:pPr>
              <w:pStyle w:val="ICFTabletext"/>
              <w:rPr>
                <w:sz w:val="20"/>
              </w:rPr>
            </w:pPr>
            <w:r w:rsidRPr="004C12C9">
              <w:rPr>
                <w:sz w:val="20"/>
              </w:rPr>
              <w:t>yyyy</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3D262" w14:textId="77777777" w:rsidR="00B7376E" w:rsidRPr="004C12C9" w:rsidRDefault="00B7376E" w:rsidP="00B7376E">
            <w:pPr>
              <w:pStyle w:val="ICFTabletext"/>
              <w:rPr>
                <w:sz w:val="20"/>
              </w:rPr>
            </w:pPr>
            <w:r w:rsidRPr="004C12C9">
              <w:rPr>
                <w:sz w:val="20"/>
              </w:rPr>
              <w:t>Validation for date format.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6AB7F2"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1F7730" w14:textId="2BE8E85F" w:rsidR="00B7376E" w:rsidRPr="004C12C9" w:rsidRDefault="00030AF3" w:rsidP="00B7376E">
            <w:pPr>
              <w:pStyle w:val="ICFTabletext"/>
              <w:rPr>
                <w:sz w:val="20"/>
              </w:rPr>
            </w:pPr>
            <w:r w:rsidRPr="004C12C9">
              <w:rPr>
                <w:sz w:val="20"/>
              </w:rPr>
              <w:t>The year</w:t>
            </w:r>
            <w:r w:rsidR="00E643E2" w:rsidRPr="004C12C9">
              <w:rPr>
                <w:sz w:val="20"/>
              </w:rPr>
              <w:t xml:space="preserve"> in which </w:t>
            </w:r>
            <w:r w:rsidR="00BD1007" w:rsidRPr="004C12C9">
              <w:rPr>
                <w:sz w:val="20"/>
              </w:rPr>
              <w:t xml:space="preserve">the </w:t>
            </w:r>
            <w:r w:rsidR="00B7376E" w:rsidRPr="004C12C9">
              <w:rPr>
                <w:sz w:val="20"/>
              </w:rPr>
              <w:t xml:space="preserve">project </w:t>
            </w:r>
            <w:r w:rsidR="00BD1007" w:rsidRPr="004C12C9">
              <w:rPr>
                <w:sz w:val="20"/>
              </w:rPr>
              <w:t xml:space="preserve">is expected to become </w:t>
            </w:r>
            <w:r w:rsidR="00B7376E" w:rsidRPr="004C12C9">
              <w:rPr>
                <w:sz w:val="20"/>
              </w:rPr>
              <w:t>operation</w:t>
            </w:r>
            <w:r w:rsidR="00BD1007" w:rsidRPr="004C12C9">
              <w:rPr>
                <w:sz w:val="20"/>
              </w:rPr>
              <w:t>al</w:t>
            </w:r>
            <w:r w:rsidR="00B7376E" w:rsidRPr="004C12C9">
              <w:rPr>
                <w:sz w:val="20"/>
              </w:rPr>
              <w:t xml:space="preserve">. </w:t>
            </w:r>
            <w:r w:rsidR="00C45FF5" w:rsidRPr="004C12C9">
              <w:rPr>
                <w:sz w:val="20"/>
              </w:rPr>
              <w:t xml:space="preserve">Used to calculate project lifetime and cumulative emissions.  Used to </w:t>
            </w:r>
            <w:r w:rsidR="00BD1007" w:rsidRPr="004C12C9">
              <w:rPr>
                <w:sz w:val="20"/>
              </w:rPr>
              <w:t xml:space="preserve">determine the </w:t>
            </w:r>
            <w:r w:rsidR="00FE67D1" w:rsidRPr="004C12C9">
              <w:rPr>
                <w:sz w:val="20"/>
              </w:rPr>
              <w:t>annually variable emission factors for calculating emissions from</w:t>
            </w:r>
            <w:r w:rsidR="00AA3552" w:rsidRPr="004C12C9">
              <w:rPr>
                <w:sz w:val="20"/>
              </w:rPr>
              <w:t xml:space="preserve"> on-road vehicles and</w:t>
            </w:r>
            <w:r w:rsidR="00FE67D1" w:rsidRPr="004C12C9">
              <w:rPr>
                <w:sz w:val="20"/>
              </w:rPr>
              <w:t xml:space="preserve"> </w:t>
            </w:r>
            <w:r w:rsidR="00C50912" w:rsidRPr="004C12C9">
              <w:rPr>
                <w:sz w:val="20"/>
              </w:rPr>
              <w:t xml:space="preserve">operational </w:t>
            </w:r>
            <w:r w:rsidR="007D3EB1" w:rsidRPr="004C12C9">
              <w:rPr>
                <w:sz w:val="20"/>
              </w:rPr>
              <w:t>electricity consumption</w:t>
            </w:r>
            <w:r w:rsidR="00AA3552" w:rsidRPr="004C12C9">
              <w:rPr>
                <w:sz w:val="20"/>
              </w:rPr>
              <w:t>.</w:t>
            </w:r>
          </w:p>
        </w:tc>
      </w:tr>
      <w:tr w:rsidR="00B7376E" w:rsidRPr="004C12C9" w14:paraId="69C2666D"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2FAA63" w14:textId="77777777" w:rsidR="00B7376E" w:rsidRPr="004C12C9" w:rsidRDefault="00B7376E" w:rsidP="00B7376E">
            <w:pPr>
              <w:pStyle w:val="ICFTabletext"/>
              <w:rPr>
                <w:sz w:val="20"/>
              </w:rPr>
            </w:pPr>
            <w:r w:rsidRPr="004C12C9">
              <w:rPr>
                <w:sz w:val="20"/>
              </w:rPr>
              <w:lastRenderedPageBreak/>
              <w:t>Operational Lifetime (Years)</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A8A487" w14:textId="77777777" w:rsidR="00B7376E" w:rsidRPr="004C12C9" w:rsidRDefault="00B7376E" w:rsidP="00B7376E">
            <w:pPr>
              <w:pStyle w:val="ICFTabletext"/>
              <w:rPr>
                <w:sz w:val="20"/>
              </w:rPr>
            </w:pPr>
            <w:r w:rsidRPr="004C12C9">
              <w:rPr>
                <w:sz w:val="20"/>
              </w:rPr>
              <w:t xml:space="preserve">Whole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BCC5F3" w14:textId="77777777" w:rsidR="00B7376E" w:rsidRPr="004C12C9" w:rsidRDefault="00B7376E" w:rsidP="00B7376E">
            <w:pPr>
              <w:pStyle w:val="ICFTabletext"/>
              <w:rPr>
                <w:sz w:val="20"/>
              </w:rPr>
            </w:pPr>
            <w:r w:rsidRPr="004C12C9">
              <w:rPr>
                <w:sz w:val="20"/>
              </w:rPr>
              <w:t>Validation for number between 1 and 60.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030599"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FA7E0D" w14:textId="415AC52D" w:rsidR="00B7376E" w:rsidRPr="004C12C9" w:rsidRDefault="004C2B5A" w:rsidP="00B7376E">
            <w:pPr>
              <w:pStyle w:val="ICFTabletext"/>
              <w:rPr>
                <w:sz w:val="20"/>
              </w:rPr>
            </w:pPr>
            <w:r w:rsidRPr="004C12C9">
              <w:rPr>
                <w:sz w:val="20"/>
              </w:rPr>
              <w:t xml:space="preserve">The anticipated operational lifetime of the project. </w:t>
            </w:r>
            <w:r w:rsidR="00C45FF5" w:rsidRPr="004C12C9">
              <w:rPr>
                <w:sz w:val="20"/>
              </w:rPr>
              <w:t xml:space="preserve">Used to calculate project lifetime and cumulative emissions.  </w:t>
            </w:r>
          </w:p>
        </w:tc>
      </w:tr>
      <w:tr w:rsidR="00B7376E" w:rsidRPr="004C12C9" w14:paraId="3B40A739"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E05C28" w14:textId="537FA75F" w:rsidR="00B7376E" w:rsidRPr="004C12C9" w:rsidRDefault="00B7376E" w:rsidP="00B7376E">
            <w:pPr>
              <w:pStyle w:val="ICFTabletext"/>
              <w:rPr>
                <w:sz w:val="20"/>
              </w:rPr>
            </w:pPr>
            <w:r w:rsidRPr="004C12C9">
              <w:rPr>
                <w:sz w:val="20"/>
              </w:rPr>
              <w:t>Building Construction Project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3C4E55" w14:textId="77777777" w:rsidR="00B7376E" w:rsidRPr="004C12C9" w:rsidRDefault="00B7376E" w:rsidP="00B7376E">
            <w:pPr>
              <w:pStyle w:val="ICFTabletext"/>
              <w:rPr>
                <w:sz w:val="20"/>
              </w:rPr>
            </w:pPr>
            <w:r w:rsidRPr="004C12C9">
              <w:rPr>
                <w:sz w:val="20"/>
              </w:rPr>
              <w:t xml:space="preserve">Drop-down selection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9610FB" w14:textId="07E1B526" w:rsidR="00B7376E" w:rsidRPr="004C12C9" w:rsidRDefault="007B2D8F" w:rsidP="00B7376E">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166200" w14:textId="23BC13A8" w:rsidR="00B7376E" w:rsidRPr="004C12C9" w:rsidRDefault="00DF04D4" w:rsidP="00B7376E">
            <w:pPr>
              <w:pStyle w:val="ICFTabletext"/>
              <w:rPr>
                <w:sz w:val="20"/>
              </w:rPr>
            </w:pPr>
            <w:r w:rsidRPr="004C12C9">
              <w:rPr>
                <w:sz w:val="20"/>
              </w:rPr>
              <w:t xml:space="preserve">Calculator </w:t>
            </w:r>
            <w:r w:rsidR="00B7376E" w:rsidRPr="004C12C9">
              <w:rPr>
                <w:sz w:val="20"/>
              </w:rPr>
              <w:t>is defaulted to Yes.</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BA544B" w14:textId="64778B31" w:rsidR="00B7376E" w:rsidRPr="004C12C9" w:rsidRDefault="00B70B2C" w:rsidP="00B7376E">
            <w:pPr>
              <w:pStyle w:val="ICFTabletext"/>
              <w:rPr>
                <w:sz w:val="20"/>
              </w:rPr>
            </w:pPr>
            <w:r w:rsidRPr="004C12C9">
              <w:rPr>
                <w:sz w:val="20"/>
              </w:rPr>
              <w:t xml:space="preserve">A building construction project refers to the construction of a building like an office or house. In contrast, a linear construction project </w:t>
            </w:r>
            <w:r w:rsidR="00EB0E1F" w:rsidRPr="004C12C9">
              <w:rPr>
                <w:sz w:val="20"/>
              </w:rPr>
              <w:t>describes a project where construction progresses along a continuous line, like a road, pipeline, or railway</w:t>
            </w:r>
            <w:r w:rsidR="00E95727" w:rsidRPr="004C12C9">
              <w:rPr>
                <w:sz w:val="20"/>
              </w:rPr>
              <w:t xml:space="preserve">. </w:t>
            </w:r>
            <w:r w:rsidR="00B7376E" w:rsidRPr="004C12C9">
              <w:rPr>
                <w:sz w:val="20"/>
              </w:rPr>
              <w:t>Determines if construction stage duration inputs are needed</w:t>
            </w:r>
            <w:r w:rsidR="005A2D48" w:rsidRPr="004C12C9">
              <w:rPr>
                <w:sz w:val="20"/>
              </w:rPr>
              <w:t xml:space="preserve"> and the applicability of the default assumptions</w:t>
            </w:r>
            <w:r w:rsidR="00B7376E" w:rsidRPr="004C12C9">
              <w:rPr>
                <w:sz w:val="20"/>
              </w:rPr>
              <w:t>.</w:t>
            </w:r>
          </w:p>
        </w:tc>
      </w:tr>
      <w:tr w:rsidR="00B7376E" w:rsidRPr="004C12C9" w14:paraId="4D407A32"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5C17B7" w14:textId="77777777" w:rsidR="00B7376E" w:rsidRPr="004C12C9" w:rsidRDefault="00B7376E" w:rsidP="00B7376E">
            <w:pPr>
              <w:pStyle w:val="ICFTabletext"/>
              <w:rPr>
                <w:sz w:val="20"/>
              </w:rPr>
            </w:pPr>
            <w:r w:rsidRPr="004C12C9">
              <w:rPr>
                <w:sz w:val="20"/>
              </w:rPr>
              <w:t>Construction Stage Durations (Days)</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06916E" w14:textId="77777777" w:rsidR="00B7376E" w:rsidRPr="004C12C9" w:rsidRDefault="00B7376E" w:rsidP="00B7376E">
            <w:pPr>
              <w:pStyle w:val="ICFTabletext"/>
              <w:rPr>
                <w:sz w:val="20"/>
              </w:rPr>
            </w:pPr>
            <w:r w:rsidRPr="004C12C9">
              <w:rPr>
                <w:sz w:val="20"/>
              </w:rPr>
              <w:t xml:space="preserve">Whole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0633E0" w14:textId="063E0AB9" w:rsidR="00B7376E" w:rsidRPr="004C12C9" w:rsidRDefault="00B7376E" w:rsidP="00B7376E">
            <w:pPr>
              <w:pStyle w:val="ICFTabletext"/>
              <w:rPr>
                <w:sz w:val="20"/>
              </w:rPr>
            </w:pPr>
            <w:r w:rsidRPr="004C12C9">
              <w:rPr>
                <w:sz w:val="20"/>
              </w:rPr>
              <w:t xml:space="preserve">Must be a whole number greater than 0. </w:t>
            </w:r>
            <w:r w:rsidR="00AF0D78" w:rsidRPr="004C12C9">
              <w:rPr>
                <w:sz w:val="20"/>
              </w:rPr>
              <w:t>Checker indicates if all cells are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010F96" w14:textId="2EAEB489" w:rsidR="00B7376E" w:rsidRPr="004C12C9" w:rsidRDefault="00B7376E" w:rsidP="00B7376E">
            <w:pPr>
              <w:pStyle w:val="ICFTabletext"/>
              <w:rPr>
                <w:sz w:val="20"/>
              </w:rPr>
            </w:pPr>
            <w:r w:rsidRPr="004C12C9">
              <w:rPr>
                <w:sz w:val="20"/>
              </w:rPr>
              <w:t xml:space="preserve">Defaults </w:t>
            </w:r>
            <w:r w:rsidR="000104DC" w:rsidRPr="004C12C9">
              <w:rPr>
                <w:sz w:val="20"/>
              </w:rPr>
              <w:t>vary</w:t>
            </w:r>
            <w:r w:rsidRPr="004C12C9">
              <w:rPr>
                <w:sz w:val="20"/>
              </w:rPr>
              <w:t xml:space="preserve"> </w:t>
            </w:r>
            <w:r w:rsidR="004D084C" w:rsidRPr="004C12C9">
              <w:rPr>
                <w:sz w:val="20"/>
              </w:rPr>
              <w:t>based on project acreage and are only applicable to building construction projects</w:t>
            </w:r>
            <w:r w:rsidR="008602CD" w:rsidRPr="004C12C9">
              <w:rPr>
                <w:sz w:val="20"/>
              </w:rPr>
              <w:t xml:space="preserve"> due to source data</w:t>
            </w:r>
            <w:r w:rsidR="004D084C" w:rsidRPr="004C12C9">
              <w:rPr>
                <w:sz w:val="20"/>
              </w:rPr>
              <w:t>.</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BFC6F4" w14:textId="597402D6" w:rsidR="00B7376E" w:rsidRPr="004C12C9" w:rsidRDefault="00B7376E" w:rsidP="00B7376E">
            <w:pPr>
              <w:pStyle w:val="ICFTabletext"/>
              <w:rPr>
                <w:sz w:val="20"/>
              </w:rPr>
            </w:pPr>
            <w:r w:rsidRPr="004C12C9">
              <w:rPr>
                <w:sz w:val="20"/>
              </w:rPr>
              <w:t>Duration of each construction stage</w:t>
            </w:r>
            <w:r w:rsidR="00785021" w:rsidRPr="004C12C9">
              <w:rPr>
                <w:sz w:val="20"/>
              </w:rPr>
              <w:t xml:space="preserve">. </w:t>
            </w:r>
            <w:r w:rsidR="007A42C7" w:rsidRPr="004C12C9">
              <w:rPr>
                <w:sz w:val="20"/>
              </w:rPr>
              <w:t>U</w:t>
            </w:r>
            <w:r w:rsidRPr="004C12C9">
              <w:rPr>
                <w:sz w:val="20"/>
              </w:rPr>
              <w:t xml:space="preserve">sed for </w:t>
            </w:r>
            <w:r w:rsidR="00341D6A" w:rsidRPr="004C12C9">
              <w:rPr>
                <w:sz w:val="20"/>
              </w:rPr>
              <w:t xml:space="preserve">employee commuting and </w:t>
            </w:r>
            <w:r w:rsidRPr="004C12C9">
              <w:rPr>
                <w:sz w:val="20"/>
              </w:rPr>
              <w:t xml:space="preserve">construction equipment calculations. </w:t>
            </w:r>
          </w:p>
        </w:tc>
      </w:tr>
      <w:tr w:rsidR="00B7376E" w:rsidRPr="004C12C9" w14:paraId="1DC6A4AC"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9CBE3C" w14:textId="77777777" w:rsidR="00B7376E" w:rsidRPr="004C12C9" w:rsidRDefault="00B7376E" w:rsidP="00B7376E">
            <w:pPr>
              <w:pStyle w:val="ICFTabletext"/>
              <w:rPr>
                <w:sz w:val="20"/>
              </w:rPr>
            </w:pPr>
            <w:r w:rsidRPr="004C12C9">
              <w:rPr>
                <w:sz w:val="20"/>
              </w:rPr>
              <w:t>Total Project Acreage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3AD71E" w14:textId="77777777" w:rsidR="00B7376E" w:rsidRPr="004C12C9" w:rsidRDefault="00B7376E" w:rsidP="00B7376E">
            <w:pPr>
              <w:pStyle w:val="ICFTabletext"/>
              <w:rPr>
                <w:sz w:val="20"/>
              </w:rPr>
            </w:pPr>
            <w:r w:rsidRPr="004C12C9">
              <w:rPr>
                <w:sz w:val="20"/>
              </w:rPr>
              <w:t xml:space="preserve">Decimal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5B7324" w14:textId="77777777" w:rsidR="00B7376E" w:rsidRPr="004C12C9" w:rsidRDefault="00B7376E" w:rsidP="00B7376E">
            <w:pPr>
              <w:pStyle w:val="ICFTabletext"/>
              <w:rPr>
                <w:sz w:val="20"/>
              </w:rPr>
            </w:pPr>
            <w:r w:rsidRPr="004C12C9">
              <w:rPr>
                <w:sz w:val="20"/>
              </w:rPr>
              <w:t>Must be a decimal number greater than 0.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5CEC5F"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E4A625" w14:textId="284CE88F" w:rsidR="00B7376E" w:rsidRPr="004C12C9" w:rsidRDefault="00DB7427" w:rsidP="00B7376E">
            <w:pPr>
              <w:pStyle w:val="ICFTabletext"/>
              <w:rPr>
                <w:sz w:val="20"/>
              </w:rPr>
            </w:pPr>
            <w:r w:rsidRPr="004C12C9">
              <w:rPr>
                <w:sz w:val="20"/>
              </w:rPr>
              <w:t>Area of land that is dist</w:t>
            </w:r>
            <w:r w:rsidR="002D2422" w:rsidRPr="004C12C9">
              <w:rPr>
                <w:sz w:val="20"/>
              </w:rPr>
              <w:t xml:space="preserve">urbed </w:t>
            </w:r>
            <w:r w:rsidR="001A26E7" w:rsidRPr="004C12C9">
              <w:rPr>
                <w:sz w:val="20"/>
              </w:rPr>
              <w:t xml:space="preserve">during </w:t>
            </w:r>
            <w:r w:rsidR="00440BFF" w:rsidRPr="004C12C9">
              <w:rPr>
                <w:sz w:val="20"/>
              </w:rPr>
              <w:t>project construction</w:t>
            </w:r>
            <w:r w:rsidR="00021F36" w:rsidRPr="004C12C9">
              <w:rPr>
                <w:sz w:val="20"/>
              </w:rPr>
              <w:t xml:space="preserve"> or operation. Used to calculate </w:t>
            </w:r>
            <w:r w:rsidR="00B7376E" w:rsidRPr="004C12C9">
              <w:rPr>
                <w:sz w:val="20"/>
              </w:rPr>
              <w:t>construction stage duration defaults.</w:t>
            </w:r>
          </w:p>
        </w:tc>
      </w:tr>
      <w:tr w:rsidR="00B7376E" w:rsidRPr="004C12C9" w14:paraId="497EAC28"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A81C0B" w14:textId="1B046F1A" w:rsidR="00B7376E" w:rsidRPr="004C12C9" w:rsidRDefault="00B7376E" w:rsidP="00B7376E">
            <w:pPr>
              <w:pStyle w:val="ICFTabletext"/>
              <w:rPr>
                <w:sz w:val="20"/>
              </w:rPr>
            </w:pPr>
            <w:r w:rsidRPr="004C12C9">
              <w:rPr>
                <w:sz w:val="20"/>
              </w:rPr>
              <w:t>A</w:t>
            </w:r>
            <w:r w:rsidR="00AE78ED" w:rsidRPr="004C12C9">
              <w:rPr>
                <w:sz w:val="20"/>
              </w:rPr>
              <w:t>rea</w:t>
            </w:r>
            <w:r w:rsidRPr="004C12C9">
              <w:rPr>
                <w:sz w:val="20"/>
              </w:rPr>
              <w:t xml:space="preserve"> by building type (sq ft)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48CFBB" w14:textId="77777777" w:rsidR="00B7376E" w:rsidRPr="004C12C9" w:rsidRDefault="00B7376E" w:rsidP="00B7376E">
            <w:pPr>
              <w:pStyle w:val="ICFTabletext"/>
              <w:rPr>
                <w:sz w:val="20"/>
              </w:rPr>
            </w:pPr>
            <w:r w:rsidRPr="004C12C9">
              <w:rPr>
                <w:sz w:val="20"/>
              </w:rPr>
              <w:t xml:space="preserve">Decimal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55E477" w14:textId="7F1A26D1" w:rsidR="00B7376E" w:rsidRPr="004C12C9" w:rsidRDefault="00B7376E" w:rsidP="00B7376E">
            <w:pPr>
              <w:pStyle w:val="ICFTabletext"/>
              <w:rPr>
                <w:sz w:val="20"/>
              </w:rPr>
            </w:pPr>
            <w:r w:rsidRPr="004C12C9">
              <w:rPr>
                <w:sz w:val="20"/>
              </w:rPr>
              <w:t xml:space="preserve">Must be a decimal number greater than 0. Checker indicates if </w:t>
            </w:r>
            <w:r w:rsidR="00217ADA" w:rsidRPr="004C12C9">
              <w:rPr>
                <w:sz w:val="20"/>
              </w:rPr>
              <w:t xml:space="preserve">all </w:t>
            </w:r>
            <w:r w:rsidRPr="004C12C9">
              <w:rPr>
                <w:sz w:val="20"/>
              </w:rPr>
              <w:t>cell</w:t>
            </w:r>
            <w:r w:rsidR="00217ADA" w:rsidRPr="004C12C9">
              <w:rPr>
                <w:sz w:val="20"/>
              </w:rPr>
              <w:t>s</w:t>
            </w:r>
            <w:r w:rsidRPr="004C12C9">
              <w:rPr>
                <w:sz w:val="20"/>
              </w:rPr>
              <w:t xml:space="preserve"> </w:t>
            </w:r>
            <w:r w:rsidR="00217ADA" w:rsidRPr="004C12C9">
              <w:rPr>
                <w:sz w:val="20"/>
              </w:rPr>
              <w:t>are</w:t>
            </w:r>
            <w:r w:rsidRPr="004C12C9">
              <w:rPr>
                <w:sz w:val="20"/>
              </w:rPr>
              <w:t xml:space="preserve"> left blank</w:t>
            </w:r>
            <w:r w:rsidR="00E10363" w:rsidRPr="004C12C9">
              <w:rPr>
                <w:sz w:val="20"/>
              </w:rPr>
              <w:t xml:space="preserve"> for building construction projects</w:t>
            </w:r>
            <w:r w:rsidRPr="004C12C9">
              <w:rPr>
                <w:sz w:val="20"/>
              </w:rPr>
              <w: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2A9787" w14:textId="77777777" w:rsidR="00B7376E" w:rsidRPr="004C12C9" w:rsidRDefault="00B7376E" w:rsidP="00B7376E">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03D7E7" w14:textId="7E453318" w:rsidR="00B7376E" w:rsidRPr="004C12C9" w:rsidRDefault="00AA65ED" w:rsidP="00B7376E">
            <w:pPr>
              <w:pStyle w:val="ICFTabletext"/>
              <w:rPr>
                <w:sz w:val="20"/>
              </w:rPr>
            </w:pPr>
            <w:r w:rsidRPr="004C12C9">
              <w:rPr>
                <w:sz w:val="20"/>
              </w:rPr>
              <w:t xml:space="preserve">Building area </w:t>
            </w:r>
            <w:r w:rsidR="007F332F" w:rsidRPr="004C12C9">
              <w:rPr>
                <w:sz w:val="20"/>
              </w:rPr>
              <w:t>constructed by building type. Used</w:t>
            </w:r>
            <w:r w:rsidR="00D8151A" w:rsidRPr="004C12C9">
              <w:rPr>
                <w:sz w:val="20"/>
              </w:rPr>
              <w:t xml:space="preserve"> to calculate emissions from </w:t>
            </w:r>
            <w:r w:rsidR="00C044C2" w:rsidRPr="004C12C9">
              <w:rPr>
                <w:sz w:val="20"/>
              </w:rPr>
              <w:t>building energy</w:t>
            </w:r>
            <w:r w:rsidR="009E7C62" w:rsidRPr="004C12C9">
              <w:rPr>
                <w:sz w:val="20"/>
              </w:rPr>
              <w:t xml:space="preserve"> consumption</w:t>
            </w:r>
            <w:r w:rsidR="007F332F" w:rsidRPr="004C12C9">
              <w:rPr>
                <w:sz w:val="20"/>
              </w:rPr>
              <w:t xml:space="preserve"> </w:t>
            </w:r>
            <w:r w:rsidR="00E61916" w:rsidRPr="004C12C9">
              <w:rPr>
                <w:sz w:val="20"/>
              </w:rPr>
              <w:t>and</w:t>
            </w:r>
            <w:r w:rsidR="00B7376E" w:rsidRPr="004C12C9">
              <w:rPr>
                <w:sz w:val="20"/>
              </w:rPr>
              <w:t xml:space="preserve"> HFC </w:t>
            </w:r>
            <w:r w:rsidR="00E61916" w:rsidRPr="004C12C9">
              <w:rPr>
                <w:sz w:val="20"/>
              </w:rPr>
              <w:t>l</w:t>
            </w:r>
            <w:r w:rsidR="00B7376E" w:rsidRPr="004C12C9">
              <w:rPr>
                <w:sz w:val="20"/>
              </w:rPr>
              <w:t>eakage</w:t>
            </w:r>
            <w:r w:rsidR="00E61916" w:rsidRPr="004C12C9">
              <w:rPr>
                <w:sz w:val="20"/>
              </w:rPr>
              <w:t>.</w:t>
            </w:r>
          </w:p>
        </w:tc>
      </w:tr>
      <w:tr w:rsidR="00B7376E" w:rsidRPr="004C12C9" w14:paraId="03B1718E"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9F624F" w14:textId="77777777" w:rsidR="00B7376E" w:rsidRPr="004C12C9" w:rsidRDefault="00B7376E" w:rsidP="00B7376E">
            <w:pPr>
              <w:pStyle w:val="ICFTabletext"/>
              <w:rPr>
                <w:sz w:val="20"/>
              </w:rPr>
            </w:pPr>
            <w:r w:rsidRPr="004C12C9">
              <w:rPr>
                <w:sz w:val="20"/>
              </w:rPr>
              <w:t>Electricity Provider</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8B3A21" w14:textId="77777777" w:rsidR="00B7376E" w:rsidRPr="004C12C9" w:rsidRDefault="00B7376E" w:rsidP="00B7376E">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41DE21" w14:textId="794EFFDD" w:rsidR="00B7376E" w:rsidRPr="004C12C9" w:rsidRDefault="007B2D8F" w:rsidP="00B7376E">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F35F2C" w14:textId="014AD692" w:rsidR="00B7376E" w:rsidRPr="004C12C9" w:rsidRDefault="00DF04D4" w:rsidP="00B7376E">
            <w:pPr>
              <w:pStyle w:val="ICFTabletext"/>
              <w:rPr>
                <w:sz w:val="20"/>
              </w:rPr>
            </w:pPr>
            <w:r w:rsidRPr="004C12C9">
              <w:rPr>
                <w:sz w:val="20"/>
              </w:rPr>
              <w:t xml:space="preserve">Calculator </w:t>
            </w:r>
            <w:r w:rsidR="00B7376E" w:rsidRPr="004C12C9">
              <w:rPr>
                <w:sz w:val="20"/>
              </w:rPr>
              <w:t>is defaulted to Grid Average.</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96E3E4" w14:textId="6B505CD4" w:rsidR="00B7376E" w:rsidRPr="004C12C9" w:rsidRDefault="00380551" w:rsidP="00B7376E">
            <w:pPr>
              <w:pStyle w:val="ICFTabletext"/>
              <w:rPr>
                <w:sz w:val="20"/>
              </w:rPr>
            </w:pPr>
            <w:r w:rsidRPr="004C12C9">
              <w:rPr>
                <w:sz w:val="20"/>
              </w:rPr>
              <w:t>Used to determine the</w:t>
            </w:r>
            <w:r w:rsidR="00B7376E" w:rsidRPr="004C12C9">
              <w:rPr>
                <w:sz w:val="20"/>
              </w:rPr>
              <w:t xml:space="preserve"> electricity emission factors for building energy consumption calculations.</w:t>
            </w:r>
          </w:p>
        </w:tc>
      </w:tr>
      <w:tr w:rsidR="00B7376E" w:rsidRPr="004C12C9" w14:paraId="5888B718"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5E1240" w14:textId="0EB27D72" w:rsidR="00B7376E" w:rsidRPr="004C12C9" w:rsidRDefault="00B7376E" w:rsidP="00B7376E">
            <w:pPr>
              <w:pStyle w:val="ICFTabletext"/>
              <w:rPr>
                <w:sz w:val="20"/>
              </w:rPr>
            </w:pPr>
            <w:r w:rsidRPr="004C12C9">
              <w:rPr>
                <w:sz w:val="20"/>
              </w:rPr>
              <w:lastRenderedPageBreak/>
              <w:t>Portion of Building Electricity Consumption to be Generated On-Site via Renewables or Supplied through the Purchase of Renewable Energy Credits (RECs)</w:t>
            </w:r>
            <w:r w:rsidR="002C6F21">
              <w:rPr>
                <w:sz w:val="20"/>
              </w:rPr>
              <w: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EF0DE6" w14:textId="77777777" w:rsidR="00B7376E" w:rsidRPr="004C12C9" w:rsidRDefault="00B7376E" w:rsidP="00B7376E">
            <w:pPr>
              <w:pStyle w:val="ICFTabletext"/>
              <w:rPr>
                <w:sz w:val="20"/>
              </w:rPr>
            </w:pPr>
            <w:r w:rsidRPr="004C12C9">
              <w:rPr>
                <w:sz w:val="20"/>
              </w:rPr>
              <w:t xml:space="preserve">Percent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F4F291" w14:textId="023EF96E" w:rsidR="00B7376E" w:rsidRPr="004C12C9" w:rsidRDefault="00B7376E" w:rsidP="00B7376E">
            <w:pPr>
              <w:pStyle w:val="ICFTabletext"/>
              <w:rPr>
                <w:sz w:val="20"/>
              </w:rPr>
            </w:pPr>
            <w:r w:rsidRPr="004C12C9">
              <w:rPr>
                <w:sz w:val="20"/>
              </w:rPr>
              <w:t xml:space="preserve">Data validation for percent between 0 and </w:t>
            </w:r>
            <w:r w:rsidR="00B269EC" w:rsidRPr="004C12C9">
              <w:rPr>
                <w:sz w:val="20"/>
              </w:rPr>
              <w:t>100</w:t>
            </w:r>
            <w:r w:rsidRPr="004C12C9">
              <w:rPr>
                <w:sz w:val="20"/>
              </w:rPr>
              <w: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0A7F7D" w14:textId="44F396E0" w:rsidR="00B7376E" w:rsidRPr="004C12C9" w:rsidRDefault="00DF04D4" w:rsidP="00B7376E">
            <w:pPr>
              <w:pStyle w:val="ICFTabletext"/>
              <w:rPr>
                <w:sz w:val="20"/>
              </w:rPr>
            </w:pPr>
            <w:r w:rsidRPr="004C12C9">
              <w:rPr>
                <w:sz w:val="20"/>
              </w:rPr>
              <w:t xml:space="preserve">Calculator </w:t>
            </w:r>
            <w:r w:rsidR="00B7376E" w:rsidRPr="004C12C9">
              <w:rPr>
                <w:sz w:val="20"/>
              </w:rPr>
              <w:t>is defaulted to 0.</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C9BDF1" w14:textId="7C73F526" w:rsidR="00B7376E" w:rsidRPr="004C12C9" w:rsidRDefault="002D3A90" w:rsidP="00B7376E">
            <w:pPr>
              <w:pStyle w:val="ICFTabletext"/>
              <w:rPr>
                <w:sz w:val="20"/>
              </w:rPr>
            </w:pPr>
            <w:r w:rsidRPr="004C12C9">
              <w:rPr>
                <w:sz w:val="20"/>
              </w:rPr>
              <w:t xml:space="preserve">Identifies </w:t>
            </w:r>
            <w:r w:rsidR="00C575F0" w:rsidRPr="004C12C9">
              <w:rPr>
                <w:sz w:val="20"/>
              </w:rPr>
              <w:t>the portion</w:t>
            </w:r>
            <w:r w:rsidRPr="004C12C9">
              <w:rPr>
                <w:sz w:val="20"/>
              </w:rPr>
              <w:t xml:space="preserve"> of </w:t>
            </w:r>
            <w:r w:rsidR="00C336CA" w:rsidRPr="004C12C9">
              <w:rPr>
                <w:sz w:val="20"/>
              </w:rPr>
              <w:t xml:space="preserve">building </w:t>
            </w:r>
            <w:r w:rsidRPr="004C12C9">
              <w:rPr>
                <w:sz w:val="20"/>
              </w:rPr>
              <w:t xml:space="preserve">electricity </w:t>
            </w:r>
            <w:r w:rsidR="002330F7" w:rsidRPr="004C12C9">
              <w:rPr>
                <w:sz w:val="20"/>
              </w:rPr>
              <w:t xml:space="preserve">consumption </w:t>
            </w:r>
            <w:r w:rsidR="00593DEF" w:rsidRPr="004C12C9">
              <w:rPr>
                <w:sz w:val="20"/>
              </w:rPr>
              <w:t>provided</w:t>
            </w:r>
            <w:r w:rsidR="008E2455" w:rsidRPr="004C12C9">
              <w:rPr>
                <w:sz w:val="20"/>
              </w:rPr>
              <w:t xml:space="preserve"> </w:t>
            </w:r>
            <w:r w:rsidR="00C575F0" w:rsidRPr="004C12C9">
              <w:rPr>
                <w:sz w:val="20"/>
              </w:rPr>
              <w:t>by</w:t>
            </w:r>
            <w:r w:rsidR="00B11D05" w:rsidRPr="004C12C9">
              <w:rPr>
                <w:sz w:val="20"/>
              </w:rPr>
              <w:t xml:space="preserve"> renewable </w:t>
            </w:r>
            <w:r w:rsidR="002330F7" w:rsidRPr="004C12C9">
              <w:rPr>
                <w:sz w:val="20"/>
              </w:rPr>
              <w:t>sources</w:t>
            </w:r>
            <w:r w:rsidR="00073670" w:rsidRPr="004C12C9">
              <w:rPr>
                <w:sz w:val="20"/>
              </w:rPr>
              <w:t xml:space="preserve"> via direct purchase or </w:t>
            </w:r>
            <w:r w:rsidR="006A1DDE" w:rsidRPr="004C12C9">
              <w:rPr>
                <w:sz w:val="20"/>
              </w:rPr>
              <w:t>on-site generation</w:t>
            </w:r>
            <w:r w:rsidR="002330F7" w:rsidRPr="004C12C9">
              <w:rPr>
                <w:sz w:val="20"/>
              </w:rPr>
              <w:t xml:space="preserve">. </w:t>
            </w:r>
            <w:r w:rsidR="00511533" w:rsidRPr="004C12C9">
              <w:rPr>
                <w:sz w:val="20"/>
              </w:rPr>
              <w:t xml:space="preserve">Value may </w:t>
            </w:r>
            <w:r w:rsidR="00B269EC" w:rsidRPr="004C12C9">
              <w:rPr>
                <w:sz w:val="20"/>
              </w:rPr>
              <w:t xml:space="preserve">not </w:t>
            </w:r>
            <w:r w:rsidR="00511533" w:rsidRPr="004C12C9">
              <w:rPr>
                <w:sz w:val="20"/>
              </w:rPr>
              <w:t>be greater than 100%</w:t>
            </w:r>
            <w:r w:rsidR="00C575F0" w:rsidRPr="004C12C9">
              <w:rPr>
                <w:sz w:val="20"/>
              </w:rPr>
              <w:t xml:space="preserve">. </w:t>
            </w:r>
            <w:r w:rsidR="00B7376E" w:rsidRPr="004C12C9">
              <w:rPr>
                <w:sz w:val="20"/>
              </w:rPr>
              <w:t xml:space="preserve">Used </w:t>
            </w:r>
            <w:r w:rsidR="006A1DDE" w:rsidRPr="004C12C9">
              <w:rPr>
                <w:sz w:val="20"/>
              </w:rPr>
              <w:t>to calculate</w:t>
            </w:r>
            <w:r w:rsidR="00B7376E" w:rsidRPr="004C12C9">
              <w:rPr>
                <w:sz w:val="20"/>
              </w:rPr>
              <w:t xml:space="preserve"> </w:t>
            </w:r>
            <w:r w:rsidR="006A1DDE" w:rsidRPr="004C12C9">
              <w:rPr>
                <w:sz w:val="20"/>
              </w:rPr>
              <w:t xml:space="preserve">electricity emissions from </w:t>
            </w:r>
            <w:r w:rsidR="00B7376E" w:rsidRPr="004C12C9">
              <w:rPr>
                <w:sz w:val="20"/>
              </w:rPr>
              <w:t>building energy consumption.</w:t>
            </w:r>
          </w:p>
        </w:tc>
      </w:tr>
      <w:tr w:rsidR="00B7376E" w:rsidRPr="004C12C9" w14:paraId="15CBE6A1" w14:textId="77777777" w:rsidTr="00FD2D3D">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E4E6F8" w14:textId="786C7FCD" w:rsidR="00B7376E" w:rsidRPr="004C12C9" w:rsidRDefault="00B7376E" w:rsidP="00B7376E">
            <w:pPr>
              <w:pStyle w:val="ICFTabletext"/>
              <w:rPr>
                <w:sz w:val="20"/>
              </w:rPr>
            </w:pPr>
            <w:r w:rsidRPr="004C12C9">
              <w:rPr>
                <w:sz w:val="20"/>
              </w:rPr>
              <w:t>Portion of Building Natural Gas Consumption to be Supplied from Renewable Sources</w:t>
            </w:r>
            <w:r w:rsidR="002C6F21">
              <w:rPr>
                <w:sz w:val="20"/>
              </w:rPr>
              <w: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7D6400" w14:textId="77777777" w:rsidR="00B7376E" w:rsidRPr="004C12C9" w:rsidRDefault="00B7376E" w:rsidP="00B7376E">
            <w:pPr>
              <w:pStyle w:val="ICFTabletext"/>
              <w:rPr>
                <w:sz w:val="20"/>
              </w:rPr>
            </w:pPr>
            <w:r w:rsidRPr="004C12C9">
              <w:rPr>
                <w:sz w:val="20"/>
              </w:rPr>
              <w:t xml:space="preserve">Percent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723EC5" w14:textId="77777777" w:rsidR="00B7376E" w:rsidRPr="004C12C9" w:rsidRDefault="00B7376E" w:rsidP="00B7376E">
            <w:pPr>
              <w:pStyle w:val="ICFTabletext"/>
              <w:rPr>
                <w:sz w:val="20"/>
              </w:rPr>
            </w:pPr>
            <w:r w:rsidRPr="004C12C9">
              <w:rPr>
                <w:sz w:val="20"/>
              </w:rPr>
              <w:t>Data validation for percent between 0 and 100.</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DF058C" w14:textId="0790A3F3" w:rsidR="00B7376E" w:rsidRPr="004C12C9" w:rsidRDefault="00DF04D4" w:rsidP="00B7376E">
            <w:pPr>
              <w:pStyle w:val="ICFTabletext"/>
              <w:rPr>
                <w:sz w:val="20"/>
              </w:rPr>
            </w:pPr>
            <w:r w:rsidRPr="004C12C9">
              <w:rPr>
                <w:sz w:val="20"/>
              </w:rPr>
              <w:t xml:space="preserve">Calculator </w:t>
            </w:r>
            <w:r w:rsidR="00B7376E" w:rsidRPr="004C12C9">
              <w:rPr>
                <w:sz w:val="20"/>
              </w:rPr>
              <w:t>is defaulted to 0.</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E4C0F9" w14:textId="02C1B0A8" w:rsidR="00B7376E" w:rsidRPr="004C12C9" w:rsidRDefault="006A1DDE" w:rsidP="00B7376E">
            <w:pPr>
              <w:pStyle w:val="ICFTabletext"/>
              <w:rPr>
                <w:sz w:val="20"/>
              </w:rPr>
            </w:pPr>
            <w:r w:rsidRPr="004C12C9">
              <w:rPr>
                <w:sz w:val="20"/>
              </w:rPr>
              <w:t>Identifies the portion of building natural gas consumption provided</w:t>
            </w:r>
            <w:r w:rsidR="00CA4F83" w:rsidRPr="004C12C9">
              <w:rPr>
                <w:sz w:val="20"/>
              </w:rPr>
              <w:t xml:space="preserve"> by renewable sources via direct purchase or on-site generation. </w:t>
            </w:r>
            <w:r w:rsidR="006D32AE" w:rsidRPr="004C12C9">
              <w:rPr>
                <w:sz w:val="20"/>
              </w:rPr>
              <w:t>Used to calculate natural gas emissions from building energy consumption.</w:t>
            </w:r>
          </w:p>
        </w:tc>
      </w:tr>
    </w:tbl>
    <w:p w14:paraId="3800E920" w14:textId="072E2D34" w:rsidR="002C6F21" w:rsidRPr="001C61E4" w:rsidRDefault="003148D6" w:rsidP="00971C75">
      <w:pPr>
        <w:spacing w:before="0" w:after="0"/>
        <w:rPr>
          <w:sz w:val="18"/>
          <w:szCs w:val="18"/>
        </w:rPr>
      </w:pPr>
      <w:r w:rsidRPr="001C61E4">
        <w:rPr>
          <w:sz w:val="18"/>
          <w:szCs w:val="18"/>
        </w:rPr>
        <w:t xml:space="preserve">*Input for mitigation measure quantification. </w:t>
      </w:r>
    </w:p>
    <w:p w14:paraId="5D7CF4A6" w14:textId="02BCCA20" w:rsidR="009A5CDB" w:rsidRPr="004C12C9" w:rsidRDefault="00DF04D4" w:rsidP="004E0070">
      <w:r w:rsidRPr="004C12C9">
        <w:rPr>
          <w:b/>
          <w:bCs/>
        </w:rPr>
        <w:t xml:space="preserve">Calculator </w:t>
      </w:r>
      <w:r w:rsidR="00AF0C04" w:rsidRPr="004C12C9">
        <w:rPr>
          <w:b/>
          <w:bCs/>
        </w:rPr>
        <w:t>Calculations Preferences:</w:t>
      </w:r>
      <w:r w:rsidR="00AF0C04" w:rsidRPr="004C12C9">
        <w:t xml:space="preserve"> </w:t>
      </w:r>
      <w:r w:rsidR="009A5CDB" w:rsidRPr="004C12C9">
        <w:t>Users can specify their preferred uni</w:t>
      </w:r>
      <w:r w:rsidR="00C971CA" w:rsidRPr="004C12C9">
        <w:t>t in which to present emissions in the Results tab. The</w:t>
      </w:r>
      <w:r w:rsidR="009A5CDB" w:rsidRPr="004C12C9">
        <w:t xml:space="preserve"> drop-down </w:t>
      </w:r>
      <w:r w:rsidR="00494468" w:rsidRPr="004C12C9">
        <w:t>list allows users to select from the following options:</w:t>
      </w:r>
      <w:r w:rsidR="004E0070">
        <w:t xml:space="preserve"> </w:t>
      </w:r>
      <w:r w:rsidR="00494468" w:rsidRPr="004C12C9">
        <w:t>T</w:t>
      </w:r>
      <w:r w:rsidR="009A5CDB" w:rsidRPr="004C12C9">
        <w:t>ons</w:t>
      </w:r>
      <w:r w:rsidR="00424625" w:rsidRPr="004C12C9">
        <w:t xml:space="preserve"> (short tons)</w:t>
      </w:r>
      <w:r w:rsidR="004E0070">
        <w:t xml:space="preserve">, </w:t>
      </w:r>
      <w:r w:rsidR="00424625" w:rsidRPr="004C12C9">
        <w:t>MT (</w:t>
      </w:r>
      <w:r w:rsidR="009A5CDB" w:rsidRPr="004C12C9">
        <w:t>metric tons)</w:t>
      </w:r>
      <w:r w:rsidR="004E0070">
        <w:t xml:space="preserve">, or </w:t>
      </w:r>
      <w:r w:rsidR="00424625" w:rsidRPr="004C12C9">
        <w:t>Kg (</w:t>
      </w:r>
      <w:r w:rsidR="009A5CDB" w:rsidRPr="004C12C9">
        <w:t>kilograms)</w:t>
      </w:r>
      <w:r w:rsidR="004E0070">
        <w:t>.</w:t>
      </w:r>
    </w:p>
    <w:p w14:paraId="023C9DEE" w14:textId="501E49F4" w:rsidR="001B103F" w:rsidRPr="004C12C9" w:rsidRDefault="00424625" w:rsidP="001B103F">
      <w:r w:rsidRPr="004C12C9">
        <w:rPr>
          <w:b/>
          <w:bCs/>
        </w:rPr>
        <w:t>Applicable Emission Sources</w:t>
      </w:r>
      <w:r w:rsidR="003F422A" w:rsidRPr="004C12C9">
        <w:rPr>
          <w:b/>
          <w:bCs/>
        </w:rPr>
        <w:t>:</w:t>
      </w:r>
      <w:r w:rsidR="003F422A" w:rsidRPr="004C12C9">
        <w:t xml:space="preserve"> </w:t>
      </w:r>
      <w:r w:rsidR="00044417" w:rsidRPr="004C12C9">
        <w:t xml:space="preserve">Information on </w:t>
      </w:r>
      <w:r w:rsidR="00954A1C" w:rsidRPr="004C12C9">
        <w:t>wh</w:t>
      </w:r>
      <w:r w:rsidR="00520110" w:rsidRPr="004C12C9">
        <w:t xml:space="preserve">ether an emissions source is </w:t>
      </w:r>
      <w:r w:rsidR="00044417" w:rsidRPr="004C12C9">
        <w:t>potentially</w:t>
      </w:r>
      <w:r w:rsidR="001B103F" w:rsidRPr="004C12C9">
        <w:t xml:space="preserve"> applicable </w:t>
      </w:r>
      <w:r w:rsidR="00520110" w:rsidRPr="004C12C9">
        <w:t>to your project</w:t>
      </w:r>
      <w:r w:rsidR="001B103F" w:rsidRPr="004C12C9">
        <w:t xml:space="preserve"> will automatically </w:t>
      </w:r>
      <w:r w:rsidR="0094723A" w:rsidRPr="004C12C9">
        <w:t xml:space="preserve">populate based on the </w:t>
      </w:r>
      <w:r w:rsidR="00520110" w:rsidRPr="004C12C9">
        <w:t>prima</w:t>
      </w:r>
      <w:r w:rsidR="00BA4AFA" w:rsidRPr="004C12C9">
        <w:t xml:space="preserve">ry and secondary </w:t>
      </w:r>
      <w:r w:rsidR="0094723A" w:rsidRPr="004C12C9">
        <w:t xml:space="preserve">project </w:t>
      </w:r>
      <w:r w:rsidR="000E3773" w:rsidRPr="004C12C9">
        <w:t>category</w:t>
      </w:r>
      <w:r w:rsidR="0094723A" w:rsidRPr="004C12C9">
        <w:t xml:space="preserve"> </w:t>
      </w:r>
      <w:r w:rsidR="000E3773" w:rsidRPr="004C12C9">
        <w:t>selected in the Project Information section</w:t>
      </w:r>
      <w:r w:rsidR="001B103F" w:rsidRPr="004C12C9">
        <w:t xml:space="preserve">. Users can apply default selections by clicking </w:t>
      </w:r>
      <w:r w:rsidR="004E2832" w:rsidRPr="004C12C9">
        <w:t xml:space="preserve">the </w:t>
      </w:r>
      <w:r w:rsidR="001B103F" w:rsidRPr="004C12C9">
        <w:t xml:space="preserve">“Apply Defaults” or choose </w:t>
      </w:r>
      <w:r w:rsidR="004E2832" w:rsidRPr="004C12C9">
        <w:t xml:space="preserve">which </w:t>
      </w:r>
      <w:r w:rsidR="001B103F" w:rsidRPr="004C12C9">
        <w:t xml:space="preserve">emission sources </w:t>
      </w:r>
      <w:r w:rsidR="00645E52" w:rsidRPr="004C12C9">
        <w:t xml:space="preserve">to include </w:t>
      </w:r>
      <w:r w:rsidR="001B103F" w:rsidRPr="004C12C9">
        <w:t xml:space="preserve">by selecting </w:t>
      </w:r>
      <w:r w:rsidR="009D03B2" w:rsidRPr="004C12C9">
        <w:t>“</w:t>
      </w:r>
      <w:r w:rsidR="001B103F" w:rsidRPr="004C12C9">
        <w:t>Yes</w:t>
      </w:r>
      <w:r w:rsidR="009D03B2" w:rsidRPr="004C12C9">
        <w:t>”</w:t>
      </w:r>
      <w:r w:rsidR="001B103F" w:rsidRPr="004C12C9">
        <w:t xml:space="preserve"> or </w:t>
      </w:r>
      <w:r w:rsidR="009D03B2" w:rsidRPr="004C12C9">
        <w:t>“</w:t>
      </w:r>
      <w:r w:rsidR="001B103F" w:rsidRPr="004C12C9">
        <w:t>No</w:t>
      </w:r>
      <w:r w:rsidR="009D03B2" w:rsidRPr="004C12C9">
        <w:t>”</w:t>
      </w:r>
      <w:r w:rsidR="001B103F" w:rsidRPr="004C12C9">
        <w:t xml:space="preserve"> in the drop-down menu next to each emissions source. </w:t>
      </w:r>
      <w:r w:rsidR="006B00B5" w:rsidRPr="004C12C9">
        <w:t xml:space="preserve">A selection must be made for each </w:t>
      </w:r>
      <w:r w:rsidR="00E32E97" w:rsidRPr="004C12C9">
        <w:t xml:space="preserve">emissions source. </w:t>
      </w:r>
      <w:r w:rsidR="00840F86" w:rsidRPr="004C12C9">
        <w:t xml:space="preserve">If </w:t>
      </w:r>
      <w:r w:rsidR="009D03B2" w:rsidRPr="004C12C9">
        <w:t>“</w:t>
      </w:r>
      <w:r w:rsidR="00C65EE4" w:rsidRPr="004C12C9">
        <w:t>No</w:t>
      </w:r>
      <w:r w:rsidR="009D03B2" w:rsidRPr="004C12C9">
        <w:t>”</w:t>
      </w:r>
      <w:r w:rsidR="00C65EE4" w:rsidRPr="004C12C9">
        <w:t xml:space="preserve"> is selected, </w:t>
      </w:r>
      <w:r w:rsidR="004369EB" w:rsidRPr="004C12C9">
        <w:t>fields</w:t>
      </w:r>
      <w:r w:rsidR="00784A0F" w:rsidRPr="004C12C9">
        <w:t xml:space="preserve"> </w:t>
      </w:r>
      <w:r w:rsidR="00545417" w:rsidRPr="004C12C9">
        <w:t>applicable to</w:t>
      </w:r>
      <w:r w:rsidR="00784A0F" w:rsidRPr="004C12C9">
        <w:t xml:space="preserve"> that emissions s</w:t>
      </w:r>
      <w:r w:rsidR="00A239AF" w:rsidRPr="004C12C9">
        <w:t xml:space="preserve">ource will be shaded </w:t>
      </w:r>
      <w:r w:rsidR="00804EA4" w:rsidRPr="004C12C9">
        <w:t>gray with black dashed lines</w:t>
      </w:r>
      <w:r w:rsidR="00A239AF" w:rsidRPr="004C12C9">
        <w:t xml:space="preserve"> </w:t>
      </w:r>
      <w:r w:rsidR="00311C0A" w:rsidRPr="004C12C9">
        <w:t xml:space="preserve">and/or hidden in subsequent tabs of the </w:t>
      </w:r>
      <w:r w:rsidR="00DF04D4" w:rsidRPr="004C12C9">
        <w:t xml:space="preserve">calculator </w:t>
      </w:r>
      <w:r w:rsidR="00311C0A" w:rsidRPr="004C12C9">
        <w:t xml:space="preserve">and </w:t>
      </w:r>
      <w:r w:rsidR="00016C41" w:rsidRPr="004C12C9">
        <w:t xml:space="preserve">no emissions </w:t>
      </w:r>
      <w:r w:rsidR="00A54687" w:rsidRPr="004C12C9">
        <w:t xml:space="preserve">from that source </w:t>
      </w:r>
      <w:r w:rsidR="00016C41" w:rsidRPr="004C12C9">
        <w:t>will be</w:t>
      </w:r>
      <w:r w:rsidR="00A54687" w:rsidRPr="004C12C9">
        <w:t xml:space="preserve"> included in the results. </w:t>
      </w:r>
    </w:p>
    <w:p w14:paraId="5D1CF0C1" w14:textId="0160C03D" w:rsidR="00193415" w:rsidRPr="004C12C9" w:rsidRDefault="00193415" w:rsidP="00F87208">
      <w:pPr>
        <w:pStyle w:val="Heading4"/>
        <w:rPr>
          <w:b w:val="0"/>
        </w:rPr>
      </w:pPr>
      <w:r w:rsidRPr="004C12C9">
        <w:t>User Inputs</w:t>
      </w:r>
      <w:r w:rsidR="004A5E1E" w:rsidRPr="004C12C9">
        <w:t xml:space="preserve"> Tab</w:t>
      </w:r>
    </w:p>
    <w:p w14:paraId="465985E2" w14:textId="3B14AE36" w:rsidR="00EC3DAD" w:rsidRPr="004C12C9" w:rsidRDefault="0025269D" w:rsidP="00972CF9">
      <w:r w:rsidRPr="004C12C9">
        <w:t xml:space="preserve">On the </w:t>
      </w:r>
      <w:r w:rsidR="00CB09C3" w:rsidRPr="004C12C9">
        <w:t xml:space="preserve">User </w:t>
      </w:r>
      <w:r w:rsidRPr="004C12C9">
        <w:t>I</w:t>
      </w:r>
      <w:r w:rsidR="00CB09C3" w:rsidRPr="004C12C9">
        <w:t xml:space="preserve">nputs </w:t>
      </w:r>
      <w:r w:rsidRPr="004C12C9">
        <w:t>tab, fields</w:t>
      </w:r>
      <w:r w:rsidR="00CB09C3" w:rsidRPr="004C12C9">
        <w:t xml:space="preserve"> that are not applicable to the selected project type </w:t>
      </w:r>
      <w:r w:rsidR="00911AFA" w:rsidRPr="004C12C9">
        <w:t xml:space="preserve">will be shaded </w:t>
      </w:r>
      <w:r w:rsidR="00804EA4" w:rsidRPr="004C12C9">
        <w:t xml:space="preserve">gray </w:t>
      </w:r>
      <w:r w:rsidR="00911AFA" w:rsidRPr="004C12C9">
        <w:t>with black dashed lines</w:t>
      </w:r>
      <w:r w:rsidR="001B01C0" w:rsidRPr="004C12C9">
        <w:t xml:space="preserve"> to align with</w:t>
      </w:r>
      <w:r w:rsidR="00962412" w:rsidRPr="004C12C9">
        <w:t xml:space="preserve"> the </w:t>
      </w:r>
      <w:r w:rsidR="00434AA4" w:rsidRPr="004C12C9">
        <w:t>selections</w:t>
      </w:r>
      <w:r w:rsidR="004420FE" w:rsidRPr="004C12C9">
        <w:t xml:space="preserve"> </w:t>
      </w:r>
      <w:r w:rsidR="008970A7" w:rsidRPr="004C12C9">
        <w:t>on the Project Background tab</w:t>
      </w:r>
      <w:r w:rsidR="00911AFA" w:rsidRPr="004C12C9">
        <w:t xml:space="preserve">. </w:t>
      </w:r>
      <w:r w:rsidR="00332B5E" w:rsidRPr="004C12C9">
        <w:t>Users can hide all i</w:t>
      </w:r>
      <w:r w:rsidR="00A84D62" w:rsidRPr="004C12C9">
        <w:t xml:space="preserve">nputs for emissions sources that </w:t>
      </w:r>
      <w:r w:rsidR="00BB14FC" w:rsidRPr="004C12C9">
        <w:t>are not appliable to</w:t>
      </w:r>
      <w:r w:rsidR="00CB09C3" w:rsidRPr="004C12C9">
        <w:t xml:space="preserve"> </w:t>
      </w:r>
      <w:r w:rsidR="00BB14FC" w:rsidRPr="004C12C9">
        <w:t xml:space="preserve">their </w:t>
      </w:r>
      <w:r w:rsidR="00A84D62" w:rsidRPr="004C12C9">
        <w:t>project</w:t>
      </w:r>
      <w:r w:rsidR="00F15444" w:rsidRPr="004C12C9">
        <w:t xml:space="preserve"> </w:t>
      </w:r>
      <w:r w:rsidR="00083FBB" w:rsidRPr="004C12C9">
        <w:t xml:space="preserve">by selecting the </w:t>
      </w:r>
      <w:r w:rsidR="004F5480" w:rsidRPr="004C12C9">
        <w:t>“</w:t>
      </w:r>
      <w:r w:rsidR="00083FBB" w:rsidRPr="004C12C9">
        <w:t>Hide Sources Not Applicable</w:t>
      </w:r>
      <w:r w:rsidR="004F5480" w:rsidRPr="004C12C9">
        <w:t>”</w:t>
      </w:r>
      <w:r w:rsidR="00083FBB" w:rsidRPr="004C12C9">
        <w:t xml:space="preserve"> button </w:t>
      </w:r>
      <w:r w:rsidR="000A7602" w:rsidRPr="004C12C9">
        <w:t>at</w:t>
      </w:r>
      <w:r w:rsidR="00083FBB" w:rsidRPr="004C12C9">
        <w:t xml:space="preserve"> the </w:t>
      </w:r>
      <w:r w:rsidR="000A7602" w:rsidRPr="004C12C9">
        <w:t>top of this</w:t>
      </w:r>
      <w:r w:rsidR="00083FBB" w:rsidRPr="004C12C9">
        <w:t xml:space="preserve"> tab</w:t>
      </w:r>
      <w:r w:rsidR="00CB09C3" w:rsidRPr="004C12C9">
        <w:t xml:space="preserve">. User input cells </w:t>
      </w:r>
      <w:r w:rsidR="00E4308E" w:rsidRPr="004C12C9">
        <w:t>are</w:t>
      </w:r>
      <w:r w:rsidR="00CB09C3" w:rsidRPr="004C12C9">
        <w:t xml:space="preserve"> </w:t>
      </w:r>
      <w:r w:rsidR="00BB14FC" w:rsidRPr="004C12C9">
        <w:t>shaded</w:t>
      </w:r>
      <w:r w:rsidR="0029793F" w:rsidRPr="004C12C9">
        <w:t xml:space="preserve"> yellow</w:t>
      </w:r>
      <w:r w:rsidR="00CB09C3" w:rsidRPr="004C12C9">
        <w:t xml:space="preserve"> so it is clear which cells require data. </w:t>
      </w:r>
      <w:r w:rsidR="00837470" w:rsidRPr="004C12C9">
        <w:t>D</w:t>
      </w:r>
      <w:r w:rsidR="00CB09C3" w:rsidRPr="004C12C9">
        <w:t xml:space="preserve">efault assumptions and emission factors </w:t>
      </w:r>
      <w:r w:rsidR="00837470" w:rsidRPr="004C12C9">
        <w:t xml:space="preserve">are provided in </w:t>
      </w:r>
      <w:r w:rsidR="00E17BCF" w:rsidRPr="004C12C9">
        <w:t>gray</w:t>
      </w:r>
      <w:r w:rsidR="00837470" w:rsidRPr="004C12C9">
        <w:t xml:space="preserve"> </w:t>
      </w:r>
      <w:r w:rsidR="007629DC" w:rsidRPr="004C12C9">
        <w:t xml:space="preserve">and </w:t>
      </w:r>
      <w:r w:rsidR="00527F05" w:rsidRPr="004C12C9">
        <w:t xml:space="preserve">can </w:t>
      </w:r>
      <w:r w:rsidR="007629DC" w:rsidRPr="004C12C9">
        <w:t xml:space="preserve">be </w:t>
      </w:r>
      <w:r w:rsidR="004571FF" w:rsidRPr="004C12C9">
        <w:t xml:space="preserve">populated </w:t>
      </w:r>
      <w:r w:rsidR="00527F05" w:rsidRPr="004C12C9">
        <w:t xml:space="preserve">by selecting the </w:t>
      </w:r>
      <w:r w:rsidR="004F5480" w:rsidRPr="004C12C9">
        <w:t>“</w:t>
      </w:r>
      <w:r w:rsidR="00527F05" w:rsidRPr="004C12C9">
        <w:t>Apply Defaults</w:t>
      </w:r>
      <w:r w:rsidR="004F5480" w:rsidRPr="004C12C9">
        <w:t>”</w:t>
      </w:r>
      <w:r w:rsidR="00527F05" w:rsidRPr="004C12C9">
        <w:t xml:space="preserve"> buttons next to each emission source user input table. </w:t>
      </w:r>
      <w:r w:rsidR="00D55CCC" w:rsidRPr="004C12C9">
        <w:t>A</w:t>
      </w:r>
      <w:r w:rsidR="00252974" w:rsidRPr="004C12C9">
        <w:t xml:space="preserve"> “Reset ALL Inputs” button is included if users would like to clear all user inputs from this tab.</w:t>
      </w:r>
      <w:r w:rsidR="00975242" w:rsidRPr="004C12C9">
        <w:t xml:space="preserve"> </w:t>
      </w:r>
      <w:r w:rsidR="0071215A" w:rsidRPr="004C12C9">
        <w:t xml:space="preserve">Checker icons </w:t>
      </w:r>
      <w:r w:rsidR="00BA41F1" w:rsidRPr="004C12C9">
        <w:t>throughout the tab</w:t>
      </w:r>
      <w:r w:rsidR="00951738" w:rsidRPr="004C12C9">
        <w:t xml:space="preserve"> </w:t>
      </w:r>
      <w:r w:rsidR="0071300F" w:rsidRPr="004C12C9">
        <w:t>are color c</w:t>
      </w:r>
      <w:r w:rsidR="00E8512C" w:rsidRPr="004C12C9">
        <w:t>oded as follows</w:t>
      </w:r>
      <w:r w:rsidR="00EC3DAD" w:rsidRPr="004C12C9">
        <w:t>:</w:t>
      </w:r>
    </w:p>
    <w:p w14:paraId="62CB8794" w14:textId="5D2B016A" w:rsidR="00C92B4E" w:rsidRPr="004C12C9" w:rsidRDefault="00C92B4E" w:rsidP="003B5F7F">
      <w:pPr>
        <w:pStyle w:val="ListParagraph"/>
        <w:numPr>
          <w:ilvl w:val="0"/>
          <w:numId w:val="41"/>
        </w:numPr>
      </w:pPr>
      <w:r w:rsidRPr="004C12C9">
        <w:t>A</w:t>
      </w:r>
      <w:r w:rsidR="00825E41" w:rsidRPr="004C12C9">
        <w:t xml:space="preserve"> </w:t>
      </w:r>
      <w:r w:rsidR="00825E41" w:rsidRPr="004C12C9">
        <w:rPr>
          <w:b/>
          <w:bCs/>
        </w:rPr>
        <w:t>gray circle</w:t>
      </w:r>
      <w:r w:rsidR="00825E41" w:rsidRPr="004C12C9">
        <w:t xml:space="preserve"> </w:t>
      </w:r>
      <w:r w:rsidR="008531F9" w:rsidRPr="004C12C9">
        <w:rPr>
          <w:noProof/>
        </w:rPr>
        <w:drawing>
          <wp:inline distT="0" distB="0" distL="0" distR="0" wp14:anchorId="37C0F879" wp14:editId="70B52A23">
            <wp:extent cx="89647" cy="91440"/>
            <wp:effectExtent l="0" t="0" r="5715" b="3810"/>
            <wp:docPr id="166094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8910" name=""/>
                    <pic:cNvPicPr/>
                  </pic:nvPicPr>
                  <pic:blipFill rotWithShape="1">
                    <a:blip r:embed="rId153"/>
                    <a:srcRect l="16667" t="17742" b="1"/>
                    <a:stretch/>
                  </pic:blipFill>
                  <pic:spPr bwMode="auto">
                    <a:xfrm>
                      <a:off x="0" y="0"/>
                      <a:ext cx="89647" cy="91440"/>
                    </a:xfrm>
                    <a:prstGeom prst="rect">
                      <a:avLst/>
                    </a:prstGeom>
                    <a:ln>
                      <a:noFill/>
                    </a:ln>
                    <a:extLst>
                      <a:ext uri="{53640926-AAD7-44D8-BBD7-CCE9431645EC}">
                        <a14:shadowObscured xmlns:a14="http://schemas.microsoft.com/office/drawing/2010/main"/>
                      </a:ext>
                    </a:extLst>
                  </pic:spPr>
                </pic:pic>
              </a:graphicData>
            </a:graphic>
          </wp:inline>
        </w:drawing>
      </w:r>
      <w:r w:rsidR="008531F9" w:rsidRPr="004C12C9">
        <w:t xml:space="preserve"> </w:t>
      </w:r>
      <w:r w:rsidR="000F34FA" w:rsidRPr="004C12C9">
        <w:t xml:space="preserve">icon </w:t>
      </w:r>
      <w:r w:rsidR="00825E41" w:rsidRPr="004C12C9">
        <w:t xml:space="preserve">if the emission source is </w:t>
      </w:r>
      <w:r w:rsidR="00C85780" w:rsidRPr="004C12C9">
        <w:t>excluded</w:t>
      </w:r>
      <w:r w:rsidR="00993029" w:rsidRPr="004C12C9">
        <w:t xml:space="preserve"> from the calculations</w:t>
      </w:r>
    </w:p>
    <w:p w14:paraId="67AF3FFF" w14:textId="4C4BD461" w:rsidR="00C92B4E" w:rsidRPr="004C12C9" w:rsidRDefault="00C92B4E" w:rsidP="003B5F7F">
      <w:pPr>
        <w:pStyle w:val="ListParagraph"/>
        <w:numPr>
          <w:ilvl w:val="0"/>
          <w:numId w:val="41"/>
        </w:numPr>
      </w:pPr>
      <w:r w:rsidRPr="004C12C9">
        <w:t>A</w:t>
      </w:r>
      <w:r w:rsidR="00825E41" w:rsidRPr="004C12C9">
        <w:t xml:space="preserve"> </w:t>
      </w:r>
      <w:r w:rsidR="00825E41" w:rsidRPr="004C12C9">
        <w:rPr>
          <w:b/>
          <w:bCs/>
        </w:rPr>
        <w:t xml:space="preserve">red x </w:t>
      </w:r>
      <w:r w:rsidR="00B77081" w:rsidRPr="004C12C9">
        <w:rPr>
          <w:b/>
          <w:bCs/>
          <w:noProof/>
        </w:rPr>
        <w:drawing>
          <wp:inline distT="0" distB="0" distL="0" distR="0" wp14:anchorId="11103E25" wp14:editId="7D73889E">
            <wp:extent cx="95172" cy="91440"/>
            <wp:effectExtent l="0" t="0" r="635" b="3810"/>
            <wp:docPr id="166549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6254" name=""/>
                    <pic:cNvPicPr/>
                  </pic:nvPicPr>
                  <pic:blipFill rotWithShape="1">
                    <a:blip r:embed="rId154"/>
                    <a:srcRect l="15000" t="12500" r="-1"/>
                    <a:stretch/>
                  </pic:blipFill>
                  <pic:spPr bwMode="auto">
                    <a:xfrm>
                      <a:off x="0" y="0"/>
                      <a:ext cx="95172" cy="91440"/>
                    </a:xfrm>
                    <a:prstGeom prst="rect">
                      <a:avLst/>
                    </a:prstGeom>
                    <a:ln>
                      <a:noFill/>
                    </a:ln>
                    <a:extLst>
                      <a:ext uri="{53640926-AAD7-44D8-BBD7-CCE9431645EC}">
                        <a14:shadowObscured xmlns:a14="http://schemas.microsoft.com/office/drawing/2010/main"/>
                      </a:ext>
                    </a:extLst>
                  </pic:spPr>
                </pic:pic>
              </a:graphicData>
            </a:graphic>
          </wp:inline>
        </w:drawing>
      </w:r>
      <w:r w:rsidR="00B77081" w:rsidRPr="004C12C9">
        <w:rPr>
          <w:b/>
          <w:bCs/>
        </w:rPr>
        <w:t xml:space="preserve"> </w:t>
      </w:r>
      <w:r w:rsidR="000F34FA" w:rsidRPr="004C12C9">
        <w:t>icon</w:t>
      </w:r>
      <w:r w:rsidR="00825E41" w:rsidRPr="004C12C9">
        <w:t xml:space="preserve"> if</w:t>
      </w:r>
      <w:r w:rsidR="003F4850" w:rsidRPr="004C12C9">
        <w:t xml:space="preserve"> </w:t>
      </w:r>
      <w:r w:rsidR="00300C6B" w:rsidRPr="004C12C9">
        <w:t xml:space="preserve">the emission source is </w:t>
      </w:r>
      <w:r w:rsidR="0061046E" w:rsidRPr="004C12C9">
        <w:t xml:space="preserve">applicable </w:t>
      </w:r>
      <w:r w:rsidR="00300C6B" w:rsidRPr="004C12C9">
        <w:t xml:space="preserve">but required </w:t>
      </w:r>
      <w:r w:rsidR="0061046E" w:rsidRPr="004C12C9">
        <w:t xml:space="preserve">data </w:t>
      </w:r>
      <w:r w:rsidR="00300C6B" w:rsidRPr="004C12C9">
        <w:t>inputs</w:t>
      </w:r>
      <w:r w:rsidR="0061046E" w:rsidRPr="004C12C9">
        <w:t xml:space="preserve"> are missing</w:t>
      </w:r>
    </w:p>
    <w:p w14:paraId="6A331279" w14:textId="77777777" w:rsidR="00ED1C2D" w:rsidRDefault="00AA6F93" w:rsidP="00ED1C2D">
      <w:pPr>
        <w:pStyle w:val="ListParagraph"/>
        <w:numPr>
          <w:ilvl w:val="0"/>
          <w:numId w:val="41"/>
        </w:numPr>
      </w:pPr>
      <w:r w:rsidRPr="004C12C9">
        <w:t>A</w:t>
      </w:r>
      <w:r w:rsidR="00300C6B" w:rsidRPr="004C12C9">
        <w:t xml:space="preserve"> </w:t>
      </w:r>
      <w:r w:rsidR="00300C6B" w:rsidRPr="004C12C9">
        <w:rPr>
          <w:b/>
          <w:bCs/>
        </w:rPr>
        <w:t>green check</w:t>
      </w:r>
      <w:r w:rsidR="00300C6B" w:rsidRPr="004C12C9">
        <w:t xml:space="preserve"> </w:t>
      </w:r>
      <w:r w:rsidR="000F488B" w:rsidRPr="004C12C9">
        <w:rPr>
          <w:noProof/>
        </w:rPr>
        <w:drawing>
          <wp:inline distT="0" distB="0" distL="0" distR="0" wp14:anchorId="465D2AFE" wp14:editId="095E7573">
            <wp:extent cx="91440" cy="91440"/>
            <wp:effectExtent l="0" t="0" r="3810" b="3810"/>
            <wp:docPr id="142612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29830" name=""/>
                    <pic:cNvPicPr/>
                  </pic:nvPicPr>
                  <pic:blipFill>
                    <a:blip r:embed="rId155"/>
                    <a:stretch>
                      <a:fillRect/>
                    </a:stretch>
                  </pic:blipFill>
                  <pic:spPr>
                    <a:xfrm>
                      <a:off x="0" y="0"/>
                      <a:ext cx="91440" cy="91440"/>
                    </a:xfrm>
                    <a:prstGeom prst="rect">
                      <a:avLst/>
                    </a:prstGeom>
                  </pic:spPr>
                </pic:pic>
              </a:graphicData>
            </a:graphic>
          </wp:inline>
        </w:drawing>
      </w:r>
      <w:r w:rsidR="000F488B" w:rsidRPr="004C12C9">
        <w:t xml:space="preserve"> </w:t>
      </w:r>
      <w:r w:rsidR="00300C6B" w:rsidRPr="004C12C9">
        <w:t xml:space="preserve">icon if </w:t>
      </w:r>
      <w:r w:rsidR="00BD0ACF" w:rsidRPr="004C12C9">
        <w:t xml:space="preserve">the emission source is </w:t>
      </w:r>
      <w:r w:rsidRPr="004C12C9">
        <w:t xml:space="preserve">applicable </w:t>
      </w:r>
      <w:r w:rsidR="000F34FA" w:rsidRPr="004C12C9">
        <w:t xml:space="preserve">and all required inputs </w:t>
      </w:r>
      <w:r w:rsidR="004A5E1E" w:rsidRPr="004C12C9">
        <w:t>are</w:t>
      </w:r>
      <w:r w:rsidR="000F34FA" w:rsidRPr="004C12C9">
        <w:t xml:space="preserve"> provided</w:t>
      </w:r>
      <w:r w:rsidR="00ED1C2D" w:rsidRPr="00ED1C2D">
        <w:t xml:space="preserve"> </w:t>
      </w:r>
    </w:p>
    <w:p w14:paraId="3467EB18" w14:textId="4AF63F88" w:rsidR="00ED1C2D" w:rsidRDefault="00ED1C2D" w:rsidP="00ED1C2D">
      <w:pPr>
        <w:pStyle w:val="ListParagraph"/>
        <w:numPr>
          <w:ilvl w:val="0"/>
          <w:numId w:val="41"/>
        </w:numPr>
      </w:pPr>
      <w:r>
        <w:t xml:space="preserve">A </w:t>
      </w:r>
      <w:r w:rsidRPr="001D7F63">
        <w:rPr>
          <w:b/>
          <w:bCs/>
        </w:rPr>
        <w:t>blue star</w:t>
      </w:r>
      <w:r>
        <w:t xml:space="preserve"> </w:t>
      </w:r>
      <w:r w:rsidR="001D7F63">
        <w:rPr>
          <w:noProof/>
        </w:rPr>
        <w:drawing>
          <wp:inline distT="0" distB="0" distL="0" distR="0" wp14:anchorId="40078733" wp14:editId="7BDA7848">
            <wp:extent cx="91440" cy="91440"/>
            <wp:effectExtent l="0" t="0" r="3810" b="3810"/>
            <wp:docPr id="1014562328" name="Graphic 1"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62328" name="Graphic 1014562328" descr="Star with solid fill"/>
                    <pic:cNvPicPr/>
                  </pic:nvPicPr>
                  <pic:blipFill>
                    <a:blip r:embed="rId156">
                      <a:extLst>
                        <a:ext uri="{96DAC541-7B7A-43D3-8B79-37D633B846F1}">
                          <asvg:svgBlip xmlns:asvg="http://schemas.microsoft.com/office/drawing/2016/SVG/main" r:embed="rId157"/>
                        </a:ext>
                      </a:extLst>
                    </a:blip>
                    <a:stretch>
                      <a:fillRect/>
                    </a:stretch>
                  </pic:blipFill>
                  <pic:spPr>
                    <a:xfrm>
                      <a:off x="0" y="0"/>
                      <a:ext cx="91440" cy="91440"/>
                    </a:xfrm>
                    <a:prstGeom prst="rect">
                      <a:avLst/>
                    </a:prstGeom>
                  </pic:spPr>
                </pic:pic>
              </a:graphicData>
            </a:graphic>
          </wp:inline>
        </w:drawing>
      </w:r>
      <w:r w:rsidR="001D7F63">
        <w:t xml:space="preserve"> </w:t>
      </w:r>
      <w:r>
        <w:t>icon if the input is for mitigation measure quantification</w:t>
      </w:r>
    </w:p>
    <w:p w14:paraId="735A0C27" w14:textId="11B2B6F6" w:rsidR="00BB0E3F" w:rsidRPr="004C12C9" w:rsidRDefault="00BB0E3F" w:rsidP="00ED1C2D">
      <w:pPr>
        <w:pStyle w:val="ListParagraph"/>
        <w:ind w:left="720"/>
      </w:pPr>
    </w:p>
    <w:p w14:paraId="03BD6986" w14:textId="693F017A" w:rsidR="00A3612A" w:rsidRPr="004C12C9" w:rsidRDefault="00247960" w:rsidP="00203A6D">
      <w:r w:rsidRPr="004C12C9">
        <w:rPr>
          <w:b/>
          <w:bCs/>
        </w:rPr>
        <w:lastRenderedPageBreak/>
        <w:t xml:space="preserve">Material Inputs: </w:t>
      </w:r>
      <w:r w:rsidR="00464F98" w:rsidRPr="004C12C9">
        <w:t>If material inputs</w:t>
      </w:r>
      <w:r w:rsidR="009270E8" w:rsidRPr="004C12C9">
        <w:t xml:space="preserve"> and transportation of material inputs are </w:t>
      </w:r>
      <w:r w:rsidR="00CD04B7" w:rsidRPr="004C12C9">
        <w:t>applicable to</w:t>
      </w:r>
      <w:r w:rsidR="00D5672D" w:rsidRPr="004C12C9">
        <w:t xml:space="preserve"> the project</w:t>
      </w:r>
      <w:r w:rsidR="00A8313B" w:rsidRPr="004C12C9">
        <w:t xml:space="preserve">, </w:t>
      </w:r>
      <w:r w:rsidR="0073095C" w:rsidRPr="004C12C9">
        <w:t xml:space="preserve">a user is required to </w:t>
      </w:r>
      <w:r w:rsidR="00A25BE0" w:rsidRPr="004C12C9">
        <w:t xml:space="preserve">enter </w:t>
      </w:r>
      <w:r w:rsidR="00A8313B" w:rsidRPr="004C12C9">
        <w:t>the inputs</w:t>
      </w:r>
      <w:r w:rsidR="004F5480" w:rsidRPr="004C12C9">
        <w:t xml:space="preserve"> </w:t>
      </w:r>
      <w:r w:rsidR="00083A36" w:rsidRPr="004C12C9">
        <w:t xml:space="preserve">described </w:t>
      </w:r>
      <w:r w:rsidR="004F5480" w:rsidRPr="004C12C9">
        <w:t xml:space="preserve">in </w:t>
      </w:r>
      <w:r w:rsidR="004F5480" w:rsidRPr="004C12C9">
        <w:fldChar w:fldCharType="begin" w:fldLock="1"/>
      </w:r>
      <w:r w:rsidR="004F5480" w:rsidRPr="004C12C9">
        <w:instrText xml:space="preserve"> REF _Ref195879108 \h </w:instrText>
      </w:r>
      <w:r w:rsidR="00EC4569" w:rsidRPr="004C12C9">
        <w:instrText xml:space="preserve"> \* MERGEFORMAT </w:instrText>
      </w:r>
      <w:r w:rsidR="004F5480" w:rsidRPr="004C12C9">
        <w:fldChar w:fldCharType="separate"/>
      </w:r>
      <w:r w:rsidR="00127094" w:rsidRPr="004C12C9">
        <w:t>Table D-4</w:t>
      </w:r>
      <w:r w:rsidR="004F5480" w:rsidRPr="004C12C9">
        <w:fldChar w:fldCharType="end"/>
      </w:r>
      <w:r w:rsidR="004F5480" w:rsidRPr="004C12C9">
        <w:t>.</w:t>
      </w:r>
    </w:p>
    <w:p w14:paraId="6EA34673" w14:textId="572760B9" w:rsidR="004F5480" w:rsidRPr="004C12C9" w:rsidRDefault="004F5480" w:rsidP="004F5480">
      <w:pPr>
        <w:pStyle w:val="Caption"/>
      </w:pPr>
      <w:bookmarkStart w:id="336" w:name="_Ref195879108"/>
      <w:r w:rsidRPr="004C12C9">
        <w:t>Table D-</w:t>
      </w:r>
      <w:r w:rsidR="00CD282D">
        <w:fldChar w:fldCharType="begin"/>
      </w:r>
      <w:r w:rsidR="00CD282D">
        <w:instrText xml:space="preserve"> SEQ Table_D- \* ARABIC </w:instrText>
      </w:r>
      <w:r w:rsidR="00CD282D">
        <w:fldChar w:fldCharType="separate"/>
      </w:r>
      <w:r w:rsidR="00CD282D" w:rsidRPr="004C12C9">
        <w:t>4</w:t>
      </w:r>
      <w:r w:rsidR="00CD282D">
        <w:fldChar w:fldCharType="end"/>
      </w:r>
      <w:bookmarkEnd w:id="336"/>
      <w:r w:rsidRPr="004C12C9">
        <w:t>. User Inputs for Material Inputs</w:t>
      </w:r>
    </w:p>
    <w:tbl>
      <w:tblPr>
        <w:tblStyle w:val="TableGridLight"/>
        <w:tblW w:w="0" w:type="auto"/>
        <w:tblLook w:val="04A0" w:firstRow="1" w:lastRow="0" w:firstColumn="1" w:lastColumn="0" w:noHBand="0" w:noVBand="1"/>
      </w:tblPr>
      <w:tblGrid>
        <w:gridCol w:w="1345"/>
        <w:gridCol w:w="1350"/>
        <w:gridCol w:w="2117"/>
        <w:gridCol w:w="2203"/>
        <w:gridCol w:w="2335"/>
      </w:tblGrid>
      <w:tr w:rsidR="00E47526" w:rsidRPr="004C12C9" w14:paraId="26D56DAE" w14:textId="77777777" w:rsidTr="00C86C97">
        <w:tc>
          <w:tcPr>
            <w:tcW w:w="1345" w:type="dxa"/>
            <w:shd w:val="clear" w:color="auto" w:fill="D9D9D9" w:themeFill="background1" w:themeFillShade="D9"/>
            <w:vAlign w:val="center"/>
          </w:tcPr>
          <w:p w14:paraId="26650059" w14:textId="78323370" w:rsidR="00E47526" w:rsidRPr="004C12C9" w:rsidRDefault="00BE1BE0" w:rsidP="00C75D42">
            <w:pPr>
              <w:pStyle w:val="ICFTableHeading"/>
              <w:rPr>
                <w:rFonts w:ascii="Calibri" w:eastAsia="Times New Roman" w:hAnsi="Calibri" w:cs="Times New Roman"/>
                <w:sz w:val="20"/>
                <w:szCs w:val="18"/>
                <w:lang w:eastAsia="en-US" w:bidi="en-US"/>
              </w:rPr>
            </w:pPr>
            <w:r w:rsidRPr="004C12C9">
              <w:rPr>
                <w:sz w:val="20"/>
                <w:szCs w:val="18"/>
                <w:lang w:bidi="en-US"/>
              </w:rPr>
              <w:t>Input</w:t>
            </w:r>
          </w:p>
        </w:tc>
        <w:tc>
          <w:tcPr>
            <w:tcW w:w="1350" w:type="dxa"/>
            <w:shd w:val="clear" w:color="auto" w:fill="D9D9D9" w:themeFill="background1" w:themeFillShade="D9"/>
            <w:vAlign w:val="center"/>
          </w:tcPr>
          <w:p w14:paraId="0BCB30A0" w14:textId="38EC3E48" w:rsidR="00E47526" w:rsidRPr="004C12C9" w:rsidRDefault="00BE1BE0" w:rsidP="00C75D42">
            <w:pPr>
              <w:pStyle w:val="ICFTableHeading"/>
              <w:rPr>
                <w:rFonts w:ascii="Calibri" w:eastAsia="Times New Roman" w:hAnsi="Calibri" w:cs="Times New Roman"/>
                <w:sz w:val="20"/>
                <w:szCs w:val="18"/>
                <w:lang w:eastAsia="en-US" w:bidi="en-US"/>
              </w:rPr>
            </w:pPr>
            <w:r w:rsidRPr="004C12C9">
              <w:rPr>
                <w:sz w:val="20"/>
                <w:szCs w:val="18"/>
                <w:lang w:bidi="en-US"/>
              </w:rPr>
              <w:t>Input Type</w:t>
            </w:r>
          </w:p>
        </w:tc>
        <w:tc>
          <w:tcPr>
            <w:tcW w:w="2117" w:type="dxa"/>
            <w:shd w:val="clear" w:color="auto" w:fill="D9D9D9" w:themeFill="background1" w:themeFillShade="D9"/>
            <w:vAlign w:val="center"/>
          </w:tcPr>
          <w:p w14:paraId="0D1518E2" w14:textId="5A1E2DE4" w:rsidR="00E47526" w:rsidRPr="004C12C9" w:rsidRDefault="00BE1BE0" w:rsidP="00C75D42">
            <w:pPr>
              <w:pStyle w:val="ICFTableHeading"/>
              <w:rPr>
                <w:rFonts w:ascii="Calibri" w:eastAsia="Times New Roman" w:hAnsi="Calibri" w:cs="Times New Roman"/>
                <w:sz w:val="20"/>
                <w:szCs w:val="18"/>
                <w:lang w:eastAsia="en-US" w:bidi="en-US"/>
              </w:rPr>
            </w:pPr>
            <w:r w:rsidRPr="004C12C9">
              <w:rPr>
                <w:sz w:val="20"/>
                <w:szCs w:val="18"/>
                <w:lang w:bidi="en-US"/>
              </w:rPr>
              <w:t>Data validation</w:t>
            </w:r>
          </w:p>
        </w:tc>
        <w:tc>
          <w:tcPr>
            <w:tcW w:w="2203" w:type="dxa"/>
            <w:shd w:val="clear" w:color="auto" w:fill="D9D9D9" w:themeFill="background1" w:themeFillShade="D9"/>
            <w:vAlign w:val="center"/>
          </w:tcPr>
          <w:p w14:paraId="5F8B3423" w14:textId="31288DC6" w:rsidR="00AD7C6D" w:rsidRPr="004C12C9" w:rsidRDefault="00AD7C6D" w:rsidP="00C75D42">
            <w:pPr>
              <w:pStyle w:val="ICFTableHeading"/>
              <w:rPr>
                <w:rFonts w:ascii="Calibri" w:eastAsia="Times New Roman" w:hAnsi="Calibri" w:cs="Times New Roman"/>
                <w:b w:val="0"/>
                <w:sz w:val="20"/>
                <w:szCs w:val="18"/>
                <w:lang w:eastAsia="en-US" w:bidi="en-US"/>
              </w:rPr>
            </w:pPr>
            <w:r w:rsidRPr="004C12C9">
              <w:rPr>
                <w:sz w:val="20"/>
                <w:szCs w:val="18"/>
                <w:lang w:bidi="en-US"/>
              </w:rPr>
              <w:t xml:space="preserve">Default </w:t>
            </w:r>
            <w:r w:rsidR="0077180C" w:rsidRPr="004C12C9">
              <w:rPr>
                <w:sz w:val="20"/>
                <w:szCs w:val="18"/>
                <w:lang w:bidi="en-US"/>
              </w:rPr>
              <w:t>Assumptions</w:t>
            </w:r>
          </w:p>
        </w:tc>
        <w:tc>
          <w:tcPr>
            <w:tcW w:w="2335" w:type="dxa"/>
            <w:shd w:val="clear" w:color="auto" w:fill="D9D9D9" w:themeFill="background1" w:themeFillShade="D9"/>
            <w:vAlign w:val="center"/>
          </w:tcPr>
          <w:p w14:paraId="7D6856C3" w14:textId="40B25C06" w:rsidR="00E47526" w:rsidRPr="004C12C9" w:rsidRDefault="003351FB" w:rsidP="00C75D42">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w:t>
            </w:r>
            <w:r w:rsidR="00BE1BE0" w:rsidRPr="004C12C9">
              <w:rPr>
                <w:sz w:val="20"/>
                <w:szCs w:val="18"/>
                <w:lang w:bidi="en-US"/>
              </w:rPr>
              <w:t>Use</w:t>
            </w:r>
          </w:p>
        </w:tc>
      </w:tr>
      <w:tr w:rsidR="00E47526" w:rsidRPr="004C12C9" w14:paraId="7C34419E" w14:textId="77777777" w:rsidTr="00C86C97">
        <w:tc>
          <w:tcPr>
            <w:tcW w:w="1345" w:type="dxa"/>
            <w:vAlign w:val="center"/>
          </w:tcPr>
          <w:p w14:paraId="64DD62FB" w14:textId="7C48B9BC" w:rsidR="00E47526" w:rsidRPr="004C12C9" w:rsidRDefault="00B54529" w:rsidP="00C75D42">
            <w:pPr>
              <w:pStyle w:val="ICFTabletext"/>
              <w:rPr>
                <w:rFonts w:ascii="Calibri" w:eastAsia="Times New Roman" w:hAnsi="Calibri" w:cs="Times New Roman"/>
                <w:sz w:val="20"/>
                <w:lang w:eastAsia="en-US" w:bidi="en-US"/>
              </w:rPr>
            </w:pPr>
            <w:r w:rsidRPr="004C12C9">
              <w:rPr>
                <w:sz w:val="20"/>
                <w:lang w:bidi="en-US"/>
              </w:rPr>
              <w:t>Quantity</w:t>
            </w:r>
          </w:p>
        </w:tc>
        <w:tc>
          <w:tcPr>
            <w:tcW w:w="1350" w:type="dxa"/>
            <w:vAlign w:val="center"/>
          </w:tcPr>
          <w:p w14:paraId="1C2B2EEC" w14:textId="3CC42435" w:rsidR="00E47526" w:rsidRPr="004C12C9" w:rsidRDefault="00137CE4" w:rsidP="00C75D42">
            <w:pPr>
              <w:pStyle w:val="ICFTabletext"/>
              <w:rPr>
                <w:rFonts w:ascii="Calibri" w:eastAsia="Times New Roman" w:hAnsi="Calibri" w:cs="Times New Roman"/>
                <w:sz w:val="20"/>
                <w:lang w:eastAsia="en-US" w:bidi="en-US"/>
              </w:rPr>
            </w:pPr>
            <w:r w:rsidRPr="004C12C9">
              <w:rPr>
                <w:sz w:val="20"/>
                <w:lang w:bidi="en-US"/>
              </w:rPr>
              <w:t>Decimal number</w:t>
            </w:r>
          </w:p>
        </w:tc>
        <w:tc>
          <w:tcPr>
            <w:tcW w:w="2117" w:type="dxa"/>
            <w:vAlign w:val="center"/>
          </w:tcPr>
          <w:p w14:paraId="3FB3D140" w14:textId="12823078" w:rsidR="00E47526" w:rsidRPr="004C12C9" w:rsidRDefault="00137CE4" w:rsidP="00C75D42">
            <w:pPr>
              <w:pStyle w:val="ICFTabletext"/>
              <w:rPr>
                <w:rFonts w:ascii="Calibri" w:eastAsia="Times New Roman" w:hAnsi="Calibri" w:cs="Times New Roman"/>
                <w:sz w:val="20"/>
                <w:lang w:eastAsia="en-US" w:bidi="en-US"/>
              </w:rPr>
            </w:pPr>
            <w:r w:rsidRPr="004C12C9">
              <w:rPr>
                <w:sz w:val="20"/>
                <w:lang w:bidi="en-US"/>
              </w:rPr>
              <w:t xml:space="preserve">Must be a decimal number </w:t>
            </w:r>
            <w:r w:rsidR="003F1A5E" w:rsidRPr="004C12C9">
              <w:rPr>
                <w:rFonts w:ascii="Calibri" w:eastAsia="Times New Roman" w:hAnsi="Calibri" w:cs="Times New Roman"/>
                <w:sz w:val="20"/>
                <w:lang w:eastAsia="en-US" w:bidi="en-US"/>
              </w:rPr>
              <w:t xml:space="preserve">equal to </w:t>
            </w:r>
            <w:r w:rsidR="00A024C5" w:rsidRPr="004C12C9">
              <w:rPr>
                <w:rFonts w:ascii="Calibri" w:eastAsia="Times New Roman" w:hAnsi="Calibri" w:cs="Times New Roman"/>
                <w:sz w:val="20"/>
                <w:lang w:eastAsia="en-US" w:bidi="en-US"/>
              </w:rPr>
              <w:t xml:space="preserve">or </w:t>
            </w:r>
            <w:r w:rsidRPr="004C12C9">
              <w:rPr>
                <w:sz w:val="20"/>
                <w:lang w:bidi="en-US"/>
              </w:rPr>
              <w:t xml:space="preserve">greater than 0. </w:t>
            </w:r>
            <w:r w:rsidR="001270D0" w:rsidRPr="004C12C9">
              <w:rPr>
                <w:sz w:val="20"/>
                <w:lang w:bidi="en-US"/>
              </w:rPr>
              <w:t xml:space="preserve">Red checker appears if </w:t>
            </w:r>
            <w:r w:rsidR="000D11E2" w:rsidRPr="004C12C9">
              <w:rPr>
                <w:rFonts w:ascii="Calibri" w:eastAsia="Times New Roman" w:hAnsi="Calibri" w:cs="Times New Roman"/>
                <w:sz w:val="20"/>
                <w:lang w:eastAsia="en-US" w:bidi="en-US"/>
              </w:rPr>
              <w:t xml:space="preserve">the sum of all </w:t>
            </w:r>
            <w:r w:rsidR="00EF128D" w:rsidRPr="004C12C9">
              <w:rPr>
                <w:rFonts w:ascii="Calibri" w:eastAsia="Times New Roman" w:hAnsi="Calibri" w:cs="Times New Roman"/>
                <w:sz w:val="20"/>
                <w:lang w:eastAsia="en-US" w:bidi="en-US"/>
              </w:rPr>
              <w:t xml:space="preserve">inputs </w:t>
            </w:r>
            <w:r w:rsidR="001E49F4" w:rsidRPr="004C12C9">
              <w:rPr>
                <w:rFonts w:ascii="Calibri" w:eastAsia="Times New Roman" w:hAnsi="Calibri" w:cs="Times New Roman"/>
                <w:sz w:val="20"/>
                <w:lang w:eastAsia="en-US" w:bidi="en-US"/>
              </w:rPr>
              <w:t xml:space="preserve">equals </w:t>
            </w:r>
            <w:r w:rsidR="000D11E2" w:rsidRPr="004C12C9">
              <w:rPr>
                <w:rFonts w:ascii="Calibri" w:eastAsia="Times New Roman" w:hAnsi="Calibri" w:cs="Times New Roman"/>
                <w:sz w:val="20"/>
                <w:lang w:eastAsia="en-US" w:bidi="en-US"/>
              </w:rPr>
              <w:t>0</w:t>
            </w:r>
            <w:r w:rsidR="001270D0" w:rsidRPr="004C12C9">
              <w:rPr>
                <w:sz w:val="20"/>
                <w:lang w:bidi="en-US"/>
              </w:rPr>
              <w:t xml:space="preserve">. </w:t>
            </w:r>
            <w:r w:rsidR="00142107" w:rsidRPr="004C12C9">
              <w:rPr>
                <w:sz w:val="20"/>
                <w:lang w:bidi="en-US"/>
              </w:rPr>
              <w:t xml:space="preserve">For individual </w:t>
            </w:r>
            <w:r w:rsidR="0022105D" w:rsidRPr="004C12C9">
              <w:rPr>
                <w:sz w:val="20"/>
                <w:lang w:bidi="en-US"/>
              </w:rPr>
              <w:t>materials</w:t>
            </w:r>
            <w:r w:rsidR="001270D0" w:rsidRPr="004C12C9">
              <w:rPr>
                <w:sz w:val="20"/>
                <w:lang w:bidi="en-US"/>
              </w:rPr>
              <w:t>, users can leave the quantity blank or 0.</w:t>
            </w:r>
          </w:p>
        </w:tc>
        <w:tc>
          <w:tcPr>
            <w:tcW w:w="2203" w:type="dxa"/>
            <w:vAlign w:val="center"/>
          </w:tcPr>
          <w:p w14:paraId="3477159F" w14:textId="00BB51C0" w:rsidR="00AD7C6D" w:rsidRPr="004C12C9" w:rsidRDefault="00993CAD" w:rsidP="00C75D42">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2335" w:type="dxa"/>
            <w:vAlign w:val="center"/>
          </w:tcPr>
          <w:p w14:paraId="706F62F5" w14:textId="19FECC39" w:rsidR="00E47526" w:rsidRPr="004C12C9" w:rsidRDefault="00B57CB7" w:rsidP="00C75D42">
            <w:pPr>
              <w:pStyle w:val="ICFTabletext"/>
              <w:rPr>
                <w:rFonts w:ascii="Calibri" w:eastAsia="Times New Roman" w:hAnsi="Calibri" w:cs="Times New Roman"/>
                <w:sz w:val="20"/>
                <w:lang w:eastAsia="en-US" w:bidi="en-US"/>
              </w:rPr>
            </w:pPr>
            <w:r w:rsidRPr="004C12C9">
              <w:rPr>
                <w:sz w:val="20"/>
                <w:lang w:bidi="en-US"/>
              </w:rPr>
              <w:t xml:space="preserve">Total amount of material that will be used during construction. </w:t>
            </w:r>
            <w:r w:rsidR="000B67E9" w:rsidRPr="004C12C9">
              <w:rPr>
                <w:sz w:val="20"/>
                <w:lang w:bidi="en-US"/>
              </w:rPr>
              <w:t xml:space="preserve">These quantities are </w:t>
            </w:r>
            <w:r w:rsidR="00CD64D5" w:rsidRPr="004C12C9">
              <w:rPr>
                <w:sz w:val="20"/>
                <w:lang w:bidi="en-US"/>
              </w:rPr>
              <w:t>also</w:t>
            </w:r>
            <w:r w:rsidR="000B67E9" w:rsidRPr="004C12C9">
              <w:rPr>
                <w:sz w:val="20"/>
                <w:lang w:bidi="en-US"/>
              </w:rPr>
              <w:t xml:space="preserve"> used </w:t>
            </w:r>
            <w:r w:rsidR="004A2906" w:rsidRPr="004C12C9">
              <w:rPr>
                <w:rFonts w:ascii="Calibri" w:eastAsia="Times New Roman" w:hAnsi="Calibri" w:cs="Times New Roman"/>
                <w:sz w:val="20"/>
                <w:lang w:eastAsia="en-US" w:bidi="en-US"/>
              </w:rPr>
              <w:t xml:space="preserve">to </w:t>
            </w:r>
            <w:r w:rsidR="00083A36" w:rsidRPr="004C12C9">
              <w:rPr>
                <w:rFonts w:ascii="Calibri" w:eastAsia="Times New Roman" w:hAnsi="Calibri" w:cs="Times New Roman"/>
                <w:sz w:val="20"/>
                <w:lang w:eastAsia="en-US" w:bidi="en-US"/>
              </w:rPr>
              <w:t>calculat</w:t>
            </w:r>
            <w:r w:rsidR="00083A36" w:rsidRPr="004C12C9">
              <w:rPr>
                <w:sz w:val="20"/>
              </w:rPr>
              <w:t>e</w:t>
            </w:r>
            <w:r w:rsidR="00AA4584" w:rsidRPr="004C12C9">
              <w:rPr>
                <w:rFonts w:ascii="Calibri" w:eastAsia="Times New Roman" w:hAnsi="Calibri" w:cs="Times New Roman"/>
                <w:sz w:val="20"/>
                <w:lang w:eastAsia="en-US" w:bidi="en-US"/>
              </w:rPr>
              <w:t xml:space="preserve"> </w:t>
            </w:r>
            <w:r w:rsidR="000B67E9" w:rsidRPr="004C12C9">
              <w:rPr>
                <w:sz w:val="20"/>
                <w:lang w:bidi="en-US"/>
              </w:rPr>
              <w:t>default</w:t>
            </w:r>
            <w:r w:rsidR="00377BEC" w:rsidRPr="004C12C9">
              <w:rPr>
                <w:sz w:val="20"/>
                <w:lang w:bidi="en-US"/>
              </w:rPr>
              <w:t xml:space="preserve"> </w:t>
            </w:r>
            <w:r w:rsidR="00CD64D5" w:rsidRPr="004C12C9">
              <w:rPr>
                <w:sz w:val="20"/>
                <w:lang w:bidi="en-US"/>
              </w:rPr>
              <w:t>construction waste</w:t>
            </w:r>
            <w:r w:rsidR="00AA4584" w:rsidRPr="004C12C9">
              <w:rPr>
                <w:rFonts w:ascii="Calibri" w:eastAsia="Times New Roman" w:hAnsi="Calibri" w:cs="Times New Roman"/>
                <w:sz w:val="20"/>
                <w:lang w:eastAsia="en-US" w:bidi="en-US"/>
              </w:rPr>
              <w:t xml:space="preserve"> material quantities</w:t>
            </w:r>
            <w:r w:rsidR="00CD64D5" w:rsidRPr="004C12C9">
              <w:rPr>
                <w:sz w:val="20"/>
                <w:lang w:bidi="en-US"/>
              </w:rPr>
              <w:t>.</w:t>
            </w:r>
          </w:p>
        </w:tc>
      </w:tr>
      <w:tr w:rsidR="00E47526" w:rsidRPr="004C12C9" w14:paraId="11914F76" w14:textId="77777777" w:rsidTr="00C86C97">
        <w:tc>
          <w:tcPr>
            <w:tcW w:w="1345" w:type="dxa"/>
            <w:vAlign w:val="center"/>
          </w:tcPr>
          <w:p w14:paraId="7BC64AE6" w14:textId="3E830CBC" w:rsidR="00E47526" w:rsidRPr="004C12C9" w:rsidRDefault="00574A8F" w:rsidP="00C75D42">
            <w:pPr>
              <w:pStyle w:val="ICFTabletext"/>
              <w:rPr>
                <w:rFonts w:ascii="Calibri" w:eastAsia="Times New Roman" w:hAnsi="Calibri" w:cs="Times New Roman"/>
                <w:sz w:val="20"/>
                <w:lang w:eastAsia="en-US" w:bidi="en-US"/>
              </w:rPr>
            </w:pPr>
            <w:r w:rsidRPr="004C12C9">
              <w:rPr>
                <w:sz w:val="20"/>
                <w:lang w:bidi="en-US"/>
              </w:rPr>
              <w:t>Unit</w:t>
            </w:r>
          </w:p>
        </w:tc>
        <w:tc>
          <w:tcPr>
            <w:tcW w:w="1350" w:type="dxa"/>
            <w:vAlign w:val="center"/>
          </w:tcPr>
          <w:p w14:paraId="0134472E" w14:textId="0809AD8D" w:rsidR="00E47526" w:rsidRPr="004C12C9" w:rsidRDefault="00516F78" w:rsidP="00C75D42">
            <w:pPr>
              <w:pStyle w:val="ICFTabletext"/>
              <w:rPr>
                <w:rFonts w:ascii="Calibri" w:eastAsia="Times New Roman" w:hAnsi="Calibri" w:cs="Times New Roman"/>
                <w:sz w:val="20"/>
                <w:lang w:eastAsia="en-US" w:bidi="en-US"/>
              </w:rPr>
            </w:pPr>
            <w:r w:rsidRPr="004C12C9">
              <w:rPr>
                <w:sz w:val="20"/>
                <w:lang w:bidi="en-US"/>
              </w:rPr>
              <w:t>Drop-down selection</w:t>
            </w:r>
          </w:p>
        </w:tc>
        <w:tc>
          <w:tcPr>
            <w:tcW w:w="2117" w:type="dxa"/>
            <w:vAlign w:val="center"/>
          </w:tcPr>
          <w:p w14:paraId="4D9B594C" w14:textId="1E7D15C0" w:rsidR="00E47526" w:rsidRPr="004C12C9" w:rsidRDefault="00E634AE" w:rsidP="00C75D42">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r w:rsidR="007B2D8F" w:rsidRPr="004C12C9">
              <w:rPr>
                <w:rFonts w:ascii="Calibri" w:eastAsia="Times New Roman" w:hAnsi="Calibri" w:cs="Times New Roman"/>
                <w:sz w:val="20"/>
                <w:lang w:eastAsia="en-US" w:bidi="en-US"/>
              </w:rPr>
              <w:t>.</w:t>
            </w:r>
          </w:p>
        </w:tc>
        <w:tc>
          <w:tcPr>
            <w:tcW w:w="2203" w:type="dxa"/>
            <w:vAlign w:val="center"/>
          </w:tcPr>
          <w:p w14:paraId="3CF9AE74" w14:textId="4018252C" w:rsidR="00AD7C6D" w:rsidRPr="004C12C9" w:rsidRDefault="00DF04D4" w:rsidP="00C75D42">
            <w:pPr>
              <w:pStyle w:val="ICFTabletext"/>
              <w:rPr>
                <w:rFonts w:ascii="Calibri" w:eastAsia="Times New Roman" w:hAnsi="Calibri" w:cs="Times New Roman"/>
                <w:sz w:val="20"/>
                <w:lang w:eastAsia="en-US" w:bidi="en-US"/>
              </w:rPr>
            </w:pPr>
            <w:r w:rsidRPr="004C12C9">
              <w:rPr>
                <w:sz w:val="20"/>
                <w:lang w:bidi="en-US"/>
              </w:rPr>
              <w:t xml:space="preserve">Calculator </w:t>
            </w:r>
            <w:r w:rsidR="00011B8E" w:rsidRPr="004C12C9">
              <w:rPr>
                <w:sz w:val="20"/>
                <w:lang w:bidi="en-US"/>
              </w:rPr>
              <w:t xml:space="preserve">is defaulted to </w:t>
            </w:r>
            <w:r w:rsidR="0079544F" w:rsidRPr="004C12C9">
              <w:rPr>
                <w:sz w:val="20"/>
                <w:lang w:bidi="en-US"/>
              </w:rPr>
              <w:t>tons.</w:t>
            </w:r>
            <w:r w:rsidR="00895FB0" w:rsidRPr="004C12C9">
              <w:rPr>
                <w:rFonts w:ascii="Calibri" w:eastAsia="Times New Roman" w:hAnsi="Calibri" w:cs="Times New Roman"/>
                <w:sz w:val="20"/>
                <w:lang w:eastAsia="en-US" w:bidi="en-US"/>
              </w:rPr>
              <w:t xml:space="preserve"> </w:t>
            </w:r>
          </w:p>
        </w:tc>
        <w:tc>
          <w:tcPr>
            <w:tcW w:w="2335" w:type="dxa"/>
            <w:vAlign w:val="center"/>
          </w:tcPr>
          <w:p w14:paraId="5BBD8B2E" w14:textId="366C8DF1" w:rsidR="00E47526" w:rsidRPr="004C12C9" w:rsidRDefault="00713C83" w:rsidP="00C75D42">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Identifies the unit of measure for the provided material quantity</w:t>
            </w:r>
            <w:r w:rsidR="001851AB" w:rsidRPr="004C12C9">
              <w:rPr>
                <w:sz w:val="20"/>
                <w:lang w:bidi="en-US"/>
              </w:rPr>
              <w:t xml:space="preserve">. </w:t>
            </w:r>
          </w:p>
        </w:tc>
      </w:tr>
      <w:tr w:rsidR="002B332A" w:rsidRPr="004C12C9" w14:paraId="62A76BC3" w14:textId="77777777" w:rsidTr="00C86C97">
        <w:tc>
          <w:tcPr>
            <w:tcW w:w="1345" w:type="dxa"/>
            <w:vAlign w:val="center"/>
          </w:tcPr>
          <w:p w14:paraId="765A4B22" w14:textId="664FB032" w:rsidR="002B332A" w:rsidRPr="004C12C9" w:rsidRDefault="002B332A" w:rsidP="00C75D42">
            <w:pPr>
              <w:pStyle w:val="ICFTabletext"/>
              <w:rPr>
                <w:rFonts w:ascii="Calibri" w:eastAsia="Times New Roman" w:hAnsi="Calibri" w:cs="Times New Roman"/>
                <w:sz w:val="20"/>
                <w:lang w:eastAsia="en-US" w:bidi="en-US"/>
              </w:rPr>
            </w:pPr>
            <w:r w:rsidRPr="004C12C9">
              <w:rPr>
                <w:sz w:val="20"/>
                <w:lang w:bidi="en-US"/>
              </w:rPr>
              <w:t>Geographical Sourcing</w:t>
            </w:r>
          </w:p>
        </w:tc>
        <w:tc>
          <w:tcPr>
            <w:tcW w:w="1350" w:type="dxa"/>
            <w:vAlign w:val="center"/>
          </w:tcPr>
          <w:p w14:paraId="0101571C" w14:textId="1A276082" w:rsidR="002B332A" w:rsidRPr="004C12C9" w:rsidRDefault="002B332A" w:rsidP="00C75D42">
            <w:pPr>
              <w:pStyle w:val="ICFTabletext"/>
              <w:rPr>
                <w:rFonts w:ascii="Calibri" w:eastAsia="Times New Roman" w:hAnsi="Calibri" w:cs="Times New Roman"/>
                <w:sz w:val="20"/>
                <w:lang w:eastAsia="en-US" w:bidi="en-US"/>
              </w:rPr>
            </w:pPr>
            <w:r w:rsidRPr="004C12C9">
              <w:rPr>
                <w:sz w:val="20"/>
                <w:lang w:bidi="en-US"/>
              </w:rPr>
              <w:t>Drop-down selection</w:t>
            </w:r>
          </w:p>
        </w:tc>
        <w:tc>
          <w:tcPr>
            <w:tcW w:w="2117" w:type="dxa"/>
            <w:vAlign w:val="center"/>
          </w:tcPr>
          <w:p w14:paraId="2B77751C" w14:textId="7D8E26B8" w:rsidR="002B332A" w:rsidRPr="004C12C9" w:rsidRDefault="007B2D8F" w:rsidP="00C75D42">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p>
        </w:tc>
        <w:tc>
          <w:tcPr>
            <w:tcW w:w="2203" w:type="dxa"/>
            <w:vAlign w:val="center"/>
          </w:tcPr>
          <w:p w14:paraId="20D485E5" w14:textId="7956DE8D" w:rsidR="002B332A" w:rsidRPr="004C12C9" w:rsidRDefault="00DF04D4" w:rsidP="00C75D42">
            <w:pPr>
              <w:pStyle w:val="ICFTabletext"/>
              <w:rPr>
                <w:rFonts w:ascii="Calibri" w:eastAsia="Times New Roman" w:hAnsi="Calibri" w:cs="Times New Roman"/>
                <w:sz w:val="20"/>
                <w:lang w:eastAsia="en-US" w:bidi="en-US"/>
              </w:rPr>
            </w:pPr>
            <w:r w:rsidRPr="004C12C9">
              <w:rPr>
                <w:sz w:val="20"/>
                <w:lang w:bidi="en-US"/>
              </w:rPr>
              <w:t xml:space="preserve">Calculator </w:t>
            </w:r>
            <w:r w:rsidR="0079544F" w:rsidRPr="004C12C9">
              <w:rPr>
                <w:sz w:val="20"/>
                <w:lang w:bidi="en-US"/>
              </w:rPr>
              <w:t xml:space="preserve">is defaulted to </w:t>
            </w:r>
            <w:r w:rsidR="00C75D42" w:rsidRPr="004C12C9">
              <w:rPr>
                <w:sz w:val="20"/>
                <w:lang w:bidi="en-US"/>
              </w:rPr>
              <w:t>“</w:t>
            </w:r>
            <w:r w:rsidR="0079544F" w:rsidRPr="004C12C9">
              <w:rPr>
                <w:sz w:val="20"/>
                <w:lang w:bidi="en-US"/>
              </w:rPr>
              <w:t>Unknown</w:t>
            </w:r>
            <w:r w:rsidR="00C75D42" w:rsidRPr="004C12C9">
              <w:rPr>
                <w:sz w:val="20"/>
                <w:lang w:bidi="en-US"/>
              </w:rPr>
              <w:t>”</w:t>
            </w:r>
            <w:r w:rsidR="0079544F" w:rsidRPr="004C12C9">
              <w:rPr>
                <w:sz w:val="20"/>
                <w:lang w:bidi="en-US"/>
              </w:rPr>
              <w:t xml:space="preserve">, except for </w:t>
            </w:r>
            <w:r w:rsidR="002B332A" w:rsidRPr="004C12C9">
              <w:rPr>
                <w:sz w:val="20"/>
                <w:lang w:bidi="en-US"/>
              </w:rPr>
              <w:t xml:space="preserve">Asphalt and </w:t>
            </w:r>
            <w:r w:rsidR="0079544F" w:rsidRPr="004C12C9">
              <w:rPr>
                <w:sz w:val="20"/>
                <w:lang w:bidi="en-US"/>
              </w:rPr>
              <w:t>C</w:t>
            </w:r>
            <w:r w:rsidR="002B332A" w:rsidRPr="004C12C9">
              <w:rPr>
                <w:sz w:val="20"/>
                <w:lang w:bidi="en-US"/>
              </w:rPr>
              <w:t>oncrete</w:t>
            </w:r>
            <w:r w:rsidR="0079544F" w:rsidRPr="004C12C9">
              <w:rPr>
                <w:sz w:val="20"/>
                <w:lang w:bidi="en-US"/>
              </w:rPr>
              <w:t xml:space="preserve">, which are only </w:t>
            </w:r>
            <w:r w:rsidR="003C6F89" w:rsidRPr="004C12C9">
              <w:rPr>
                <w:rFonts w:ascii="Calibri" w:eastAsia="Times New Roman" w:hAnsi="Calibri" w:cs="Times New Roman"/>
                <w:sz w:val="20"/>
                <w:lang w:eastAsia="en-US" w:bidi="en-US"/>
              </w:rPr>
              <w:t>sourced</w:t>
            </w:r>
            <w:r w:rsidR="004C3873" w:rsidRPr="004C12C9">
              <w:rPr>
                <w:rFonts w:ascii="Calibri" w:eastAsia="Times New Roman" w:hAnsi="Calibri" w:cs="Times New Roman"/>
                <w:sz w:val="20"/>
                <w:lang w:eastAsia="en-US" w:bidi="en-US"/>
              </w:rPr>
              <w:t xml:space="preserve"> domestic</w:t>
            </w:r>
            <w:r w:rsidR="004C3873" w:rsidRPr="004C12C9">
              <w:rPr>
                <w:sz w:val="20"/>
              </w:rPr>
              <w:t>ally</w:t>
            </w:r>
            <w:r w:rsidR="002B332A" w:rsidRPr="004C12C9">
              <w:rPr>
                <w:sz w:val="20"/>
                <w:lang w:bidi="en-US"/>
              </w:rPr>
              <w:t>.</w:t>
            </w:r>
          </w:p>
        </w:tc>
        <w:tc>
          <w:tcPr>
            <w:tcW w:w="2335" w:type="dxa"/>
            <w:vAlign w:val="center"/>
          </w:tcPr>
          <w:p w14:paraId="1421758D" w14:textId="48BCC344" w:rsidR="002B332A" w:rsidRPr="004C12C9" w:rsidRDefault="00713C83" w:rsidP="00C75D42">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Identifies </w:t>
            </w:r>
            <w:r w:rsidR="00491C13" w:rsidRPr="004C12C9">
              <w:rPr>
                <w:rFonts w:ascii="Calibri" w:eastAsia="Times New Roman" w:hAnsi="Calibri" w:cs="Times New Roman"/>
                <w:sz w:val="20"/>
                <w:lang w:eastAsia="en-US" w:bidi="en-US"/>
              </w:rPr>
              <w:t xml:space="preserve">the source of the material input. </w:t>
            </w:r>
            <w:r w:rsidR="00033060" w:rsidRPr="004C12C9">
              <w:rPr>
                <w:rFonts w:ascii="Calibri" w:eastAsia="Times New Roman" w:hAnsi="Calibri" w:cs="Times New Roman"/>
                <w:sz w:val="20"/>
                <w:lang w:eastAsia="en-US" w:bidi="en-US"/>
              </w:rPr>
              <w:t>Select "Unknown" if you do not know the source of the material. Used to determine the</w:t>
            </w:r>
            <w:r w:rsidR="003E3959" w:rsidRPr="004C12C9">
              <w:rPr>
                <w:rFonts w:ascii="Calibri" w:eastAsia="Times New Roman" w:hAnsi="Calibri" w:cs="Times New Roman"/>
                <w:sz w:val="20"/>
                <w:lang w:eastAsia="en-US" w:bidi="en-US"/>
              </w:rPr>
              <w:t xml:space="preserve"> distance traveled by mode for the transportation of material inputs</w:t>
            </w:r>
            <w:r w:rsidR="00EA1874" w:rsidRPr="004C12C9">
              <w:rPr>
                <w:rFonts w:ascii="Calibri" w:eastAsia="Times New Roman" w:hAnsi="Calibri" w:cs="Times New Roman"/>
                <w:sz w:val="20"/>
                <w:lang w:eastAsia="en-US" w:bidi="en-US"/>
              </w:rPr>
              <w:t>.</w:t>
            </w:r>
          </w:p>
        </w:tc>
      </w:tr>
    </w:tbl>
    <w:p w14:paraId="37949441" w14:textId="1478E9AE" w:rsidR="00D5672D" w:rsidRPr="004C12C9" w:rsidRDefault="00EA1874" w:rsidP="004F5480">
      <w:r w:rsidRPr="004C12C9">
        <w:rPr>
          <w:b/>
          <w:bCs/>
        </w:rPr>
        <w:t>Employee Commuting:</w:t>
      </w:r>
      <w:r w:rsidRPr="004C12C9">
        <w:t xml:space="preserve"> </w:t>
      </w:r>
      <w:r w:rsidR="00D5672D" w:rsidRPr="004C12C9">
        <w:t xml:space="preserve">If employee commuting is </w:t>
      </w:r>
      <w:r w:rsidR="00CD04B7" w:rsidRPr="004C12C9">
        <w:t>applicable to</w:t>
      </w:r>
      <w:r w:rsidR="00D5672D" w:rsidRPr="004C12C9">
        <w:t xml:space="preserve"> the project, </w:t>
      </w:r>
      <w:r w:rsidR="00A25BE0" w:rsidRPr="004C12C9">
        <w:t xml:space="preserve">a user is required to enter the inputs </w:t>
      </w:r>
      <w:r w:rsidR="00957EA5" w:rsidRPr="004C12C9">
        <w:t>described</w:t>
      </w:r>
      <w:r w:rsidR="00A25BE0" w:rsidRPr="004C12C9">
        <w:t xml:space="preserve"> </w:t>
      </w:r>
      <w:r w:rsidR="004F5480" w:rsidRPr="004C12C9">
        <w:t xml:space="preserve">in </w:t>
      </w:r>
      <w:r w:rsidR="004F5480" w:rsidRPr="004C12C9">
        <w:fldChar w:fldCharType="begin" w:fldLock="1"/>
      </w:r>
      <w:r w:rsidR="004F5480" w:rsidRPr="004C12C9">
        <w:instrText xml:space="preserve"> REF _Ref195879233 \h </w:instrText>
      </w:r>
      <w:r w:rsidR="004F5480" w:rsidRPr="004C12C9">
        <w:fldChar w:fldCharType="separate"/>
      </w:r>
      <w:r w:rsidR="00957EA5" w:rsidRPr="004C12C9">
        <w:t>Table D-5</w:t>
      </w:r>
      <w:r w:rsidR="004F5480" w:rsidRPr="004C12C9">
        <w:fldChar w:fldCharType="end"/>
      </w:r>
      <w:r w:rsidR="004F5480" w:rsidRPr="004C12C9">
        <w:t>.</w:t>
      </w:r>
    </w:p>
    <w:p w14:paraId="76D04A77" w14:textId="3C81E091" w:rsidR="004F5480" w:rsidRPr="004C12C9" w:rsidRDefault="004F5480" w:rsidP="004F5480">
      <w:pPr>
        <w:pStyle w:val="Caption"/>
      </w:pPr>
      <w:bookmarkStart w:id="337" w:name="_Ref195879233"/>
      <w:r w:rsidRPr="004C12C9">
        <w:t>Table D-</w:t>
      </w:r>
      <w:r w:rsidR="00CD282D">
        <w:fldChar w:fldCharType="begin"/>
      </w:r>
      <w:r w:rsidR="00CD282D">
        <w:instrText xml:space="preserve"> SEQ Table_D- \* ARABIC </w:instrText>
      </w:r>
      <w:r w:rsidR="00CD282D">
        <w:fldChar w:fldCharType="separate"/>
      </w:r>
      <w:r w:rsidR="00CD282D" w:rsidRPr="004C12C9">
        <w:t>5</w:t>
      </w:r>
      <w:r w:rsidR="00CD282D">
        <w:fldChar w:fldCharType="end"/>
      </w:r>
      <w:bookmarkEnd w:id="337"/>
      <w:r w:rsidRPr="004C12C9">
        <w:t>. User Inputs for Employee Commuting</w:t>
      </w:r>
    </w:p>
    <w:tbl>
      <w:tblPr>
        <w:tblStyle w:val="TableGridLight"/>
        <w:tblW w:w="9355" w:type="dxa"/>
        <w:tblLayout w:type="fixed"/>
        <w:tblLook w:val="04A0" w:firstRow="1" w:lastRow="0" w:firstColumn="1" w:lastColumn="0" w:noHBand="0" w:noVBand="1"/>
      </w:tblPr>
      <w:tblGrid>
        <w:gridCol w:w="1564"/>
        <w:gridCol w:w="1162"/>
        <w:gridCol w:w="2579"/>
        <w:gridCol w:w="1980"/>
        <w:gridCol w:w="2070"/>
      </w:tblGrid>
      <w:tr w:rsidR="0067627E" w:rsidRPr="004C12C9" w14:paraId="33F6F12E" w14:textId="77777777" w:rsidTr="004D6AFF">
        <w:trPr>
          <w:tblHeader/>
        </w:trPr>
        <w:tc>
          <w:tcPr>
            <w:tcW w:w="1564" w:type="dxa"/>
            <w:shd w:val="clear" w:color="auto" w:fill="D9D9D9" w:themeFill="background1" w:themeFillShade="D9"/>
            <w:vAlign w:val="center"/>
          </w:tcPr>
          <w:p w14:paraId="5A085349" w14:textId="7DA97F77" w:rsidR="00EA1874" w:rsidRPr="004C12C9" w:rsidRDefault="00EA1874" w:rsidP="004D6AFF">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62" w:type="dxa"/>
            <w:shd w:val="clear" w:color="auto" w:fill="D9D9D9" w:themeFill="background1" w:themeFillShade="D9"/>
            <w:vAlign w:val="center"/>
          </w:tcPr>
          <w:p w14:paraId="0C6FF0EA" w14:textId="6A8BEE77" w:rsidR="00EA1874" w:rsidRPr="004C12C9" w:rsidRDefault="00EA1874" w:rsidP="004D6AFF">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79" w:type="dxa"/>
            <w:shd w:val="clear" w:color="auto" w:fill="D9D9D9" w:themeFill="background1" w:themeFillShade="D9"/>
            <w:vAlign w:val="center"/>
          </w:tcPr>
          <w:p w14:paraId="3D79E8DF" w14:textId="15483D59" w:rsidR="00EA1874" w:rsidRPr="004C12C9" w:rsidRDefault="00EA1874" w:rsidP="004D6AFF">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299FE7D9" w14:textId="0F664B50" w:rsidR="00EA1874" w:rsidRPr="004C12C9" w:rsidRDefault="00EA1874" w:rsidP="004D6AFF">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070" w:type="dxa"/>
            <w:shd w:val="clear" w:color="auto" w:fill="D9D9D9" w:themeFill="background1" w:themeFillShade="D9"/>
            <w:vAlign w:val="center"/>
          </w:tcPr>
          <w:p w14:paraId="08E77EC5" w14:textId="6263F694" w:rsidR="00EA1874" w:rsidRPr="004C12C9" w:rsidRDefault="00EA1874" w:rsidP="004D6AFF">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67627E" w:rsidRPr="004C12C9" w14:paraId="2EE5CC80" w14:textId="77777777" w:rsidTr="004D6AFF">
        <w:tc>
          <w:tcPr>
            <w:tcW w:w="1564" w:type="dxa"/>
            <w:vAlign w:val="center"/>
          </w:tcPr>
          <w:p w14:paraId="238F5298" w14:textId="7CA48846" w:rsidR="00D5672D" w:rsidRPr="004C12C9" w:rsidRDefault="00D5672D" w:rsidP="004D6AFF">
            <w:pPr>
              <w:pStyle w:val="ICFTabletext"/>
              <w:rPr>
                <w:rFonts w:ascii="Calibri" w:eastAsia="Times New Roman" w:hAnsi="Calibri" w:cs="Times New Roman"/>
                <w:sz w:val="20"/>
                <w:lang w:eastAsia="en-US" w:bidi="en-US"/>
              </w:rPr>
            </w:pPr>
            <w:r w:rsidRPr="004C12C9">
              <w:rPr>
                <w:sz w:val="20"/>
                <w:lang w:bidi="en-US"/>
              </w:rPr>
              <w:t>Daily Average Number of Employees Commuting</w:t>
            </w:r>
          </w:p>
        </w:tc>
        <w:tc>
          <w:tcPr>
            <w:tcW w:w="1162" w:type="dxa"/>
            <w:vAlign w:val="center"/>
          </w:tcPr>
          <w:p w14:paraId="4C6065BD" w14:textId="6210482F" w:rsidR="00D5672D" w:rsidRPr="004C12C9" w:rsidRDefault="00816C8D" w:rsidP="004D6AFF">
            <w:pPr>
              <w:pStyle w:val="ICFTabletext"/>
              <w:rPr>
                <w:rFonts w:ascii="Calibri" w:eastAsia="Times New Roman" w:hAnsi="Calibri" w:cs="Times New Roman"/>
                <w:sz w:val="20"/>
                <w:lang w:eastAsia="en-US" w:bidi="en-US"/>
              </w:rPr>
            </w:pPr>
            <w:r w:rsidRPr="004C12C9">
              <w:rPr>
                <w:sz w:val="20"/>
                <w:lang w:bidi="en-US"/>
              </w:rPr>
              <w:t>Whole number</w:t>
            </w:r>
          </w:p>
        </w:tc>
        <w:tc>
          <w:tcPr>
            <w:tcW w:w="2579" w:type="dxa"/>
            <w:vAlign w:val="center"/>
          </w:tcPr>
          <w:p w14:paraId="292BD94E" w14:textId="4722A10B" w:rsidR="00D5672D" w:rsidRPr="004C12C9" w:rsidRDefault="00816C8D" w:rsidP="004D6AFF">
            <w:pPr>
              <w:pStyle w:val="ICFTabletext"/>
              <w:rPr>
                <w:rFonts w:ascii="Calibri" w:eastAsia="Times New Roman" w:hAnsi="Calibri" w:cs="Times New Roman"/>
                <w:sz w:val="20"/>
                <w:lang w:eastAsia="en-US" w:bidi="en-US"/>
              </w:rPr>
            </w:pPr>
            <w:r w:rsidRPr="004C12C9">
              <w:rPr>
                <w:sz w:val="20"/>
                <w:lang w:bidi="en-US"/>
              </w:rPr>
              <w:t xml:space="preserve">Must be </w:t>
            </w:r>
            <w:r w:rsidR="003838D9" w:rsidRPr="004C12C9">
              <w:rPr>
                <w:sz w:val="20"/>
                <w:lang w:bidi="en-US"/>
              </w:rPr>
              <w:t xml:space="preserve">a </w:t>
            </w:r>
            <w:r w:rsidRPr="004C12C9">
              <w:rPr>
                <w:sz w:val="20"/>
                <w:lang w:bidi="en-US"/>
              </w:rPr>
              <w:t xml:space="preserve">whole number </w:t>
            </w:r>
            <w:r w:rsidR="00180494" w:rsidRPr="004C12C9">
              <w:rPr>
                <w:sz w:val="20"/>
                <w:lang w:bidi="en-US"/>
              </w:rPr>
              <w:t xml:space="preserve">equal to or </w:t>
            </w:r>
            <w:r w:rsidRPr="004C12C9">
              <w:rPr>
                <w:sz w:val="20"/>
                <w:lang w:bidi="en-US"/>
              </w:rPr>
              <w:t>greater than 0.</w:t>
            </w:r>
            <w:r w:rsidR="003838D9" w:rsidRPr="004C12C9">
              <w:rPr>
                <w:sz w:val="20"/>
                <w:lang w:bidi="en-US"/>
              </w:rPr>
              <w:t xml:space="preserve"> Red checker appears if </w:t>
            </w:r>
            <w:r w:rsidR="00B84A14" w:rsidRPr="004C12C9">
              <w:rPr>
                <w:rFonts w:ascii="Calibri" w:eastAsia="Times New Roman" w:hAnsi="Calibri" w:cs="Times New Roman"/>
                <w:sz w:val="20"/>
                <w:lang w:eastAsia="en-US" w:bidi="en-US"/>
              </w:rPr>
              <w:t xml:space="preserve">sum </w:t>
            </w:r>
            <w:r w:rsidR="00892AF3" w:rsidRPr="004C12C9">
              <w:rPr>
                <w:rFonts w:ascii="Calibri" w:eastAsia="Times New Roman" w:hAnsi="Calibri" w:cs="Times New Roman"/>
                <w:sz w:val="20"/>
                <w:lang w:eastAsia="en-US" w:bidi="en-US"/>
              </w:rPr>
              <w:t>of all values</w:t>
            </w:r>
            <w:r w:rsidR="000A0ADC" w:rsidRPr="004C12C9">
              <w:rPr>
                <w:rFonts w:ascii="Calibri" w:eastAsia="Times New Roman" w:hAnsi="Calibri" w:cs="Times New Roman"/>
                <w:sz w:val="20"/>
                <w:lang w:eastAsia="en-US" w:bidi="en-US"/>
              </w:rPr>
              <w:t xml:space="preserve"> </w:t>
            </w:r>
            <w:r w:rsidR="00B84A14" w:rsidRPr="004C12C9">
              <w:rPr>
                <w:rFonts w:ascii="Calibri" w:eastAsia="Times New Roman" w:hAnsi="Calibri" w:cs="Times New Roman"/>
                <w:sz w:val="20"/>
                <w:lang w:eastAsia="en-US" w:bidi="en-US"/>
              </w:rPr>
              <w:t xml:space="preserve">equals </w:t>
            </w:r>
            <w:r w:rsidR="00AC656C" w:rsidRPr="004C12C9">
              <w:rPr>
                <w:rFonts w:ascii="Calibri" w:eastAsia="Times New Roman" w:hAnsi="Calibri" w:cs="Times New Roman"/>
                <w:sz w:val="20"/>
                <w:lang w:eastAsia="en-US" w:bidi="en-US"/>
              </w:rPr>
              <w:t>0</w:t>
            </w:r>
            <w:r w:rsidR="003838D9" w:rsidRPr="004C12C9">
              <w:rPr>
                <w:sz w:val="20"/>
                <w:lang w:bidi="en-US"/>
              </w:rPr>
              <w:t xml:space="preserve">. </w:t>
            </w:r>
            <w:r w:rsidR="0022105D" w:rsidRPr="004C12C9">
              <w:rPr>
                <w:sz w:val="20"/>
                <w:lang w:bidi="en-US"/>
              </w:rPr>
              <w:t>F</w:t>
            </w:r>
            <w:r w:rsidR="006631E0" w:rsidRPr="004C12C9">
              <w:rPr>
                <w:sz w:val="20"/>
                <w:lang w:bidi="en-US"/>
              </w:rPr>
              <w:t xml:space="preserve">or </w:t>
            </w:r>
            <w:r w:rsidR="0022105D" w:rsidRPr="004C12C9">
              <w:rPr>
                <w:sz w:val="20"/>
                <w:lang w:bidi="en-US"/>
              </w:rPr>
              <w:t>individual</w:t>
            </w:r>
            <w:r w:rsidR="003838D9" w:rsidRPr="004C12C9">
              <w:rPr>
                <w:sz w:val="20"/>
                <w:lang w:bidi="en-US"/>
              </w:rPr>
              <w:t xml:space="preserve"> </w:t>
            </w:r>
            <w:r w:rsidR="006631E0" w:rsidRPr="004C12C9">
              <w:rPr>
                <w:sz w:val="20"/>
                <w:lang w:bidi="en-US"/>
              </w:rPr>
              <w:t>construction stage</w:t>
            </w:r>
            <w:r w:rsidR="0022105D" w:rsidRPr="004C12C9">
              <w:rPr>
                <w:sz w:val="20"/>
                <w:lang w:bidi="en-US"/>
              </w:rPr>
              <w:t>s</w:t>
            </w:r>
            <w:r w:rsidR="003838D9" w:rsidRPr="004C12C9">
              <w:rPr>
                <w:sz w:val="20"/>
                <w:lang w:bidi="en-US"/>
              </w:rPr>
              <w:t xml:space="preserve">, users can leave </w:t>
            </w:r>
            <w:r w:rsidR="006631E0" w:rsidRPr="004C12C9">
              <w:rPr>
                <w:sz w:val="20"/>
                <w:lang w:bidi="en-US"/>
              </w:rPr>
              <w:t>cell</w:t>
            </w:r>
            <w:r w:rsidR="003838D9" w:rsidRPr="004C12C9">
              <w:rPr>
                <w:sz w:val="20"/>
                <w:lang w:bidi="en-US"/>
              </w:rPr>
              <w:t xml:space="preserve"> blank or 0.</w:t>
            </w:r>
          </w:p>
        </w:tc>
        <w:tc>
          <w:tcPr>
            <w:tcW w:w="1980" w:type="dxa"/>
            <w:vAlign w:val="center"/>
          </w:tcPr>
          <w:p w14:paraId="771139DB" w14:textId="1688FB1D" w:rsidR="00AD7C6D" w:rsidRPr="004C12C9" w:rsidRDefault="00993CAD" w:rsidP="004D6AFF">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2070" w:type="dxa"/>
            <w:vAlign w:val="center"/>
          </w:tcPr>
          <w:p w14:paraId="123C506B" w14:textId="630FFAB1" w:rsidR="00D5672D" w:rsidRPr="004C12C9" w:rsidRDefault="00A178EB" w:rsidP="004D6AFF">
            <w:pPr>
              <w:pStyle w:val="ICFTabletext"/>
              <w:rPr>
                <w:rFonts w:ascii="Calibri" w:eastAsia="Times New Roman" w:hAnsi="Calibri" w:cs="Times New Roman"/>
                <w:sz w:val="20"/>
                <w:lang w:eastAsia="en-US" w:bidi="en-US"/>
              </w:rPr>
            </w:pPr>
            <w:r w:rsidRPr="004C12C9">
              <w:rPr>
                <w:sz w:val="20"/>
                <w:lang w:bidi="en-US"/>
              </w:rPr>
              <w:t>Average number of employees that will commute to the construction site during each phase of construction.</w:t>
            </w:r>
          </w:p>
        </w:tc>
      </w:tr>
      <w:tr w:rsidR="0067627E" w:rsidRPr="004C12C9" w14:paraId="37BA22A7" w14:textId="77777777" w:rsidTr="004D6AFF">
        <w:tc>
          <w:tcPr>
            <w:tcW w:w="1564" w:type="dxa"/>
            <w:vAlign w:val="center"/>
          </w:tcPr>
          <w:p w14:paraId="110918A1" w14:textId="2A99CB55" w:rsidR="00D5672D" w:rsidRPr="004C12C9" w:rsidRDefault="00D5672D" w:rsidP="004D6AFF">
            <w:pPr>
              <w:pStyle w:val="ICFTabletext"/>
              <w:rPr>
                <w:rFonts w:ascii="Calibri" w:eastAsia="Times New Roman" w:hAnsi="Calibri" w:cs="Times New Roman"/>
                <w:sz w:val="20"/>
                <w:lang w:eastAsia="en-US" w:bidi="en-US"/>
              </w:rPr>
            </w:pPr>
            <w:r w:rsidRPr="004C12C9">
              <w:rPr>
                <w:sz w:val="20"/>
                <w:lang w:bidi="en-US"/>
              </w:rPr>
              <w:t>Average One-Way Commute Length</w:t>
            </w:r>
          </w:p>
        </w:tc>
        <w:tc>
          <w:tcPr>
            <w:tcW w:w="1162" w:type="dxa"/>
            <w:vAlign w:val="center"/>
          </w:tcPr>
          <w:p w14:paraId="250298EE" w14:textId="315891CE" w:rsidR="00D5672D" w:rsidRPr="004C12C9" w:rsidRDefault="009F154A" w:rsidP="004D6AFF">
            <w:pPr>
              <w:pStyle w:val="ICFTabletext"/>
              <w:rPr>
                <w:rFonts w:ascii="Calibri" w:eastAsia="Times New Roman" w:hAnsi="Calibri" w:cs="Times New Roman"/>
                <w:sz w:val="20"/>
                <w:lang w:eastAsia="en-US" w:bidi="en-US"/>
              </w:rPr>
            </w:pPr>
            <w:r w:rsidRPr="004C12C9">
              <w:rPr>
                <w:sz w:val="20"/>
                <w:lang w:bidi="en-US"/>
              </w:rPr>
              <w:t>Decimal number</w:t>
            </w:r>
          </w:p>
        </w:tc>
        <w:tc>
          <w:tcPr>
            <w:tcW w:w="2579" w:type="dxa"/>
            <w:vAlign w:val="center"/>
          </w:tcPr>
          <w:p w14:paraId="6FB19E07" w14:textId="2E00A7DB" w:rsidR="00D5672D" w:rsidRPr="004C12C9" w:rsidRDefault="009F154A" w:rsidP="004D6AFF">
            <w:pPr>
              <w:pStyle w:val="ICFTabletext"/>
              <w:rPr>
                <w:rFonts w:ascii="Calibri" w:eastAsia="Times New Roman" w:hAnsi="Calibri" w:cs="Times New Roman"/>
                <w:sz w:val="20"/>
                <w:lang w:eastAsia="en-US" w:bidi="en-US"/>
              </w:rPr>
            </w:pPr>
            <w:r w:rsidRPr="004C12C9">
              <w:rPr>
                <w:sz w:val="20"/>
                <w:lang w:bidi="en-US"/>
              </w:rPr>
              <w:t xml:space="preserve">Must be a decimal number greater than 0. </w:t>
            </w:r>
            <w:r w:rsidR="00F416BF" w:rsidRPr="004C12C9">
              <w:rPr>
                <w:sz w:val="20"/>
                <w:lang w:bidi="en-US"/>
              </w:rPr>
              <w:t>V</w:t>
            </w:r>
            <w:r w:rsidR="005921BD" w:rsidRPr="004C12C9">
              <w:rPr>
                <w:sz w:val="20"/>
                <w:lang w:bidi="en-US"/>
              </w:rPr>
              <w:t>alue must be populated</w:t>
            </w:r>
            <w:r w:rsidR="00F416BF" w:rsidRPr="004C12C9">
              <w:rPr>
                <w:sz w:val="20"/>
                <w:lang w:bidi="en-US"/>
              </w:rPr>
              <w:t xml:space="preserve"> or</w:t>
            </w:r>
            <w:r w:rsidR="005921BD" w:rsidRPr="004C12C9">
              <w:rPr>
                <w:sz w:val="20"/>
                <w:lang w:bidi="en-US"/>
              </w:rPr>
              <w:t xml:space="preserve"> red checker will appear.</w:t>
            </w:r>
          </w:p>
        </w:tc>
        <w:tc>
          <w:tcPr>
            <w:tcW w:w="1980" w:type="dxa"/>
            <w:vAlign w:val="center"/>
          </w:tcPr>
          <w:p w14:paraId="100AAAEF" w14:textId="13638B6A" w:rsidR="00AD7C6D" w:rsidRPr="004C12C9" w:rsidRDefault="00BD5860" w:rsidP="004D6AFF">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p>
        </w:tc>
        <w:tc>
          <w:tcPr>
            <w:tcW w:w="2070" w:type="dxa"/>
            <w:vAlign w:val="center"/>
          </w:tcPr>
          <w:p w14:paraId="0C085BE5" w14:textId="0AF4D368" w:rsidR="00D5672D" w:rsidRPr="004C12C9" w:rsidRDefault="00FB51C8" w:rsidP="004D6AFF">
            <w:pPr>
              <w:pStyle w:val="ICFTabletext"/>
              <w:rPr>
                <w:rFonts w:ascii="Calibri" w:eastAsia="Times New Roman" w:hAnsi="Calibri" w:cs="Times New Roman"/>
                <w:sz w:val="20"/>
                <w:lang w:eastAsia="en-US" w:bidi="en-US"/>
              </w:rPr>
            </w:pPr>
            <w:r w:rsidRPr="004C12C9">
              <w:rPr>
                <w:sz w:val="20"/>
                <w:lang w:bidi="en-US"/>
              </w:rPr>
              <w:t>Average one-way commuter distance</w:t>
            </w:r>
            <w:r w:rsidR="0082146E" w:rsidRPr="004C12C9">
              <w:rPr>
                <w:sz w:val="20"/>
                <w:lang w:bidi="en-US"/>
              </w:rPr>
              <w:t xml:space="preserve"> in miles.</w:t>
            </w:r>
            <w:r w:rsidR="00692DE9" w:rsidRPr="004C12C9">
              <w:rPr>
                <w:sz w:val="20"/>
                <w:lang w:bidi="en-US"/>
              </w:rPr>
              <w:t xml:space="preserve"> </w:t>
            </w:r>
          </w:p>
        </w:tc>
      </w:tr>
      <w:tr w:rsidR="0067627E" w:rsidRPr="004C12C9" w14:paraId="1E54A0B4" w14:textId="77777777" w:rsidTr="004D6AFF">
        <w:tc>
          <w:tcPr>
            <w:tcW w:w="1564" w:type="dxa"/>
            <w:vAlign w:val="center"/>
          </w:tcPr>
          <w:p w14:paraId="4C9ED7C7" w14:textId="2C713731" w:rsidR="00D5672D" w:rsidRPr="004C12C9" w:rsidRDefault="00624A5E" w:rsidP="004D6AFF">
            <w:pPr>
              <w:pStyle w:val="ICFTabletext"/>
              <w:rPr>
                <w:rFonts w:ascii="Calibri" w:eastAsia="Times New Roman" w:hAnsi="Calibri" w:cs="Times New Roman"/>
                <w:sz w:val="20"/>
                <w:lang w:eastAsia="en-US" w:bidi="en-US"/>
              </w:rPr>
            </w:pPr>
            <w:r w:rsidRPr="004C12C9">
              <w:rPr>
                <w:sz w:val="20"/>
                <w:lang w:bidi="en-US"/>
              </w:rPr>
              <w:t>Percent of Employees by Transportation Mode</w:t>
            </w:r>
            <w:r w:rsidR="0011352D">
              <w:rPr>
                <w:sz w:val="20"/>
                <w:lang w:bidi="en-US"/>
              </w:rPr>
              <w:t>*</w:t>
            </w:r>
          </w:p>
        </w:tc>
        <w:tc>
          <w:tcPr>
            <w:tcW w:w="1162" w:type="dxa"/>
            <w:vAlign w:val="center"/>
          </w:tcPr>
          <w:p w14:paraId="04C8CD94" w14:textId="1AA9CDF4" w:rsidR="00D5672D" w:rsidRPr="004C12C9" w:rsidRDefault="009D2545" w:rsidP="004D6AFF">
            <w:pPr>
              <w:pStyle w:val="ICFTabletext"/>
              <w:rPr>
                <w:rFonts w:ascii="Calibri" w:eastAsia="Times New Roman" w:hAnsi="Calibri" w:cs="Times New Roman"/>
                <w:sz w:val="20"/>
                <w:lang w:eastAsia="en-US" w:bidi="en-US"/>
              </w:rPr>
            </w:pPr>
            <w:r w:rsidRPr="004C12C9">
              <w:rPr>
                <w:sz w:val="20"/>
                <w:lang w:bidi="en-US"/>
              </w:rPr>
              <w:t>Percent</w:t>
            </w:r>
          </w:p>
        </w:tc>
        <w:tc>
          <w:tcPr>
            <w:tcW w:w="2579" w:type="dxa"/>
            <w:vAlign w:val="center"/>
          </w:tcPr>
          <w:p w14:paraId="268369E7" w14:textId="1C05D5B8" w:rsidR="00D5672D" w:rsidRPr="004C12C9" w:rsidRDefault="00BC3EA8" w:rsidP="004D6AFF">
            <w:pPr>
              <w:pStyle w:val="ICFTabletext"/>
              <w:rPr>
                <w:rFonts w:ascii="Calibri" w:eastAsia="Times New Roman" w:hAnsi="Calibri" w:cs="Times New Roman"/>
                <w:sz w:val="20"/>
                <w:lang w:eastAsia="en-US" w:bidi="en-US"/>
              </w:rPr>
            </w:pPr>
            <w:r w:rsidRPr="004C12C9">
              <w:rPr>
                <w:sz w:val="20"/>
                <w:lang w:bidi="en-US"/>
              </w:rPr>
              <w:t>Must be</w:t>
            </w:r>
            <w:r w:rsidR="00434EB9" w:rsidRPr="004C12C9">
              <w:rPr>
                <w:sz w:val="20"/>
                <w:lang w:bidi="en-US"/>
              </w:rPr>
              <w:t xml:space="preserve"> between 0 and 100</w:t>
            </w:r>
            <w:r w:rsidR="00581F7A" w:rsidRPr="004C12C9">
              <w:rPr>
                <w:sz w:val="20"/>
                <w:lang w:bidi="en-US"/>
              </w:rPr>
              <w:t xml:space="preserve"> for each mode</w:t>
            </w:r>
            <w:r w:rsidR="00A935CD" w:rsidRPr="004C12C9">
              <w:rPr>
                <w:rFonts w:ascii="Calibri" w:eastAsia="Times New Roman" w:hAnsi="Calibri" w:cs="Times New Roman"/>
                <w:sz w:val="20"/>
                <w:lang w:eastAsia="en-US" w:bidi="en-US"/>
              </w:rPr>
              <w:t>. T</w:t>
            </w:r>
            <w:r w:rsidR="00581F7A" w:rsidRPr="004C12C9">
              <w:rPr>
                <w:sz w:val="20"/>
                <w:lang w:bidi="en-US"/>
              </w:rPr>
              <w:t xml:space="preserve">otal </w:t>
            </w:r>
            <w:r w:rsidR="007051A7" w:rsidRPr="004C12C9">
              <w:rPr>
                <w:sz w:val="20"/>
                <w:lang w:bidi="en-US"/>
              </w:rPr>
              <w:t>across modes</w:t>
            </w:r>
            <w:r w:rsidR="00581F7A" w:rsidRPr="004C12C9">
              <w:rPr>
                <w:sz w:val="20"/>
                <w:lang w:bidi="en-US"/>
              </w:rPr>
              <w:t xml:space="preserve"> </w:t>
            </w:r>
            <w:r w:rsidR="00A935CD" w:rsidRPr="004C12C9">
              <w:rPr>
                <w:rFonts w:ascii="Calibri" w:eastAsia="Times New Roman" w:hAnsi="Calibri" w:cs="Times New Roman"/>
                <w:sz w:val="20"/>
                <w:lang w:eastAsia="en-US" w:bidi="en-US"/>
              </w:rPr>
              <w:t>must</w:t>
            </w:r>
            <w:r w:rsidR="00581F7A" w:rsidRPr="004C12C9">
              <w:rPr>
                <w:sz w:val="20"/>
                <w:lang w:bidi="en-US"/>
              </w:rPr>
              <w:t xml:space="preserve"> </w:t>
            </w:r>
            <w:r w:rsidR="00737FE3" w:rsidRPr="004C12C9">
              <w:rPr>
                <w:sz w:val="20"/>
                <w:lang w:bidi="en-US"/>
              </w:rPr>
              <w:t>sum</w:t>
            </w:r>
            <w:r w:rsidR="00581F7A" w:rsidRPr="004C12C9">
              <w:rPr>
                <w:sz w:val="20"/>
                <w:lang w:bidi="en-US"/>
              </w:rPr>
              <w:t xml:space="preserve"> to 100%</w:t>
            </w:r>
            <w:r w:rsidR="00434EB9" w:rsidRPr="004C12C9">
              <w:rPr>
                <w:sz w:val="20"/>
                <w:lang w:bidi="en-US"/>
              </w:rPr>
              <w:t>.</w:t>
            </w:r>
            <w:r w:rsidR="005921BD" w:rsidRPr="004C12C9">
              <w:rPr>
                <w:sz w:val="20"/>
                <w:lang w:bidi="en-US"/>
              </w:rPr>
              <w:t xml:space="preserve"> </w:t>
            </w:r>
            <w:r w:rsidR="00581F7A" w:rsidRPr="004C12C9">
              <w:rPr>
                <w:sz w:val="20"/>
                <w:lang w:bidi="en-US"/>
              </w:rPr>
              <w:t xml:space="preserve">Red checker and text will appear if </w:t>
            </w:r>
            <w:r w:rsidR="007051A7" w:rsidRPr="004C12C9">
              <w:rPr>
                <w:sz w:val="20"/>
                <w:lang w:bidi="en-US"/>
              </w:rPr>
              <w:t>total does not equal 100%</w:t>
            </w:r>
            <w:r w:rsidR="001F2E24" w:rsidRPr="004C12C9">
              <w:rPr>
                <w:sz w:val="20"/>
                <w:lang w:bidi="en-US"/>
              </w:rPr>
              <w:t>.</w:t>
            </w:r>
            <w:r w:rsidR="005921BD" w:rsidRPr="004C12C9">
              <w:rPr>
                <w:sz w:val="20"/>
                <w:lang w:bidi="en-US"/>
              </w:rPr>
              <w:t xml:space="preserve"> </w:t>
            </w:r>
          </w:p>
        </w:tc>
        <w:tc>
          <w:tcPr>
            <w:tcW w:w="1980" w:type="dxa"/>
            <w:vAlign w:val="center"/>
          </w:tcPr>
          <w:p w14:paraId="37764CF3" w14:textId="00F25598" w:rsidR="00AD7C6D" w:rsidRPr="004C12C9" w:rsidRDefault="00BD5860" w:rsidP="004D6AFF">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p>
        </w:tc>
        <w:tc>
          <w:tcPr>
            <w:tcW w:w="2070" w:type="dxa"/>
            <w:vAlign w:val="center"/>
          </w:tcPr>
          <w:p w14:paraId="1A82932B" w14:textId="01CCB17A" w:rsidR="00D5672D" w:rsidRPr="004C12C9" w:rsidRDefault="006414E7" w:rsidP="004D6AFF">
            <w:pPr>
              <w:pStyle w:val="ICFTabletext"/>
              <w:rPr>
                <w:rFonts w:ascii="Calibri" w:eastAsia="Times New Roman" w:hAnsi="Calibri" w:cs="Times New Roman"/>
                <w:sz w:val="20"/>
                <w:lang w:eastAsia="en-US" w:bidi="en-US"/>
              </w:rPr>
            </w:pPr>
            <w:r w:rsidRPr="004C12C9">
              <w:rPr>
                <w:sz w:val="20"/>
                <w:lang w:bidi="en-US"/>
              </w:rPr>
              <w:t xml:space="preserve">Percent of employees that commute by </w:t>
            </w:r>
            <w:r w:rsidR="004D6AFF" w:rsidRPr="004C12C9">
              <w:rPr>
                <w:sz w:val="20"/>
                <w:lang w:bidi="en-US"/>
              </w:rPr>
              <w:t xml:space="preserve">each </w:t>
            </w:r>
            <w:r w:rsidRPr="004C12C9">
              <w:rPr>
                <w:sz w:val="20"/>
                <w:lang w:bidi="en-US"/>
              </w:rPr>
              <w:t xml:space="preserve">transportation mode. </w:t>
            </w:r>
          </w:p>
        </w:tc>
      </w:tr>
    </w:tbl>
    <w:p w14:paraId="0B8A8FD0" w14:textId="28474DAD" w:rsidR="0011352D" w:rsidRDefault="0011352D" w:rsidP="0011352D">
      <w:pPr>
        <w:spacing w:before="0" w:after="0"/>
        <w:rPr>
          <w:sz w:val="18"/>
          <w:szCs w:val="18"/>
        </w:rPr>
      </w:pPr>
      <w:r w:rsidRPr="00BC0D67">
        <w:rPr>
          <w:sz w:val="18"/>
          <w:szCs w:val="18"/>
        </w:rPr>
        <w:t xml:space="preserve">*Input for mitigation measure quantification. </w:t>
      </w:r>
    </w:p>
    <w:p w14:paraId="247F89B1" w14:textId="112EC3FA" w:rsidR="003E2F90" w:rsidRPr="004C12C9" w:rsidRDefault="00E75054" w:rsidP="004F5480">
      <w:r w:rsidRPr="004C12C9">
        <w:rPr>
          <w:b/>
          <w:bCs/>
        </w:rPr>
        <w:lastRenderedPageBreak/>
        <w:t>Construction Equipment:</w:t>
      </w:r>
      <w:r w:rsidRPr="004C12C9">
        <w:t xml:space="preserve"> </w:t>
      </w:r>
      <w:r w:rsidR="003E2F90" w:rsidRPr="004C12C9">
        <w:t xml:space="preserve">If construction equipment is </w:t>
      </w:r>
      <w:r w:rsidR="00CD04B7" w:rsidRPr="004C12C9">
        <w:t>applicable to</w:t>
      </w:r>
      <w:r w:rsidR="003E2F90" w:rsidRPr="004C12C9">
        <w:t xml:space="preserve"> the project, </w:t>
      </w:r>
      <w:r w:rsidR="00A25BE0" w:rsidRPr="004C12C9">
        <w:t xml:space="preserve">a user is required to enter the inputs </w:t>
      </w:r>
      <w:r w:rsidR="00AC1AF0" w:rsidRPr="004C12C9">
        <w:t xml:space="preserve">described </w:t>
      </w:r>
      <w:r w:rsidR="00A25BE0" w:rsidRPr="004C12C9">
        <w:t>in</w:t>
      </w:r>
      <w:r w:rsidR="00CD282D" w:rsidRPr="004C12C9">
        <w:t xml:space="preserve"> </w:t>
      </w:r>
      <w:r w:rsidR="00CD282D" w:rsidRPr="004C12C9">
        <w:fldChar w:fldCharType="begin" w:fldLock="1"/>
      </w:r>
      <w:r w:rsidR="00CD282D" w:rsidRPr="004C12C9">
        <w:instrText xml:space="preserve"> REF _Ref196766053 \h </w:instrText>
      </w:r>
      <w:r w:rsidR="00CD282D" w:rsidRPr="004C12C9">
        <w:fldChar w:fldCharType="separate"/>
      </w:r>
      <w:r w:rsidR="00CD282D" w:rsidRPr="004C12C9">
        <w:t>Table D-6</w:t>
      </w:r>
      <w:r w:rsidR="00CD282D" w:rsidRPr="004C12C9">
        <w:fldChar w:fldCharType="end"/>
      </w:r>
      <w:r w:rsidR="001F2F25">
        <w:t xml:space="preserve"> depending on the user-selected approach</w:t>
      </w:r>
      <w:r w:rsidR="00C745FB" w:rsidRPr="004C12C9">
        <w:t>.</w:t>
      </w:r>
    </w:p>
    <w:p w14:paraId="513E66D7" w14:textId="0E2FA7C1" w:rsidR="004F5480" w:rsidRPr="004C12C9" w:rsidRDefault="00CD282D" w:rsidP="00CD282D">
      <w:pPr>
        <w:pStyle w:val="Caption"/>
      </w:pPr>
      <w:bookmarkStart w:id="338" w:name="_Ref196766053"/>
      <w:r w:rsidRPr="004C12C9">
        <w:t>Table D-</w:t>
      </w:r>
      <w:r>
        <w:fldChar w:fldCharType="begin"/>
      </w:r>
      <w:r>
        <w:instrText xml:space="preserve"> SEQ Table_D- \* ARABIC </w:instrText>
      </w:r>
      <w:r>
        <w:fldChar w:fldCharType="separate"/>
      </w:r>
      <w:r w:rsidRPr="004C12C9">
        <w:t>6</w:t>
      </w:r>
      <w:r>
        <w:fldChar w:fldCharType="end"/>
      </w:r>
      <w:bookmarkEnd w:id="338"/>
      <w:r w:rsidRPr="004C12C9">
        <w:t xml:space="preserve">. </w:t>
      </w:r>
      <w:r w:rsidR="004F5480" w:rsidRPr="004C12C9">
        <w:t>User Inputs for Construction Equipment</w:t>
      </w:r>
    </w:p>
    <w:tbl>
      <w:tblPr>
        <w:tblStyle w:val="TableGridLight"/>
        <w:tblW w:w="0" w:type="auto"/>
        <w:tblLook w:val="04A0" w:firstRow="1" w:lastRow="0" w:firstColumn="1" w:lastColumn="0" w:noHBand="0" w:noVBand="1"/>
      </w:tblPr>
      <w:tblGrid>
        <w:gridCol w:w="1623"/>
        <w:gridCol w:w="1371"/>
        <w:gridCol w:w="1936"/>
        <w:gridCol w:w="1997"/>
        <w:gridCol w:w="2423"/>
      </w:tblGrid>
      <w:tr w:rsidR="00BD5860" w:rsidRPr="004C12C9" w14:paraId="30D2FF70" w14:textId="77777777" w:rsidTr="00B605EB">
        <w:tc>
          <w:tcPr>
            <w:tcW w:w="1623" w:type="dxa"/>
            <w:shd w:val="clear" w:color="auto" w:fill="D9D9D9" w:themeFill="background1" w:themeFillShade="D9"/>
            <w:vAlign w:val="center"/>
          </w:tcPr>
          <w:p w14:paraId="4BD20E10" w14:textId="55435407" w:rsidR="00BD5860" w:rsidRPr="004C12C9" w:rsidRDefault="00BD5860" w:rsidP="00B605EB">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71" w:type="dxa"/>
            <w:shd w:val="clear" w:color="auto" w:fill="D9D9D9" w:themeFill="background1" w:themeFillShade="D9"/>
            <w:vAlign w:val="center"/>
          </w:tcPr>
          <w:p w14:paraId="54724F95" w14:textId="12FB843C" w:rsidR="00BD5860" w:rsidRPr="004C12C9" w:rsidRDefault="00BD5860" w:rsidP="00B605EB">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36" w:type="dxa"/>
            <w:shd w:val="clear" w:color="auto" w:fill="D9D9D9" w:themeFill="background1" w:themeFillShade="D9"/>
            <w:vAlign w:val="center"/>
          </w:tcPr>
          <w:p w14:paraId="4063E3D1" w14:textId="560CB6A8" w:rsidR="00BD5860" w:rsidRPr="004C12C9" w:rsidRDefault="00BD5860" w:rsidP="00B605EB">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97" w:type="dxa"/>
            <w:shd w:val="clear" w:color="auto" w:fill="D9D9D9" w:themeFill="background1" w:themeFillShade="D9"/>
            <w:vAlign w:val="center"/>
          </w:tcPr>
          <w:p w14:paraId="49255BE7" w14:textId="40C82219" w:rsidR="00BD5860" w:rsidRPr="004C12C9" w:rsidRDefault="00BD5860" w:rsidP="00B605EB">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423" w:type="dxa"/>
            <w:shd w:val="clear" w:color="auto" w:fill="D9D9D9" w:themeFill="background1" w:themeFillShade="D9"/>
            <w:vAlign w:val="center"/>
          </w:tcPr>
          <w:p w14:paraId="532796DA" w14:textId="58D0F578" w:rsidR="00BD5860" w:rsidRPr="004C12C9" w:rsidRDefault="00BD5860" w:rsidP="00B605EB">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3E0393" w:rsidRPr="004C12C9" w14:paraId="39BBE7B6" w14:textId="77777777" w:rsidTr="003E0393">
        <w:tc>
          <w:tcPr>
            <w:tcW w:w="9350" w:type="dxa"/>
            <w:gridSpan w:val="5"/>
            <w:shd w:val="clear" w:color="auto" w:fill="F2F2F2" w:themeFill="background1" w:themeFillShade="F2"/>
            <w:vAlign w:val="center"/>
          </w:tcPr>
          <w:p w14:paraId="32A331D8" w14:textId="313CC1ED" w:rsidR="003E0393" w:rsidRPr="004C12C9" w:rsidRDefault="003E0393" w:rsidP="003E0393">
            <w:pPr>
              <w:pStyle w:val="ICFTableHeading"/>
              <w:jc w:val="left"/>
              <w:rPr>
                <w:sz w:val="20"/>
                <w:szCs w:val="18"/>
              </w:rPr>
            </w:pPr>
            <w:r>
              <w:rPr>
                <w:sz w:val="20"/>
                <w:szCs w:val="18"/>
              </w:rPr>
              <w:t>Equipment Use Approach</w:t>
            </w:r>
          </w:p>
        </w:tc>
      </w:tr>
      <w:tr w:rsidR="003E2F90" w:rsidRPr="004C12C9" w14:paraId="4CE1D4E7" w14:textId="77777777" w:rsidTr="00B605EB">
        <w:tc>
          <w:tcPr>
            <w:tcW w:w="1623" w:type="dxa"/>
            <w:vAlign w:val="center"/>
          </w:tcPr>
          <w:p w14:paraId="299E4827" w14:textId="7F0A2A3B" w:rsidR="003E2F90" w:rsidRPr="004C12C9" w:rsidRDefault="00E71B7A" w:rsidP="00B605EB">
            <w:pPr>
              <w:pStyle w:val="ICFTabletext"/>
              <w:rPr>
                <w:rFonts w:ascii="Calibri" w:eastAsia="Times New Roman" w:hAnsi="Calibri" w:cs="Times New Roman"/>
                <w:sz w:val="20"/>
                <w:lang w:eastAsia="en-US" w:bidi="en-US"/>
              </w:rPr>
            </w:pPr>
            <w:r w:rsidRPr="004C12C9">
              <w:rPr>
                <w:sz w:val="20"/>
                <w:lang w:bidi="en-US"/>
              </w:rPr>
              <w:t xml:space="preserve">Fuel </w:t>
            </w:r>
            <w:r w:rsidR="006B6259" w:rsidRPr="004C12C9">
              <w:rPr>
                <w:sz w:val="20"/>
                <w:lang w:bidi="en-US"/>
              </w:rPr>
              <w:t>t</w:t>
            </w:r>
            <w:r w:rsidRPr="004C12C9">
              <w:rPr>
                <w:sz w:val="20"/>
                <w:lang w:bidi="en-US"/>
              </w:rPr>
              <w:t>ype</w:t>
            </w:r>
            <w:r w:rsidR="00623914" w:rsidRPr="004C12C9">
              <w:rPr>
                <w:sz w:val="20"/>
                <w:lang w:bidi="en-US"/>
              </w:rPr>
              <w:t xml:space="preserve"> by equipment type</w:t>
            </w:r>
            <w:r w:rsidR="005D69B1">
              <w:rPr>
                <w:sz w:val="20"/>
                <w:lang w:bidi="en-US"/>
              </w:rPr>
              <w:t>*</w:t>
            </w:r>
          </w:p>
        </w:tc>
        <w:tc>
          <w:tcPr>
            <w:tcW w:w="1371" w:type="dxa"/>
            <w:vAlign w:val="center"/>
          </w:tcPr>
          <w:p w14:paraId="3842B930" w14:textId="2622A57A" w:rsidR="003E2F90" w:rsidRPr="004C12C9" w:rsidRDefault="006C593C" w:rsidP="00B605EB">
            <w:pPr>
              <w:pStyle w:val="ICFTabletext"/>
              <w:rPr>
                <w:rFonts w:ascii="Calibri" w:eastAsia="Times New Roman" w:hAnsi="Calibri" w:cs="Times New Roman"/>
                <w:sz w:val="20"/>
                <w:lang w:eastAsia="en-US" w:bidi="en-US"/>
              </w:rPr>
            </w:pPr>
            <w:r w:rsidRPr="004C12C9">
              <w:rPr>
                <w:sz w:val="20"/>
                <w:lang w:bidi="en-US"/>
              </w:rPr>
              <w:t>Drop-down selection</w:t>
            </w:r>
          </w:p>
        </w:tc>
        <w:tc>
          <w:tcPr>
            <w:tcW w:w="1936" w:type="dxa"/>
            <w:vAlign w:val="center"/>
          </w:tcPr>
          <w:p w14:paraId="72C7490A" w14:textId="2ED69C38" w:rsidR="003E2F90" w:rsidRPr="004C12C9" w:rsidRDefault="00AC160F" w:rsidP="00B605EB">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r w:rsidR="003E0393">
              <w:rPr>
                <w:rFonts w:ascii="Calibri" w:eastAsia="Times New Roman" w:hAnsi="Calibri" w:cs="Times New Roman"/>
                <w:sz w:val="20"/>
                <w:lang w:eastAsia="en-US" w:bidi="en-US"/>
              </w:rPr>
              <w:t>.</w:t>
            </w:r>
            <w:r w:rsidR="00550B46">
              <w:rPr>
                <w:rFonts w:ascii="Calibri" w:eastAsia="Times New Roman" w:hAnsi="Calibri" w:cs="Times New Roman"/>
                <w:sz w:val="20"/>
                <w:lang w:eastAsia="en-US" w:bidi="en-US"/>
              </w:rPr>
              <w:t xml:space="preserve"> </w:t>
            </w:r>
          </w:p>
        </w:tc>
        <w:tc>
          <w:tcPr>
            <w:tcW w:w="1997" w:type="dxa"/>
            <w:vAlign w:val="center"/>
          </w:tcPr>
          <w:p w14:paraId="7BEF96E2" w14:textId="3EB9E16E" w:rsidR="00550525" w:rsidRPr="004C12C9" w:rsidRDefault="00DF04D4" w:rsidP="00B605EB">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Calculator </w:t>
            </w:r>
            <w:r w:rsidR="00C745FB" w:rsidRPr="004C12C9">
              <w:rPr>
                <w:rFonts w:ascii="Calibri" w:eastAsia="Times New Roman" w:hAnsi="Calibri" w:cs="Times New Roman"/>
                <w:sz w:val="20"/>
                <w:lang w:eastAsia="en-US" w:bidi="en-US"/>
              </w:rPr>
              <w:t>is defaulted to diesel.</w:t>
            </w:r>
          </w:p>
        </w:tc>
        <w:tc>
          <w:tcPr>
            <w:tcW w:w="2423" w:type="dxa"/>
            <w:vAlign w:val="center"/>
          </w:tcPr>
          <w:p w14:paraId="624A0655" w14:textId="0CB63A14" w:rsidR="003E2F90" w:rsidRPr="004C12C9" w:rsidRDefault="00023FFA" w:rsidP="00B605EB">
            <w:pPr>
              <w:pStyle w:val="ICFTabletext"/>
              <w:rPr>
                <w:rFonts w:ascii="Calibri" w:eastAsia="Times New Roman" w:hAnsi="Calibri" w:cs="Times New Roman"/>
                <w:sz w:val="20"/>
                <w:lang w:eastAsia="en-US" w:bidi="en-US"/>
              </w:rPr>
            </w:pPr>
            <w:r w:rsidRPr="004C12C9">
              <w:rPr>
                <w:sz w:val="20"/>
                <w:lang w:bidi="en-US"/>
              </w:rPr>
              <w:t xml:space="preserve">Determines the emission factor used </w:t>
            </w:r>
            <w:r w:rsidR="00CA658A" w:rsidRPr="004C12C9">
              <w:rPr>
                <w:sz w:val="20"/>
                <w:lang w:bidi="en-US"/>
              </w:rPr>
              <w:t xml:space="preserve">for calculating emissions from construction equipment. </w:t>
            </w:r>
          </w:p>
        </w:tc>
      </w:tr>
      <w:tr w:rsidR="00E71B7A" w:rsidRPr="004C12C9" w14:paraId="698E5E0F" w14:textId="77777777" w:rsidTr="00B605EB">
        <w:tc>
          <w:tcPr>
            <w:tcW w:w="1623" w:type="dxa"/>
            <w:vAlign w:val="center"/>
          </w:tcPr>
          <w:p w14:paraId="7A2E5862" w14:textId="5E4ED335" w:rsidR="00E71B7A" w:rsidRPr="004C12C9" w:rsidRDefault="00E71B7A" w:rsidP="00B605EB">
            <w:pPr>
              <w:pStyle w:val="ICFTabletext"/>
              <w:rPr>
                <w:rFonts w:ascii="Calibri" w:eastAsia="Times New Roman" w:hAnsi="Calibri" w:cs="Times New Roman"/>
                <w:sz w:val="20"/>
                <w:lang w:eastAsia="en-US" w:bidi="en-US"/>
              </w:rPr>
            </w:pPr>
            <w:r w:rsidRPr="004C12C9">
              <w:rPr>
                <w:sz w:val="20"/>
                <w:lang w:bidi="en-US"/>
              </w:rPr>
              <w:t>Number of Hours per Day by Construction Stage</w:t>
            </w:r>
            <w:r w:rsidR="00623914" w:rsidRPr="004C12C9">
              <w:rPr>
                <w:sz w:val="20"/>
                <w:lang w:bidi="en-US"/>
              </w:rPr>
              <w:t xml:space="preserve"> for each equipment type</w:t>
            </w:r>
          </w:p>
        </w:tc>
        <w:tc>
          <w:tcPr>
            <w:tcW w:w="1371" w:type="dxa"/>
            <w:vAlign w:val="center"/>
          </w:tcPr>
          <w:p w14:paraId="5F0190B9" w14:textId="443CC120" w:rsidR="00E71B7A" w:rsidRPr="004C12C9" w:rsidRDefault="00345094" w:rsidP="00B605EB">
            <w:pPr>
              <w:pStyle w:val="ICFTabletext"/>
              <w:rPr>
                <w:rFonts w:ascii="Calibri" w:eastAsia="Times New Roman" w:hAnsi="Calibri" w:cs="Times New Roman"/>
                <w:sz w:val="20"/>
                <w:lang w:eastAsia="en-US" w:bidi="en-US"/>
              </w:rPr>
            </w:pPr>
            <w:r w:rsidRPr="004C12C9">
              <w:rPr>
                <w:sz w:val="20"/>
                <w:lang w:bidi="en-US"/>
              </w:rPr>
              <w:t>Decimal number</w:t>
            </w:r>
          </w:p>
        </w:tc>
        <w:tc>
          <w:tcPr>
            <w:tcW w:w="1936" w:type="dxa"/>
            <w:vAlign w:val="center"/>
          </w:tcPr>
          <w:p w14:paraId="5A1A036A" w14:textId="632C200E" w:rsidR="00E71B7A" w:rsidRPr="004C12C9" w:rsidRDefault="00345094" w:rsidP="00B605EB">
            <w:pPr>
              <w:pStyle w:val="ICFTabletext"/>
              <w:rPr>
                <w:rFonts w:ascii="Calibri" w:eastAsia="Times New Roman" w:hAnsi="Calibri" w:cs="Times New Roman"/>
                <w:sz w:val="20"/>
                <w:lang w:eastAsia="en-US" w:bidi="en-US"/>
              </w:rPr>
            </w:pPr>
            <w:r w:rsidRPr="004C12C9">
              <w:rPr>
                <w:sz w:val="20"/>
                <w:lang w:bidi="en-US"/>
              </w:rPr>
              <w:t xml:space="preserve">Must be a decimal number </w:t>
            </w:r>
            <w:r w:rsidR="00F64F38" w:rsidRPr="004C12C9">
              <w:rPr>
                <w:sz w:val="20"/>
                <w:lang w:bidi="en-US"/>
              </w:rPr>
              <w:t xml:space="preserve">equal to or </w:t>
            </w:r>
            <w:r w:rsidRPr="004C12C9">
              <w:rPr>
                <w:sz w:val="20"/>
                <w:lang w:bidi="en-US"/>
              </w:rPr>
              <w:t xml:space="preserve">greater than 0. </w:t>
            </w:r>
            <w:r w:rsidR="00A12BCB" w:rsidRPr="004C12C9">
              <w:rPr>
                <w:sz w:val="20"/>
                <w:lang w:bidi="en-US"/>
              </w:rPr>
              <w:t>Users only need to enter values for equipment types and construction stages relevant to their project.</w:t>
            </w:r>
          </w:p>
        </w:tc>
        <w:tc>
          <w:tcPr>
            <w:tcW w:w="1997" w:type="dxa"/>
            <w:vAlign w:val="center"/>
          </w:tcPr>
          <w:p w14:paraId="66860B3A" w14:textId="7D72555D" w:rsidR="00550525" w:rsidRPr="004C12C9" w:rsidRDefault="00203A6D" w:rsidP="00B605EB">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r w:rsidR="00F37A84" w:rsidRPr="004C12C9">
              <w:rPr>
                <w:sz w:val="20"/>
                <w:lang w:bidi="en-US"/>
              </w:rPr>
              <w:t xml:space="preserve"> Defaults are only applicable to building construction projects</w:t>
            </w:r>
            <w:r w:rsidR="00B73B7B" w:rsidRPr="004C12C9">
              <w:rPr>
                <w:sz w:val="20"/>
                <w:lang w:bidi="en-US"/>
              </w:rPr>
              <w:t xml:space="preserve"> and v</w:t>
            </w:r>
            <w:r w:rsidR="00F37A84" w:rsidRPr="004C12C9">
              <w:rPr>
                <w:sz w:val="20"/>
                <w:lang w:bidi="en-US"/>
              </w:rPr>
              <w:t xml:space="preserve">alues are dependent on the </w:t>
            </w:r>
            <w:r w:rsidR="00F9196B" w:rsidRPr="004C12C9">
              <w:rPr>
                <w:sz w:val="20"/>
                <w:lang w:bidi="en-US"/>
              </w:rPr>
              <w:t>user-provided</w:t>
            </w:r>
            <w:r w:rsidR="00F37A84" w:rsidRPr="004C12C9">
              <w:rPr>
                <w:sz w:val="20"/>
                <w:lang w:bidi="en-US"/>
              </w:rPr>
              <w:t xml:space="preserve"> project acr</w:t>
            </w:r>
            <w:r w:rsidR="00F9196B" w:rsidRPr="004C12C9">
              <w:rPr>
                <w:sz w:val="20"/>
                <w:lang w:bidi="en-US"/>
              </w:rPr>
              <w:t>eage</w:t>
            </w:r>
            <w:r w:rsidR="00F37A84" w:rsidRPr="004C12C9">
              <w:rPr>
                <w:sz w:val="20"/>
                <w:lang w:bidi="en-US"/>
              </w:rPr>
              <w:t>.</w:t>
            </w:r>
          </w:p>
        </w:tc>
        <w:tc>
          <w:tcPr>
            <w:tcW w:w="2423" w:type="dxa"/>
            <w:vAlign w:val="center"/>
          </w:tcPr>
          <w:p w14:paraId="3301DD2A" w14:textId="1A136050" w:rsidR="00E71B7A" w:rsidRPr="004C12C9" w:rsidRDefault="00B01584" w:rsidP="00B605EB">
            <w:pPr>
              <w:pStyle w:val="ICFTabletext"/>
              <w:rPr>
                <w:rFonts w:ascii="Calibri" w:eastAsia="Times New Roman" w:hAnsi="Calibri" w:cs="Times New Roman"/>
                <w:sz w:val="20"/>
                <w:lang w:eastAsia="en-US" w:bidi="en-US"/>
              </w:rPr>
            </w:pPr>
            <w:r w:rsidRPr="004C12C9">
              <w:rPr>
                <w:sz w:val="20"/>
                <w:lang w:bidi="en-US"/>
              </w:rPr>
              <w:t xml:space="preserve">Total number of hours each equipment type is used per day by construction phase. </w:t>
            </w:r>
            <w:r w:rsidR="00DA6DFD" w:rsidRPr="004C12C9">
              <w:rPr>
                <w:sz w:val="20"/>
                <w:lang w:bidi="en-US"/>
              </w:rPr>
              <w:t>T</w:t>
            </w:r>
            <w:r w:rsidR="003D462A" w:rsidRPr="004C12C9">
              <w:rPr>
                <w:sz w:val="20"/>
                <w:lang w:bidi="en-US"/>
              </w:rPr>
              <w:t xml:space="preserve">otal hours should account for multiple </w:t>
            </w:r>
            <w:r w:rsidR="00AE7EF1" w:rsidRPr="004C12C9">
              <w:rPr>
                <w:sz w:val="20"/>
                <w:lang w:bidi="en-US"/>
              </w:rPr>
              <w:t xml:space="preserve">pieces of equipment being </w:t>
            </w:r>
            <w:r w:rsidR="0097228B" w:rsidRPr="004C12C9">
              <w:rPr>
                <w:sz w:val="20"/>
                <w:lang w:bidi="en-US"/>
              </w:rPr>
              <w:t xml:space="preserve">used each day. </w:t>
            </w:r>
          </w:p>
        </w:tc>
      </w:tr>
      <w:tr w:rsidR="003E0393" w:rsidRPr="004C12C9" w14:paraId="3B1662A7" w14:textId="77777777" w:rsidTr="003E0393">
        <w:tc>
          <w:tcPr>
            <w:tcW w:w="9350" w:type="dxa"/>
            <w:gridSpan w:val="5"/>
            <w:shd w:val="clear" w:color="auto" w:fill="F2F2F2" w:themeFill="background1" w:themeFillShade="F2"/>
            <w:vAlign w:val="center"/>
          </w:tcPr>
          <w:p w14:paraId="36642619" w14:textId="27F03FEE" w:rsidR="003E0393" w:rsidRPr="003E0393" w:rsidRDefault="003E0393" w:rsidP="003E0393">
            <w:pPr>
              <w:pStyle w:val="ICFTabletext"/>
              <w:rPr>
                <w:b/>
                <w:bCs/>
                <w:sz w:val="20"/>
              </w:rPr>
            </w:pPr>
            <w:r w:rsidRPr="003E0393">
              <w:rPr>
                <w:b/>
                <w:bCs/>
                <w:sz w:val="20"/>
                <w:szCs w:val="18"/>
              </w:rPr>
              <w:t>Fuel Consumption Approach</w:t>
            </w:r>
          </w:p>
        </w:tc>
      </w:tr>
      <w:tr w:rsidR="002031B0" w:rsidRPr="004C12C9" w14:paraId="5B22A586" w14:textId="77777777" w:rsidTr="00B605EB">
        <w:tc>
          <w:tcPr>
            <w:tcW w:w="1623" w:type="dxa"/>
            <w:vAlign w:val="center"/>
          </w:tcPr>
          <w:p w14:paraId="65A77259" w14:textId="63F01FAB" w:rsidR="002031B0" w:rsidRPr="004C12C9" w:rsidRDefault="002031B0" w:rsidP="00B605EB">
            <w:pPr>
              <w:pStyle w:val="ICFTabletext"/>
              <w:rPr>
                <w:sz w:val="20"/>
              </w:rPr>
            </w:pPr>
            <w:r>
              <w:rPr>
                <w:sz w:val="20"/>
              </w:rPr>
              <w:t>Consumption by Fuel Type</w:t>
            </w:r>
            <w:r w:rsidR="00904049">
              <w:rPr>
                <w:sz w:val="20"/>
              </w:rPr>
              <w:t>*</w:t>
            </w:r>
          </w:p>
        </w:tc>
        <w:tc>
          <w:tcPr>
            <w:tcW w:w="1371" w:type="dxa"/>
            <w:vAlign w:val="center"/>
          </w:tcPr>
          <w:p w14:paraId="63DABDAF" w14:textId="58C7FA21" w:rsidR="002031B0" w:rsidRPr="004C12C9" w:rsidRDefault="00904049" w:rsidP="00B605EB">
            <w:pPr>
              <w:pStyle w:val="ICFTabletext"/>
              <w:rPr>
                <w:sz w:val="20"/>
              </w:rPr>
            </w:pPr>
            <w:r>
              <w:rPr>
                <w:sz w:val="20"/>
              </w:rPr>
              <w:t>Decimal number</w:t>
            </w:r>
          </w:p>
        </w:tc>
        <w:tc>
          <w:tcPr>
            <w:tcW w:w="1936" w:type="dxa"/>
            <w:vAlign w:val="center"/>
          </w:tcPr>
          <w:p w14:paraId="59ABDE5B" w14:textId="46D15DC9" w:rsidR="002031B0" w:rsidRPr="004C12C9" w:rsidRDefault="00904049" w:rsidP="00B605EB">
            <w:pPr>
              <w:pStyle w:val="ICFTabletext"/>
              <w:rPr>
                <w:sz w:val="20"/>
              </w:rPr>
            </w:pPr>
            <w:r>
              <w:rPr>
                <w:sz w:val="20"/>
              </w:rPr>
              <w:t>Must be a decimal number greater than 0. Users only need to enter values for fuel types re</w:t>
            </w:r>
            <w:r w:rsidR="002B4D57">
              <w:rPr>
                <w:sz w:val="20"/>
              </w:rPr>
              <w:t>levant to their project.</w:t>
            </w:r>
          </w:p>
        </w:tc>
        <w:tc>
          <w:tcPr>
            <w:tcW w:w="1997" w:type="dxa"/>
            <w:vAlign w:val="center"/>
          </w:tcPr>
          <w:p w14:paraId="317E2599" w14:textId="7022C0A6" w:rsidR="002031B0" w:rsidRPr="004C12C9" w:rsidRDefault="002B4D57" w:rsidP="00B605EB">
            <w:pPr>
              <w:pStyle w:val="ICFTabletext"/>
              <w:rPr>
                <w:sz w:val="20"/>
              </w:rPr>
            </w:pPr>
            <w:r>
              <w:rPr>
                <w:sz w:val="20"/>
              </w:rPr>
              <w:t>NA</w:t>
            </w:r>
          </w:p>
        </w:tc>
        <w:tc>
          <w:tcPr>
            <w:tcW w:w="2423" w:type="dxa"/>
            <w:vAlign w:val="center"/>
          </w:tcPr>
          <w:p w14:paraId="4F751E92" w14:textId="2FAA89F8" w:rsidR="002031B0" w:rsidRPr="004C12C9" w:rsidRDefault="002B4D57" w:rsidP="00B605EB">
            <w:pPr>
              <w:pStyle w:val="ICFTabletext"/>
              <w:rPr>
                <w:sz w:val="20"/>
              </w:rPr>
            </w:pPr>
            <w:r>
              <w:rPr>
                <w:sz w:val="20"/>
              </w:rPr>
              <w:t xml:space="preserve">Total consumption </w:t>
            </w:r>
            <w:r w:rsidR="00B3664B">
              <w:rPr>
                <w:sz w:val="20"/>
              </w:rPr>
              <w:t xml:space="preserve">by fuel type in </w:t>
            </w:r>
            <w:r w:rsidR="00667351">
              <w:rPr>
                <w:sz w:val="20"/>
              </w:rPr>
              <w:t xml:space="preserve">the </w:t>
            </w:r>
            <w:r w:rsidR="00B3664B">
              <w:rPr>
                <w:sz w:val="20"/>
              </w:rPr>
              <w:t xml:space="preserve">designated units. Total consumption should account for </w:t>
            </w:r>
            <w:r w:rsidR="004E7E32">
              <w:rPr>
                <w:sz w:val="20"/>
              </w:rPr>
              <w:t xml:space="preserve">total consumption by </w:t>
            </w:r>
            <w:r w:rsidR="00B3664B">
              <w:rPr>
                <w:sz w:val="20"/>
              </w:rPr>
              <w:t>all construction equipment during the construction phase of the project.</w:t>
            </w:r>
          </w:p>
        </w:tc>
      </w:tr>
    </w:tbl>
    <w:p w14:paraId="18051C89" w14:textId="77777777" w:rsidR="005D69B1" w:rsidRPr="00BC0D67" w:rsidRDefault="005D69B1" w:rsidP="005D69B1">
      <w:pPr>
        <w:spacing w:before="0" w:after="0"/>
        <w:rPr>
          <w:sz w:val="18"/>
          <w:szCs w:val="18"/>
        </w:rPr>
      </w:pPr>
      <w:r w:rsidRPr="00BC0D67">
        <w:rPr>
          <w:sz w:val="18"/>
          <w:szCs w:val="18"/>
        </w:rPr>
        <w:t xml:space="preserve">*Input for mitigation measure quantification. </w:t>
      </w:r>
    </w:p>
    <w:p w14:paraId="24564257" w14:textId="7ACAB0D3" w:rsidR="00393EA4" w:rsidRPr="004C12C9" w:rsidRDefault="00DE589F" w:rsidP="00393EA4">
      <w:r w:rsidRPr="004C12C9">
        <w:rPr>
          <w:b/>
          <w:bCs/>
        </w:rPr>
        <w:t>Land Use Change (Construction):</w:t>
      </w:r>
      <w:r w:rsidRPr="004C12C9">
        <w:t xml:space="preserve"> </w:t>
      </w:r>
      <w:r w:rsidR="00393EA4" w:rsidRPr="004C12C9">
        <w:t xml:space="preserve">If </w:t>
      </w:r>
      <w:r w:rsidR="00653E51" w:rsidRPr="004C12C9">
        <w:t>land use change</w:t>
      </w:r>
      <w:r w:rsidR="00393EA4" w:rsidRPr="004C12C9">
        <w:t xml:space="preserve"> </w:t>
      </w:r>
      <w:r w:rsidR="00867D71" w:rsidRPr="004C12C9">
        <w:t>during construction</w:t>
      </w:r>
      <w:r w:rsidR="00393EA4" w:rsidRPr="004C12C9">
        <w:t xml:space="preserve"> is </w:t>
      </w:r>
      <w:r w:rsidR="00CD04B7" w:rsidRPr="004C12C9">
        <w:t>applicable to</w:t>
      </w:r>
      <w:r w:rsidR="00393EA4" w:rsidRPr="004C12C9">
        <w:t xml:space="preserve"> the project, </w:t>
      </w:r>
      <w:r w:rsidR="00B456FE" w:rsidRPr="004C12C9">
        <w:t xml:space="preserve">a user is required to enter the inputs </w:t>
      </w:r>
      <w:r w:rsidR="00AC1AF0" w:rsidRPr="004C12C9">
        <w:t>described</w:t>
      </w:r>
      <w:r w:rsidR="00B456FE" w:rsidRPr="004C12C9">
        <w:t xml:space="preserve"> in </w:t>
      </w:r>
      <w:r w:rsidR="004F5480" w:rsidRPr="004C12C9">
        <w:fldChar w:fldCharType="begin" w:fldLock="1"/>
      </w:r>
      <w:r w:rsidR="004F5480" w:rsidRPr="004C12C9">
        <w:instrText xml:space="preserve"> REF _Ref195879305 \h </w:instrText>
      </w:r>
      <w:r w:rsidR="00F30C0F" w:rsidRPr="004C12C9">
        <w:instrText xml:space="preserve"> \* MERGEFORMAT </w:instrText>
      </w:r>
      <w:r w:rsidR="004F5480" w:rsidRPr="004C12C9">
        <w:fldChar w:fldCharType="separate"/>
      </w:r>
      <w:r w:rsidR="004027D5" w:rsidRPr="004C12C9">
        <w:t>Table D-7</w:t>
      </w:r>
      <w:r w:rsidR="004F5480" w:rsidRPr="004C12C9">
        <w:fldChar w:fldCharType="end"/>
      </w:r>
      <w:r w:rsidR="004F5480" w:rsidRPr="004C12C9">
        <w:t>.</w:t>
      </w:r>
      <w:r w:rsidR="005B3C21" w:rsidRPr="004C12C9">
        <w:t xml:space="preserve"> This information should match the information reported in </w:t>
      </w:r>
      <w:r w:rsidR="00FE66DB" w:rsidRPr="004C12C9">
        <w:t>Item</w:t>
      </w:r>
      <w:r w:rsidR="005B3C21" w:rsidRPr="004C12C9">
        <w:t xml:space="preserve"> #8 of the EAW.</w:t>
      </w:r>
    </w:p>
    <w:p w14:paraId="439B6582" w14:textId="5F763F59" w:rsidR="004F5480" w:rsidRPr="004C12C9" w:rsidRDefault="004F5480" w:rsidP="004F5480">
      <w:pPr>
        <w:pStyle w:val="Caption"/>
      </w:pPr>
      <w:bookmarkStart w:id="339" w:name="_Ref195879305"/>
      <w:r w:rsidRPr="004C12C9">
        <w:t>Table D-</w:t>
      </w:r>
      <w:r w:rsidR="004027D5">
        <w:fldChar w:fldCharType="begin"/>
      </w:r>
      <w:r w:rsidR="004027D5">
        <w:instrText xml:space="preserve"> SEQ Table_D- \* ARABIC </w:instrText>
      </w:r>
      <w:r w:rsidR="004027D5">
        <w:fldChar w:fldCharType="separate"/>
      </w:r>
      <w:r w:rsidR="004027D5" w:rsidRPr="004C12C9">
        <w:t>7</w:t>
      </w:r>
      <w:r w:rsidR="004027D5">
        <w:fldChar w:fldCharType="end"/>
      </w:r>
      <w:bookmarkEnd w:id="339"/>
      <w:r w:rsidRPr="004C12C9">
        <w:t>. User Inputs for Land Use Change During Construction</w:t>
      </w:r>
    </w:p>
    <w:tbl>
      <w:tblPr>
        <w:tblStyle w:val="TableGridLight"/>
        <w:tblW w:w="9355" w:type="dxa"/>
        <w:tblLayout w:type="fixed"/>
        <w:tblLook w:val="04A0" w:firstRow="1" w:lastRow="0" w:firstColumn="1" w:lastColumn="0" w:noHBand="0" w:noVBand="1"/>
      </w:tblPr>
      <w:tblGrid>
        <w:gridCol w:w="1693"/>
        <w:gridCol w:w="1358"/>
        <w:gridCol w:w="2524"/>
        <w:gridCol w:w="1961"/>
        <w:gridCol w:w="1819"/>
      </w:tblGrid>
      <w:tr w:rsidR="0067627E" w:rsidRPr="004C12C9" w14:paraId="774C06DA" w14:textId="77777777" w:rsidTr="009D3330">
        <w:trPr>
          <w:cantSplit/>
          <w:tblHeader/>
        </w:trPr>
        <w:tc>
          <w:tcPr>
            <w:tcW w:w="1693" w:type="dxa"/>
            <w:shd w:val="clear" w:color="auto" w:fill="D9D9D9" w:themeFill="background1" w:themeFillShade="D9"/>
            <w:vAlign w:val="center"/>
          </w:tcPr>
          <w:p w14:paraId="3F82F1E6" w14:textId="78D8FE18" w:rsidR="0067627E" w:rsidRPr="004C12C9" w:rsidRDefault="0067627E" w:rsidP="003E4531">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58" w:type="dxa"/>
            <w:shd w:val="clear" w:color="auto" w:fill="D9D9D9" w:themeFill="background1" w:themeFillShade="D9"/>
            <w:vAlign w:val="center"/>
          </w:tcPr>
          <w:p w14:paraId="1D86CAEA" w14:textId="3798D1CF" w:rsidR="0067627E" w:rsidRPr="004C12C9" w:rsidRDefault="0067627E" w:rsidP="003E4531">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24" w:type="dxa"/>
            <w:shd w:val="clear" w:color="auto" w:fill="D9D9D9" w:themeFill="background1" w:themeFillShade="D9"/>
            <w:vAlign w:val="center"/>
          </w:tcPr>
          <w:p w14:paraId="57233BFD" w14:textId="65616D4D" w:rsidR="0067627E" w:rsidRPr="004C12C9" w:rsidRDefault="0067627E" w:rsidP="003E4531">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61" w:type="dxa"/>
            <w:shd w:val="clear" w:color="auto" w:fill="D9D9D9" w:themeFill="background1" w:themeFillShade="D9"/>
            <w:vAlign w:val="center"/>
          </w:tcPr>
          <w:p w14:paraId="1440BD85" w14:textId="65AB22E0" w:rsidR="0067627E" w:rsidRPr="004C12C9" w:rsidRDefault="0067627E" w:rsidP="003E4531">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819" w:type="dxa"/>
            <w:shd w:val="clear" w:color="auto" w:fill="D9D9D9" w:themeFill="background1" w:themeFillShade="D9"/>
            <w:vAlign w:val="center"/>
          </w:tcPr>
          <w:p w14:paraId="7DC12F99" w14:textId="7165C789" w:rsidR="0067627E" w:rsidRPr="004C12C9" w:rsidRDefault="0067627E" w:rsidP="003E4531">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393EA4" w:rsidRPr="004C12C9" w14:paraId="1C91C6B7" w14:textId="77777777" w:rsidTr="009D3330">
        <w:trPr>
          <w:cantSplit/>
        </w:trPr>
        <w:tc>
          <w:tcPr>
            <w:tcW w:w="1693" w:type="dxa"/>
            <w:vAlign w:val="center"/>
          </w:tcPr>
          <w:p w14:paraId="3AAFC637" w14:textId="708F8EBC" w:rsidR="00393EA4" w:rsidRPr="004C12C9" w:rsidRDefault="007D4F66" w:rsidP="009D3330">
            <w:pPr>
              <w:pStyle w:val="ICFTabletext"/>
              <w:rPr>
                <w:rFonts w:ascii="Calibri" w:eastAsia="Times New Roman" w:hAnsi="Calibri" w:cs="Times New Roman"/>
                <w:sz w:val="20"/>
                <w:lang w:eastAsia="en-US" w:bidi="en-US"/>
              </w:rPr>
            </w:pPr>
            <w:r w:rsidRPr="004C12C9">
              <w:rPr>
                <w:sz w:val="20"/>
              </w:rPr>
              <w:t>Pre-construction acreage by land use type</w:t>
            </w:r>
          </w:p>
        </w:tc>
        <w:tc>
          <w:tcPr>
            <w:tcW w:w="1358" w:type="dxa"/>
            <w:vAlign w:val="center"/>
          </w:tcPr>
          <w:p w14:paraId="045410EA" w14:textId="00D2F986" w:rsidR="00393EA4" w:rsidRPr="004C12C9" w:rsidRDefault="00387128" w:rsidP="009D3330">
            <w:pPr>
              <w:pStyle w:val="ICFTabletext"/>
              <w:rPr>
                <w:rFonts w:ascii="Calibri" w:eastAsia="Times New Roman" w:hAnsi="Calibri" w:cs="Times New Roman"/>
                <w:sz w:val="20"/>
                <w:lang w:eastAsia="en-US" w:bidi="en-US"/>
              </w:rPr>
            </w:pPr>
            <w:r w:rsidRPr="004C12C9">
              <w:rPr>
                <w:sz w:val="20"/>
              </w:rPr>
              <w:t>Decimal number</w:t>
            </w:r>
          </w:p>
        </w:tc>
        <w:tc>
          <w:tcPr>
            <w:tcW w:w="2524" w:type="dxa"/>
            <w:vAlign w:val="center"/>
          </w:tcPr>
          <w:p w14:paraId="281987D3" w14:textId="5FEF627B" w:rsidR="00393EA4" w:rsidRPr="004C12C9" w:rsidRDefault="00387128" w:rsidP="009D3330">
            <w:pPr>
              <w:pStyle w:val="ICFTabletext"/>
              <w:rPr>
                <w:rFonts w:ascii="Calibri" w:eastAsia="Times New Roman" w:hAnsi="Calibri" w:cs="Times New Roman"/>
                <w:sz w:val="20"/>
                <w:lang w:eastAsia="en-US" w:bidi="en-US"/>
              </w:rPr>
            </w:pPr>
            <w:r w:rsidRPr="004C12C9">
              <w:rPr>
                <w:sz w:val="20"/>
              </w:rPr>
              <w:t xml:space="preserve">Must be a decimal number </w:t>
            </w:r>
            <w:r w:rsidR="00B70025" w:rsidRPr="004C12C9">
              <w:rPr>
                <w:sz w:val="20"/>
              </w:rPr>
              <w:t xml:space="preserve">equal to or </w:t>
            </w:r>
            <w:r w:rsidRPr="004C12C9">
              <w:rPr>
                <w:sz w:val="20"/>
              </w:rPr>
              <w:t>greater than 0.</w:t>
            </w:r>
            <w:r w:rsidR="001E3F4E" w:rsidRPr="004C12C9">
              <w:rPr>
                <w:sz w:val="20"/>
              </w:rPr>
              <w:t xml:space="preserve"> </w:t>
            </w:r>
            <w:r w:rsidR="00AC78B2" w:rsidRPr="004C12C9">
              <w:rPr>
                <w:sz w:val="20"/>
              </w:rPr>
              <w:t>Red checkers will appear if t</w:t>
            </w:r>
            <w:r w:rsidR="001E3F4E" w:rsidRPr="004C12C9">
              <w:rPr>
                <w:sz w:val="20"/>
              </w:rPr>
              <w:t xml:space="preserve">otal pre-construction acreage </w:t>
            </w:r>
            <w:r w:rsidR="00AC78B2" w:rsidRPr="004C12C9">
              <w:rPr>
                <w:sz w:val="20"/>
              </w:rPr>
              <w:t>does not equal post-construction acreage.</w:t>
            </w:r>
          </w:p>
        </w:tc>
        <w:tc>
          <w:tcPr>
            <w:tcW w:w="1961" w:type="dxa"/>
            <w:vAlign w:val="center"/>
          </w:tcPr>
          <w:p w14:paraId="673DC804" w14:textId="52287A9A" w:rsidR="00550525" w:rsidRPr="004C12C9" w:rsidRDefault="00B445BF" w:rsidP="009D3330">
            <w:pPr>
              <w:pStyle w:val="ICFTabletext"/>
              <w:rPr>
                <w:rFonts w:ascii="Calibri" w:eastAsia="Times New Roman" w:hAnsi="Calibri" w:cs="Times New Roman"/>
                <w:sz w:val="20"/>
                <w:lang w:eastAsia="en-US" w:bidi="en-US"/>
              </w:rPr>
            </w:pPr>
            <w:r w:rsidRPr="004C12C9">
              <w:rPr>
                <w:sz w:val="20"/>
                <w:lang w:bidi="en-US"/>
              </w:rPr>
              <w:t>NA</w:t>
            </w:r>
          </w:p>
        </w:tc>
        <w:tc>
          <w:tcPr>
            <w:tcW w:w="1819" w:type="dxa"/>
            <w:vAlign w:val="center"/>
          </w:tcPr>
          <w:p w14:paraId="767C6092" w14:textId="0C25338E" w:rsidR="00393EA4" w:rsidRPr="004C12C9" w:rsidRDefault="00F33859" w:rsidP="009D3330">
            <w:pPr>
              <w:pStyle w:val="ICFTabletext"/>
              <w:rPr>
                <w:rFonts w:ascii="Calibri" w:eastAsia="Times New Roman" w:hAnsi="Calibri" w:cs="Times New Roman"/>
                <w:sz w:val="20"/>
                <w:lang w:eastAsia="en-US" w:bidi="en-US"/>
              </w:rPr>
            </w:pPr>
            <w:r w:rsidRPr="004C12C9">
              <w:rPr>
                <w:sz w:val="20"/>
              </w:rPr>
              <w:t xml:space="preserve">Number of acres </w:t>
            </w:r>
            <w:r w:rsidR="00B0087A" w:rsidRPr="004C12C9">
              <w:rPr>
                <w:sz w:val="20"/>
                <w:lang w:bidi="en-US"/>
              </w:rPr>
              <w:t>by</w:t>
            </w:r>
            <w:r w:rsidR="00E67CBB" w:rsidRPr="004C12C9">
              <w:rPr>
                <w:sz w:val="20"/>
              </w:rPr>
              <w:t xml:space="preserve"> land cover type </w:t>
            </w:r>
            <w:r w:rsidR="003C5604" w:rsidRPr="004C12C9">
              <w:rPr>
                <w:sz w:val="20"/>
                <w:lang w:bidi="en-US"/>
              </w:rPr>
              <w:t>prior to construction</w:t>
            </w:r>
            <w:r w:rsidR="00E67CBB" w:rsidRPr="004C12C9">
              <w:rPr>
                <w:sz w:val="20"/>
              </w:rPr>
              <w:t>.</w:t>
            </w:r>
          </w:p>
        </w:tc>
      </w:tr>
      <w:tr w:rsidR="00653E51" w:rsidRPr="004C12C9" w14:paraId="42625ED9" w14:textId="77777777" w:rsidTr="009D3330">
        <w:trPr>
          <w:cantSplit/>
        </w:trPr>
        <w:tc>
          <w:tcPr>
            <w:tcW w:w="1693" w:type="dxa"/>
            <w:vAlign w:val="center"/>
          </w:tcPr>
          <w:p w14:paraId="7DB945B7" w14:textId="003D800E" w:rsidR="00653E51" w:rsidRPr="004C12C9" w:rsidRDefault="007D4F66" w:rsidP="009D3330">
            <w:pPr>
              <w:pStyle w:val="ICFTabletext"/>
              <w:rPr>
                <w:rFonts w:ascii="Calibri" w:eastAsia="Times New Roman" w:hAnsi="Calibri" w:cs="Times New Roman"/>
                <w:sz w:val="20"/>
                <w:lang w:eastAsia="en-US" w:bidi="en-US"/>
              </w:rPr>
            </w:pPr>
            <w:r w:rsidRPr="004C12C9">
              <w:rPr>
                <w:sz w:val="20"/>
              </w:rPr>
              <w:t>Post-construction acreage by land use type</w:t>
            </w:r>
            <w:r w:rsidR="004C0532">
              <w:rPr>
                <w:sz w:val="20"/>
              </w:rPr>
              <w:t>*</w:t>
            </w:r>
          </w:p>
        </w:tc>
        <w:tc>
          <w:tcPr>
            <w:tcW w:w="1358" w:type="dxa"/>
            <w:vAlign w:val="center"/>
          </w:tcPr>
          <w:p w14:paraId="47B476A4" w14:textId="5E48C46C" w:rsidR="00653E51" w:rsidRPr="004C12C9" w:rsidRDefault="00387128" w:rsidP="009D3330">
            <w:pPr>
              <w:pStyle w:val="ICFTabletext"/>
              <w:rPr>
                <w:rFonts w:ascii="Calibri" w:eastAsia="Times New Roman" w:hAnsi="Calibri" w:cs="Times New Roman"/>
                <w:sz w:val="20"/>
                <w:lang w:eastAsia="en-US" w:bidi="en-US"/>
              </w:rPr>
            </w:pPr>
            <w:r w:rsidRPr="004C12C9">
              <w:rPr>
                <w:sz w:val="20"/>
              </w:rPr>
              <w:t>Decimal number</w:t>
            </w:r>
          </w:p>
        </w:tc>
        <w:tc>
          <w:tcPr>
            <w:tcW w:w="2524" w:type="dxa"/>
            <w:vAlign w:val="center"/>
          </w:tcPr>
          <w:p w14:paraId="7138407A" w14:textId="60970152" w:rsidR="00653E51" w:rsidRPr="004C12C9" w:rsidRDefault="00387128" w:rsidP="009D3330">
            <w:pPr>
              <w:pStyle w:val="ICFTabletext"/>
              <w:rPr>
                <w:rFonts w:ascii="Calibri" w:eastAsia="Times New Roman" w:hAnsi="Calibri" w:cs="Times New Roman"/>
                <w:sz w:val="20"/>
                <w:lang w:eastAsia="en-US" w:bidi="en-US"/>
              </w:rPr>
            </w:pPr>
            <w:r w:rsidRPr="004C12C9">
              <w:rPr>
                <w:sz w:val="20"/>
              </w:rPr>
              <w:t xml:space="preserve">Must be a decimal number </w:t>
            </w:r>
            <w:r w:rsidR="00B70025" w:rsidRPr="004C12C9">
              <w:rPr>
                <w:sz w:val="20"/>
              </w:rPr>
              <w:t xml:space="preserve">equal to or </w:t>
            </w:r>
            <w:r w:rsidRPr="004C12C9">
              <w:rPr>
                <w:sz w:val="20"/>
              </w:rPr>
              <w:t>greater than 0.</w:t>
            </w:r>
            <w:r w:rsidR="00AC78B2" w:rsidRPr="004C12C9">
              <w:rPr>
                <w:sz w:val="20"/>
              </w:rPr>
              <w:t xml:space="preserve"> Red checkers will appear if total post-construction acreage does not equal pre-construction acreage.</w:t>
            </w:r>
          </w:p>
        </w:tc>
        <w:tc>
          <w:tcPr>
            <w:tcW w:w="1961" w:type="dxa"/>
            <w:vAlign w:val="center"/>
          </w:tcPr>
          <w:p w14:paraId="6E16015F" w14:textId="2FE08119" w:rsidR="00550525" w:rsidRPr="004C12C9" w:rsidRDefault="00B445BF" w:rsidP="009D3330">
            <w:pPr>
              <w:pStyle w:val="ICFTabletext"/>
              <w:rPr>
                <w:rFonts w:ascii="Calibri" w:eastAsia="Times New Roman" w:hAnsi="Calibri" w:cs="Times New Roman"/>
                <w:sz w:val="20"/>
                <w:lang w:eastAsia="en-US" w:bidi="en-US"/>
              </w:rPr>
            </w:pPr>
            <w:r w:rsidRPr="004C12C9">
              <w:rPr>
                <w:sz w:val="20"/>
                <w:lang w:bidi="en-US"/>
              </w:rPr>
              <w:t>NA</w:t>
            </w:r>
          </w:p>
        </w:tc>
        <w:tc>
          <w:tcPr>
            <w:tcW w:w="1819" w:type="dxa"/>
            <w:vAlign w:val="center"/>
          </w:tcPr>
          <w:p w14:paraId="160E6C6D" w14:textId="1219152E" w:rsidR="00653E51" w:rsidRPr="004C12C9" w:rsidRDefault="00E67CBB" w:rsidP="009D3330">
            <w:pPr>
              <w:pStyle w:val="ICFTabletext"/>
              <w:rPr>
                <w:rFonts w:ascii="Calibri" w:eastAsia="Times New Roman" w:hAnsi="Calibri" w:cs="Times New Roman"/>
                <w:sz w:val="20"/>
                <w:lang w:eastAsia="en-US" w:bidi="en-US"/>
              </w:rPr>
            </w:pPr>
            <w:r w:rsidRPr="004C12C9">
              <w:rPr>
                <w:sz w:val="20"/>
              </w:rPr>
              <w:t xml:space="preserve">Number of acres </w:t>
            </w:r>
            <w:r w:rsidR="00B0087A" w:rsidRPr="004C12C9">
              <w:rPr>
                <w:sz w:val="20"/>
                <w:lang w:bidi="en-US"/>
              </w:rPr>
              <w:t>by</w:t>
            </w:r>
            <w:r w:rsidRPr="004C12C9">
              <w:rPr>
                <w:sz w:val="20"/>
              </w:rPr>
              <w:t xml:space="preserve"> land cover type after </w:t>
            </w:r>
            <w:r w:rsidR="003C5604" w:rsidRPr="004C12C9">
              <w:rPr>
                <w:sz w:val="20"/>
                <w:lang w:bidi="en-US"/>
              </w:rPr>
              <w:t>construction</w:t>
            </w:r>
            <w:r w:rsidRPr="004C12C9">
              <w:rPr>
                <w:sz w:val="20"/>
              </w:rPr>
              <w:t xml:space="preserve">. </w:t>
            </w:r>
          </w:p>
        </w:tc>
      </w:tr>
      <w:tr w:rsidR="007D4F66" w:rsidRPr="004C12C9" w14:paraId="79A58E0A" w14:textId="77777777" w:rsidTr="009D3330">
        <w:trPr>
          <w:cantSplit/>
        </w:trPr>
        <w:tc>
          <w:tcPr>
            <w:tcW w:w="1693" w:type="dxa"/>
            <w:vAlign w:val="center"/>
          </w:tcPr>
          <w:p w14:paraId="70CFC222" w14:textId="1886680E" w:rsidR="007D4F66" w:rsidRPr="004C12C9" w:rsidRDefault="000112BD" w:rsidP="009D3330">
            <w:pPr>
              <w:pStyle w:val="ICFTabletext"/>
              <w:rPr>
                <w:rFonts w:ascii="Calibri" w:eastAsia="Times New Roman" w:hAnsi="Calibri" w:cs="Times New Roman"/>
                <w:sz w:val="20"/>
                <w:lang w:eastAsia="en-US" w:bidi="en-US"/>
              </w:rPr>
            </w:pPr>
            <w:r w:rsidRPr="004C12C9">
              <w:rPr>
                <w:sz w:val="20"/>
              </w:rPr>
              <w:lastRenderedPageBreak/>
              <w:t>Number of mature trees removed</w:t>
            </w:r>
          </w:p>
        </w:tc>
        <w:tc>
          <w:tcPr>
            <w:tcW w:w="1358" w:type="dxa"/>
            <w:vAlign w:val="center"/>
          </w:tcPr>
          <w:p w14:paraId="6D578537" w14:textId="1FFF9D41" w:rsidR="007D4F66" w:rsidRPr="004C12C9" w:rsidRDefault="00DD4BA5" w:rsidP="009D3330">
            <w:pPr>
              <w:pStyle w:val="ICFTabletext"/>
              <w:rPr>
                <w:rFonts w:ascii="Calibri" w:eastAsia="Times New Roman" w:hAnsi="Calibri" w:cs="Times New Roman"/>
                <w:sz w:val="20"/>
                <w:lang w:eastAsia="en-US" w:bidi="en-US"/>
              </w:rPr>
            </w:pPr>
            <w:r w:rsidRPr="004C12C9">
              <w:rPr>
                <w:sz w:val="20"/>
              </w:rPr>
              <w:t>Whole number</w:t>
            </w:r>
          </w:p>
        </w:tc>
        <w:tc>
          <w:tcPr>
            <w:tcW w:w="2524" w:type="dxa"/>
            <w:vAlign w:val="center"/>
          </w:tcPr>
          <w:p w14:paraId="519E7A5A" w14:textId="1C1A9B4E" w:rsidR="007D4F66" w:rsidRPr="004C12C9" w:rsidRDefault="00DD4BA5" w:rsidP="009D3330">
            <w:pPr>
              <w:pStyle w:val="ICFTabletext"/>
              <w:rPr>
                <w:rFonts w:ascii="Calibri" w:eastAsia="Times New Roman" w:hAnsi="Calibri" w:cs="Times New Roman"/>
                <w:sz w:val="20"/>
                <w:lang w:eastAsia="en-US" w:bidi="en-US"/>
              </w:rPr>
            </w:pPr>
            <w:r w:rsidRPr="004C12C9">
              <w:rPr>
                <w:sz w:val="20"/>
              </w:rPr>
              <w:t xml:space="preserve">Must be a whole number </w:t>
            </w:r>
            <w:r w:rsidR="00B70025" w:rsidRPr="004C12C9">
              <w:rPr>
                <w:sz w:val="20"/>
              </w:rPr>
              <w:t xml:space="preserve">equal to or </w:t>
            </w:r>
            <w:r w:rsidRPr="004C12C9">
              <w:rPr>
                <w:sz w:val="20"/>
              </w:rPr>
              <w:t>greater than 0. This input is optional</w:t>
            </w:r>
            <w:r w:rsidR="005168EF" w:rsidRPr="004C12C9">
              <w:rPr>
                <w:sz w:val="20"/>
              </w:rPr>
              <w:t>.</w:t>
            </w:r>
          </w:p>
        </w:tc>
        <w:tc>
          <w:tcPr>
            <w:tcW w:w="1961" w:type="dxa"/>
            <w:vAlign w:val="center"/>
          </w:tcPr>
          <w:p w14:paraId="5944434C" w14:textId="24A3A5D5" w:rsidR="00550525" w:rsidRPr="004C12C9" w:rsidRDefault="001C6EDA" w:rsidP="009D3330">
            <w:pPr>
              <w:pStyle w:val="ICFTabletext"/>
              <w:rPr>
                <w:rFonts w:ascii="Calibri" w:eastAsia="Times New Roman" w:hAnsi="Calibri" w:cs="Times New Roman"/>
                <w:sz w:val="20"/>
                <w:lang w:eastAsia="en-US" w:bidi="en-US"/>
              </w:rPr>
            </w:pPr>
            <w:r w:rsidRPr="004C12C9">
              <w:rPr>
                <w:sz w:val="20"/>
              </w:rPr>
              <w:t>NA</w:t>
            </w:r>
          </w:p>
        </w:tc>
        <w:tc>
          <w:tcPr>
            <w:tcW w:w="1819" w:type="dxa"/>
            <w:vAlign w:val="center"/>
          </w:tcPr>
          <w:p w14:paraId="47C8B3C6" w14:textId="4443D22F" w:rsidR="007D4F66" w:rsidRPr="004C12C9" w:rsidRDefault="00645C66" w:rsidP="009D3330">
            <w:pPr>
              <w:pStyle w:val="ICFTabletext"/>
              <w:rPr>
                <w:rFonts w:ascii="Calibri" w:eastAsia="Times New Roman" w:hAnsi="Calibri" w:cs="Times New Roman"/>
                <w:sz w:val="20"/>
                <w:lang w:eastAsia="en-US" w:bidi="en-US"/>
              </w:rPr>
            </w:pPr>
            <w:r w:rsidRPr="004C12C9">
              <w:rPr>
                <w:sz w:val="20"/>
              </w:rPr>
              <w:t xml:space="preserve">Number of trees removed during </w:t>
            </w:r>
            <w:r w:rsidR="00B0087A" w:rsidRPr="004C12C9">
              <w:rPr>
                <w:sz w:val="20"/>
                <w:lang w:bidi="en-US"/>
              </w:rPr>
              <w:t>construction</w:t>
            </w:r>
            <w:r w:rsidR="004C1D71" w:rsidRPr="004C12C9">
              <w:rPr>
                <w:sz w:val="20"/>
                <w:lang w:bidi="en-US"/>
              </w:rPr>
              <w:t>, not including trees removed as part of forest conversion</w:t>
            </w:r>
            <w:r w:rsidRPr="004C12C9">
              <w:rPr>
                <w:sz w:val="20"/>
              </w:rPr>
              <w:t xml:space="preserve">. </w:t>
            </w:r>
          </w:p>
        </w:tc>
      </w:tr>
      <w:tr w:rsidR="000112BD" w:rsidRPr="004C12C9" w14:paraId="09C4FF01" w14:textId="77777777" w:rsidTr="009D3330">
        <w:trPr>
          <w:cantSplit/>
        </w:trPr>
        <w:tc>
          <w:tcPr>
            <w:tcW w:w="1693" w:type="dxa"/>
            <w:vAlign w:val="center"/>
          </w:tcPr>
          <w:p w14:paraId="0A8803F1" w14:textId="7A0D1ED1" w:rsidR="000112BD" w:rsidRPr="004C12C9" w:rsidRDefault="000112BD" w:rsidP="009D3330">
            <w:pPr>
              <w:pStyle w:val="ICFTabletext"/>
              <w:rPr>
                <w:rFonts w:ascii="Calibri" w:eastAsia="Times New Roman" w:hAnsi="Calibri" w:cs="Times New Roman"/>
                <w:sz w:val="20"/>
                <w:lang w:eastAsia="en-US" w:bidi="en-US"/>
              </w:rPr>
            </w:pPr>
            <w:r w:rsidRPr="004C12C9">
              <w:rPr>
                <w:sz w:val="20"/>
              </w:rPr>
              <w:t>Number of new trees planted</w:t>
            </w:r>
            <w:r w:rsidR="004C0532">
              <w:rPr>
                <w:sz w:val="20"/>
              </w:rPr>
              <w:t>*</w:t>
            </w:r>
          </w:p>
        </w:tc>
        <w:tc>
          <w:tcPr>
            <w:tcW w:w="1358" w:type="dxa"/>
            <w:vAlign w:val="center"/>
          </w:tcPr>
          <w:p w14:paraId="1F0BEF26" w14:textId="03000E2E" w:rsidR="000112BD" w:rsidRPr="004C12C9" w:rsidRDefault="005168EF" w:rsidP="009D3330">
            <w:pPr>
              <w:pStyle w:val="ICFTabletext"/>
              <w:rPr>
                <w:rFonts w:ascii="Calibri" w:eastAsia="Times New Roman" w:hAnsi="Calibri" w:cs="Times New Roman"/>
                <w:sz w:val="20"/>
                <w:lang w:eastAsia="en-US" w:bidi="en-US"/>
              </w:rPr>
            </w:pPr>
            <w:r w:rsidRPr="004C12C9">
              <w:rPr>
                <w:sz w:val="20"/>
              </w:rPr>
              <w:t>Whole number</w:t>
            </w:r>
          </w:p>
        </w:tc>
        <w:tc>
          <w:tcPr>
            <w:tcW w:w="2524" w:type="dxa"/>
            <w:vAlign w:val="center"/>
          </w:tcPr>
          <w:p w14:paraId="27E239EE" w14:textId="43C4C41F" w:rsidR="000112BD" w:rsidRPr="004C12C9" w:rsidRDefault="005168EF" w:rsidP="009D3330">
            <w:pPr>
              <w:pStyle w:val="ICFTabletext"/>
              <w:rPr>
                <w:rFonts w:ascii="Calibri" w:eastAsia="Times New Roman" w:hAnsi="Calibri" w:cs="Times New Roman"/>
                <w:sz w:val="20"/>
                <w:lang w:eastAsia="en-US" w:bidi="en-US"/>
              </w:rPr>
            </w:pPr>
            <w:r w:rsidRPr="004C12C9">
              <w:rPr>
                <w:sz w:val="20"/>
              </w:rPr>
              <w:t xml:space="preserve">Must be a whole number </w:t>
            </w:r>
            <w:r w:rsidR="00B70025" w:rsidRPr="004C12C9">
              <w:rPr>
                <w:sz w:val="20"/>
              </w:rPr>
              <w:t xml:space="preserve">equal to or </w:t>
            </w:r>
            <w:r w:rsidRPr="004C12C9">
              <w:rPr>
                <w:sz w:val="20"/>
              </w:rPr>
              <w:t>greater than 0. This input is optional.</w:t>
            </w:r>
          </w:p>
        </w:tc>
        <w:tc>
          <w:tcPr>
            <w:tcW w:w="1961" w:type="dxa"/>
            <w:vAlign w:val="center"/>
          </w:tcPr>
          <w:p w14:paraId="1216D8BA" w14:textId="4AB16FE5" w:rsidR="00550525" w:rsidRPr="004C12C9" w:rsidRDefault="001C6EDA" w:rsidP="009D3330">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1819" w:type="dxa"/>
            <w:vAlign w:val="center"/>
          </w:tcPr>
          <w:p w14:paraId="2CD530FC" w14:textId="3AEF97FC" w:rsidR="000112BD" w:rsidRPr="004C12C9" w:rsidRDefault="00465F6A" w:rsidP="009D3330">
            <w:pPr>
              <w:pStyle w:val="ICFTabletext"/>
              <w:rPr>
                <w:rFonts w:ascii="Calibri" w:eastAsia="Times New Roman" w:hAnsi="Calibri" w:cs="Times New Roman"/>
                <w:sz w:val="20"/>
                <w:lang w:eastAsia="en-US" w:bidi="en-US"/>
              </w:rPr>
            </w:pPr>
            <w:r w:rsidRPr="004C12C9">
              <w:rPr>
                <w:sz w:val="20"/>
              </w:rPr>
              <w:t xml:space="preserve">Number of </w:t>
            </w:r>
            <w:r w:rsidR="00F54449" w:rsidRPr="004C12C9">
              <w:rPr>
                <w:sz w:val="20"/>
              </w:rPr>
              <w:t>new trees planted</w:t>
            </w:r>
            <w:r w:rsidR="00BE76F0" w:rsidRPr="004C12C9">
              <w:rPr>
                <w:sz w:val="20"/>
              </w:rPr>
              <w:t xml:space="preserve"> after development</w:t>
            </w:r>
            <w:r w:rsidR="004C1D71" w:rsidRPr="004C12C9">
              <w:rPr>
                <w:sz w:val="20"/>
                <w:lang w:bidi="en-US"/>
              </w:rPr>
              <w:t>, not including trees planted as part of reforestation</w:t>
            </w:r>
            <w:r w:rsidR="004C1D71" w:rsidRPr="004C12C9">
              <w:rPr>
                <w:sz w:val="20"/>
              </w:rPr>
              <w:t xml:space="preserve">. </w:t>
            </w:r>
            <w:r w:rsidRPr="004C12C9">
              <w:rPr>
                <w:sz w:val="20"/>
              </w:rPr>
              <w:t xml:space="preserve"> </w:t>
            </w:r>
          </w:p>
        </w:tc>
      </w:tr>
    </w:tbl>
    <w:p w14:paraId="48571ACF" w14:textId="77777777" w:rsidR="004C0532" w:rsidRPr="00BC0D67" w:rsidRDefault="004C0532" w:rsidP="004C0532">
      <w:pPr>
        <w:spacing w:before="0" w:after="0"/>
        <w:rPr>
          <w:sz w:val="18"/>
          <w:szCs w:val="18"/>
        </w:rPr>
      </w:pPr>
      <w:r w:rsidRPr="00BC0D67">
        <w:rPr>
          <w:sz w:val="18"/>
          <w:szCs w:val="18"/>
        </w:rPr>
        <w:t xml:space="preserve">*Input for mitigation measure quantification. </w:t>
      </w:r>
    </w:p>
    <w:p w14:paraId="294432B9" w14:textId="1B5C6D6E" w:rsidR="00653E51" w:rsidRPr="004C12C9" w:rsidRDefault="009D3330" w:rsidP="00653E51">
      <w:r w:rsidRPr="004C12C9">
        <w:rPr>
          <w:b/>
          <w:bCs/>
        </w:rPr>
        <w:t>Construction Waste:</w:t>
      </w:r>
      <w:r w:rsidRPr="004C12C9">
        <w:t xml:space="preserve"> </w:t>
      </w:r>
      <w:r w:rsidR="00653E51" w:rsidRPr="004C12C9">
        <w:t xml:space="preserve">If construction waste is </w:t>
      </w:r>
      <w:r w:rsidR="008536A4" w:rsidRPr="004C12C9">
        <w:t>applicable to</w:t>
      </w:r>
      <w:r w:rsidR="00653E51" w:rsidRPr="004C12C9">
        <w:t xml:space="preserve"> the project</w:t>
      </w:r>
      <w:r w:rsidR="00AC1AF0" w:rsidRPr="004C12C9">
        <w:t xml:space="preserve">, a user is required to enter the inputs described </w:t>
      </w:r>
      <w:r w:rsidR="004F5480" w:rsidRPr="004C12C9">
        <w:fldChar w:fldCharType="begin" w:fldLock="1"/>
      </w:r>
      <w:r w:rsidR="004F5480" w:rsidRPr="004C12C9">
        <w:instrText xml:space="preserve"> REF _Ref195879339 \h </w:instrText>
      </w:r>
      <w:r w:rsidR="004F5480" w:rsidRPr="004C12C9">
        <w:fldChar w:fldCharType="separate"/>
      </w:r>
      <w:r w:rsidR="00AC1AF0" w:rsidRPr="004C12C9">
        <w:t>Table D-8</w:t>
      </w:r>
      <w:r w:rsidR="004F5480" w:rsidRPr="004C12C9">
        <w:fldChar w:fldCharType="end"/>
      </w:r>
      <w:r w:rsidR="004F5480" w:rsidRPr="004C12C9">
        <w:t>.</w:t>
      </w:r>
    </w:p>
    <w:p w14:paraId="06875A96" w14:textId="50021978" w:rsidR="004F5480" w:rsidRPr="004C12C9" w:rsidRDefault="004F5480" w:rsidP="004F5480">
      <w:pPr>
        <w:pStyle w:val="Caption"/>
      </w:pPr>
      <w:bookmarkStart w:id="340" w:name="_Ref195879339"/>
      <w:r w:rsidRPr="004C12C9">
        <w:t>Table D-</w:t>
      </w:r>
      <w:r w:rsidR="00AC1AF0">
        <w:fldChar w:fldCharType="begin"/>
      </w:r>
      <w:r w:rsidR="00AC1AF0">
        <w:instrText xml:space="preserve"> SEQ Table_D- \* ARABIC </w:instrText>
      </w:r>
      <w:r w:rsidR="00AC1AF0">
        <w:fldChar w:fldCharType="separate"/>
      </w:r>
      <w:r w:rsidR="00AC1AF0" w:rsidRPr="004C12C9">
        <w:t>8</w:t>
      </w:r>
      <w:r w:rsidR="00AC1AF0">
        <w:fldChar w:fldCharType="end"/>
      </w:r>
      <w:bookmarkEnd w:id="340"/>
      <w:r w:rsidRPr="004C12C9">
        <w:t>. User Inputs for Construction Waste</w:t>
      </w:r>
    </w:p>
    <w:tbl>
      <w:tblPr>
        <w:tblStyle w:val="TableGridLight"/>
        <w:tblW w:w="0" w:type="auto"/>
        <w:tblLook w:val="04A0" w:firstRow="1" w:lastRow="0" w:firstColumn="1" w:lastColumn="0" w:noHBand="0" w:noVBand="1"/>
      </w:tblPr>
      <w:tblGrid>
        <w:gridCol w:w="1524"/>
        <w:gridCol w:w="1384"/>
        <w:gridCol w:w="1743"/>
        <w:gridCol w:w="2364"/>
        <w:gridCol w:w="2335"/>
      </w:tblGrid>
      <w:tr w:rsidR="00EE4EC7" w:rsidRPr="004C12C9" w14:paraId="21891A7F" w14:textId="77777777" w:rsidTr="003D5539">
        <w:tc>
          <w:tcPr>
            <w:tcW w:w="1524" w:type="dxa"/>
            <w:shd w:val="clear" w:color="auto" w:fill="D9D9D9" w:themeFill="background1" w:themeFillShade="D9"/>
            <w:vAlign w:val="center"/>
          </w:tcPr>
          <w:p w14:paraId="0C63C36A" w14:textId="38AC62B2" w:rsidR="00EE4EC7" w:rsidRPr="004C12C9" w:rsidRDefault="00EE4EC7" w:rsidP="00AC1AF0">
            <w:pPr>
              <w:pStyle w:val="ICFTableHeading"/>
            </w:pPr>
            <w:r w:rsidRPr="004C12C9">
              <w:rPr>
                <w:rFonts w:ascii="Calibri" w:eastAsia="Times New Roman" w:hAnsi="Calibri" w:cs="Times New Roman"/>
                <w:sz w:val="20"/>
                <w:szCs w:val="18"/>
                <w:lang w:eastAsia="en-US" w:bidi="en-US"/>
              </w:rPr>
              <w:t>Input</w:t>
            </w:r>
          </w:p>
        </w:tc>
        <w:tc>
          <w:tcPr>
            <w:tcW w:w="1384" w:type="dxa"/>
            <w:shd w:val="clear" w:color="auto" w:fill="D9D9D9" w:themeFill="background1" w:themeFillShade="D9"/>
            <w:vAlign w:val="center"/>
          </w:tcPr>
          <w:p w14:paraId="6A4C6C3B" w14:textId="48531616" w:rsidR="00EE4EC7" w:rsidRPr="004C12C9" w:rsidRDefault="00EE4EC7" w:rsidP="00AC1AF0">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743" w:type="dxa"/>
            <w:shd w:val="clear" w:color="auto" w:fill="D9D9D9" w:themeFill="background1" w:themeFillShade="D9"/>
            <w:vAlign w:val="center"/>
          </w:tcPr>
          <w:p w14:paraId="10E11284" w14:textId="36833883" w:rsidR="00EE4EC7" w:rsidRPr="004C12C9" w:rsidRDefault="00EE4EC7" w:rsidP="00AC1AF0">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364" w:type="dxa"/>
            <w:shd w:val="clear" w:color="auto" w:fill="D9D9D9" w:themeFill="background1" w:themeFillShade="D9"/>
            <w:vAlign w:val="center"/>
          </w:tcPr>
          <w:p w14:paraId="2F07250C" w14:textId="631BD05B" w:rsidR="00EE4EC7" w:rsidRPr="004C12C9" w:rsidRDefault="00EE4EC7" w:rsidP="00AC1AF0">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335" w:type="dxa"/>
            <w:shd w:val="clear" w:color="auto" w:fill="D9D9D9" w:themeFill="background1" w:themeFillShade="D9"/>
            <w:vAlign w:val="center"/>
          </w:tcPr>
          <w:p w14:paraId="259007D4" w14:textId="3D1519F0" w:rsidR="00EE4EC7" w:rsidRPr="004C12C9" w:rsidRDefault="00EE4EC7" w:rsidP="00AC1AF0">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653E51" w:rsidRPr="004C12C9" w14:paraId="380AF4EE" w14:textId="77777777" w:rsidTr="003D5539">
        <w:tc>
          <w:tcPr>
            <w:tcW w:w="1524" w:type="dxa"/>
            <w:vAlign w:val="center"/>
          </w:tcPr>
          <w:p w14:paraId="23CA42BF" w14:textId="67614E6F" w:rsidR="00653E51" w:rsidRPr="004C12C9" w:rsidRDefault="00F26E1B" w:rsidP="0080085D">
            <w:pPr>
              <w:pStyle w:val="ICFTabletext"/>
              <w:rPr>
                <w:rFonts w:ascii="Calibri" w:eastAsia="Times New Roman" w:hAnsi="Calibri" w:cs="Times New Roman"/>
                <w:sz w:val="20"/>
                <w:lang w:eastAsia="en-US" w:bidi="en-US"/>
              </w:rPr>
            </w:pPr>
            <w:r w:rsidRPr="004C12C9">
              <w:rPr>
                <w:sz w:val="20"/>
              </w:rPr>
              <w:t>Quantity of materials by material type</w:t>
            </w:r>
          </w:p>
        </w:tc>
        <w:tc>
          <w:tcPr>
            <w:tcW w:w="1384" w:type="dxa"/>
            <w:vAlign w:val="center"/>
          </w:tcPr>
          <w:p w14:paraId="216F4D3D" w14:textId="62730022" w:rsidR="00653E51" w:rsidRPr="004C12C9" w:rsidRDefault="00F26E1B" w:rsidP="0080085D">
            <w:pPr>
              <w:pStyle w:val="ICFTabletext"/>
              <w:rPr>
                <w:rFonts w:ascii="Calibri" w:eastAsia="Times New Roman" w:hAnsi="Calibri" w:cs="Times New Roman"/>
                <w:sz w:val="20"/>
                <w:lang w:eastAsia="en-US" w:bidi="en-US"/>
              </w:rPr>
            </w:pPr>
            <w:r w:rsidRPr="004C12C9">
              <w:rPr>
                <w:sz w:val="20"/>
              </w:rPr>
              <w:t>Decimal number</w:t>
            </w:r>
          </w:p>
        </w:tc>
        <w:tc>
          <w:tcPr>
            <w:tcW w:w="1743" w:type="dxa"/>
            <w:vAlign w:val="center"/>
          </w:tcPr>
          <w:p w14:paraId="45F2EB4F" w14:textId="54921FCC" w:rsidR="00653E51" w:rsidRPr="004C12C9" w:rsidRDefault="00E86058" w:rsidP="0080085D">
            <w:pPr>
              <w:pStyle w:val="ICFTabletext"/>
              <w:rPr>
                <w:rFonts w:ascii="Calibri" w:eastAsia="Times New Roman" w:hAnsi="Calibri" w:cs="Times New Roman"/>
                <w:sz w:val="20"/>
                <w:lang w:eastAsia="en-US" w:bidi="en-US"/>
              </w:rPr>
            </w:pPr>
            <w:r w:rsidRPr="004C12C9">
              <w:rPr>
                <w:sz w:val="20"/>
              </w:rPr>
              <w:t>Must be a decimal number</w:t>
            </w:r>
            <w:r w:rsidR="00AC1AF0" w:rsidRPr="004C12C9">
              <w:rPr>
                <w:sz w:val="20"/>
              </w:rPr>
              <w:t xml:space="preserve"> equal to or</w:t>
            </w:r>
            <w:r w:rsidRPr="004C12C9">
              <w:rPr>
                <w:sz w:val="20"/>
              </w:rPr>
              <w:t xml:space="preserve"> greater than 0. </w:t>
            </w:r>
            <w:r w:rsidR="002D7C27" w:rsidRPr="004C12C9">
              <w:rPr>
                <w:sz w:val="20"/>
              </w:rPr>
              <w:t xml:space="preserve">Red </w:t>
            </w:r>
            <w:r w:rsidR="003462BC" w:rsidRPr="004C12C9">
              <w:rPr>
                <w:sz w:val="20"/>
              </w:rPr>
              <w:t>checker</w:t>
            </w:r>
            <w:r w:rsidR="002D7C27" w:rsidRPr="004C12C9">
              <w:rPr>
                <w:sz w:val="20"/>
              </w:rPr>
              <w:t xml:space="preserve"> appear</w:t>
            </w:r>
            <w:r w:rsidR="00BC4018" w:rsidRPr="004C12C9">
              <w:rPr>
                <w:sz w:val="20"/>
              </w:rPr>
              <w:t>s</w:t>
            </w:r>
            <w:r w:rsidR="002D7C27" w:rsidRPr="004C12C9">
              <w:rPr>
                <w:sz w:val="20"/>
              </w:rPr>
              <w:t xml:space="preserve"> if </w:t>
            </w:r>
            <w:r w:rsidR="00C03187" w:rsidRPr="004C12C9">
              <w:rPr>
                <w:sz w:val="20"/>
                <w:lang w:bidi="en-US"/>
              </w:rPr>
              <w:t xml:space="preserve">the </w:t>
            </w:r>
            <w:r w:rsidR="00C03187" w:rsidRPr="004C12C9">
              <w:rPr>
                <w:rFonts w:ascii="Calibri" w:eastAsia="Times New Roman" w:hAnsi="Calibri" w:cs="Times New Roman"/>
                <w:sz w:val="20"/>
                <w:lang w:eastAsia="en-US" w:bidi="en-US"/>
              </w:rPr>
              <w:t>sum of all values equals 0</w:t>
            </w:r>
            <w:r w:rsidR="00E917B4" w:rsidRPr="004C12C9">
              <w:rPr>
                <w:rFonts w:ascii="Calibri" w:eastAsia="Times New Roman" w:hAnsi="Calibri" w:cs="Times New Roman"/>
                <w:sz w:val="20"/>
                <w:lang w:eastAsia="en-US" w:bidi="en-US"/>
              </w:rPr>
              <w:t>.</w:t>
            </w:r>
          </w:p>
        </w:tc>
        <w:tc>
          <w:tcPr>
            <w:tcW w:w="2364" w:type="dxa"/>
            <w:vAlign w:val="center"/>
          </w:tcPr>
          <w:p w14:paraId="2CBC9A29" w14:textId="21274D08" w:rsidR="00550525" w:rsidRPr="004C12C9" w:rsidRDefault="00C03187" w:rsidP="0080085D">
            <w:pPr>
              <w:pStyle w:val="ICFTabletext"/>
              <w:rPr>
                <w:rFonts w:ascii="Calibri" w:eastAsia="Times New Roman" w:hAnsi="Calibri" w:cs="Times New Roman"/>
                <w:sz w:val="20"/>
                <w:lang w:eastAsia="en-US" w:bidi="en-US"/>
              </w:rPr>
            </w:pPr>
            <w:r w:rsidRPr="004C12C9">
              <w:rPr>
                <w:sz w:val="20"/>
              </w:rPr>
              <w:t>Yes. B</w:t>
            </w:r>
            <w:r w:rsidR="003A5F65" w:rsidRPr="004C12C9">
              <w:rPr>
                <w:sz w:val="20"/>
              </w:rPr>
              <w:t xml:space="preserve">ased on inputs entered under the Material Inputs section. </w:t>
            </w:r>
            <w:r w:rsidR="006248D9" w:rsidRPr="004C12C9">
              <w:rPr>
                <w:sz w:val="20"/>
              </w:rPr>
              <w:t>C</w:t>
            </w:r>
            <w:r w:rsidR="00985C54" w:rsidRPr="004C12C9">
              <w:rPr>
                <w:sz w:val="20"/>
              </w:rPr>
              <w:t xml:space="preserve">alculated by multiplying the </w:t>
            </w:r>
            <w:r w:rsidR="006248D9" w:rsidRPr="004C12C9">
              <w:rPr>
                <w:sz w:val="20"/>
              </w:rPr>
              <w:t xml:space="preserve">user-provided </w:t>
            </w:r>
            <w:r w:rsidR="00985C54" w:rsidRPr="004C12C9">
              <w:rPr>
                <w:sz w:val="20"/>
              </w:rPr>
              <w:t xml:space="preserve">material quantities by the </w:t>
            </w:r>
            <w:r w:rsidR="006248D9" w:rsidRPr="004C12C9">
              <w:rPr>
                <w:sz w:val="20"/>
              </w:rPr>
              <w:t xml:space="preserve">assumed </w:t>
            </w:r>
            <w:r w:rsidR="00985C54" w:rsidRPr="004C12C9">
              <w:rPr>
                <w:sz w:val="20"/>
              </w:rPr>
              <w:t>loss rate of each material type.</w:t>
            </w:r>
            <w:r w:rsidR="00D4166F" w:rsidRPr="004C12C9">
              <w:rPr>
                <w:sz w:val="20"/>
              </w:rPr>
              <w:t xml:space="preserve"> No default available for mixed C&amp;D waste.</w:t>
            </w:r>
          </w:p>
        </w:tc>
        <w:tc>
          <w:tcPr>
            <w:tcW w:w="2335" w:type="dxa"/>
            <w:vAlign w:val="center"/>
          </w:tcPr>
          <w:p w14:paraId="133A20DA" w14:textId="12DF8CB9" w:rsidR="00653E51" w:rsidRPr="004C12C9" w:rsidRDefault="00A17C29" w:rsidP="0080085D">
            <w:pPr>
              <w:pStyle w:val="ICFTabletext"/>
              <w:rPr>
                <w:rFonts w:ascii="Calibri" w:eastAsia="Times New Roman" w:hAnsi="Calibri" w:cs="Times New Roman"/>
                <w:sz w:val="20"/>
                <w:lang w:eastAsia="en-US" w:bidi="en-US"/>
              </w:rPr>
            </w:pPr>
            <w:r w:rsidRPr="004C12C9">
              <w:rPr>
                <w:sz w:val="20"/>
              </w:rPr>
              <w:t xml:space="preserve">Total amount of waste generated during construction in short tons. </w:t>
            </w:r>
            <w:r w:rsidR="00D35062" w:rsidRPr="004C12C9">
              <w:rPr>
                <w:sz w:val="20"/>
              </w:rPr>
              <w:t xml:space="preserve">Users may also enter a quantity for mixed </w:t>
            </w:r>
            <w:r w:rsidR="008B7B49" w:rsidRPr="004C12C9">
              <w:rPr>
                <w:sz w:val="20"/>
              </w:rPr>
              <w:t xml:space="preserve">C&amp;D </w:t>
            </w:r>
            <w:r w:rsidR="00D35062" w:rsidRPr="004C12C9">
              <w:rPr>
                <w:sz w:val="20"/>
              </w:rPr>
              <w:t>waste generated to account for other waste not covered by material-specific values.</w:t>
            </w:r>
          </w:p>
        </w:tc>
      </w:tr>
    </w:tbl>
    <w:p w14:paraId="4502362B" w14:textId="4FF00550" w:rsidR="00B43A79" w:rsidRPr="004C12C9" w:rsidRDefault="0080085D" w:rsidP="00B43A79">
      <w:r w:rsidRPr="004C12C9">
        <w:rPr>
          <w:b/>
          <w:bCs/>
        </w:rPr>
        <w:t>Building Energy Consumption:</w:t>
      </w:r>
      <w:r w:rsidRPr="004C12C9">
        <w:t xml:space="preserve"> </w:t>
      </w:r>
      <w:r w:rsidR="00B43A79" w:rsidRPr="004C12C9">
        <w:t xml:space="preserve">If building energy consumption is </w:t>
      </w:r>
      <w:r w:rsidR="008536A4" w:rsidRPr="004C12C9">
        <w:t>applicable to</w:t>
      </w:r>
      <w:r w:rsidR="00B43A79" w:rsidRPr="004C12C9">
        <w:t xml:space="preserve"> the project, </w:t>
      </w:r>
      <w:r w:rsidR="00ED412D" w:rsidRPr="004C12C9">
        <w:t xml:space="preserve">a user is required to enter the inputs </w:t>
      </w:r>
      <w:r w:rsidRPr="004C12C9">
        <w:t>described</w:t>
      </w:r>
      <w:r w:rsidR="00ED412D" w:rsidRPr="004C12C9">
        <w:t xml:space="preserve"> in </w:t>
      </w:r>
      <w:r w:rsidR="00474998" w:rsidRPr="004C12C9">
        <w:fldChar w:fldCharType="begin" w:fldLock="1"/>
      </w:r>
      <w:r w:rsidR="00474998" w:rsidRPr="004C12C9">
        <w:instrText xml:space="preserve"> REF _Ref195879451 \h </w:instrText>
      </w:r>
      <w:r w:rsidR="00474998" w:rsidRPr="004C12C9">
        <w:fldChar w:fldCharType="separate"/>
      </w:r>
      <w:r w:rsidR="008C0483" w:rsidRPr="004C12C9">
        <w:t>Table D- 9</w:t>
      </w:r>
      <w:r w:rsidR="00474998" w:rsidRPr="004C12C9">
        <w:fldChar w:fldCharType="end"/>
      </w:r>
      <w:r w:rsidR="00683EBA">
        <w:t xml:space="preserve"> depending on the user-selected approach</w:t>
      </w:r>
      <w:r w:rsidR="00474998" w:rsidRPr="004C12C9">
        <w:t>.</w:t>
      </w:r>
    </w:p>
    <w:p w14:paraId="7EF7B9D6" w14:textId="60F585AA" w:rsidR="00474998" w:rsidRPr="004C12C9" w:rsidRDefault="00474998" w:rsidP="00474998">
      <w:pPr>
        <w:pStyle w:val="Caption"/>
      </w:pPr>
      <w:bookmarkStart w:id="341" w:name="_Ref195879451"/>
      <w:r w:rsidRPr="004C12C9">
        <w:t>Table D-</w:t>
      </w:r>
      <w:r w:rsidR="008C0483">
        <w:fldChar w:fldCharType="begin"/>
      </w:r>
      <w:r w:rsidR="008C0483">
        <w:instrText xml:space="preserve"> SEQ Table_D- \* ARABIC </w:instrText>
      </w:r>
      <w:r w:rsidR="008C0483">
        <w:fldChar w:fldCharType="separate"/>
      </w:r>
      <w:r w:rsidR="008C0483" w:rsidRPr="004C12C9">
        <w:t>9</w:t>
      </w:r>
      <w:r w:rsidR="008C0483">
        <w:fldChar w:fldCharType="end"/>
      </w:r>
      <w:bookmarkEnd w:id="341"/>
      <w:r w:rsidRPr="004C12C9">
        <w:t>. User Inputs for Building Energy Consumption</w:t>
      </w:r>
    </w:p>
    <w:tbl>
      <w:tblPr>
        <w:tblStyle w:val="TableGridLight"/>
        <w:tblW w:w="0" w:type="auto"/>
        <w:tblLook w:val="04A0" w:firstRow="1" w:lastRow="0" w:firstColumn="1" w:lastColumn="0" w:noHBand="0" w:noVBand="1"/>
      </w:tblPr>
      <w:tblGrid>
        <w:gridCol w:w="1514"/>
        <w:gridCol w:w="1181"/>
        <w:gridCol w:w="1980"/>
        <w:gridCol w:w="1980"/>
        <w:gridCol w:w="2695"/>
      </w:tblGrid>
      <w:tr w:rsidR="00EE4EC7" w:rsidRPr="004C12C9" w14:paraId="79919496" w14:textId="77777777" w:rsidTr="009621CC">
        <w:trPr>
          <w:trHeight w:val="70"/>
          <w:tblHeader/>
        </w:trPr>
        <w:tc>
          <w:tcPr>
            <w:tcW w:w="1514" w:type="dxa"/>
            <w:shd w:val="clear" w:color="auto" w:fill="D9D9D9" w:themeFill="background1" w:themeFillShade="D9"/>
            <w:vAlign w:val="center"/>
          </w:tcPr>
          <w:p w14:paraId="67E607A9" w14:textId="4646ABCE" w:rsidR="00EE4EC7" w:rsidRPr="004C12C9" w:rsidRDefault="00EE4EC7" w:rsidP="0080085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81" w:type="dxa"/>
            <w:shd w:val="clear" w:color="auto" w:fill="D9D9D9" w:themeFill="background1" w:themeFillShade="D9"/>
            <w:vAlign w:val="center"/>
          </w:tcPr>
          <w:p w14:paraId="7EC0DE38" w14:textId="2039CB3D" w:rsidR="00EE4EC7" w:rsidRPr="004C12C9" w:rsidRDefault="00EE4EC7" w:rsidP="0080085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80" w:type="dxa"/>
            <w:shd w:val="clear" w:color="auto" w:fill="D9D9D9" w:themeFill="background1" w:themeFillShade="D9"/>
            <w:vAlign w:val="center"/>
          </w:tcPr>
          <w:p w14:paraId="481A115D" w14:textId="6436AEFC" w:rsidR="00EE4EC7" w:rsidRPr="004C12C9" w:rsidRDefault="00EE4EC7" w:rsidP="0080085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19B21670" w14:textId="20E3F2DC" w:rsidR="00EE4EC7" w:rsidRPr="004C12C9" w:rsidRDefault="00EE4EC7" w:rsidP="0080085D">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695" w:type="dxa"/>
            <w:shd w:val="clear" w:color="auto" w:fill="D9D9D9" w:themeFill="background1" w:themeFillShade="D9"/>
            <w:vAlign w:val="center"/>
          </w:tcPr>
          <w:p w14:paraId="2B1902EA" w14:textId="63E89851" w:rsidR="00EE4EC7" w:rsidRPr="004C12C9" w:rsidRDefault="00EE4EC7" w:rsidP="0080085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291951" w:rsidRPr="004C12C9" w14:paraId="36F4B50F" w14:textId="77777777" w:rsidTr="00291951">
        <w:tc>
          <w:tcPr>
            <w:tcW w:w="9350" w:type="dxa"/>
            <w:gridSpan w:val="5"/>
            <w:shd w:val="clear" w:color="auto" w:fill="F2F2F2" w:themeFill="background1" w:themeFillShade="F2"/>
            <w:vAlign w:val="center"/>
          </w:tcPr>
          <w:p w14:paraId="3CD79ED2" w14:textId="3C0C3B65" w:rsidR="00291951" w:rsidRPr="00625E92" w:rsidRDefault="00625E92" w:rsidP="00D350E7">
            <w:pPr>
              <w:pStyle w:val="ICFTabletext"/>
              <w:spacing w:before="20" w:after="20"/>
              <w:rPr>
                <w:b/>
                <w:bCs/>
                <w:sz w:val="20"/>
              </w:rPr>
            </w:pPr>
            <w:r w:rsidRPr="00625E92">
              <w:rPr>
                <w:b/>
                <w:bCs/>
                <w:sz w:val="20"/>
              </w:rPr>
              <w:t>Energy Intensity Approach</w:t>
            </w:r>
          </w:p>
        </w:tc>
      </w:tr>
      <w:tr w:rsidR="00AF3E15" w:rsidRPr="004C12C9" w14:paraId="275C8768" w14:textId="77777777" w:rsidTr="009621CC">
        <w:tc>
          <w:tcPr>
            <w:tcW w:w="1514" w:type="dxa"/>
            <w:vAlign w:val="center"/>
          </w:tcPr>
          <w:p w14:paraId="60FE2691" w14:textId="67E1004F" w:rsidR="00AF3E15" w:rsidRPr="004C12C9" w:rsidRDefault="00AF3E15" w:rsidP="00AF3E15">
            <w:pPr>
              <w:pStyle w:val="ICFTabletext"/>
              <w:rPr>
                <w:rFonts w:ascii="Calibri" w:eastAsia="Times New Roman" w:hAnsi="Calibri" w:cs="Times New Roman"/>
                <w:sz w:val="20"/>
                <w:lang w:eastAsia="en-US" w:bidi="en-US"/>
              </w:rPr>
            </w:pPr>
            <w:r w:rsidRPr="004C12C9">
              <w:rPr>
                <w:sz w:val="20"/>
              </w:rPr>
              <w:t>Energy intensity by building type</w:t>
            </w:r>
          </w:p>
        </w:tc>
        <w:tc>
          <w:tcPr>
            <w:tcW w:w="1181" w:type="dxa"/>
            <w:vAlign w:val="center"/>
          </w:tcPr>
          <w:p w14:paraId="111A6E0F" w14:textId="4EF973F9" w:rsidR="00AF3E15" w:rsidRPr="004C12C9" w:rsidRDefault="00AF3E15" w:rsidP="00AF3E15">
            <w:pPr>
              <w:pStyle w:val="ICFTabletext"/>
              <w:rPr>
                <w:rFonts w:ascii="Calibri" w:eastAsia="Times New Roman" w:hAnsi="Calibri" w:cs="Times New Roman"/>
                <w:sz w:val="20"/>
                <w:lang w:eastAsia="en-US" w:bidi="en-US"/>
              </w:rPr>
            </w:pPr>
            <w:r w:rsidRPr="004C12C9">
              <w:rPr>
                <w:sz w:val="20"/>
              </w:rPr>
              <w:t>Decimal number</w:t>
            </w:r>
          </w:p>
        </w:tc>
        <w:tc>
          <w:tcPr>
            <w:tcW w:w="1980" w:type="dxa"/>
            <w:vAlign w:val="center"/>
          </w:tcPr>
          <w:p w14:paraId="3DFCDFB6" w14:textId="4C420492" w:rsidR="00AF3E15" w:rsidRPr="004C12C9" w:rsidRDefault="00AF3E15" w:rsidP="00AF3E15">
            <w:pPr>
              <w:pStyle w:val="ICFTabletext"/>
              <w:rPr>
                <w:rFonts w:ascii="Calibri" w:eastAsia="Times New Roman" w:hAnsi="Calibri" w:cs="Times New Roman"/>
                <w:sz w:val="20"/>
                <w:lang w:eastAsia="en-US" w:bidi="en-US"/>
              </w:rPr>
            </w:pPr>
            <w:r w:rsidRPr="004C12C9">
              <w:rPr>
                <w:sz w:val="20"/>
              </w:rPr>
              <w:t>Must be a decimal number equal to or greater than 0. Red checker appears if no values are added for building types with areas greater than 0.</w:t>
            </w:r>
          </w:p>
        </w:tc>
        <w:tc>
          <w:tcPr>
            <w:tcW w:w="1980" w:type="dxa"/>
            <w:vAlign w:val="center"/>
          </w:tcPr>
          <w:p w14:paraId="0C620C7D" w14:textId="42D4286D" w:rsidR="00AF3E15" w:rsidRPr="004C12C9" w:rsidRDefault="00AF3E15" w:rsidP="00AF3E15">
            <w:pPr>
              <w:pStyle w:val="ICFTabletext"/>
              <w:rPr>
                <w:rFonts w:ascii="Calibri" w:eastAsia="Times New Roman" w:hAnsi="Calibri" w:cs="Times New Roman"/>
                <w:sz w:val="20"/>
                <w:lang w:eastAsia="en-US" w:bidi="en-US"/>
              </w:rPr>
            </w:pPr>
            <w:r w:rsidRPr="004C12C9">
              <w:rPr>
                <w:sz w:val="20"/>
              </w:rPr>
              <w:t>Yes. No defaults are available for Other Building Area.*</w:t>
            </w:r>
          </w:p>
        </w:tc>
        <w:tc>
          <w:tcPr>
            <w:tcW w:w="2695" w:type="dxa"/>
            <w:vAlign w:val="center"/>
          </w:tcPr>
          <w:p w14:paraId="291F0DAE" w14:textId="5D0CC484" w:rsidR="00AF3E15" w:rsidRPr="004C12C9" w:rsidRDefault="00AF3E15" w:rsidP="00AF3E15">
            <w:pPr>
              <w:pStyle w:val="ICFTabletext"/>
              <w:rPr>
                <w:rFonts w:ascii="Calibri" w:eastAsia="Times New Roman" w:hAnsi="Calibri" w:cs="Times New Roman"/>
                <w:sz w:val="20"/>
                <w:lang w:eastAsia="en-US" w:bidi="en-US"/>
              </w:rPr>
            </w:pPr>
            <w:r w:rsidRPr="004C12C9">
              <w:rPr>
                <w:sz w:val="20"/>
              </w:rPr>
              <w:t xml:space="preserve">The annual amount of energy consumed (in Btu) on average by fuel source per building square foot. </w:t>
            </w:r>
          </w:p>
        </w:tc>
      </w:tr>
      <w:tr w:rsidR="00291951" w:rsidRPr="004C12C9" w14:paraId="657FB0BE" w14:textId="77777777" w:rsidTr="009621CC">
        <w:trPr>
          <w:trHeight w:val="224"/>
        </w:trPr>
        <w:tc>
          <w:tcPr>
            <w:tcW w:w="9350" w:type="dxa"/>
            <w:gridSpan w:val="5"/>
            <w:shd w:val="clear" w:color="auto" w:fill="F2F2F2" w:themeFill="background1" w:themeFillShade="F2"/>
            <w:vAlign w:val="center"/>
          </w:tcPr>
          <w:p w14:paraId="2BFB5F31" w14:textId="7BDF912A" w:rsidR="00291951" w:rsidRPr="004C12C9" w:rsidRDefault="00625E92" w:rsidP="00D350E7">
            <w:pPr>
              <w:pStyle w:val="ICFTabletext"/>
              <w:spacing w:before="20" w:after="20"/>
              <w:rPr>
                <w:sz w:val="20"/>
              </w:rPr>
            </w:pPr>
            <w:r>
              <w:rPr>
                <w:b/>
                <w:bCs/>
                <w:sz w:val="20"/>
              </w:rPr>
              <w:t xml:space="preserve">Fuel Consumption </w:t>
            </w:r>
            <w:r w:rsidRPr="00625E92">
              <w:rPr>
                <w:b/>
                <w:bCs/>
                <w:sz w:val="20"/>
              </w:rPr>
              <w:t>Approach</w:t>
            </w:r>
          </w:p>
        </w:tc>
      </w:tr>
      <w:tr w:rsidR="00AF3E15" w:rsidRPr="004C12C9" w14:paraId="1743489D" w14:textId="77777777" w:rsidTr="009621CC">
        <w:tc>
          <w:tcPr>
            <w:tcW w:w="1514" w:type="dxa"/>
            <w:vAlign w:val="center"/>
          </w:tcPr>
          <w:p w14:paraId="427F1D9E" w14:textId="0075EC3D" w:rsidR="00AF3E15" w:rsidRPr="004C12C9" w:rsidRDefault="002E5016" w:rsidP="00AF3E15">
            <w:pPr>
              <w:pStyle w:val="ICFTabletext"/>
              <w:rPr>
                <w:sz w:val="20"/>
              </w:rPr>
            </w:pPr>
            <w:r>
              <w:rPr>
                <w:sz w:val="20"/>
              </w:rPr>
              <w:t>Fuel consumption by fuel type</w:t>
            </w:r>
          </w:p>
        </w:tc>
        <w:tc>
          <w:tcPr>
            <w:tcW w:w="1181" w:type="dxa"/>
            <w:vAlign w:val="center"/>
          </w:tcPr>
          <w:p w14:paraId="21A0182F" w14:textId="0B595AA3" w:rsidR="00AF3E15" w:rsidRPr="004C12C9" w:rsidRDefault="002E5016" w:rsidP="00AF3E15">
            <w:pPr>
              <w:pStyle w:val="ICFTabletext"/>
              <w:rPr>
                <w:sz w:val="20"/>
              </w:rPr>
            </w:pPr>
            <w:r>
              <w:rPr>
                <w:sz w:val="20"/>
              </w:rPr>
              <w:t>Decimal number</w:t>
            </w:r>
          </w:p>
        </w:tc>
        <w:tc>
          <w:tcPr>
            <w:tcW w:w="1980" w:type="dxa"/>
            <w:vAlign w:val="center"/>
          </w:tcPr>
          <w:p w14:paraId="15CC7820" w14:textId="4B603511" w:rsidR="00AF3E15" w:rsidRPr="004C12C9" w:rsidRDefault="001C6B48" w:rsidP="00AF3E15">
            <w:pPr>
              <w:pStyle w:val="ICFTabletext"/>
              <w:rPr>
                <w:sz w:val="20"/>
              </w:rPr>
            </w:pPr>
            <w:r>
              <w:rPr>
                <w:sz w:val="20"/>
              </w:rPr>
              <w:t>Must be a decimal number equal to or greater than 0</w:t>
            </w:r>
            <w:r w:rsidR="00CB0E93">
              <w:rPr>
                <w:sz w:val="20"/>
              </w:rPr>
              <w:t>.</w:t>
            </w:r>
          </w:p>
        </w:tc>
        <w:tc>
          <w:tcPr>
            <w:tcW w:w="1980" w:type="dxa"/>
            <w:vAlign w:val="center"/>
          </w:tcPr>
          <w:p w14:paraId="60292E2D" w14:textId="5008ECFC" w:rsidR="00AF3E15" w:rsidRPr="004C12C9" w:rsidRDefault="009D0616" w:rsidP="00AF3E15">
            <w:pPr>
              <w:pStyle w:val="ICFTabletext"/>
              <w:rPr>
                <w:sz w:val="20"/>
              </w:rPr>
            </w:pPr>
            <w:r>
              <w:rPr>
                <w:sz w:val="20"/>
              </w:rPr>
              <w:t>NA</w:t>
            </w:r>
          </w:p>
        </w:tc>
        <w:tc>
          <w:tcPr>
            <w:tcW w:w="2695" w:type="dxa"/>
            <w:vAlign w:val="center"/>
          </w:tcPr>
          <w:p w14:paraId="26DD6A49" w14:textId="2AC02654" w:rsidR="00AF3E15" w:rsidRPr="004C12C9" w:rsidRDefault="0053289A" w:rsidP="00AF3E15">
            <w:pPr>
              <w:pStyle w:val="ICFTabletext"/>
              <w:rPr>
                <w:sz w:val="20"/>
              </w:rPr>
            </w:pPr>
            <w:r>
              <w:rPr>
                <w:sz w:val="20"/>
              </w:rPr>
              <w:t>The annual amount of energy</w:t>
            </w:r>
            <w:r w:rsidR="009D0616">
              <w:rPr>
                <w:sz w:val="20"/>
              </w:rPr>
              <w:t xml:space="preserve"> consum</w:t>
            </w:r>
            <w:r>
              <w:rPr>
                <w:sz w:val="20"/>
              </w:rPr>
              <w:t>ed</w:t>
            </w:r>
            <w:r w:rsidR="00CB0E93">
              <w:rPr>
                <w:sz w:val="20"/>
              </w:rPr>
              <w:t xml:space="preserve"> </w:t>
            </w:r>
            <w:r w:rsidR="00E83FC8">
              <w:rPr>
                <w:sz w:val="20"/>
              </w:rPr>
              <w:t xml:space="preserve">by buildings </w:t>
            </w:r>
            <w:r w:rsidR="00CB0E93">
              <w:rPr>
                <w:sz w:val="20"/>
              </w:rPr>
              <w:t>by fuel type in the designated units.</w:t>
            </w:r>
            <w:r w:rsidR="00735506">
              <w:rPr>
                <w:sz w:val="20"/>
              </w:rPr>
              <w:t xml:space="preserve"> </w:t>
            </w:r>
          </w:p>
        </w:tc>
      </w:tr>
    </w:tbl>
    <w:p w14:paraId="21798C16" w14:textId="4A3925EA" w:rsidR="00994E94" w:rsidRPr="004C12C9" w:rsidRDefault="00994E94" w:rsidP="00994E94">
      <w:pPr>
        <w:pStyle w:val="TableFooter"/>
      </w:pPr>
      <w:r w:rsidRPr="004C12C9">
        <w:t>* For industrial</w:t>
      </w:r>
      <w:r w:rsidR="00B90248" w:rsidRPr="004C12C9">
        <w:t xml:space="preserve"> buildings, industry-specific default values</w:t>
      </w:r>
      <w:r w:rsidR="001374D4" w:rsidRPr="004C12C9">
        <w:t xml:space="preserve"> are also </w:t>
      </w:r>
      <w:r w:rsidR="00DD7A6D" w:rsidRPr="004C12C9">
        <w:t>calculated and may be used</w:t>
      </w:r>
      <w:r w:rsidR="002A7484" w:rsidRPr="004C12C9">
        <w:t xml:space="preserve"> in place of the default provided. </w:t>
      </w:r>
    </w:p>
    <w:p w14:paraId="4B4A45E3" w14:textId="1C4F18DD" w:rsidR="008E622D" w:rsidRPr="004C12C9" w:rsidRDefault="0080085D" w:rsidP="008E622D">
      <w:r w:rsidRPr="004C12C9">
        <w:rPr>
          <w:b/>
          <w:bCs/>
        </w:rPr>
        <w:lastRenderedPageBreak/>
        <w:t>Coal Production:</w:t>
      </w:r>
      <w:r w:rsidRPr="004C12C9">
        <w:t xml:space="preserve"> </w:t>
      </w:r>
      <w:r w:rsidR="008E622D" w:rsidRPr="004C12C9">
        <w:t xml:space="preserve">If coal production is applicable to the project, </w:t>
      </w:r>
      <w:r w:rsidR="00ED412D" w:rsidRPr="004C12C9">
        <w:t xml:space="preserve">a user is required to enter the inputs </w:t>
      </w:r>
      <w:r w:rsidRPr="004C12C9">
        <w:t xml:space="preserve">described </w:t>
      </w:r>
      <w:r w:rsidR="00ED412D" w:rsidRPr="004C12C9">
        <w:t xml:space="preserve">in </w:t>
      </w:r>
      <w:r w:rsidR="00474998" w:rsidRPr="004C12C9">
        <w:fldChar w:fldCharType="begin" w:fldLock="1"/>
      </w:r>
      <w:r w:rsidR="00474998" w:rsidRPr="004C12C9">
        <w:instrText xml:space="preserve"> REF _Ref195879461 \h </w:instrText>
      </w:r>
      <w:r w:rsidR="00474998" w:rsidRPr="004C12C9">
        <w:fldChar w:fldCharType="separate"/>
      </w:r>
      <w:r w:rsidRPr="004C12C9">
        <w:t>Table D-10</w:t>
      </w:r>
      <w:r w:rsidR="00474998" w:rsidRPr="004C12C9">
        <w:fldChar w:fldCharType="end"/>
      </w:r>
      <w:r w:rsidR="00474998" w:rsidRPr="004C12C9">
        <w:t>.</w:t>
      </w:r>
    </w:p>
    <w:p w14:paraId="1C25B937" w14:textId="7E6866D7" w:rsidR="00474998" w:rsidRPr="004C12C9" w:rsidRDefault="00474998" w:rsidP="003D5539">
      <w:pPr>
        <w:pStyle w:val="Caption"/>
      </w:pPr>
      <w:bookmarkStart w:id="342" w:name="_Ref195879461"/>
      <w:r w:rsidRPr="004C12C9">
        <w:t>Table D-</w:t>
      </w:r>
      <w:r w:rsidR="0080085D">
        <w:fldChar w:fldCharType="begin"/>
      </w:r>
      <w:r w:rsidR="0080085D">
        <w:instrText xml:space="preserve"> SEQ Table_D- \* ARABIC </w:instrText>
      </w:r>
      <w:r w:rsidR="0080085D">
        <w:fldChar w:fldCharType="separate"/>
      </w:r>
      <w:r w:rsidR="0080085D" w:rsidRPr="004C12C9">
        <w:t>10</w:t>
      </w:r>
      <w:r w:rsidR="0080085D">
        <w:fldChar w:fldCharType="end"/>
      </w:r>
      <w:bookmarkEnd w:id="342"/>
      <w:r w:rsidRPr="004C12C9">
        <w:t>. User Inputs for Coal Production</w:t>
      </w:r>
    </w:p>
    <w:tbl>
      <w:tblPr>
        <w:tblStyle w:val="TableGridLight"/>
        <w:tblW w:w="0" w:type="auto"/>
        <w:tblLook w:val="04A0" w:firstRow="1" w:lastRow="0" w:firstColumn="1" w:lastColumn="0" w:noHBand="0" w:noVBand="1"/>
      </w:tblPr>
      <w:tblGrid>
        <w:gridCol w:w="1679"/>
        <w:gridCol w:w="1378"/>
        <w:gridCol w:w="2428"/>
        <w:gridCol w:w="1980"/>
        <w:gridCol w:w="1885"/>
      </w:tblGrid>
      <w:tr w:rsidR="00EE4EC7" w:rsidRPr="004C12C9" w14:paraId="3B70B2A3" w14:textId="77777777" w:rsidTr="00056B57">
        <w:trPr>
          <w:trHeight w:val="70"/>
        </w:trPr>
        <w:tc>
          <w:tcPr>
            <w:tcW w:w="1679" w:type="dxa"/>
            <w:shd w:val="clear" w:color="auto" w:fill="D9D9D9" w:themeFill="background1" w:themeFillShade="D9"/>
            <w:vAlign w:val="center"/>
          </w:tcPr>
          <w:p w14:paraId="5D2EF6B0" w14:textId="566CB93D" w:rsidR="00EE4EC7" w:rsidRPr="004C12C9" w:rsidRDefault="00EE4EC7" w:rsidP="003D5539">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78" w:type="dxa"/>
            <w:shd w:val="clear" w:color="auto" w:fill="D9D9D9" w:themeFill="background1" w:themeFillShade="D9"/>
            <w:vAlign w:val="center"/>
          </w:tcPr>
          <w:p w14:paraId="6DBAA69C" w14:textId="240B48E1" w:rsidR="00EE4EC7" w:rsidRPr="004C12C9" w:rsidRDefault="00EE4EC7" w:rsidP="003D5539">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28" w:type="dxa"/>
            <w:shd w:val="clear" w:color="auto" w:fill="D9D9D9" w:themeFill="background1" w:themeFillShade="D9"/>
            <w:vAlign w:val="center"/>
          </w:tcPr>
          <w:p w14:paraId="2C96A55C" w14:textId="5FF7B2E8" w:rsidR="00EE4EC7" w:rsidRPr="004C12C9" w:rsidRDefault="00EE4EC7" w:rsidP="003D5539">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73770968" w14:textId="3C975FF3" w:rsidR="00EE4EC7" w:rsidRPr="004C12C9" w:rsidRDefault="00EE4EC7" w:rsidP="003D5539">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885" w:type="dxa"/>
            <w:shd w:val="clear" w:color="auto" w:fill="D9D9D9" w:themeFill="background1" w:themeFillShade="D9"/>
            <w:vAlign w:val="center"/>
          </w:tcPr>
          <w:p w14:paraId="2A528979" w14:textId="1648B5D0" w:rsidR="00EE4EC7" w:rsidRPr="004C12C9" w:rsidRDefault="00EE4EC7" w:rsidP="003D5539">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8E622D" w:rsidRPr="004C12C9" w14:paraId="157CDC8D" w14:textId="77777777" w:rsidTr="00056B57">
        <w:tc>
          <w:tcPr>
            <w:tcW w:w="1679" w:type="dxa"/>
            <w:vAlign w:val="center"/>
          </w:tcPr>
          <w:p w14:paraId="6D81DC39" w14:textId="57B27930" w:rsidR="008E622D" w:rsidRPr="004C12C9" w:rsidRDefault="002B6D8C" w:rsidP="003D5539">
            <w:pPr>
              <w:pStyle w:val="ICFTabletext"/>
              <w:keepNext/>
              <w:rPr>
                <w:rFonts w:ascii="Calibri" w:eastAsia="Times New Roman" w:hAnsi="Calibri" w:cs="Times New Roman"/>
                <w:sz w:val="20"/>
                <w:lang w:eastAsia="en-US" w:bidi="en-US"/>
              </w:rPr>
            </w:pPr>
            <w:r w:rsidRPr="004C12C9">
              <w:rPr>
                <w:sz w:val="20"/>
              </w:rPr>
              <w:t>Incremental production by coal type</w:t>
            </w:r>
          </w:p>
        </w:tc>
        <w:tc>
          <w:tcPr>
            <w:tcW w:w="1378" w:type="dxa"/>
            <w:vAlign w:val="center"/>
          </w:tcPr>
          <w:p w14:paraId="29EA5BB6" w14:textId="37A4902B" w:rsidR="008E622D" w:rsidRPr="004C12C9" w:rsidRDefault="00BD62DA" w:rsidP="003D5539">
            <w:pPr>
              <w:pStyle w:val="ICFTabletext"/>
              <w:keepNext/>
              <w:rPr>
                <w:rFonts w:ascii="Calibri" w:eastAsia="Times New Roman" w:hAnsi="Calibri" w:cs="Times New Roman"/>
                <w:sz w:val="20"/>
                <w:lang w:eastAsia="en-US" w:bidi="en-US"/>
              </w:rPr>
            </w:pPr>
            <w:r w:rsidRPr="004C12C9">
              <w:rPr>
                <w:sz w:val="20"/>
              </w:rPr>
              <w:t>Decimal number</w:t>
            </w:r>
          </w:p>
        </w:tc>
        <w:tc>
          <w:tcPr>
            <w:tcW w:w="2428" w:type="dxa"/>
            <w:vAlign w:val="center"/>
          </w:tcPr>
          <w:p w14:paraId="1ECD2944" w14:textId="3DF2B1B9" w:rsidR="008E622D" w:rsidRPr="004C12C9" w:rsidRDefault="00BD62DA" w:rsidP="003D5539">
            <w:pPr>
              <w:pStyle w:val="ICFTabletext"/>
              <w:keepNext/>
              <w:rPr>
                <w:rFonts w:ascii="Calibri" w:eastAsia="Times New Roman" w:hAnsi="Calibri" w:cs="Times New Roman"/>
                <w:sz w:val="20"/>
                <w:lang w:eastAsia="en-US" w:bidi="en-US"/>
              </w:rPr>
            </w:pPr>
            <w:r w:rsidRPr="004C12C9">
              <w:rPr>
                <w:sz w:val="20"/>
              </w:rPr>
              <w:t xml:space="preserve">Must be a decimal number </w:t>
            </w:r>
            <w:r w:rsidR="00522ED8" w:rsidRPr="004C12C9">
              <w:rPr>
                <w:sz w:val="20"/>
              </w:rPr>
              <w:t xml:space="preserve">equal to or </w:t>
            </w:r>
            <w:r w:rsidRPr="004C12C9">
              <w:rPr>
                <w:sz w:val="20"/>
              </w:rPr>
              <w:t xml:space="preserve">greater than 0. </w:t>
            </w:r>
            <w:r w:rsidR="00522ED8" w:rsidRPr="004C12C9">
              <w:rPr>
                <w:sz w:val="20"/>
                <w:lang w:bidi="en-US"/>
              </w:rPr>
              <w:t xml:space="preserve">Red checker appears if </w:t>
            </w:r>
            <w:r w:rsidR="00522ED8" w:rsidRPr="004C12C9">
              <w:rPr>
                <w:rFonts w:ascii="Calibri" w:eastAsia="Times New Roman" w:hAnsi="Calibri" w:cs="Times New Roman"/>
                <w:sz w:val="20"/>
                <w:lang w:eastAsia="en-US" w:bidi="en-US"/>
              </w:rPr>
              <w:t>the sum of all inputs equals 0</w:t>
            </w:r>
            <w:r w:rsidR="00522ED8" w:rsidRPr="004C12C9">
              <w:rPr>
                <w:sz w:val="20"/>
                <w:lang w:bidi="en-US"/>
              </w:rPr>
              <w:t>. For individual coal types, users can leave the quantity blank or 0.</w:t>
            </w:r>
          </w:p>
        </w:tc>
        <w:tc>
          <w:tcPr>
            <w:tcW w:w="1980" w:type="dxa"/>
            <w:vAlign w:val="center"/>
          </w:tcPr>
          <w:p w14:paraId="60E04E1C" w14:textId="02B5E4A0" w:rsidR="00550525" w:rsidRPr="004C12C9" w:rsidRDefault="005C09FE" w:rsidP="003D5539">
            <w:pPr>
              <w:pStyle w:val="ICFTabletext"/>
              <w:keepNext/>
              <w:rPr>
                <w:rFonts w:ascii="Calibri" w:eastAsia="Times New Roman" w:hAnsi="Calibri" w:cs="Times New Roman"/>
                <w:sz w:val="20"/>
                <w:lang w:eastAsia="en-US" w:bidi="en-US"/>
              </w:rPr>
            </w:pPr>
            <w:r w:rsidRPr="004C12C9">
              <w:rPr>
                <w:sz w:val="20"/>
              </w:rPr>
              <w:t>N</w:t>
            </w:r>
            <w:r w:rsidR="00EF0D1C" w:rsidRPr="004C12C9">
              <w:rPr>
                <w:sz w:val="20"/>
              </w:rPr>
              <w:t>A</w:t>
            </w:r>
          </w:p>
        </w:tc>
        <w:tc>
          <w:tcPr>
            <w:tcW w:w="1885" w:type="dxa"/>
            <w:vAlign w:val="center"/>
          </w:tcPr>
          <w:p w14:paraId="3FB4C881" w14:textId="146C5AF1" w:rsidR="008E622D" w:rsidRPr="004C12C9" w:rsidRDefault="00906F8A" w:rsidP="003D5539">
            <w:pPr>
              <w:pStyle w:val="ICFTabletext"/>
              <w:keepNext/>
              <w:rPr>
                <w:rFonts w:ascii="Calibri" w:eastAsia="Times New Roman" w:hAnsi="Calibri" w:cs="Times New Roman"/>
                <w:sz w:val="20"/>
                <w:lang w:eastAsia="en-US" w:bidi="en-US"/>
              </w:rPr>
            </w:pPr>
            <w:r w:rsidRPr="004C12C9">
              <w:rPr>
                <w:sz w:val="20"/>
              </w:rPr>
              <w:t xml:space="preserve">Incremental </w:t>
            </w:r>
            <w:r w:rsidR="00CA1AED" w:rsidRPr="004C12C9">
              <w:rPr>
                <w:sz w:val="20"/>
              </w:rPr>
              <w:t>amount of</w:t>
            </w:r>
            <w:r w:rsidRPr="004C12C9">
              <w:rPr>
                <w:sz w:val="20"/>
              </w:rPr>
              <w:t xml:space="preserve"> coal </w:t>
            </w:r>
            <w:r w:rsidR="0064183A" w:rsidRPr="004C12C9">
              <w:rPr>
                <w:sz w:val="20"/>
              </w:rPr>
              <w:t>by type that is delivered and combusted</w:t>
            </w:r>
            <w:r w:rsidR="008E66CD" w:rsidRPr="004C12C9">
              <w:rPr>
                <w:sz w:val="20"/>
              </w:rPr>
              <w:t xml:space="preserve"> </w:t>
            </w:r>
            <w:r w:rsidR="00056B57" w:rsidRPr="004C12C9">
              <w:rPr>
                <w:sz w:val="20"/>
              </w:rPr>
              <w:t xml:space="preserve">as a result of the project </w:t>
            </w:r>
            <w:r w:rsidR="004D79B4" w:rsidRPr="004C12C9">
              <w:rPr>
                <w:sz w:val="20"/>
              </w:rPr>
              <w:t>in tons</w:t>
            </w:r>
            <w:r w:rsidR="0064183A" w:rsidRPr="004C12C9">
              <w:rPr>
                <w:sz w:val="20"/>
              </w:rPr>
              <w:t xml:space="preserve"> per year</w:t>
            </w:r>
            <w:r w:rsidRPr="004C12C9">
              <w:rPr>
                <w:sz w:val="20"/>
              </w:rPr>
              <w:t xml:space="preserve">. </w:t>
            </w:r>
          </w:p>
        </w:tc>
      </w:tr>
    </w:tbl>
    <w:p w14:paraId="1EDB1C52" w14:textId="5948AAE3" w:rsidR="008E622D" w:rsidRPr="004C12C9" w:rsidRDefault="0080085D" w:rsidP="008E622D">
      <w:r w:rsidRPr="004C12C9">
        <w:rPr>
          <w:b/>
          <w:bCs/>
        </w:rPr>
        <w:t>Natural Gas and Oil Products:</w:t>
      </w:r>
      <w:r w:rsidRPr="004C12C9">
        <w:t xml:space="preserve"> </w:t>
      </w:r>
      <w:r w:rsidR="008E622D" w:rsidRPr="004C12C9">
        <w:t xml:space="preserve">If natural gas and oil products are applicable to the project, </w:t>
      </w:r>
      <w:r w:rsidR="00ED412D" w:rsidRPr="004C12C9">
        <w:t xml:space="preserve">a user is required to enter the inputs </w:t>
      </w:r>
      <w:r w:rsidRPr="004C12C9">
        <w:t>described</w:t>
      </w:r>
      <w:r w:rsidR="00ED412D" w:rsidRPr="004C12C9">
        <w:t xml:space="preserve"> in </w:t>
      </w:r>
      <w:r w:rsidR="00474998" w:rsidRPr="004C12C9">
        <w:fldChar w:fldCharType="begin" w:fldLock="1"/>
      </w:r>
      <w:r w:rsidR="00474998" w:rsidRPr="004C12C9">
        <w:instrText xml:space="preserve"> REF _Ref195879471 \h </w:instrText>
      </w:r>
      <w:r w:rsidR="00474998" w:rsidRPr="004C12C9">
        <w:fldChar w:fldCharType="separate"/>
      </w:r>
      <w:r w:rsidR="006658B4" w:rsidRPr="004C12C9">
        <w:t>Table D-11</w:t>
      </w:r>
      <w:r w:rsidR="00474998" w:rsidRPr="004C12C9">
        <w:fldChar w:fldCharType="end"/>
      </w:r>
      <w:r w:rsidR="00474998" w:rsidRPr="004C12C9">
        <w:t>.</w:t>
      </w:r>
    </w:p>
    <w:p w14:paraId="48BCA80E" w14:textId="27C48AA4" w:rsidR="00474998" w:rsidRPr="004C12C9" w:rsidRDefault="00474998" w:rsidP="00FE66DB">
      <w:pPr>
        <w:pStyle w:val="Caption"/>
      </w:pPr>
      <w:bookmarkStart w:id="343" w:name="_Ref195879471"/>
      <w:r w:rsidRPr="004C12C9">
        <w:t>Table D-</w:t>
      </w:r>
      <w:r w:rsidR="006658B4">
        <w:fldChar w:fldCharType="begin"/>
      </w:r>
      <w:r w:rsidR="006658B4">
        <w:instrText xml:space="preserve"> SEQ Table_D- \* ARABIC </w:instrText>
      </w:r>
      <w:r w:rsidR="006658B4">
        <w:fldChar w:fldCharType="separate"/>
      </w:r>
      <w:r w:rsidR="006658B4" w:rsidRPr="004C12C9">
        <w:t>11</w:t>
      </w:r>
      <w:r w:rsidR="006658B4">
        <w:fldChar w:fldCharType="end"/>
      </w:r>
      <w:bookmarkEnd w:id="343"/>
      <w:r w:rsidRPr="004C12C9">
        <w:t>. User Inputs for Natural Gas and Oil Products</w:t>
      </w:r>
    </w:p>
    <w:tbl>
      <w:tblPr>
        <w:tblStyle w:val="TableGridLight"/>
        <w:tblW w:w="0" w:type="auto"/>
        <w:tblLook w:val="04A0" w:firstRow="1" w:lastRow="0" w:firstColumn="1" w:lastColumn="0" w:noHBand="0" w:noVBand="1"/>
      </w:tblPr>
      <w:tblGrid>
        <w:gridCol w:w="1642"/>
        <w:gridCol w:w="1331"/>
        <w:gridCol w:w="1972"/>
        <w:gridCol w:w="2092"/>
        <w:gridCol w:w="2313"/>
      </w:tblGrid>
      <w:tr w:rsidR="00EE4EC7" w:rsidRPr="004C12C9" w14:paraId="58E05D42" w14:textId="77777777" w:rsidTr="004E7531">
        <w:trPr>
          <w:trHeight w:val="70"/>
        </w:trPr>
        <w:tc>
          <w:tcPr>
            <w:tcW w:w="1642" w:type="dxa"/>
            <w:shd w:val="clear" w:color="auto" w:fill="D9D9D9" w:themeFill="background1" w:themeFillShade="D9"/>
            <w:vAlign w:val="center"/>
          </w:tcPr>
          <w:p w14:paraId="31D75B03" w14:textId="61C362D8" w:rsidR="00EE4EC7" w:rsidRPr="004C12C9" w:rsidRDefault="00EE4EC7" w:rsidP="00FE66DB">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31" w:type="dxa"/>
            <w:shd w:val="clear" w:color="auto" w:fill="D9D9D9" w:themeFill="background1" w:themeFillShade="D9"/>
            <w:vAlign w:val="center"/>
          </w:tcPr>
          <w:p w14:paraId="2DCB4680" w14:textId="1FB3F41A" w:rsidR="00EE4EC7" w:rsidRPr="004C12C9" w:rsidRDefault="00EE4EC7" w:rsidP="00FE66DB">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72" w:type="dxa"/>
            <w:shd w:val="clear" w:color="auto" w:fill="D9D9D9" w:themeFill="background1" w:themeFillShade="D9"/>
            <w:vAlign w:val="center"/>
          </w:tcPr>
          <w:p w14:paraId="6A5C701E" w14:textId="55A8580B" w:rsidR="00EE4EC7" w:rsidRPr="004C12C9" w:rsidRDefault="00EE4EC7" w:rsidP="00FE66DB">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92" w:type="dxa"/>
            <w:shd w:val="clear" w:color="auto" w:fill="D9D9D9" w:themeFill="background1" w:themeFillShade="D9"/>
            <w:vAlign w:val="center"/>
          </w:tcPr>
          <w:p w14:paraId="34BC66BC" w14:textId="36468C97" w:rsidR="00EE4EC7" w:rsidRPr="004C12C9" w:rsidRDefault="00EE4EC7" w:rsidP="00FE66DB">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313" w:type="dxa"/>
            <w:shd w:val="clear" w:color="auto" w:fill="D9D9D9" w:themeFill="background1" w:themeFillShade="D9"/>
            <w:vAlign w:val="center"/>
          </w:tcPr>
          <w:p w14:paraId="77462402" w14:textId="4B8C5A97" w:rsidR="00EE4EC7" w:rsidRPr="004C12C9" w:rsidRDefault="00EE4EC7" w:rsidP="00FE66DB">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8E622D" w:rsidRPr="004C12C9" w14:paraId="6DB759A9" w14:textId="77777777" w:rsidTr="004E7531">
        <w:tc>
          <w:tcPr>
            <w:tcW w:w="1642" w:type="dxa"/>
            <w:vAlign w:val="center"/>
          </w:tcPr>
          <w:p w14:paraId="3266829F" w14:textId="20E149F4" w:rsidR="008E622D" w:rsidRPr="004C12C9" w:rsidRDefault="00FD5B2D" w:rsidP="00EF0D1C">
            <w:pPr>
              <w:pStyle w:val="ICFTabletext"/>
              <w:rPr>
                <w:rFonts w:ascii="Calibri" w:eastAsia="Times New Roman" w:hAnsi="Calibri" w:cs="Times New Roman"/>
                <w:sz w:val="20"/>
                <w:lang w:eastAsia="en-US" w:bidi="en-US"/>
              </w:rPr>
            </w:pPr>
            <w:r w:rsidRPr="004C12C9">
              <w:rPr>
                <w:sz w:val="20"/>
              </w:rPr>
              <w:t xml:space="preserve">Incremental </w:t>
            </w:r>
            <w:r w:rsidR="00E178B8" w:rsidRPr="004C12C9">
              <w:rPr>
                <w:sz w:val="20"/>
              </w:rPr>
              <w:t>throughput</w:t>
            </w:r>
            <w:r w:rsidRPr="004C12C9">
              <w:rPr>
                <w:sz w:val="20"/>
              </w:rPr>
              <w:t xml:space="preserve"> by </w:t>
            </w:r>
            <w:r w:rsidR="009A361B" w:rsidRPr="004C12C9">
              <w:rPr>
                <w:sz w:val="20"/>
              </w:rPr>
              <w:t>fuel</w:t>
            </w:r>
            <w:r w:rsidRPr="004C12C9">
              <w:rPr>
                <w:sz w:val="20"/>
              </w:rPr>
              <w:t xml:space="preserve"> type</w:t>
            </w:r>
          </w:p>
        </w:tc>
        <w:tc>
          <w:tcPr>
            <w:tcW w:w="1331" w:type="dxa"/>
            <w:vAlign w:val="center"/>
          </w:tcPr>
          <w:p w14:paraId="21ADD8D8" w14:textId="4E920F4F" w:rsidR="008E622D" w:rsidRPr="004C12C9" w:rsidRDefault="00FD5B2D" w:rsidP="00EF0D1C">
            <w:pPr>
              <w:pStyle w:val="ICFTabletext"/>
              <w:rPr>
                <w:rFonts w:ascii="Calibri" w:eastAsia="Times New Roman" w:hAnsi="Calibri" w:cs="Times New Roman"/>
                <w:sz w:val="20"/>
                <w:lang w:eastAsia="en-US" w:bidi="en-US"/>
              </w:rPr>
            </w:pPr>
            <w:r w:rsidRPr="004C12C9">
              <w:rPr>
                <w:sz w:val="20"/>
              </w:rPr>
              <w:t>Decimal number</w:t>
            </w:r>
          </w:p>
        </w:tc>
        <w:tc>
          <w:tcPr>
            <w:tcW w:w="1972" w:type="dxa"/>
            <w:vAlign w:val="center"/>
          </w:tcPr>
          <w:p w14:paraId="25648A19" w14:textId="23FE062D" w:rsidR="008E622D" w:rsidRPr="004C12C9" w:rsidRDefault="004E7531" w:rsidP="00EF0D1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w:t>
            </w:r>
            <w:r w:rsidRPr="004C12C9">
              <w:rPr>
                <w:sz w:val="20"/>
                <w:lang w:bidi="en-US"/>
              </w:rPr>
              <w:t xml:space="preserve">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fuel types, users can leave the quantity blank or 0.</w:t>
            </w:r>
          </w:p>
        </w:tc>
        <w:tc>
          <w:tcPr>
            <w:tcW w:w="2092" w:type="dxa"/>
            <w:vAlign w:val="center"/>
          </w:tcPr>
          <w:p w14:paraId="3BEF8126" w14:textId="073E1300" w:rsidR="00550525" w:rsidRPr="004C12C9" w:rsidRDefault="00CB74E1" w:rsidP="00EF0D1C">
            <w:pPr>
              <w:pStyle w:val="ICFTabletext"/>
              <w:rPr>
                <w:rFonts w:ascii="Calibri" w:eastAsia="Times New Roman" w:hAnsi="Calibri" w:cs="Times New Roman"/>
                <w:sz w:val="20"/>
                <w:lang w:eastAsia="en-US" w:bidi="en-US"/>
              </w:rPr>
            </w:pPr>
            <w:r w:rsidRPr="004C12C9">
              <w:rPr>
                <w:sz w:val="20"/>
              </w:rPr>
              <w:t>N</w:t>
            </w:r>
            <w:r w:rsidR="00EF0D1C" w:rsidRPr="004C12C9">
              <w:rPr>
                <w:sz w:val="20"/>
              </w:rPr>
              <w:t>A</w:t>
            </w:r>
          </w:p>
        </w:tc>
        <w:tc>
          <w:tcPr>
            <w:tcW w:w="2313" w:type="dxa"/>
            <w:vAlign w:val="center"/>
          </w:tcPr>
          <w:p w14:paraId="1D129A54" w14:textId="5FC295ED" w:rsidR="008E622D" w:rsidRPr="004C12C9" w:rsidRDefault="00E178B8" w:rsidP="00EF0D1C">
            <w:pPr>
              <w:pStyle w:val="ICFTabletext"/>
              <w:rPr>
                <w:rFonts w:ascii="Calibri" w:eastAsia="Times New Roman" w:hAnsi="Calibri" w:cs="Times New Roman"/>
                <w:sz w:val="20"/>
                <w:lang w:eastAsia="en-US" w:bidi="en-US"/>
              </w:rPr>
            </w:pPr>
            <w:r w:rsidRPr="004C12C9">
              <w:rPr>
                <w:sz w:val="20"/>
              </w:rPr>
              <w:t xml:space="preserve">Incremental </w:t>
            </w:r>
            <w:r w:rsidR="00056B57" w:rsidRPr="004C12C9">
              <w:rPr>
                <w:sz w:val="20"/>
              </w:rPr>
              <w:t>amount</w:t>
            </w:r>
            <w:r w:rsidRPr="004C12C9">
              <w:rPr>
                <w:sz w:val="20"/>
              </w:rPr>
              <w:t xml:space="preserve"> of each fuel type</w:t>
            </w:r>
            <w:r w:rsidR="000336F0" w:rsidRPr="004C12C9">
              <w:rPr>
                <w:sz w:val="20"/>
              </w:rPr>
              <w:t xml:space="preserve"> in cubic feet or gallons per year, depending on the fue</w:t>
            </w:r>
            <w:r w:rsidR="00B110D9" w:rsidRPr="004C12C9">
              <w:rPr>
                <w:sz w:val="20"/>
              </w:rPr>
              <w:t>l,</w:t>
            </w:r>
            <w:r w:rsidR="00056B57" w:rsidRPr="004C12C9">
              <w:rPr>
                <w:sz w:val="20"/>
              </w:rPr>
              <w:t xml:space="preserve"> that is delivered and combusted as a result of the project.</w:t>
            </w:r>
          </w:p>
        </w:tc>
      </w:tr>
      <w:tr w:rsidR="00017100" w:rsidRPr="004C12C9" w14:paraId="1DD9F78B" w14:textId="77777777" w:rsidTr="004E7531">
        <w:tc>
          <w:tcPr>
            <w:tcW w:w="1642" w:type="dxa"/>
            <w:vAlign w:val="center"/>
          </w:tcPr>
          <w:p w14:paraId="3091A043" w14:textId="3018C6F7" w:rsidR="00017100" w:rsidRPr="004C12C9" w:rsidRDefault="00017100" w:rsidP="00CF6DA5">
            <w:pPr>
              <w:pStyle w:val="ICFTabletext"/>
              <w:rPr>
                <w:rFonts w:ascii="Calibri" w:eastAsia="Times New Roman" w:hAnsi="Calibri" w:cs="Times New Roman"/>
                <w:sz w:val="20"/>
                <w:lang w:eastAsia="en-US" w:bidi="en-US"/>
              </w:rPr>
            </w:pPr>
            <w:r w:rsidRPr="004C12C9">
              <w:rPr>
                <w:sz w:val="20"/>
              </w:rPr>
              <w:t>Percent reduction in leakage and venting emissions for natural gas</w:t>
            </w:r>
            <w:r w:rsidR="00735506">
              <w:rPr>
                <w:sz w:val="20"/>
              </w:rPr>
              <w:t>*</w:t>
            </w:r>
          </w:p>
        </w:tc>
        <w:tc>
          <w:tcPr>
            <w:tcW w:w="1331" w:type="dxa"/>
            <w:vAlign w:val="center"/>
          </w:tcPr>
          <w:p w14:paraId="5DBDF50B" w14:textId="158A36A0" w:rsidR="00017100" w:rsidRPr="004C12C9" w:rsidRDefault="009361E6" w:rsidP="00CF6DA5">
            <w:pPr>
              <w:pStyle w:val="ICFTabletext"/>
              <w:rPr>
                <w:rFonts w:ascii="Calibri" w:eastAsia="Times New Roman" w:hAnsi="Calibri" w:cs="Times New Roman"/>
                <w:sz w:val="20"/>
                <w:lang w:eastAsia="en-US" w:bidi="en-US"/>
              </w:rPr>
            </w:pPr>
            <w:r w:rsidRPr="004C12C9">
              <w:rPr>
                <w:sz w:val="20"/>
              </w:rPr>
              <w:t>Percent</w:t>
            </w:r>
          </w:p>
        </w:tc>
        <w:tc>
          <w:tcPr>
            <w:tcW w:w="1972" w:type="dxa"/>
            <w:vAlign w:val="center"/>
          </w:tcPr>
          <w:p w14:paraId="5B6E8481" w14:textId="42BA0A96" w:rsidR="00017100" w:rsidRPr="004C12C9" w:rsidRDefault="00A25186" w:rsidP="00CF6DA5">
            <w:pPr>
              <w:pStyle w:val="ICFTabletext"/>
              <w:rPr>
                <w:rFonts w:ascii="Calibri" w:eastAsia="Times New Roman" w:hAnsi="Calibri" w:cs="Times New Roman"/>
                <w:sz w:val="20"/>
                <w:lang w:eastAsia="en-US" w:bidi="en-US"/>
              </w:rPr>
            </w:pPr>
            <w:r w:rsidRPr="004C12C9">
              <w:rPr>
                <w:sz w:val="20"/>
              </w:rPr>
              <w:t>Must be between 0 and 75%.</w:t>
            </w:r>
            <w:r w:rsidR="00217A82" w:rsidRPr="004C12C9">
              <w:rPr>
                <w:sz w:val="20"/>
              </w:rPr>
              <w:t xml:space="preserve"> </w:t>
            </w:r>
            <w:r w:rsidR="00CD2533" w:rsidRPr="004C12C9">
              <w:rPr>
                <w:sz w:val="20"/>
              </w:rPr>
              <w:t xml:space="preserve">No checkers as this input is optional. </w:t>
            </w:r>
          </w:p>
        </w:tc>
        <w:tc>
          <w:tcPr>
            <w:tcW w:w="2092" w:type="dxa"/>
            <w:vAlign w:val="center"/>
          </w:tcPr>
          <w:p w14:paraId="697022FD" w14:textId="40344244" w:rsidR="00550525" w:rsidRPr="004C12C9" w:rsidRDefault="00B50FBC" w:rsidP="00CF6DA5">
            <w:pPr>
              <w:pStyle w:val="ICFTabletext"/>
              <w:rPr>
                <w:rFonts w:ascii="Calibri" w:eastAsia="Times New Roman" w:hAnsi="Calibri" w:cs="Times New Roman"/>
                <w:sz w:val="20"/>
                <w:lang w:eastAsia="en-US" w:bidi="en-US"/>
              </w:rPr>
            </w:pPr>
            <w:r w:rsidRPr="004C12C9">
              <w:rPr>
                <w:sz w:val="20"/>
              </w:rPr>
              <w:t xml:space="preserve">Yes. </w:t>
            </w:r>
            <w:r w:rsidR="008C629C" w:rsidRPr="004C12C9">
              <w:rPr>
                <w:sz w:val="20"/>
              </w:rPr>
              <w:t>C</w:t>
            </w:r>
            <w:r w:rsidR="00DF04D4" w:rsidRPr="004C12C9">
              <w:rPr>
                <w:sz w:val="20"/>
              </w:rPr>
              <w:t xml:space="preserve">alculator </w:t>
            </w:r>
            <w:r w:rsidR="002B2F53" w:rsidRPr="004C12C9">
              <w:rPr>
                <w:sz w:val="20"/>
              </w:rPr>
              <w:t>is defaulted to 0.</w:t>
            </w:r>
          </w:p>
        </w:tc>
        <w:tc>
          <w:tcPr>
            <w:tcW w:w="2313" w:type="dxa"/>
            <w:vAlign w:val="center"/>
          </w:tcPr>
          <w:p w14:paraId="39DE3D14" w14:textId="7A90B56E" w:rsidR="00017100" w:rsidRPr="004C12C9" w:rsidRDefault="00B40C5C" w:rsidP="00CF6DA5">
            <w:pPr>
              <w:pStyle w:val="ICFTabletext"/>
              <w:rPr>
                <w:rFonts w:ascii="Calibri" w:eastAsia="Times New Roman" w:hAnsi="Calibri" w:cs="Times New Roman"/>
                <w:sz w:val="20"/>
                <w:lang w:eastAsia="en-US" w:bidi="en-US"/>
              </w:rPr>
            </w:pPr>
            <w:r w:rsidRPr="004C12C9">
              <w:rPr>
                <w:sz w:val="20"/>
              </w:rPr>
              <w:t>If mitigation strategies are</w:t>
            </w:r>
            <w:r w:rsidR="00B110D9" w:rsidRPr="004C12C9">
              <w:rPr>
                <w:sz w:val="20"/>
              </w:rPr>
              <w:t xml:space="preserve"> to be</w:t>
            </w:r>
            <w:r w:rsidRPr="004C12C9">
              <w:rPr>
                <w:sz w:val="20"/>
              </w:rPr>
              <w:t xml:space="preserve"> adopted to reduce natural gas leakage and venting, </w:t>
            </w:r>
            <w:r w:rsidR="002B2F53" w:rsidRPr="004C12C9">
              <w:rPr>
                <w:sz w:val="20"/>
              </w:rPr>
              <w:t>users ma</w:t>
            </w:r>
            <w:r w:rsidR="00B110D9" w:rsidRPr="004C12C9">
              <w:rPr>
                <w:sz w:val="20"/>
              </w:rPr>
              <w:t>y</w:t>
            </w:r>
            <w:r w:rsidR="002B2F53" w:rsidRPr="004C12C9">
              <w:rPr>
                <w:sz w:val="20"/>
              </w:rPr>
              <w:t xml:space="preserve"> </w:t>
            </w:r>
            <w:r w:rsidRPr="004C12C9">
              <w:rPr>
                <w:sz w:val="20"/>
              </w:rPr>
              <w:t>enter the anticipated percent reduction relative to the default emissions.</w:t>
            </w:r>
            <w:r w:rsidR="00C34C8B" w:rsidRPr="004C12C9">
              <w:rPr>
                <w:sz w:val="20"/>
              </w:rPr>
              <w:t xml:space="preserve"> This value is used to calculate the adjusted </w:t>
            </w:r>
            <w:r w:rsidR="00DF6F1C" w:rsidRPr="004C12C9">
              <w:rPr>
                <w:sz w:val="20"/>
              </w:rPr>
              <w:t>leakage and venting emissions</w:t>
            </w:r>
            <w:r w:rsidR="001F6FEE" w:rsidRPr="004C12C9">
              <w:rPr>
                <w:sz w:val="20"/>
              </w:rPr>
              <w:t>.</w:t>
            </w:r>
          </w:p>
        </w:tc>
      </w:tr>
    </w:tbl>
    <w:p w14:paraId="57F25EE9" w14:textId="77777777" w:rsidR="00735506" w:rsidRPr="00BC0D67" w:rsidRDefault="00735506" w:rsidP="00735506">
      <w:pPr>
        <w:spacing w:before="0" w:after="0"/>
        <w:rPr>
          <w:sz w:val="18"/>
          <w:szCs w:val="18"/>
        </w:rPr>
      </w:pPr>
      <w:r w:rsidRPr="00BC0D67">
        <w:rPr>
          <w:sz w:val="18"/>
          <w:szCs w:val="18"/>
        </w:rPr>
        <w:t xml:space="preserve">*Input for mitigation measure quantification. </w:t>
      </w:r>
    </w:p>
    <w:p w14:paraId="65E7C7D6" w14:textId="5C2AF78E" w:rsidR="008E622D" w:rsidRPr="004C12C9" w:rsidRDefault="00EF0D1C" w:rsidP="00D350E7">
      <w:pPr>
        <w:keepNext/>
      </w:pPr>
      <w:r w:rsidRPr="004C12C9">
        <w:rPr>
          <w:b/>
          <w:bCs/>
        </w:rPr>
        <w:lastRenderedPageBreak/>
        <w:t>Industrial Process</w:t>
      </w:r>
      <w:r w:rsidR="00C4577E" w:rsidRPr="004C12C9">
        <w:rPr>
          <w:b/>
          <w:bCs/>
        </w:rPr>
        <w:t>es</w:t>
      </w:r>
      <w:r w:rsidRPr="004C12C9">
        <w:rPr>
          <w:b/>
          <w:bCs/>
        </w:rPr>
        <w:t>:</w:t>
      </w:r>
      <w:r w:rsidRPr="004C12C9">
        <w:t xml:space="preserve"> </w:t>
      </w:r>
      <w:r w:rsidR="008E622D" w:rsidRPr="004C12C9">
        <w:t>If industrial process</w:t>
      </w:r>
      <w:r w:rsidR="00C4577E" w:rsidRPr="004C12C9">
        <w:t>es</w:t>
      </w:r>
      <w:r w:rsidR="008E622D" w:rsidRPr="004C12C9">
        <w:t xml:space="preserve"> are applicable to the project, </w:t>
      </w:r>
      <w:r w:rsidR="00ED412D" w:rsidRPr="004C12C9">
        <w:t xml:space="preserve">a user is required to enter the inputs </w:t>
      </w:r>
      <w:r w:rsidR="00131753" w:rsidRPr="004C12C9">
        <w:t>described</w:t>
      </w:r>
      <w:r w:rsidR="00ED412D" w:rsidRPr="004C12C9">
        <w:t xml:space="preserve"> in </w:t>
      </w:r>
      <w:r w:rsidR="00474998" w:rsidRPr="004C12C9">
        <w:fldChar w:fldCharType="begin" w:fldLock="1"/>
      </w:r>
      <w:r w:rsidR="00474998" w:rsidRPr="004C12C9">
        <w:instrText xml:space="preserve"> REF _Ref195879555 \h </w:instrText>
      </w:r>
      <w:r w:rsidR="00474998" w:rsidRPr="004C12C9">
        <w:fldChar w:fldCharType="separate"/>
      </w:r>
      <w:r w:rsidR="006658B4" w:rsidRPr="004C12C9">
        <w:t>Table D-12</w:t>
      </w:r>
      <w:r w:rsidR="00474998" w:rsidRPr="004C12C9">
        <w:fldChar w:fldCharType="end"/>
      </w:r>
      <w:r w:rsidR="00474998" w:rsidRPr="004C12C9">
        <w:t>.</w:t>
      </w:r>
    </w:p>
    <w:p w14:paraId="49A630CF" w14:textId="353FB2AB" w:rsidR="00474998" w:rsidRPr="004C12C9" w:rsidRDefault="00474998" w:rsidP="00D350E7">
      <w:pPr>
        <w:pStyle w:val="Caption"/>
      </w:pPr>
      <w:bookmarkStart w:id="344" w:name="_Ref195879555"/>
      <w:r w:rsidRPr="004C12C9">
        <w:t>Table D-</w:t>
      </w:r>
      <w:r w:rsidR="006658B4">
        <w:fldChar w:fldCharType="begin"/>
      </w:r>
      <w:r w:rsidR="006658B4">
        <w:instrText xml:space="preserve"> SEQ Table_D- \* ARABIC </w:instrText>
      </w:r>
      <w:r w:rsidR="006658B4">
        <w:fldChar w:fldCharType="separate"/>
      </w:r>
      <w:r w:rsidR="006658B4" w:rsidRPr="004C12C9">
        <w:t>12</w:t>
      </w:r>
      <w:r w:rsidR="006658B4">
        <w:fldChar w:fldCharType="end"/>
      </w:r>
      <w:bookmarkEnd w:id="344"/>
      <w:r w:rsidRPr="004C12C9">
        <w:t>. User Inputs for Industrial Process</w:t>
      </w:r>
      <w:r w:rsidR="00C4577E" w:rsidRPr="004C12C9">
        <w:t>es</w:t>
      </w:r>
    </w:p>
    <w:tbl>
      <w:tblPr>
        <w:tblStyle w:val="TableGridLight"/>
        <w:tblW w:w="0" w:type="auto"/>
        <w:tblLook w:val="04A0" w:firstRow="1" w:lastRow="0" w:firstColumn="1" w:lastColumn="0" w:noHBand="0" w:noVBand="1"/>
      </w:tblPr>
      <w:tblGrid>
        <w:gridCol w:w="1576"/>
        <w:gridCol w:w="1119"/>
        <w:gridCol w:w="2790"/>
        <w:gridCol w:w="2070"/>
        <w:gridCol w:w="1795"/>
      </w:tblGrid>
      <w:tr w:rsidR="00EE4EC7" w:rsidRPr="004C12C9" w14:paraId="4A30EB18" w14:textId="77777777" w:rsidTr="005D0319">
        <w:trPr>
          <w:trHeight w:val="70"/>
          <w:tblHeader/>
        </w:trPr>
        <w:tc>
          <w:tcPr>
            <w:tcW w:w="1576" w:type="dxa"/>
            <w:shd w:val="clear" w:color="auto" w:fill="D9D9D9" w:themeFill="background1" w:themeFillShade="D9"/>
            <w:vAlign w:val="center"/>
          </w:tcPr>
          <w:p w14:paraId="4275BEAF" w14:textId="563A048D" w:rsidR="00EE4EC7" w:rsidRPr="004C12C9" w:rsidRDefault="00EE4EC7" w:rsidP="00D350E7">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19" w:type="dxa"/>
            <w:shd w:val="clear" w:color="auto" w:fill="D9D9D9" w:themeFill="background1" w:themeFillShade="D9"/>
            <w:vAlign w:val="center"/>
          </w:tcPr>
          <w:p w14:paraId="3A211F7C" w14:textId="0ACD69E5" w:rsidR="00EE4EC7" w:rsidRPr="004C12C9" w:rsidRDefault="00EE4EC7" w:rsidP="00D350E7">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790" w:type="dxa"/>
            <w:shd w:val="clear" w:color="auto" w:fill="D9D9D9" w:themeFill="background1" w:themeFillShade="D9"/>
            <w:vAlign w:val="center"/>
          </w:tcPr>
          <w:p w14:paraId="23C19EB5" w14:textId="05643369" w:rsidR="00EE4EC7" w:rsidRPr="004C12C9" w:rsidRDefault="00EE4EC7" w:rsidP="00D350E7">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70" w:type="dxa"/>
            <w:shd w:val="clear" w:color="auto" w:fill="D9D9D9" w:themeFill="background1" w:themeFillShade="D9"/>
            <w:vAlign w:val="center"/>
          </w:tcPr>
          <w:p w14:paraId="0DD9AE80" w14:textId="719348EB" w:rsidR="00EE4EC7" w:rsidRPr="004C12C9" w:rsidRDefault="00EE4EC7" w:rsidP="00D350E7">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795" w:type="dxa"/>
            <w:shd w:val="clear" w:color="auto" w:fill="D9D9D9" w:themeFill="background1" w:themeFillShade="D9"/>
            <w:vAlign w:val="center"/>
          </w:tcPr>
          <w:p w14:paraId="55F2443E" w14:textId="3A615E60" w:rsidR="00EE4EC7" w:rsidRPr="004C12C9" w:rsidRDefault="00EE4EC7" w:rsidP="00D350E7">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8E622D" w:rsidRPr="004C12C9" w14:paraId="4B8BE5B6" w14:textId="77777777" w:rsidTr="005D0319">
        <w:tc>
          <w:tcPr>
            <w:tcW w:w="1576" w:type="dxa"/>
            <w:vAlign w:val="center"/>
          </w:tcPr>
          <w:p w14:paraId="51B7D920" w14:textId="387A87F5" w:rsidR="008E622D" w:rsidRPr="004C12C9" w:rsidRDefault="00F9065F" w:rsidP="00D350E7">
            <w:pPr>
              <w:pStyle w:val="ICFTabletext"/>
              <w:keepNext/>
              <w:rPr>
                <w:rFonts w:ascii="Calibri" w:eastAsia="Times New Roman" w:hAnsi="Calibri" w:cs="Times New Roman"/>
                <w:sz w:val="20"/>
                <w:lang w:eastAsia="en-US" w:bidi="en-US"/>
              </w:rPr>
            </w:pPr>
            <w:r w:rsidRPr="004C12C9">
              <w:rPr>
                <w:sz w:val="20"/>
              </w:rPr>
              <w:t xml:space="preserve">Quantity of industrial </w:t>
            </w:r>
            <w:r w:rsidR="00C30817" w:rsidRPr="004C12C9">
              <w:rPr>
                <w:sz w:val="20"/>
              </w:rPr>
              <w:t>outputs by product type</w:t>
            </w:r>
          </w:p>
        </w:tc>
        <w:tc>
          <w:tcPr>
            <w:tcW w:w="1119" w:type="dxa"/>
            <w:vAlign w:val="center"/>
          </w:tcPr>
          <w:p w14:paraId="15117F90" w14:textId="0DE22648" w:rsidR="008E622D" w:rsidRPr="004C12C9" w:rsidRDefault="00B82FC7" w:rsidP="00D350E7">
            <w:pPr>
              <w:pStyle w:val="ICFTabletext"/>
              <w:keepNext/>
              <w:rPr>
                <w:rFonts w:ascii="Calibri" w:eastAsia="Times New Roman" w:hAnsi="Calibri" w:cs="Times New Roman"/>
                <w:sz w:val="20"/>
                <w:lang w:eastAsia="en-US" w:bidi="en-US"/>
              </w:rPr>
            </w:pPr>
            <w:r w:rsidRPr="004C12C9">
              <w:rPr>
                <w:sz w:val="20"/>
              </w:rPr>
              <w:t>Decimal number</w:t>
            </w:r>
          </w:p>
        </w:tc>
        <w:tc>
          <w:tcPr>
            <w:tcW w:w="2790" w:type="dxa"/>
            <w:vAlign w:val="center"/>
          </w:tcPr>
          <w:p w14:paraId="5B57701B" w14:textId="0F22ADD7" w:rsidR="008E622D" w:rsidRPr="004C12C9" w:rsidRDefault="008A75C7" w:rsidP="00D350E7">
            <w:pPr>
              <w:pStyle w:val="ICFTabletext"/>
              <w:keepNext/>
              <w:rPr>
                <w:rFonts w:ascii="Calibri" w:eastAsia="Times New Roman" w:hAnsi="Calibri" w:cs="Times New Roman"/>
                <w:sz w:val="20"/>
                <w:lang w:eastAsia="en-US" w:bidi="en-US"/>
              </w:rPr>
            </w:pPr>
            <w:r w:rsidRPr="004C12C9">
              <w:rPr>
                <w:sz w:val="20"/>
                <w:lang w:bidi="en-US"/>
              </w:rPr>
              <w:t xml:space="preserve">Must be a decimal number </w:t>
            </w:r>
            <w:r w:rsidRPr="004C12C9">
              <w:rPr>
                <w:rFonts w:ascii="Calibri" w:eastAsia="Times New Roman" w:hAnsi="Calibri" w:cs="Times New Roman"/>
                <w:sz w:val="20"/>
                <w:lang w:eastAsia="en-US" w:bidi="en-US"/>
              </w:rPr>
              <w:t xml:space="preserve">equal to or </w:t>
            </w:r>
            <w:r w:rsidRPr="004C12C9">
              <w:rPr>
                <w:sz w:val="20"/>
                <w:lang w:bidi="en-US"/>
              </w:rPr>
              <w:t xml:space="preserve">greater than 0. 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products, users can leave the quantity blank or 0.</w:t>
            </w:r>
          </w:p>
        </w:tc>
        <w:tc>
          <w:tcPr>
            <w:tcW w:w="2070" w:type="dxa"/>
            <w:vAlign w:val="center"/>
          </w:tcPr>
          <w:p w14:paraId="74428C25" w14:textId="0C9171C8" w:rsidR="00550525" w:rsidRPr="004C12C9" w:rsidRDefault="009F718D" w:rsidP="00D350E7">
            <w:pPr>
              <w:pStyle w:val="ICFTabletext"/>
              <w:keepNext/>
              <w:rPr>
                <w:rFonts w:ascii="Calibri" w:eastAsia="Times New Roman" w:hAnsi="Calibri" w:cs="Times New Roman"/>
                <w:sz w:val="20"/>
                <w:lang w:eastAsia="en-US" w:bidi="en-US"/>
              </w:rPr>
            </w:pPr>
            <w:r w:rsidRPr="004C12C9">
              <w:rPr>
                <w:sz w:val="20"/>
              </w:rPr>
              <w:t>N</w:t>
            </w:r>
            <w:r w:rsidR="00C81F17" w:rsidRPr="004C12C9">
              <w:rPr>
                <w:sz w:val="20"/>
              </w:rPr>
              <w:t>A</w:t>
            </w:r>
          </w:p>
        </w:tc>
        <w:tc>
          <w:tcPr>
            <w:tcW w:w="1795" w:type="dxa"/>
            <w:vAlign w:val="center"/>
          </w:tcPr>
          <w:p w14:paraId="4474AFDF" w14:textId="70FE4353" w:rsidR="008E622D" w:rsidRPr="004C12C9" w:rsidRDefault="0020255F" w:rsidP="00D350E7">
            <w:pPr>
              <w:pStyle w:val="ICFTabletext"/>
              <w:keepNext/>
              <w:rPr>
                <w:rFonts w:ascii="Calibri" w:eastAsia="Times New Roman" w:hAnsi="Calibri" w:cs="Times New Roman"/>
                <w:sz w:val="20"/>
                <w:lang w:eastAsia="en-US" w:bidi="en-US"/>
              </w:rPr>
            </w:pPr>
            <w:r w:rsidRPr="004C12C9">
              <w:rPr>
                <w:sz w:val="20"/>
              </w:rPr>
              <w:t>Annual quantity of industrial output by product type in tons per year.</w:t>
            </w:r>
          </w:p>
        </w:tc>
      </w:tr>
      <w:tr w:rsidR="00C30817" w:rsidRPr="004C12C9" w14:paraId="533884C5" w14:textId="77777777" w:rsidTr="005D0319">
        <w:tc>
          <w:tcPr>
            <w:tcW w:w="1576" w:type="dxa"/>
            <w:vAlign w:val="center"/>
          </w:tcPr>
          <w:p w14:paraId="50CDD3C1" w14:textId="202575EF" w:rsidR="00C30817" w:rsidRPr="004C12C9" w:rsidRDefault="00C30817" w:rsidP="00CF6DA5">
            <w:pPr>
              <w:pStyle w:val="ICFTabletext"/>
              <w:rPr>
                <w:rFonts w:ascii="Calibri" w:eastAsia="Times New Roman" w:hAnsi="Calibri" w:cs="Times New Roman"/>
                <w:sz w:val="20"/>
                <w:lang w:eastAsia="en-US" w:bidi="en-US"/>
              </w:rPr>
            </w:pPr>
            <w:r w:rsidRPr="004C12C9">
              <w:rPr>
                <w:sz w:val="20"/>
              </w:rPr>
              <w:t>Emission factors for each applicable product type</w:t>
            </w:r>
          </w:p>
        </w:tc>
        <w:tc>
          <w:tcPr>
            <w:tcW w:w="1119" w:type="dxa"/>
            <w:vAlign w:val="center"/>
          </w:tcPr>
          <w:p w14:paraId="03416790" w14:textId="5C7CB1DC" w:rsidR="00C30817" w:rsidRPr="004C12C9" w:rsidRDefault="00B77BA3" w:rsidP="00CF6DA5">
            <w:pPr>
              <w:pStyle w:val="ICFTabletext"/>
              <w:rPr>
                <w:rFonts w:ascii="Calibri" w:eastAsia="Times New Roman" w:hAnsi="Calibri" w:cs="Times New Roman"/>
                <w:sz w:val="20"/>
                <w:lang w:eastAsia="en-US" w:bidi="en-US"/>
              </w:rPr>
            </w:pPr>
            <w:r w:rsidRPr="004C12C9">
              <w:rPr>
                <w:sz w:val="20"/>
              </w:rPr>
              <w:t>Decimal number</w:t>
            </w:r>
          </w:p>
        </w:tc>
        <w:tc>
          <w:tcPr>
            <w:tcW w:w="2790" w:type="dxa"/>
            <w:vAlign w:val="center"/>
          </w:tcPr>
          <w:p w14:paraId="7F2EA79F" w14:textId="37ABEBAE" w:rsidR="00C30817" w:rsidRPr="004C12C9" w:rsidRDefault="00B77BA3" w:rsidP="00CF6DA5">
            <w:pPr>
              <w:pStyle w:val="ICFTabletext"/>
              <w:rPr>
                <w:rFonts w:ascii="Calibri" w:eastAsia="Times New Roman" w:hAnsi="Calibri" w:cs="Times New Roman"/>
                <w:sz w:val="20"/>
                <w:lang w:eastAsia="en-US" w:bidi="en-US"/>
              </w:rPr>
            </w:pPr>
            <w:r w:rsidRPr="004C12C9">
              <w:rPr>
                <w:sz w:val="20"/>
              </w:rPr>
              <w:t>Must be a decimal number greater than 0.</w:t>
            </w:r>
            <w:r w:rsidR="002A18AA" w:rsidRPr="004C12C9">
              <w:rPr>
                <w:sz w:val="20"/>
              </w:rPr>
              <w:t xml:space="preserve"> Red checkers will appear if no </w:t>
            </w:r>
            <w:r w:rsidR="00616284" w:rsidRPr="004C12C9">
              <w:rPr>
                <w:sz w:val="20"/>
              </w:rPr>
              <w:t>value</w:t>
            </w:r>
            <w:r w:rsidR="002A18AA" w:rsidRPr="004C12C9">
              <w:rPr>
                <w:sz w:val="20"/>
              </w:rPr>
              <w:t xml:space="preserve"> </w:t>
            </w:r>
            <w:r w:rsidR="0025397A" w:rsidRPr="004C12C9">
              <w:rPr>
                <w:sz w:val="20"/>
              </w:rPr>
              <w:t>is</w:t>
            </w:r>
            <w:r w:rsidR="002A18AA" w:rsidRPr="004C12C9">
              <w:rPr>
                <w:sz w:val="20"/>
              </w:rPr>
              <w:t xml:space="preserve"> provided</w:t>
            </w:r>
            <w:r w:rsidR="00FD6FC6" w:rsidRPr="004C12C9">
              <w:rPr>
                <w:sz w:val="20"/>
              </w:rPr>
              <w:t xml:space="preserve"> for product types with a quantity greater than 0.</w:t>
            </w:r>
          </w:p>
        </w:tc>
        <w:tc>
          <w:tcPr>
            <w:tcW w:w="2070" w:type="dxa"/>
            <w:vAlign w:val="center"/>
          </w:tcPr>
          <w:p w14:paraId="35C4F33C" w14:textId="09CE87E3" w:rsidR="00550525" w:rsidRPr="004C12C9" w:rsidRDefault="00616284" w:rsidP="00CF6DA5">
            <w:pPr>
              <w:pStyle w:val="ICFTabletext"/>
              <w:rPr>
                <w:rFonts w:ascii="Calibri" w:eastAsia="Times New Roman" w:hAnsi="Calibri" w:cs="Times New Roman"/>
                <w:sz w:val="20"/>
                <w:lang w:eastAsia="en-US" w:bidi="en-US"/>
              </w:rPr>
            </w:pPr>
            <w:r w:rsidRPr="004C12C9">
              <w:rPr>
                <w:sz w:val="20"/>
              </w:rPr>
              <w:t>Yes</w:t>
            </w:r>
          </w:p>
        </w:tc>
        <w:tc>
          <w:tcPr>
            <w:tcW w:w="1795" w:type="dxa"/>
            <w:vAlign w:val="center"/>
          </w:tcPr>
          <w:p w14:paraId="3BE17454" w14:textId="5206E5CB" w:rsidR="00C30817" w:rsidRPr="004C12C9" w:rsidRDefault="0088399C" w:rsidP="00CF6DA5">
            <w:pPr>
              <w:pStyle w:val="ICFTabletext"/>
              <w:rPr>
                <w:rFonts w:ascii="Calibri" w:eastAsia="Times New Roman" w:hAnsi="Calibri" w:cs="Times New Roman"/>
                <w:sz w:val="20"/>
                <w:lang w:eastAsia="en-US" w:bidi="en-US"/>
              </w:rPr>
            </w:pPr>
            <w:r w:rsidRPr="004C12C9">
              <w:rPr>
                <w:sz w:val="20"/>
              </w:rPr>
              <w:t>E</w:t>
            </w:r>
            <w:r w:rsidR="00F25568" w:rsidRPr="004C12C9">
              <w:rPr>
                <w:sz w:val="20"/>
              </w:rPr>
              <w:t>mission</w:t>
            </w:r>
            <w:r w:rsidR="00BB2EEF" w:rsidRPr="004C12C9">
              <w:rPr>
                <w:sz w:val="20"/>
              </w:rPr>
              <w:t>s</w:t>
            </w:r>
            <w:r w:rsidR="00F25568" w:rsidRPr="004C12C9">
              <w:rPr>
                <w:sz w:val="20"/>
              </w:rPr>
              <w:t xml:space="preserve"> </w:t>
            </w:r>
            <w:r w:rsidR="00906D60" w:rsidRPr="004C12C9">
              <w:rPr>
                <w:sz w:val="20"/>
              </w:rPr>
              <w:t>(in kgCO</w:t>
            </w:r>
            <w:r w:rsidR="00906D60" w:rsidRPr="004C12C9">
              <w:rPr>
                <w:sz w:val="20"/>
                <w:vertAlign w:val="subscript"/>
              </w:rPr>
              <w:t>2</w:t>
            </w:r>
            <w:r w:rsidR="00906D60" w:rsidRPr="004C12C9">
              <w:rPr>
                <w:sz w:val="20"/>
              </w:rPr>
              <w:t>e</w:t>
            </w:r>
            <w:r w:rsidR="00CF6DA5" w:rsidRPr="004C12C9">
              <w:rPr>
                <w:sz w:val="20"/>
              </w:rPr>
              <w:t>)</w:t>
            </w:r>
            <w:r w:rsidR="00AF4D6E" w:rsidRPr="004C12C9">
              <w:rPr>
                <w:sz w:val="20"/>
              </w:rPr>
              <w:t xml:space="preserve"> associated with </w:t>
            </w:r>
            <w:r w:rsidR="00BB2EEF" w:rsidRPr="004C12C9">
              <w:rPr>
                <w:sz w:val="20"/>
              </w:rPr>
              <w:t>the</w:t>
            </w:r>
            <w:r w:rsidR="00F25568" w:rsidRPr="004C12C9">
              <w:rPr>
                <w:sz w:val="20"/>
              </w:rPr>
              <w:t xml:space="preserve"> product</w:t>
            </w:r>
            <w:r w:rsidR="00906D60" w:rsidRPr="004C12C9">
              <w:rPr>
                <w:sz w:val="20"/>
              </w:rPr>
              <w:t>ion</w:t>
            </w:r>
            <w:r w:rsidR="00F25568" w:rsidRPr="004C12C9">
              <w:rPr>
                <w:sz w:val="20"/>
              </w:rPr>
              <w:t xml:space="preserve"> </w:t>
            </w:r>
            <w:r w:rsidR="00906D60" w:rsidRPr="004C12C9">
              <w:rPr>
                <w:sz w:val="20"/>
              </w:rPr>
              <w:t>of</w:t>
            </w:r>
            <w:r w:rsidRPr="004C12C9">
              <w:rPr>
                <w:sz w:val="20"/>
              </w:rPr>
              <w:t xml:space="preserve"> </w:t>
            </w:r>
            <w:r w:rsidR="00AF4D6E" w:rsidRPr="004C12C9">
              <w:rPr>
                <w:sz w:val="20"/>
              </w:rPr>
              <w:t xml:space="preserve">one </w:t>
            </w:r>
            <w:r w:rsidR="009A54D2" w:rsidRPr="004C12C9">
              <w:rPr>
                <w:sz w:val="20"/>
              </w:rPr>
              <w:t>ton</w:t>
            </w:r>
            <w:r w:rsidRPr="004C12C9">
              <w:rPr>
                <w:sz w:val="20"/>
              </w:rPr>
              <w:t xml:space="preserve"> of output</w:t>
            </w:r>
            <w:r w:rsidR="009A54D2" w:rsidRPr="004C12C9">
              <w:rPr>
                <w:sz w:val="20"/>
              </w:rPr>
              <w:t>.</w:t>
            </w:r>
          </w:p>
        </w:tc>
      </w:tr>
    </w:tbl>
    <w:p w14:paraId="19C13FB6" w14:textId="4C0681F9" w:rsidR="008E622D" w:rsidRPr="004C12C9" w:rsidRDefault="00CF6DA5" w:rsidP="008E622D">
      <w:r w:rsidRPr="004C12C9">
        <w:rPr>
          <w:b/>
          <w:bCs/>
        </w:rPr>
        <w:t>HFC Leakage:</w:t>
      </w:r>
      <w:r w:rsidRPr="004C12C9">
        <w:t xml:space="preserve"> </w:t>
      </w:r>
      <w:r w:rsidR="008E622D" w:rsidRPr="004C12C9">
        <w:t xml:space="preserve">If HFC leakage is applicable to the project, </w:t>
      </w:r>
      <w:r w:rsidR="00ED412D" w:rsidRPr="004C12C9">
        <w:t xml:space="preserve">a user is required to enter the inputs </w:t>
      </w:r>
      <w:r w:rsidRPr="004C12C9">
        <w:t>described</w:t>
      </w:r>
      <w:r w:rsidR="00ED412D" w:rsidRPr="004C12C9">
        <w:t xml:space="preserve"> in </w:t>
      </w:r>
      <w:r w:rsidR="00474998" w:rsidRPr="004C12C9">
        <w:fldChar w:fldCharType="begin" w:fldLock="1"/>
      </w:r>
      <w:r w:rsidR="00474998" w:rsidRPr="004C12C9">
        <w:instrText xml:space="preserve"> REF _Ref195879567 \h </w:instrText>
      </w:r>
      <w:r w:rsidR="00474998" w:rsidRPr="004C12C9">
        <w:fldChar w:fldCharType="separate"/>
      </w:r>
      <w:r w:rsidR="00161F12" w:rsidRPr="004C12C9">
        <w:t>Table D-13</w:t>
      </w:r>
      <w:r w:rsidR="00474998" w:rsidRPr="004C12C9">
        <w:fldChar w:fldCharType="end"/>
      </w:r>
      <w:r w:rsidR="00474998" w:rsidRPr="004C12C9">
        <w:t>.</w:t>
      </w:r>
    </w:p>
    <w:p w14:paraId="247B5AF2" w14:textId="132A2C99" w:rsidR="00474998" w:rsidRPr="004C12C9" w:rsidRDefault="00474998" w:rsidP="008C629C">
      <w:pPr>
        <w:pStyle w:val="Caption"/>
      </w:pPr>
      <w:bookmarkStart w:id="345" w:name="_Ref195879567"/>
      <w:r w:rsidRPr="004C12C9">
        <w:t>Table D-</w:t>
      </w:r>
      <w:r w:rsidR="00161F12">
        <w:fldChar w:fldCharType="begin"/>
      </w:r>
      <w:r w:rsidR="00161F12">
        <w:instrText xml:space="preserve"> SEQ Table_D- \* ARABIC </w:instrText>
      </w:r>
      <w:r w:rsidR="00161F12">
        <w:fldChar w:fldCharType="separate"/>
      </w:r>
      <w:r w:rsidR="00161F12" w:rsidRPr="004C12C9">
        <w:t>13</w:t>
      </w:r>
      <w:r w:rsidR="00161F12">
        <w:fldChar w:fldCharType="end"/>
      </w:r>
      <w:bookmarkEnd w:id="345"/>
      <w:r w:rsidRPr="004C12C9">
        <w:t>. User Inputs for HFC Leakage</w:t>
      </w:r>
    </w:p>
    <w:tbl>
      <w:tblPr>
        <w:tblStyle w:val="TableGridLight"/>
        <w:tblW w:w="0" w:type="auto"/>
        <w:tblLook w:val="04A0" w:firstRow="1" w:lastRow="0" w:firstColumn="1" w:lastColumn="0" w:noHBand="0" w:noVBand="1"/>
      </w:tblPr>
      <w:tblGrid>
        <w:gridCol w:w="1482"/>
        <w:gridCol w:w="1388"/>
        <w:gridCol w:w="2075"/>
        <w:gridCol w:w="1980"/>
        <w:gridCol w:w="2425"/>
      </w:tblGrid>
      <w:tr w:rsidR="00EE4EC7" w:rsidRPr="004C12C9" w14:paraId="323B129F" w14:textId="77777777" w:rsidTr="0077773D">
        <w:trPr>
          <w:trHeight w:val="70"/>
        </w:trPr>
        <w:tc>
          <w:tcPr>
            <w:tcW w:w="1482" w:type="dxa"/>
            <w:shd w:val="clear" w:color="auto" w:fill="D9D9D9" w:themeFill="background1" w:themeFillShade="D9"/>
            <w:vAlign w:val="center"/>
          </w:tcPr>
          <w:p w14:paraId="51155443" w14:textId="51581696" w:rsidR="00EE4EC7" w:rsidRPr="004C12C9" w:rsidRDefault="00EE4EC7" w:rsidP="008C629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88" w:type="dxa"/>
            <w:shd w:val="clear" w:color="auto" w:fill="D9D9D9" w:themeFill="background1" w:themeFillShade="D9"/>
            <w:vAlign w:val="center"/>
          </w:tcPr>
          <w:p w14:paraId="3A4E7F1C" w14:textId="3B675A93" w:rsidR="00EE4EC7" w:rsidRPr="004C12C9" w:rsidRDefault="00EE4EC7" w:rsidP="008C629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075" w:type="dxa"/>
            <w:shd w:val="clear" w:color="auto" w:fill="D9D9D9" w:themeFill="background1" w:themeFillShade="D9"/>
            <w:vAlign w:val="center"/>
          </w:tcPr>
          <w:p w14:paraId="706F16CE" w14:textId="070A8A54" w:rsidR="00EE4EC7" w:rsidRPr="004C12C9" w:rsidRDefault="00EE4EC7" w:rsidP="008C629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50944008" w14:textId="3A697296" w:rsidR="00EE4EC7" w:rsidRPr="004C12C9" w:rsidRDefault="00EE4EC7" w:rsidP="008C629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425" w:type="dxa"/>
            <w:shd w:val="clear" w:color="auto" w:fill="D9D9D9" w:themeFill="background1" w:themeFillShade="D9"/>
            <w:vAlign w:val="center"/>
          </w:tcPr>
          <w:p w14:paraId="70CAE188" w14:textId="7A5DB590" w:rsidR="00EE4EC7" w:rsidRPr="004C12C9" w:rsidRDefault="00EE4EC7" w:rsidP="008C629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8E622D" w:rsidRPr="004C12C9" w14:paraId="7950E1C3" w14:textId="77777777" w:rsidTr="0077773D">
        <w:tc>
          <w:tcPr>
            <w:tcW w:w="1482" w:type="dxa"/>
            <w:vAlign w:val="center"/>
          </w:tcPr>
          <w:p w14:paraId="1F462D1D" w14:textId="475B0D37" w:rsidR="008E622D" w:rsidRPr="004C12C9" w:rsidRDefault="002A18AA" w:rsidP="00161F12">
            <w:pPr>
              <w:pStyle w:val="ICFTabletext"/>
              <w:rPr>
                <w:rFonts w:ascii="Calibri" w:eastAsia="Times New Roman" w:hAnsi="Calibri" w:cs="Times New Roman"/>
                <w:sz w:val="20"/>
                <w:lang w:eastAsia="en-US" w:bidi="en-US"/>
              </w:rPr>
            </w:pPr>
            <w:r w:rsidRPr="004C12C9">
              <w:rPr>
                <w:sz w:val="20"/>
              </w:rPr>
              <w:t>Percent of building area utilized by building type</w:t>
            </w:r>
          </w:p>
        </w:tc>
        <w:tc>
          <w:tcPr>
            <w:tcW w:w="1388" w:type="dxa"/>
            <w:vAlign w:val="center"/>
          </w:tcPr>
          <w:p w14:paraId="623D72B9" w14:textId="5DE155AA" w:rsidR="008E622D" w:rsidRPr="004C12C9" w:rsidRDefault="00963D82" w:rsidP="00161F12">
            <w:pPr>
              <w:pStyle w:val="ICFTabletext"/>
              <w:rPr>
                <w:rFonts w:ascii="Calibri" w:eastAsia="Times New Roman" w:hAnsi="Calibri" w:cs="Times New Roman"/>
                <w:sz w:val="20"/>
                <w:lang w:eastAsia="en-US" w:bidi="en-US"/>
              </w:rPr>
            </w:pPr>
            <w:r w:rsidRPr="004C12C9">
              <w:rPr>
                <w:sz w:val="20"/>
              </w:rPr>
              <w:t>Percent</w:t>
            </w:r>
          </w:p>
        </w:tc>
        <w:tc>
          <w:tcPr>
            <w:tcW w:w="2075" w:type="dxa"/>
            <w:vAlign w:val="center"/>
          </w:tcPr>
          <w:p w14:paraId="6A66FE18" w14:textId="02C2BEB7" w:rsidR="008E622D" w:rsidRPr="004C12C9" w:rsidRDefault="00963D82" w:rsidP="00161F12">
            <w:pPr>
              <w:pStyle w:val="ICFTabletext"/>
              <w:rPr>
                <w:rFonts w:ascii="Calibri" w:eastAsia="Times New Roman" w:hAnsi="Calibri" w:cs="Times New Roman"/>
                <w:sz w:val="20"/>
                <w:lang w:eastAsia="en-US" w:bidi="en-US"/>
              </w:rPr>
            </w:pPr>
            <w:r w:rsidRPr="004C12C9">
              <w:rPr>
                <w:sz w:val="20"/>
              </w:rPr>
              <w:t>Must be between 0 and 100%</w:t>
            </w:r>
            <w:r w:rsidR="001A7438" w:rsidRPr="004C12C9">
              <w:rPr>
                <w:sz w:val="20"/>
              </w:rPr>
              <w:t xml:space="preserve"> for </w:t>
            </w:r>
            <w:r w:rsidR="0068713A" w:rsidRPr="004C12C9">
              <w:rPr>
                <w:sz w:val="20"/>
              </w:rPr>
              <w:t>applicable building types.</w:t>
            </w:r>
            <w:r w:rsidRPr="004C12C9">
              <w:rPr>
                <w:sz w:val="20"/>
              </w:rPr>
              <w:t xml:space="preserve"> </w:t>
            </w:r>
            <w:r w:rsidR="007725CB" w:rsidRPr="004C12C9">
              <w:rPr>
                <w:sz w:val="20"/>
              </w:rPr>
              <w:t xml:space="preserve">Red checkers will appear if no input is provided for building types with </w:t>
            </w:r>
            <w:r w:rsidR="00161AE9" w:rsidRPr="004C12C9">
              <w:rPr>
                <w:sz w:val="20"/>
              </w:rPr>
              <w:t xml:space="preserve">an </w:t>
            </w:r>
            <w:r w:rsidR="007725CB" w:rsidRPr="004C12C9">
              <w:rPr>
                <w:sz w:val="20"/>
              </w:rPr>
              <w:t>area greater than 0</w:t>
            </w:r>
            <w:r w:rsidR="00B56D55" w:rsidRPr="004C12C9">
              <w:rPr>
                <w:sz w:val="20"/>
              </w:rPr>
              <w:t>.</w:t>
            </w:r>
          </w:p>
        </w:tc>
        <w:tc>
          <w:tcPr>
            <w:tcW w:w="1980" w:type="dxa"/>
            <w:vAlign w:val="center"/>
          </w:tcPr>
          <w:p w14:paraId="6ADF8D65" w14:textId="1C16F4FA" w:rsidR="00550525" w:rsidRPr="004C12C9" w:rsidRDefault="005E63B7" w:rsidP="00161F12">
            <w:pPr>
              <w:pStyle w:val="ICFTabletext"/>
              <w:rPr>
                <w:rFonts w:ascii="Calibri" w:eastAsia="Times New Roman" w:hAnsi="Calibri" w:cs="Times New Roman"/>
                <w:sz w:val="20"/>
                <w:lang w:eastAsia="en-US" w:bidi="en-US"/>
              </w:rPr>
            </w:pPr>
            <w:r w:rsidRPr="004C12C9">
              <w:rPr>
                <w:sz w:val="20"/>
              </w:rPr>
              <w:t xml:space="preserve">Yes. </w:t>
            </w:r>
            <w:r w:rsidR="0077773D" w:rsidRPr="004C12C9">
              <w:rPr>
                <w:sz w:val="20"/>
              </w:rPr>
              <w:t>D</w:t>
            </w:r>
            <w:r w:rsidR="00161AE9" w:rsidRPr="004C12C9">
              <w:rPr>
                <w:sz w:val="20"/>
              </w:rPr>
              <w:t xml:space="preserve">efault </w:t>
            </w:r>
            <w:r w:rsidR="00697D53" w:rsidRPr="004C12C9">
              <w:rPr>
                <w:sz w:val="20"/>
              </w:rPr>
              <w:t>is 100% for all building types</w:t>
            </w:r>
            <w:r w:rsidRPr="004C12C9">
              <w:rPr>
                <w:sz w:val="20"/>
              </w:rPr>
              <w:t>.</w:t>
            </w:r>
          </w:p>
        </w:tc>
        <w:tc>
          <w:tcPr>
            <w:tcW w:w="2425" w:type="dxa"/>
            <w:vAlign w:val="center"/>
          </w:tcPr>
          <w:p w14:paraId="0C2EC539" w14:textId="29AD9A01" w:rsidR="008E622D" w:rsidRPr="004C12C9" w:rsidRDefault="00C90338" w:rsidP="00161F12">
            <w:pPr>
              <w:pStyle w:val="ICFTabletext"/>
              <w:rPr>
                <w:rFonts w:ascii="Calibri" w:eastAsia="Times New Roman" w:hAnsi="Calibri" w:cs="Times New Roman"/>
                <w:sz w:val="20"/>
                <w:lang w:eastAsia="en-US" w:bidi="en-US"/>
              </w:rPr>
            </w:pPr>
            <w:r w:rsidRPr="004C12C9">
              <w:rPr>
                <w:sz w:val="20"/>
              </w:rPr>
              <w:t>Portion of the building area</w:t>
            </w:r>
            <w:r w:rsidR="0089196F" w:rsidRPr="004C12C9">
              <w:rPr>
                <w:sz w:val="20"/>
              </w:rPr>
              <w:t xml:space="preserve"> by building type</w:t>
            </w:r>
            <w:r w:rsidRPr="004C12C9">
              <w:rPr>
                <w:sz w:val="20"/>
              </w:rPr>
              <w:t xml:space="preserve"> that utilizes air conditioning and/or refrigeration equipment</w:t>
            </w:r>
            <w:r w:rsidR="005E21A8" w:rsidRPr="004C12C9">
              <w:rPr>
                <w:sz w:val="20"/>
              </w:rPr>
              <w:t xml:space="preserve">. Building area based </w:t>
            </w:r>
            <w:r w:rsidR="000873E7" w:rsidRPr="004C12C9">
              <w:rPr>
                <w:sz w:val="20"/>
              </w:rPr>
              <w:t>on the building square footage data entered in the Project Background tab.</w:t>
            </w:r>
          </w:p>
        </w:tc>
      </w:tr>
      <w:tr w:rsidR="00735506" w:rsidRPr="004C12C9" w14:paraId="3E0AE5F0" w14:textId="77777777" w:rsidTr="0077773D">
        <w:tc>
          <w:tcPr>
            <w:tcW w:w="1482" w:type="dxa"/>
            <w:vAlign w:val="center"/>
          </w:tcPr>
          <w:p w14:paraId="38028799" w14:textId="51A9AEAF" w:rsidR="00735506" w:rsidRPr="004C12C9" w:rsidRDefault="00A52D20" w:rsidP="00161F12">
            <w:pPr>
              <w:pStyle w:val="ICFTabletext"/>
              <w:rPr>
                <w:sz w:val="20"/>
              </w:rPr>
            </w:pPr>
            <w:r>
              <w:rPr>
                <w:sz w:val="20"/>
              </w:rPr>
              <w:t>Refrigerant</w:t>
            </w:r>
            <w:r w:rsidR="001871AF">
              <w:rPr>
                <w:sz w:val="20"/>
              </w:rPr>
              <w:t xml:space="preserve"> type by building and equipment type</w:t>
            </w:r>
            <w:r w:rsidR="005370BD">
              <w:rPr>
                <w:sz w:val="20"/>
              </w:rPr>
              <w:t>*</w:t>
            </w:r>
          </w:p>
        </w:tc>
        <w:tc>
          <w:tcPr>
            <w:tcW w:w="1388" w:type="dxa"/>
            <w:vAlign w:val="center"/>
          </w:tcPr>
          <w:p w14:paraId="5418CAB4" w14:textId="1C070E24" w:rsidR="00735506" w:rsidRPr="004C12C9" w:rsidRDefault="001871AF" w:rsidP="00161F12">
            <w:pPr>
              <w:pStyle w:val="ICFTabletext"/>
              <w:rPr>
                <w:sz w:val="20"/>
              </w:rPr>
            </w:pPr>
            <w:r>
              <w:rPr>
                <w:sz w:val="20"/>
              </w:rPr>
              <w:t>Drop-down selection</w:t>
            </w:r>
          </w:p>
        </w:tc>
        <w:tc>
          <w:tcPr>
            <w:tcW w:w="2075" w:type="dxa"/>
            <w:vAlign w:val="center"/>
          </w:tcPr>
          <w:p w14:paraId="5625383A" w14:textId="07409C15" w:rsidR="00735506" w:rsidRPr="004C12C9" w:rsidRDefault="005370BD" w:rsidP="00161F12">
            <w:pPr>
              <w:pStyle w:val="ICFTabletext"/>
              <w:rPr>
                <w:sz w:val="20"/>
              </w:rPr>
            </w:pPr>
            <w:r>
              <w:rPr>
                <w:sz w:val="20"/>
              </w:rPr>
              <w:t xml:space="preserve">Must match value from drop-down list. Red checker will appear if no </w:t>
            </w:r>
            <w:r w:rsidR="00146F63">
              <w:rPr>
                <w:sz w:val="20"/>
              </w:rPr>
              <w:t xml:space="preserve">value </w:t>
            </w:r>
            <w:r w:rsidR="00A52D20">
              <w:rPr>
                <w:sz w:val="20"/>
              </w:rPr>
              <w:t>is</w:t>
            </w:r>
            <w:r>
              <w:rPr>
                <w:sz w:val="20"/>
              </w:rPr>
              <w:t xml:space="preserve"> selected.</w:t>
            </w:r>
          </w:p>
        </w:tc>
        <w:tc>
          <w:tcPr>
            <w:tcW w:w="1980" w:type="dxa"/>
            <w:vAlign w:val="center"/>
          </w:tcPr>
          <w:p w14:paraId="6CEAE4EE" w14:textId="7DD598B0" w:rsidR="00735506" w:rsidRPr="004C12C9" w:rsidRDefault="006467C1" w:rsidP="00161F12">
            <w:pPr>
              <w:pStyle w:val="ICFTabletext"/>
              <w:rPr>
                <w:sz w:val="20"/>
              </w:rPr>
            </w:pPr>
            <w:r>
              <w:rPr>
                <w:sz w:val="20"/>
              </w:rPr>
              <w:t>Yes</w:t>
            </w:r>
          </w:p>
        </w:tc>
        <w:tc>
          <w:tcPr>
            <w:tcW w:w="2425" w:type="dxa"/>
            <w:vAlign w:val="center"/>
          </w:tcPr>
          <w:p w14:paraId="0A5D72D4" w14:textId="7D16ABCD" w:rsidR="00735506" w:rsidRPr="004C12C9" w:rsidRDefault="00CB5BC8" w:rsidP="00161F12">
            <w:pPr>
              <w:pStyle w:val="ICFTabletext"/>
              <w:rPr>
                <w:sz w:val="20"/>
              </w:rPr>
            </w:pPr>
            <w:r>
              <w:rPr>
                <w:sz w:val="20"/>
              </w:rPr>
              <w:t>Refrigerant</w:t>
            </w:r>
            <w:r w:rsidR="0076403B">
              <w:rPr>
                <w:sz w:val="20"/>
              </w:rPr>
              <w:t xml:space="preserve"> type</w:t>
            </w:r>
            <w:r w:rsidR="006B2808">
              <w:rPr>
                <w:sz w:val="20"/>
              </w:rPr>
              <w:t xml:space="preserve"> determine</w:t>
            </w:r>
            <w:r w:rsidR="00A87AD8">
              <w:rPr>
                <w:sz w:val="20"/>
              </w:rPr>
              <w:t>s</w:t>
            </w:r>
            <w:r w:rsidR="006B2808">
              <w:rPr>
                <w:sz w:val="20"/>
              </w:rPr>
              <w:t xml:space="preserve"> the GWP used in the emissions calculation.</w:t>
            </w:r>
          </w:p>
        </w:tc>
      </w:tr>
    </w:tbl>
    <w:p w14:paraId="0820BFB7" w14:textId="77777777" w:rsidR="005370BD" w:rsidRPr="00BC0D67" w:rsidRDefault="005370BD" w:rsidP="005370BD">
      <w:pPr>
        <w:spacing w:before="0" w:after="0"/>
        <w:rPr>
          <w:sz w:val="18"/>
          <w:szCs w:val="18"/>
        </w:rPr>
      </w:pPr>
      <w:r w:rsidRPr="00BC0D67">
        <w:rPr>
          <w:sz w:val="18"/>
          <w:szCs w:val="18"/>
        </w:rPr>
        <w:t xml:space="preserve">*Input for mitigation measure quantification. </w:t>
      </w:r>
    </w:p>
    <w:p w14:paraId="3E9DEA90" w14:textId="4040E779" w:rsidR="00B92768" w:rsidRPr="004C12C9" w:rsidRDefault="00CF6DA5" w:rsidP="003B1CEC">
      <w:pPr>
        <w:keepNext/>
      </w:pPr>
      <w:r w:rsidRPr="004C12C9">
        <w:rPr>
          <w:b/>
          <w:bCs/>
        </w:rPr>
        <w:t>Land Use Change (Operation):</w:t>
      </w:r>
      <w:r w:rsidRPr="004C12C9">
        <w:t xml:space="preserve"> </w:t>
      </w:r>
      <w:r w:rsidR="00B92768" w:rsidRPr="004C12C9">
        <w:t xml:space="preserve">If land use change during operation is applicable to the project, </w:t>
      </w:r>
      <w:r w:rsidR="00ED412D" w:rsidRPr="004C12C9">
        <w:t xml:space="preserve">a user is required to enter the inputs </w:t>
      </w:r>
      <w:r w:rsidRPr="004C12C9">
        <w:t>described</w:t>
      </w:r>
      <w:r w:rsidR="00ED412D" w:rsidRPr="004C12C9">
        <w:t xml:space="preserve"> in </w:t>
      </w:r>
      <w:r w:rsidR="00474998" w:rsidRPr="004C12C9">
        <w:fldChar w:fldCharType="begin" w:fldLock="1"/>
      </w:r>
      <w:r w:rsidR="00474998" w:rsidRPr="004C12C9">
        <w:instrText xml:space="preserve"> REF _Ref195879685 \h </w:instrText>
      </w:r>
      <w:r w:rsidR="00474998" w:rsidRPr="004C12C9">
        <w:fldChar w:fldCharType="separate"/>
      </w:r>
      <w:r w:rsidR="00161F12" w:rsidRPr="004C12C9">
        <w:t>Table D-14</w:t>
      </w:r>
      <w:r w:rsidR="00474998" w:rsidRPr="004C12C9">
        <w:fldChar w:fldCharType="end"/>
      </w:r>
      <w:r w:rsidR="00474998" w:rsidRPr="004C12C9">
        <w:t>.</w:t>
      </w:r>
    </w:p>
    <w:p w14:paraId="2BE160A9" w14:textId="628FEAB3" w:rsidR="00474998" w:rsidRPr="004C12C9" w:rsidRDefault="00474998" w:rsidP="00A87AD8">
      <w:pPr>
        <w:pStyle w:val="Caption"/>
      </w:pPr>
      <w:bookmarkStart w:id="346" w:name="_Ref195879685"/>
      <w:r w:rsidRPr="004C12C9">
        <w:t>Table D-</w:t>
      </w:r>
      <w:r w:rsidR="00161F12">
        <w:fldChar w:fldCharType="begin"/>
      </w:r>
      <w:r w:rsidR="00161F12">
        <w:instrText xml:space="preserve"> SEQ Table_D- \* ARABIC </w:instrText>
      </w:r>
      <w:r w:rsidR="00161F12">
        <w:fldChar w:fldCharType="separate"/>
      </w:r>
      <w:r w:rsidR="00161F12" w:rsidRPr="004C12C9">
        <w:t>14</w:t>
      </w:r>
      <w:r w:rsidR="00161F12">
        <w:fldChar w:fldCharType="end"/>
      </w:r>
      <w:bookmarkEnd w:id="346"/>
      <w:r w:rsidRPr="004C12C9">
        <w:t>. User Inputs for Land Use Change During Operations</w:t>
      </w:r>
    </w:p>
    <w:tbl>
      <w:tblPr>
        <w:tblStyle w:val="TableGridLight"/>
        <w:tblW w:w="0" w:type="auto"/>
        <w:tblLook w:val="04A0" w:firstRow="1" w:lastRow="0" w:firstColumn="1" w:lastColumn="0" w:noHBand="0" w:noVBand="1"/>
      </w:tblPr>
      <w:tblGrid>
        <w:gridCol w:w="1562"/>
        <w:gridCol w:w="1389"/>
        <w:gridCol w:w="2444"/>
        <w:gridCol w:w="1980"/>
        <w:gridCol w:w="1975"/>
      </w:tblGrid>
      <w:tr w:rsidR="00EE4EC7" w:rsidRPr="004C12C9" w14:paraId="5D154AB3" w14:textId="77777777" w:rsidTr="00161F12">
        <w:trPr>
          <w:trHeight w:val="70"/>
        </w:trPr>
        <w:tc>
          <w:tcPr>
            <w:tcW w:w="1562" w:type="dxa"/>
            <w:shd w:val="clear" w:color="auto" w:fill="D9D9D9" w:themeFill="background1" w:themeFillShade="D9"/>
            <w:vAlign w:val="center"/>
          </w:tcPr>
          <w:p w14:paraId="668AF227" w14:textId="62A55F35" w:rsidR="00EE4EC7" w:rsidRPr="004C12C9" w:rsidRDefault="00EE4EC7" w:rsidP="00A87AD8">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89" w:type="dxa"/>
            <w:shd w:val="clear" w:color="auto" w:fill="D9D9D9" w:themeFill="background1" w:themeFillShade="D9"/>
            <w:vAlign w:val="center"/>
          </w:tcPr>
          <w:p w14:paraId="7B78A30C" w14:textId="7D425219" w:rsidR="00EE4EC7" w:rsidRPr="004C12C9" w:rsidRDefault="00EE4EC7" w:rsidP="00A87AD8">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44" w:type="dxa"/>
            <w:shd w:val="clear" w:color="auto" w:fill="D9D9D9" w:themeFill="background1" w:themeFillShade="D9"/>
            <w:vAlign w:val="center"/>
          </w:tcPr>
          <w:p w14:paraId="5E13FE3E" w14:textId="74548982" w:rsidR="00EE4EC7" w:rsidRPr="004C12C9" w:rsidRDefault="00EE4EC7" w:rsidP="00A87AD8">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6C748BBA" w14:textId="6A2C26F3" w:rsidR="00EE4EC7" w:rsidRPr="004C12C9" w:rsidRDefault="00EE4EC7" w:rsidP="00A87AD8">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400D662B" w14:textId="3ADF39AE" w:rsidR="00EE4EC7" w:rsidRPr="004C12C9" w:rsidRDefault="00EE4EC7" w:rsidP="00A87AD8">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2768" w:rsidRPr="004C12C9" w14:paraId="4554F2AE" w14:textId="77777777" w:rsidTr="00161F12">
        <w:tc>
          <w:tcPr>
            <w:tcW w:w="1562" w:type="dxa"/>
            <w:vAlign w:val="center"/>
          </w:tcPr>
          <w:p w14:paraId="14DF8F05" w14:textId="08A268A7" w:rsidR="00B92768" w:rsidRPr="004C12C9" w:rsidRDefault="00EA0657" w:rsidP="00161F12">
            <w:pPr>
              <w:pStyle w:val="ICFTabletext"/>
              <w:rPr>
                <w:rFonts w:ascii="Calibri" w:eastAsia="Times New Roman" w:hAnsi="Calibri" w:cs="Times New Roman"/>
                <w:sz w:val="20"/>
                <w:lang w:eastAsia="en-US" w:bidi="en-US"/>
              </w:rPr>
            </w:pPr>
            <w:r w:rsidRPr="004C12C9">
              <w:rPr>
                <w:sz w:val="20"/>
              </w:rPr>
              <w:t>Post-operation acres by land use type</w:t>
            </w:r>
          </w:p>
        </w:tc>
        <w:tc>
          <w:tcPr>
            <w:tcW w:w="1389" w:type="dxa"/>
            <w:vAlign w:val="center"/>
          </w:tcPr>
          <w:p w14:paraId="5F7E6C0F" w14:textId="00099DC4" w:rsidR="00B92768" w:rsidRPr="004C12C9" w:rsidRDefault="00EA0657" w:rsidP="00161F12">
            <w:pPr>
              <w:pStyle w:val="ICFTabletext"/>
              <w:rPr>
                <w:rFonts w:ascii="Calibri" w:eastAsia="Times New Roman" w:hAnsi="Calibri" w:cs="Times New Roman"/>
                <w:sz w:val="20"/>
                <w:lang w:eastAsia="en-US" w:bidi="en-US"/>
              </w:rPr>
            </w:pPr>
            <w:r w:rsidRPr="004C12C9">
              <w:rPr>
                <w:sz w:val="20"/>
              </w:rPr>
              <w:t>Decimal number</w:t>
            </w:r>
          </w:p>
        </w:tc>
        <w:tc>
          <w:tcPr>
            <w:tcW w:w="2444" w:type="dxa"/>
            <w:vAlign w:val="center"/>
          </w:tcPr>
          <w:p w14:paraId="100472F7" w14:textId="5F445809" w:rsidR="00B92768" w:rsidRPr="004C12C9" w:rsidRDefault="00FD3733" w:rsidP="00161F12">
            <w:pPr>
              <w:pStyle w:val="ICFTabletext"/>
              <w:rPr>
                <w:rFonts w:ascii="Calibri" w:eastAsia="Times New Roman" w:hAnsi="Calibri" w:cs="Times New Roman"/>
                <w:sz w:val="20"/>
                <w:lang w:eastAsia="en-US" w:bidi="en-US"/>
              </w:rPr>
            </w:pPr>
            <w:r w:rsidRPr="004C12C9">
              <w:rPr>
                <w:sz w:val="20"/>
              </w:rPr>
              <w:t>Must be a decimal number equal to or greater than 0. Red checkers will appear if total post-operation acreage does not equal post-construction acreage.</w:t>
            </w:r>
          </w:p>
        </w:tc>
        <w:tc>
          <w:tcPr>
            <w:tcW w:w="1980" w:type="dxa"/>
            <w:vAlign w:val="center"/>
          </w:tcPr>
          <w:p w14:paraId="413D8DA3" w14:textId="63C36BC1" w:rsidR="00550525" w:rsidRPr="004C12C9" w:rsidRDefault="00FD260C" w:rsidP="00161F12">
            <w:pPr>
              <w:pStyle w:val="ICFTabletext"/>
              <w:rPr>
                <w:rFonts w:ascii="Calibri" w:eastAsia="Times New Roman" w:hAnsi="Calibri" w:cs="Times New Roman"/>
                <w:sz w:val="20"/>
                <w:lang w:eastAsia="en-US" w:bidi="en-US"/>
              </w:rPr>
            </w:pPr>
            <w:r w:rsidRPr="004C12C9">
              <w:rPr>
                <w:sz w:val="20"/>
              </w:rPr>
              <w:t>NA</w:t>
            </w:r>
          </w:p>
        </w:tc>
        <w:tc>
          <w:tcPr>
            <w:tcW w:w="1975" w:type="dxa"/>
            <w:vAlign w:val="center"/>
          </w:tcPr>
          <w:p w14:paraId="15BB1658" w14:textId="4DCFFE1C" w:rsidR="00B92768" w:rsidRPr="004C12C9" w:rsidRDefault="00FD260C" w:rsidP="00161F12">
            <w:pPr>
              <w:pStyle w:val="ICFTabletext"/>
              <w:rPr>
                <w:rFonts w:ascii="Calibri" w:eastAsia="Times New Roman" w:hAnsi="Calibri" w:cs="Times New Roman"/>
                <w:sz w:val="20"/>
                <w:lang w:eastAsia="en-US" w:bidi="en-US"/>
              </w:rPr>
            </w:pPr>
            <w:r w:rsidRPr="004C12C9">
              <w:rPr>
                <w:sz w:val="20"/>
              </w:rPr>
              <w:t>N</w:t>
            </w:r>
            <w:r w:rsidR="004C3958" w:rsidRPr="004C12C9">
              <w:rPr>
                <w:sz w:val="20"/>
              </w:rPr>
              <w:t>umber of acres by land cover type after project operation</w:t>
            </w:r>
            <w:r w:rsidR="00F263D1" w:rsidRPr="004C12C9">
              <w:rPr>
                <w:sz w:val="20"/>
              </w:rPr>
              <w:t>.</w:t>
            </w:r>
          </w:p>
        </w:tc>
      </w:tr>
    </w:tbl>
    <w:p w14:paraId="1A4DA70F" w14:textId="266100E7" w:rsidR="00B92768" w:rsidRPr="004C12C9" w:rsidRDefault="008108D5" w:rsidP="00B92768">
      <w:r w:rsidRPr="004C12C9">
        <w:rPr>
          <w:b/>
          <w:bCs/>
        </w:rPr>
        <w:lastRenderedPageBreak/>
        <w:t>On-</w:t>
      </w:r>
      <w:r w:rsidR="00434CA6" w:rsidRPr="004C12C9">
        <w:rPr>
          <w:b/>
          <w:bCs/>
        </w:rPr>
        <w:t>R</w:t>
      </w:r>
      <w:r w:rsidRPr="004C12C9">
        <w:rPr>
          <w:b/>
          <w:bCs/>
        </w:rPr>
        <w:t>oad Vehicles:</w:t>
      </w:r>
      <w:r w:rsidRPr="004C12C9">
        <w:t xml:space="preserve"> </w:t>
      </w:r>
      <w:r w:rsidR="00B92768" w:rsidRPr="004C12C9">
        <w:t xml:space="preserve">If on-road vehicles are applicable to the project, </w:t>
      </w:r>
      <w:r w:rsidR="00ED412D" w:rsidRPr="004C12C9">
        <w:t xml:space="preserve">a user is required to enter the inputs </w:t>
      </w:r>
      <w:r w:rsidRPr="004C12C9">
        <w:t xml:space="preserve">described </w:t>
      </w:r>
      <w:r w:rsidR="00ED412D" w:rsidRPr="004C12C9">
        <w:t xml:space="preserve">in </w:t>
      </w:r>
      <w:r w:rsidR="00474998" w:rsidRPr="004C12C9">
        <w:fldChar w:fldCharType="begin" w:fldLock="1"/>
      </w:r>
      <w:r w:rsidR="00474998" w:rsidRPr="004C12C9">
        <w:instrText xml:space="preserve"> REF _Ref195879700 \h </w:instrText>
      </w:r>
      <w:r w:rsidR="00474998" w:rsidRPr="004C12C9">
        <w:fldChar w:fldCharType="separate"/>
      </w:r>
      <w:r w:rsidR="006658B4" w:rsidRPr="004C12C9">
        <w:t>Table D-15</w:t>
      </w:r>
      <w:r w:rsidR="00474998" w:rsidRPr="004C12C9">
        <w:fldChar w:fldCharType="end"/>
      </w:r>
      <w:r w:rsidR="00474998" w:rsidRPr="004C12C9">
        <w:t>.</w:t>
      </w:r>
    </w:p>
    <w:p w14:paraId="7C536AE0" w14:textId="1DBBEB27" w:rsidR="00474998" w:rsidRPr="004C12C9" w:rsidRDefault="00474998" w:rsidP="00474998">
      <w:pPr>
        <w:pStyle w:val="Caption"/>
      </w:pPr>
      <w:bookmarkStart w:id="347" w:name="_Ref195879700"/>
      <w:r w:rsidRPr="004C12C9">
        <w:t>Table D-</w:t>
      </w:r>
      <w:r w:rsidR="006658B4">
        <w:fldChar w:fldCharType="begin"/>
      </w:r>
      <w:r w:rsidR="006658B4">
        <w:instrText xml:space="preserve"> SEQ Table_D- \* ARABIC </w:instrText>
      </w:r>
      <w:r w:rsidR="006658B4">
        <w:fldChar w:fldCharType="separate"/>
      </w:r>
      <w:r w:rsidR="006658B4" w:rsidRPr="004C12C9">
        <w:t>15</w:t>
      </w:r>
      <w:r w:rsidR="006658B4">
        <w:fldChar w:fldCharType="end"/>
      </w:r>
      <w:bookmarkEnd w:id="347"/>
      <w:r w:rsidRPr="004C12C9">
        <w:t>. User Inputs for On-Road Vehicles</w:t>
      </w:r>
    </w:p>
    <w:tbl>
      <w:tblPr>
        <w:tblStyle w:val="TableGridLight"/>
        <w:tblW w:w="0" w:type="auto"/>
        <w:tblLook w:val="04A0" w:firstRow="1" w:lastRow="0" w:firstColumn="1" w:lastColumn="0" w:noHBand="0" w:noVBand="1"/>
      </w:tblPr>
      <w:tblGrid>
        <w:gridCol w:w="1525"/>
        <w:gridCol w:w="1350"/>
        <w:gridCol w:w="2520"/>
        <w:gridCol w:w="1980"/>
        <w:gridCol w:w="1975"/>
      </w:tblGrid>
      <w:tr w:rsidR="002A0002" w:rsidRPr="004C12C9" w14:paraId="42C5119B" w14:textId="77777777" w:rsidTr="000B62B2">
        <w:trPr>
          <w:trHeight w:val="70"/>
        </w:trPr>
        <w:tc>
          <w:tcPr>
            <w:tcW w:w="1525" w:type="dxa"/>
            <w:shd w:val="clear" w:color="auto" w:fill="D9D9D9" w:themeFill="background1" w:themeFillShade="D9"/>
            <w:vAlign w:val="center"/>
          </w:tcPr>
          <w:p w14:paraId="3F9EB2CD" w14:textId="402ED37B"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50" w:type="dxa"/>
            <w:shd w:val="clear" w:color="auto" w:fill="D9D9D9" w:themeFill="background1" w:themeFillShade="D9"/>
            <w:vAlign w:val="center"/>
          </w:tcPr>
          <w:p w14:paraId="463E27C8" w14:textId="5F73DB37"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20" w:type="dxa"/>
            <w:shd w:val="clear" w:color="auto" w:fill="D9D9D9" w:themeFill="background1" w:themeFillShade="D9"/>
            <w:vAlign w:val="center"/>
          </w:tcPr>
          <w:p w14:paraId="5988FE2B" w14:textId="7AADBC65"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3FFB7F69" w14:textId="762172B6" w:rsidR="00EE4EC7" w:rsidRPr="004C12C9" w:rsidRDefault="00EE4EC7" w:rsidP="0077773D">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778BA1A4" w14:textId="7C3AB26A"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2768" w:rsidRPr="004C12C9" w14:paraId="3FB5ECDF" w14:textId="77777777" w:rsidTr="000B62B2">
        <w:tc>
          <w:tcPr>
            <w:tcW w:w="1525" w:type="dxa"/>
            <w:vAlign w:val="center"/>
          </w:tcPr>
          <w:p w14:paraId="1D41390F" w14:textId="7F8FCFA7" w:rsidR="00B92768" w:rsidRPr="004C12C9" w:rsidRDefault="00691F96" w:rsidP="00425B91">
            <w:pPr>
              <w:pStyle w:val="ICFTabletext"/>
              <w:rPr>
                <w:rFonts w:ascii="Calibri" w:eastAsia="Times New Roman" w:hAnsi="Calibri" w:cs="Times New Roman"/>
                <w:sz w:val="20"/>
                <w:lang w:eastAsia="en-US" w:bidi="en-US"/>
              </w:rPr>
            </w:pPr>
            <w:r w:rsidRPr="004C12C9">
              <w:rPr>
                <w:sz w:val="20"/>
              </w:rPr>
              <w:t xml:space="preserve">Additional </w:t>
            </w:r>
            <w:r w:rsidR="00A707C1" w:rsidRPr="004C12C9">
              <w:rPr>
                <w:sz w:val="20"/>
              </w:rPr>
              <w:t>VMT</w:t>
            </w:r>
            <w:r w:rsidRPr="004C12C9">
              <w:rPr>
                <w:sz w:val="20"/>
              </w:rPr>
              <w:t xml:space="preserve"> by speed bin </w:t>
            </w:r>
          </w:p>
        </w:tc>
        <w:tc>
          <w:tcPr>
            <w:tcW w:w="1350" w:type="dxa"/>
            <w:vAlign w:val="center"/>
          </w:tcPr>
          <w:p w14:paraId="6A36AE71" w14:textId="0B287B63" w:rsidR="00B92768" w:rsidRPr="004C12C9" w:rsidRDefault="00D4138C" w:rsidP="00425B91">
            <w:pPr>
              <w:pStyle w:val="ICFTabletext"/>
              <w:rPr>
                <w:rFonts w:ascii="Calibri" w:eastAsia="Times New Roman" w:hAnsi="Calibri" w:cs="Times New Roman"/>
                <w:sz w:val="20"/>
                <w:lang w:eastAsia="en-US" w:bidi="en-US"/>
              </w:rPr>
            </w:pPr>
            <w:r w:rsidRPr="004C12C9">
              <w:rPr>
                <w:sz w:val="20"/>
              </w:rPr>
              <w:t>Decimal number</w:t>
            </w:r>
          </w:p>
        </w:tc>
        <w:tc>
          <w:tcPr>
            <w:tcW w:w="2520" w:type="dxa"/>
            <w:vAlign w:val="center"/>
          </w:tcPr>
          <w:p w14:paraId="4ECF1584" w14:textId="47CCCCBD" w:rsidR="00B92768" w:rsidRPr="004C12C9" w:rsidRDefault="00D4138C" w:rsidP="00425B91">
            <w:pPr>
              <w:pStyle w:val="ICFTabletext"/>
              <w:rPr>
                <w:rFonts w:ascii="Calibri" w:eastAsia="Times New Roman" w:hAnsi="Calibri" w:cs="Times New Roman"/>
                <w:sz w:val="20"/>
                <w:lang w:eastAsia="en-US" w:bidi="en-US"/>
              </w:rPr>
            </w:pPr>
            <w:r w:rsidRPr="004C12C9">
              <w:rPr>
                <w:sz w:val="20"/>
              </w:rPr>
              <w:t xml:space="preserve">Must be a decimal number </w:t>
            </w:r>
            <w:r w:rsidR="008403EE" w:rsidRPr="004C12C9">
              <w:rPr>
                <w:sz w:val="20"/>
              </w:rPr>
              <w:t xml:space="preserve">equal to or </w:t>
            </w:r>
            <w:r w:rsidRPr="004C12C9">
              <w:rPr>
                <w:sz w:val="20"/>
              </w:rPr>
              <w:t xml:space="preserve">greater than 0. </w:t>
            </w:r>
            <w:r w:rsidR="00561BD5" w:rsidRPr="004C12C9">
              <w:rPr>
                <w:sz w:val="20"/>
                <w:lang w:bidi="en-US"/>
              </w:rPr>
              <w:t xml:space="preserve">Red checker appears if </w:t>
            </w:r>
            <w:r w:rsidR="00561BD5" w:rsidRPr="004C12C9">
              <w:rPr>
                <w:rFonts w:ascii="Calibri" w:eastAsia="Times New Roman" w:hAnsi="Calibri" w:cs="Times New Roman"/>
                <w:sz w:val="20"/>
                <w:lang w:eastAsia="en-US" w:bidi="en-US"/>
              </w:rPr>
              <w:t>the sum of all inputs equals 0</w:t>
            </w:r>
            <w:r w:rsidR="00561BD5" w:rsidRPr="004C12C9">
              <w:rPr>
                <w:sz w:val="20"/>
                <w:lang w:bidi="en-US"/>
              </w:rPr>
              <w:t xml:space="preserve">. For individual </w:t>
            </w:r>
            <w:r w:rsidR="00425B91" w:rsidRPr="004C12C9">
              <w:rPr>
                <w:sz w:val="20"/>
                <w:lang w:bidi="en-US"/>
              </w:rPr>
              <w:t>speed bins</w:t>
            </w:r>
            <w:r w:rsidR="00561BD5" w:rsidRPr="004C12C9">
              <w:rPr>
                <w:sz w:val="20"/>
                <w:lang w:bidi="en-US"/>
              </w:rPr>
              <w:t>, users can leave the quantity blank or 0.</w:t>
            </w:r>
          </w:p>
        </w:tc>
        <w:tc>
          <w:tcPr>
            <w:tcW w:w="1980" w:type="dxa"/>
            <w:vAlign w:val="center"/>
          </w:tcPr>
          <w:p w14:paraId="0C82FAEC" w14:textId="3C08C0C6" w:rsidR="00550525" w:rsidRPr="004C12C9" w:rsidRDefault="002F487D" w:rsidP="00425B91">
            <w:pPr>
              <w:pStyle w:val="ICFTabletext"/>
              <w:rPr>
                <w:rFonts w:ascii="Calibri" w:eastAsia="Times New Roman" w:hAnsi="Calibri" w:cs="Times New Roman"/>
                <w:sz w:val="20"/>
                <w:lang w:eastAsia="en-US" w:bidi="en-US"/>
              </w:rPr>
            </w:pPr>
            <w:r w:rsidRPr="004C12C9">
              <w:rPr>
                <w:sz w:val="20"/>
              </w:rPr>
              <w:t>NA</w:t>
            </w:r>
          </w:p>
        </w:tc>
        <w:tc>
          <w:tcPr>
            <w:tcW w:w="1975" w:type="dxa"/>
            <w:vAlign w:val="center"/>
          </w:tcPr>
          <w:p w14:paraId="79795B71" w14:textId="3F1A7EE2" w:rsidR="00B92768" w:rsidRPr="004C12C9" w:rsidRDefault="00335D90" w:rsidP="00425B91">
            <w:pPr>
              <w:pStyle w:val="ICFTabletext"/>
              <w:rPr>
                <w:rFonts w:ascii="Calibri" w:eastAsia="Times New Roman" w:hAnsi="Calibri" w:cs="Times New Roman"/>
                <w:sz w:val="20"/>
                <w:lang w:eastAsia="en-US" w:bidi="en-US"/>
              </w:rPr>
            </w:pPr>
            <w:r w:rsidRPr="004C12C9">
              <w:rPr>
                <w:sz w:val="20"/>
              </w:rPr>
              <w:t>Additional VMT each year as a result of the project. Users may enter additional VMT for the fleet average and by speed bin, if known.</w:t>
            </w:r>
          </w:p>
        </w:tc>
      </w:tr>
    </w:tbl>
    <w:p w14:paraId="138365EC" w14:textId="25187FB4" w:rsidR="00B92768" w:rsidRPr="004C12C9" w:rsidRDefault="00434CA6" w:rsidP="00474998">
      <w:r w:rsidRPr="004C12C9">
        <w:rPr>
          <w:b/>
          <w:bCs/>
        </w:rPr>
        <w:t>Treatment of Waste On-Site:</w:t>
      </w:r>
      <w:r w:rsidRPr="004C12C9">
        <w:t xml:space="preserve"> </w:t>
      </w:r>
      <w:r w:rsidR="00B92768" w:rsidRPr="004C12C9">
        <w:t xml:space="preserve">If </w:t>
      </w:r>
      <w:r w:rsidR="00FB3411" w:rsidRPr="004C12C9">
        <w:t xml:space="preserve">treatment of waste </w:t>
      </w:r>
      <w:r w:rsidR="00B92768" w:rsidRPr="004C12C9">
        <w:t>on-</w:t>
      </w:r>
      <w:r w:rsidR="00FB3411" w:rsidRPr="004C12C9">
        <w:t>site is</w:t>
      </w:r>
      <w:r w:rsidR="00B92768" w:rsidRPr="004C12C9">
        <w:t xml:space="preserve"> applicable to the project, </w:t>
      </w:r>
      <w:r w:rsidR="00ED412D" w:rsidRPr="004C12C9">
        <w:t xml:space="preserve">a user is required to enter the inputs </w:t>
      </w:r>
      <w:r w:rsidR="008108D5" w:rsidRPr="004C12C9">
        <w:t>described</w:t>
      </w:r>
      <w:r w:rsidR="00ED412D" w:rsidRPr="004C12C9">
        <w:t xml:space="preserve"> in </w:t>
      </w:r>
      <w:r w:rsidR="00474998" w:rsidRPr="004C12C9">
        <w:fldChar w:fldCharType="begin" w:fldLock="1"/>
      </w:r>
      <w:r w:rsidR="00474998" w:rsidRPr="004C12C9">
        <w:instrText xml:space="preserve"> REF _Ref195879713 \h </w:instrText>
      </w:r>
      <w:r w:rsidR="00474998" w:rsidRPr="004C12C9">
        <w:fldChar w:fldCharType="separate"/>
      </w:r>
      <w:r w:rsidR="006658B4" w:rsidRPr="004C12C9">
        <w:t>Table D-16</w:t>
      </w:r>
      <w:r w:rsidR="00474998" w:rsidRPr="004C12C9">
        <w:fldChar w:fldCharType="end"/>
      </w:r>
      <w:r w:rsidR="00474998" w:rsidRPr="004C12C9">
        <w:t>.</w:t>
      </w:r>
    </w:p>
    <w:p w14:paraId="6D882603" w14:textId="1CBDD09C" w:rsidR="00474998" w:rsidRPr="004C12C9" w:rsidRDefault="00474998" w:rsidP="00474998">
      <w:pPr>
        <w:pStyle w:val="Caption"/>
      </w:pPr>
      <w:bookmarkStart w:id="348" w:name="_Ref195879713"/>
      <w:r w:rsidRPr="004C12C9">
        <w:t>Table D-</w:t>
      </w:r>
      <w:r w:rsidR="006658B4">
        <w:fldChar w:fldCharType="begin"/>
      </w:r>
      <w:r w:rsidR="006658B4">
        <w:instrText xml:space="preserve"> SEQ Table_D- \* ARABIC </w:instrText>
      </w:r>
      <w:r w:rsidR="006658B4">
        <w:fldChar w:fldCharType="separate"/>
      </w:r>
      <w:r w:rsidR="006658B4" w:rsidRPr="004C12C9">
        <w:t>16</w:t>
      </w:r>
      <w:r w:rsidR="006658B4">
        <w:fldChar w:fldCharType="end"/>
      </w:r>
      <w:bookmarkEnd w:id="348"/>
      <w:r w:rsidRPr="004C12C9">
        <w:t>. User Inputs for Treatment of Waste On-Site</w:t>
      </w:r>
    </w:p>
    <w:tbl>
      <w:tblPr>
        <w:tblStyle w:val="TableGridLight"/>
        <w:tblW w:w="0" w:type="auto"/>
        <w:tblLook w:val="04A0" w:firstRow="1" w:lastRow="0" w:firstColumn="1" w:lastColumn="0" w:noHBand="0" w:noVBand="1"/>
      </w:tblPr>
      <w:tblGrid>
        <w:gridCol w:w="1525"/>
        <w:gridCol w:w="1440"/>
        <w:gridCol w:w="2430"/>
        <w:gridCol w:w="1980"/>
        <w:gridCol w:w="1975"/>
      </w:tblGrid>
      <w:tr w:rsidR="002A0002" w:rsidRPr="004C12C9" w14:paraId="5E9C1EC4" w14:textId="77777777" w:rsidTr="00002BE3">
        <w:trPr>
          <w:cantSplit/>
          <w:trHeight w:val="70"/>
          <w:tblHeader/>
        </w:trPr>
        <w:tc>
          <w:tcPr>
            <w:tcW w:w="1525" w:type="dxa"/>
            <w:shd w:val="clear" w:color="auto" w:fill="D9D9D9" w:themeFill="background1" w:themeFillShade="D9"/>
            <w:vAlign w:val="center"/>
          </w:tcPr>
          <w:p w14:paraId="32E9C8A8" w14:textId="2649B8F3"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440" w:type="dxa"/>
            <w:shd w:val="clear" w:color="auto" w:fill="D9D9D9" w:themeFill="background1" w:themeFillShade="D9"/>
            <w:vAlign w:val="center"/>
          </w:tcPr>
          <w:p w14:paraId="4DC3AF2B" w14:textId="7549069C"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30" w:type="dxa"/>
            <w:shd w:val="clear" w:color="auto" w:fill="D9D9D9" w:themeFill="background1" w:themeFillShade="D9"/>
            <w:vAlign w:val="center"/>
          </w:tcPr>
          <w:p w14:paraId="6723F22A" w14:textId="0D8F81B1"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24AE5BA9" w14:textId="556F0FE2" w:rsidR="00EE4EC7" w:rsidRPr="004C12C9" w:rsidRDefault="00EE4EC7" w:rsidP="0077773D">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690E2486" w14:textId="20C12DDD"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2768" w:rsidRPr="004C12C9" w14:paraId="1FA27DDD" w14:textId="77777777" w:rsidTr="00002BE3">
        <w:trPr>
          <w:cantSplit/>
        </w:trPr>
        <w:tc>
          <w:tcPr>
            <w:tcW w:w="1525" w:type="dxa"/>
          </w:tcPr>
          <w:p w14:paraId="2655293C" w14:textId="65A3A66F" w:rsidR="00B92768" w:rsidRPr="004C12C9" w:rsidRDefault="00335D90" w:rsidP="0077773D">
            <w:pPr>
              <w:pStyle w:val="ICFTabletext"/>
              <w:rPr>
                <w:rFonts w:ascii="Calibri" w:eastAsia="Times New Roman" w:hAnsi="Calibri" w:cs="Times New Roman"/>
                <w:sz w:val="20"/>
                <w:lang w:eastAsia="en-US" w:bidi="en-US"/>
              </w:rPr>
            </w:pPr>
            <w:r w:rsidRPr="004C12C9">
              <w:rPr>
                <w:sz w:val="20"/>
              </w:rPr>
              <w:t>Waste Treatment Practice</w:t>
            </w:r>
          </w:p>
        </w:tc>
        <w:tc>
          <w:tcPr>
            <w:tcW w:w="1440" w:type="dxa"/>
          </w:tcPr>
          <w:p w14:paraId="2C1BA915" w14:textId="1ECEBF86" w:rsidR="00B92768" w:rsidRPr="004C12C9" w:rsidRDefault="00335D90" w:rsidP="0077773D">
            <w:pPr>
              <w:pStyle w:val="ICFTabletext"/>
              <w:rPr>
                <w:rFonts w:ascii="Calibri" w:eastAsia="Times New Roman" w:hAnsi="Calibri" w:cs="Times New Roman"/>
                <w:sz w:val="20"/>
                <w:lang w:eastAsia="en-US" w:bidi="en-US"/>
              </w:rPr>
            </w:pPr>
            <w:r w:rsidRPr="004C12C9">
              <w:rPr>
                <w:sz w:val="20"/>
              </w:rPr>
              <w:t>Drop-down selection</w:t>
            </w:r>
          </w:p>
        </w:tc>
        <w:tc>
          <w:tcPr>
            <w:tcW w:w="2430" w:type="dxa"/>
          </w:tcPr>
          <w:p w14:paraId="3C324CA4" w14:textId="14398846" w:rsidR="00B92768" w:rsidRPr="004C12C9" w:rsidRDefault="0023226B" w:rsidP="0077773D">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Must match value from drop-down list. </w:t>
            </w:r>
            <w:r w:rsidR="00C96C81" w:rsidRPr="004C12C9">
              <w:rPr>
                <w:sz w:val="20"/>
              </w:rPr>
              <w:t>Red checker will appear if no practices are selected</w:t>
            </w:r>
            <w:r w:rsidR="00E21433" w:rsidRPr="004C12C9">
              <w:rPr>
                <w:sz w:val="20"/>
              </w:rPr>
              <w:t>.</w:t>
            </w:r>
          </w:p>
        </w:tc>
        <w:tc>
          <w:tcPr>
            <w:tcW w:w="1980" w:type="dxa"/>
          </w:tcPr>
          <w:p w14:paraId="5D3A030E" w14:textId="23833686" w:rsidR="00550525" w:rsidRPr="004C12C9" w:rsidRDefault="002F487D" w:rsidP="0077773D">
            <w:pPr>
              <w:pStyle w:val="ICFTabletext"/>
              <w:rPr>
                <w:rFonts w:ascii="Calibri" w:eastAsia="Times New Roman" w:hAnsi="Calibri" w:cs="Times New Roman"/>
                <w:sz w:val="20"/>
                <w:lang w:eastAsia="en-US" w:bidi="en-US"/>
              </w:rPr>
            </w:pPr>
            <w:r w:rsidRPr="004C12C9">
              <w:rPr>
                <w:sz w:val="20"/>
              </w:rPr>
              <w:t>NA</w:t>
            </w:r>
          </w:p>
        </w:tc>
        <w:tc>
          <w:tcPr>
            <w:tcW w:w="1975" w:type="dxa"/>
          </w:tcPr>
          <w:p w14:paraId="70B30A63" w14:textId="4B037D29" w:rsidR="00B92768" w:rsidRPr="004C12C9" w:rsidRDefault="002A4685" w:rsidP="0077773D">
            <w:pPr>
              <w:pStyle w:val="ICFTabletext"/>
              <w:rPr>
                <w:rFonts w:ascii="Calibri" w:eastAsia="Times New Roman" w:hAnsi="Calibri" w:cs="Times New Roman"/>
                <w:sz w:val="20"/>
                <w:lang w:eastAsia="en-US" w:bidi="en-US"/>
              </w:rPr>
            </w:pPr>
            <w:r w:rsidRPr="004C12C9">
              <w:rPr>
                <w:sz w:val="20"/>
              </w:rPr>
              <w:t>The type of w</w:t>
            </w:r>
            <w:r w:rsidR="00E246AB" w:rsidRPr="004C12C9">
              <w:rPr>
                <w:sz w:val="20"/>
              </w:rPr>
              <w:t>aste treatment practice</w:t>
            </w:r>
            <w:r w:rsidRPr="004C12C9">
              <w:rPr>
                <w:sz w:val="20"/>
              </w:rPr>
              <w:t xml:space="preserve"> used</w:t>
            </w:r>
            <w:r w:rsidR="00E246AB" w:rsidRPr="004C12C9">
              <w:rPr>
                <w:sz w:val="20"/>
              </w:rPr>
              <w:t xml:space="preserve"> </w:t>
            </w:r>
            <w:r w:rsidR="00B64DD2" w:rsidRPr="004C12C9">
              <w:rPr>
                <w:sz w:val="20"/>
              </w:rPr>
              <w:t>by the project</w:t>
            </w:r>
            <w:r w:rsidR="00E246AB" w:rsidRPr="004C12C9">
              <w:rPr>
                <w:sz w:val="20"/>
              </w:rPr>
              <w:t>.</w:t>
            </w:r>
            <w:r w:rsidR="00987302" w:rsidRPr="004C12C9">
              <w:rPr>
                <w:sz w:val="20"/>
              </w:rPr>
              <w:t xml:space="preserve"> Up to three practices may be selected.</w:t>
            </w:r>
          </w:p>
        </w:tc>
      </w:tr>
      <w:tr w:rsidR="00335D90" w:rsidRPr="004C12C9" w14:paraId="7A41E8C7" w14:textId="77777777" w:rsidTr="00002BE3">
        <w:trPr>
          <w:cantSplit/>
        </w:trPr>
        <w:tc>
          <w:tcPr>
            <w:tcW w:w="1525" w:type="dxa"/>
          </w:tcPr>
          <w:p w14:paraId="3C054A02" w14:textId="0E5117AB" w:rsidR="00335D90" w:rsidRPr="004C12C9" w:rsidRDefault="00335D90" w:rsidP="0077773D">
            <w:pPr>
              <w:pStyle w:val="ICFTabletext"/>
              <w:rPr>
                <w:rFonts w:ascii="Calibri" w:eastAsia="Times New Roman" w:hAnsi="Calibri" w:cs="Times New Roman"/>
                <w:sz w:val="20"/>
                <w:lang w:eastAsia="en-US" w:bidi="en-US"/>
              </w:rPr>
            </w:pPr>
            <w:r w:rsidRPr="004C12C9">
              <w:rPr>
                <w:sz w:val="20"/>
              </w:rPr>
              <w:t>Quantity of Waste Treated</w:t>
            </w:r>
          </w:p>
        </w:tc>
        <w:tc>
          <w:tcPr>
            <w:tcW w:w="1440" w:type="dxa"/>
          </w:tcPr>
          <w:p w14:paraId="31F4FE87" w14:textId="6E29CCE1" w:rsidR="00335D90" w:rsidRPr="004C12C9" w:rsidRDefault="00E53EDB" w:rsidP="0077773D">
            <w:pPr>
              <w:pStyle w:val="ICFTabletext"/>
              <w:rPr>
                <w:rFonts w:ascii="Calibri" w:eastAsia="Times New Roman" w:hAnsi="Calibri" w:cs="Times New Roman"/>
                <w:sz w:val="20"/>
                <w:lang w:eastAsia="en-US" w:bidi="en-US"/>
              </w:rPr>
            </w:pPr>
            <w:r w:rsidRPr="004C12C9">
              <w:rPr>
                <w:sz w:val="20"/>
              </w:rPr>
              <w:t>Decimal number</w:t>
            </w:r>
          </w:p>
        </w:tc>
        <w:tc>
          <w:tcPr>
            <w:tcW w:w="2430" w:type="dxa"/>
          </w:tcPr>
          <w:p w14:paraId="1ED545AE" w14:textId="6787CC3E" w:rsidR="00335D90" w:rsidRPr="004C12C9" w:rsidRDefault="00E53EDB" w:rsidP="0077773D">
            <w:pPr>
              <w:pStyle w:val="ICFTabletext"/>
              <w:rPr>
                <w:rFonts w:ascii="Calibri" w:eastAsia="Times New Roman" w:hAnsi="Calibri" w:cs="Times New Roman"/>
                <w:sz w:val="20"/>
                <w:lang w:eastAsia="en-US" w:bidi="en-US"/>
              </w:rPr>
            </w:pPr>
            <w:r w:rsidRPr="004C12C9">
              <w:rPr>
                <w:sz w:val="20"/>
              </w:rPr>
              <w:t>Must be a decimal number greater than 0. Red checkers will appear if no</w:t>
            </w:r>
            <w:r w:rsidR="00E246AB" w:rsidRPr="004C12C9">
              <w:rPr>
                <w:sz w:val="20"/>
              </w:rPr>
              <w:t xml:space="preserve"> quantities</w:t>
            </w:r>
            <w:r w:rsidRPr="004C12C9">
              <w:rPr>
                <w:sz w:val="20"/>
              </w:rPr>
              <w:t xml:space="preserve"> are provided</w:t>
            </w:r>
            <w:r w:rsidR="00E246AB" w:rsidRPr="004C12C9">
              <w:rPr>
                <w:sz w:val="20"/>
              </w:rPr>
              <w:t xml:space="preserve"> and if </w:t>
            </w:r>
            <w:r w:rsidR="00874CCA" w:rsidRPr="004C12C9">
              <w:rPr>
                <w:sz w:val="20"/>
              </w:rPr>
              <w:t>a selected waste treatment practice is missing a quantity input</w:t>
            </w:r>
            <w:r w:rsidRPr="004C12C9">
              <w:rPr>
                <w:sz w:val="20"/>
              </w:rPr>
              <w:t>.</w:t>
            </w:r>
          </w:p>
        </w:tc>
        <w:tc>
          <w:tcPr>
            <w:tcW w:w="1980" w:type="dxa"/>
          </w:tcPr>
          <w:p w14:paraId="76DEE65F" w14:textId="54083279" w:rsidR="00335D90" w:rsidRPr="004C12C9" w:rsidRDefault="00DC79E3" w:rsidP="0077773D">
            <w:pPr>
              <w:pStyle w:val="ICFTabletext"/>
              <w:rPr>
                <w:rFonts w:ascii="Calibri" w:eastAsia="Times New Roman" w:hAnsi="Calibri" w:cs="Times New Roman"/>
                <w:sz w:val="20"/>
                <w:lang w:eastAsia="en-US" w:bidi="en-US"/>
              </w:rPr>
            </w:pPr>
            <w:r w:rsidRPr="004C12C9">
              <w:rPr>
                <w:sz w:val="20"/>
              </w:rPr>
              <w:t>NA</w:t>
            </w:r>
          </w:p>
        </w:tc>
        <w:tc>
          <w:tcPr>
            <w:tcW w:w="1975" w:type="dxa"/>
          </w:tcPr>
          <w:p w14:paraId="6038B343" w14:textId="17B22CAD" w:rsidR="00335D90" w:rsidRPr="004C12C9" w:rsidRDefault="0067130C" w:rsidP="0077773D">
            <w:pPr>
              <w:pStyle w:val="ICFTabletext"/>
              <w:rPr>
                <w:rFonts w:ascii="Calibri" w:eastAsia="Times New Roman" w:hAnsi="Calibri" w:cs="Times New Roman"/>
                <w:sz w:val="20"/>
                <w:lang w:eastAsia="en-US" w:bidi="en-US"/>
              </w:rPr>
            </w:pPr>
            <w:r w:rsidRPr="004C12C9">
              <w:rPr>
                <w:sz w:val="20"/>
              </w:rPr>
              <w:t>Amount of waste the project is anticipated to treat on-site in short tons per year.</w:t>
            </w:r>
          </w:p>
        </w:tc>
      </w:tr>
    </w:tbl>
    <w:p w14:paraId="5790338D" w14:textId="1170C6C4" w:rsidR="00FB3411" w:rsidRPr="004C12C9" w:rsidRDefault="00D61CD5" w:rsidP="00D633FE">
      <w:r w:rsidRPr="004C12C9">
        <w:rPr>
          <w:b/>
          <w:bCs/>
        </w:rPr>
        <w:t>Treatment of Wastewater On-Site:</w:t>
      </w:r>
      <w:r w:rsidRPr="004C12C9">
        <w:t xml:space="preserve"> </w:t>
      </w:r>
      <w:r w:rsidR="00FB3411" w:rsidRPr="004C12C9">
        <w:t xml:space="preserve">If treatment of wastewater on-site is applicable to the project, </w:t>
      </w:r>
      <w:r w:rsidR="00ED412D" w:rsidRPr="004C12C9">
        <w:t xml:space="preserve">a user is required to enter the inputs </w:t>
      </w:r>
      <w:r w:rsidR="008108D5" w:rsidRPr="004C12C9">
        <w:t xml:space="preserve">described </w:t>
      </w:r>
      <w:r w:rsidR="00ED412D" w:rsidRPr="004C12C9">
        <w:t xml:space="preserve">in </w:t>
      </w:r>
      <w:r w:rsidR="00493464" w:rsidRPr="004C12C9">
        <w:fldChar w:fldCharType="begin" w:fldLock="1"/>
      </w:r>
      <w:r w:rsidR="00493464" w:rsidRPr="004C12C9">
        <w:instrText xml:space="preserve"> REF _Ref195880093 \h </w:instrText>
      </w:r>
      <w:r w:rsidR="00493464" w:rsidRPr="004C12C9">
        <w:fldChar w:fldCharType="separate"/>
      </w:r>
      <w:r w:rsidR="006658B4" w:rsidRPr="004C12C9">
        <w:t>Table D-17</w:t>
      </w:r>
      <w:r w:rsidR="00493464" w:rsidRPr="004C12C9">
        <w:fldChar w:fldCharType="end"/>
      </w:r>
      <w:r w:rsidR="006B416F" w:rsidRPr="004C12C9">
        <w:t>.</w:t>
      </w:r>
      <w:r w:rsidR="005F62CD" w:rsidRPr="004C12C9">
        <w:t xml:space="preserve"> Only inputs for municipal wastewater treatment of industrial wastewater treatment is required. </w:t>
      </w:r>
    </w:p>
    <w:p w14:paraId="5C4F6CF0" w14:textId="76DF478B" w:rsidR="00474998" w:rsidRPr="004C12C9" w:rsidRDefault="00474998" w:rsidP="003B1CEC">
      <w:pPr>
        <w:pStyle w:val="Caption"/>
      </w:pPr>
      <w:bookmarkStart w:id="349" w:name="_Ref195880093"/>
      <w:r w:rsidRPr="004C12C9">
        <w:t>Table D-</w:t>
      </w:r>
      <w:r w:rsidR="006658B4">
        <w:fldChar w:fldCharType="begin"/>
      </w:r>
      <w:r w:rsidR="006658B4">
        <w:instrText xml:space="preserve"> SEQ Table_D- \* ARABIC </w:instrText>
      </w:r>
      <w:r w:rsidR="006658B4">
        <w:fldChar w:fldCharType="separate"/>
      </w:r>
      <w:r w:rsidR="006658B4" w:rsidRPr="004C12C9">
        <w:t>17</w:t>
      </w:r>
      <w:r w:rsidR="006658B4">
        <w:fldChar w:fldCharType="end"/>
      </w:r>
      <w:bookmarkEnd w:id="349"/>
      <w:r w:rsidRPr="004C12C9">
        <w:t>. User Inputs for Treatment of Wastewater On-Site</w:t>
      </w:r>
    </w:p>
    <w:tbl>
      <w:tblPr>
        <w:tblStyle w:val="TableGridLight"/>
        <w:tblW w:w="0" w:type="auto"/>
        <w:tblLook w:val="04A0" w:firstRow="1" w:lastRow="0" w:firstColumn="1" w:lastColumn="0" w:noHBand="0" w:noVBand="1"/>
      </w:tblPr>
      <w:tblGrid>
        <w:gridCol w:w="1606"/>
        <w:gridCol w:w="1417"/>
        <w:gridCol w:w="2282"/>
        <w:gridCol w:w="2070"/>
        <w:gridCol w:w="1975"/>
      </w:tblGrid>
      <w:tr w:rsidR="002A0002" w:rsidRPr="004C12C9" w14:paraId="4022E306" w14:textId="77777777" w:rsidTr="00B23DE5">
        <w:trPr>
          <w:cantSplit/>
          <w:trHeight w:val="70"/>
          <w:tblHeader/>
        </w:trPr>
        <w:tc>
          <w:tcPr>
            <w:tcW w:w="1606" w:type="dxa"/>
            <w:shd w:val="clear" w:color="auto" w:fill="D9D9D9" w:themeFill="background1" w:themeFillShade="D9"/>
            <w:vAlign w:val="center"/>
          </w:tcPr>
          <w:p w14:paraId="4609A028" w14:textId="6CF24FCD" w:rsidR="00EE4EC7" w:rsidRPr="004C12C9" w:rsidRDefault="00EE4EC7" w:rsidP="003B1CE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417" w:type="dxa"/>
            <w:shd w:val="clear" w:color="auto" w:fill="D9D9D9" w:themeFill="background1" w:themeFillShade="D9"/>
            <w:vAlign w:val="center"/>
          </w:tcPr>
          <w:p w14:paraId="7A51E8C8" w14:textId="26EC6A2E" w:rsidR="00EE4EC7" w:rsidRPr="004C12C9" w:rsidRDefault="00EE4EC7" w:rsidP="003B1CE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282" w:type="dxa"/>
            <w:shd w:val="clear" w:color="auto" w:fill="D9D9D9" w:themeFill="background1" w:themeFillShade="D9"/>
            <w:vAlign w:val="center"/>
          </w:tcPr>
          <w:p w14:paraId="335C4116" w14:textId="0A896AC4" w:rsidR="00EE4EC7" w:rsidRPr="004C12C9" w:rsidRDefault="00EE4EC7" w:rsidP="003B1CE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70" w:type="dxa"/>
            <w:shd w:val="clear" w:color="auto" w:fill="D9D9D9" w:themeFill="background1" w:themeFillShade="D9"/>
            <w:vAlign w:val="center"/>
          </w:tcPr>
          <w:p w14:paraId="4A48D766" w14:textId="54D1A3D0" w:rsidR="00EE4EC7" w:rsidRPr="004C12C9" w:rsidRDefault="00EE4EC7" w:rsidP="003B1CE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7539A95A" w14:textId="09864EC3" w:rsidR="00EE4EC7" w:rsidRPr="004C12C9" w:rsidRDefault="00EE4EC7" w:rsidP="003B1CE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64DD2" w:rsidRPr="004C12C9" w14:paraId="17227924" w14:textId="77777777" w:rsidTr="00B23DE5">
        <w:trPr>
          <w:cantSplit/>
        </w:trPr>
        <w:tc>
          <w:tcPr>
            <w:tcW w:w="1606" w:type="dxa"/>
          </w:tcPr>
          <w:p w14:paraId="156C2470" w14:textId="151AFE41" w:rsidR="00B64DD2" w:rsidRPr="004C12C9" w:rsidRDefault="00B64DD2" w:rsidP="00B64DD2">
            <w:pPr>
              <w:pStyle w:val="ICFTabletext"/>
              <w:rPr>
                <w:rFonts w:ascii="Calibri" w:eastAsia="Times New Roman" w:hAnsi="Calibri" w:cs="Times New Roman"/>
                <w:sz w:val="20"/>
                <w:lang w:eastAsia="en-US" w:bidi="en-US"/>
              </w:rPr>
            </w:pPr>
            <w:r w:rsidRPr="004C12C9">
              <w:rPr>
                <w:sz w:val="20"/>
              </w:rPr>
              <w:t>Population served by treatment plant</w:t>
            </w:r>
          </w:p>
        </w:tc>
        <w:tc>
          <w:tcPr>
            <w:tcW w:w="1417" w:type="dxa"/>
          </w:tcPr>
          <w:p w14:paraId="70BEAC8F" w14:textId="3E71B121" w:rsidR="00B64DD2" w:rsidRPr="004C12C9" w:rsidRDefault="00B64DD2" w:rsidP="00B64DD2">
            <w:pPr>
              <w:pStyle w:val="ICFTabletext"/>
              <w:rPr>
                <w:rFonts w:ascii="Calibri" w:eastAsia="Times New Roman" w:hAnsi="Calibri" w:cs="Times New Roman"/>
                <w:sz w:val="20"/>
                <w:lang w:eastAsia="en-US" w:bidi="en-US"/>
              </w:rPr>
            </w:pPr>
            <w:r w:rsidRPr="004C12C9">
              <w:rPr>
                <w:sz w:val="20"/>
              </w:rPr>
              <w:t>Whole number</w:t>
            </w:r>
          </w:p>
        </w:tc>
        <w:tc>
          <w:tcPr>
            <w:tcW w:w="2282" w:type="dxa"/>
          </w:tcPr>
          <w:p w14:paraId="5DEEDBEA" w14:textId="589011FE" w:rsidR="00B64DD2" w:rsidRPr="004C12C9" w:rsidRDefault="00B64DD2" w:rsidP="00B64DD2">
            <w:pPr>
              <w:pStyle w:val="ICFTabletext"/>
              <w:rPr>
                <w:rFonts w:ascii="Calibri" w:eastAsia="Times New Roman" w:hAnsi="Calibri" w:cs="Times New Roman"/>
                <w:sz w:val="20"/>
                <w:lang w:eastAsia="en-US" w:bidi="en-US"/>
              </w:rPr>
            </w:pPr>
            <w:r w:rsidRPr="004C12C9">
              <w:rPr>
                <w:sz w:val="20"/>
              </w:rPr>
              <w:t>Must be a whole number</w:t>
            </w:r>
            <w:r w:rsidR="0099162D" w:rsidRPr="004C12C9">
              <w:rPr>
                <w:sz w:val="20"/>
              </w:rPr>
              <w:t xml:space="preserve"> equal to or</w:t>
            </w:r>
            <w:r w:rsidRPr="004C12C9">
              <w:rPr>
                <w:sz w:val="20"/>
              </w:rPr>
              <w:t xml:space="preserve"> greater than 0. Red checker will appear if this cell </w:t>
            </w:r>
            <w:r w:rsidR="00A37A4B" w:rsidRPr="004C12C9">
              <w:rPr>
                <w:sz w:val="20"/>
              </w:rPr>
              <w:t xml:space="preserve">and the production quantity </w:t>
            </w:r>
            <w:r w:rsidR="00753106" w:rsidRPr="004C12C9">
              <w:rPr>
                <w:sz w:val="20"/>
              </w:rPr>
              <w:t>is left blank or 0</w:t>
            </w:r>
            <w:r w:rsidRPr="004C12C9">
              <w:rPr>
                <w:sz w:val="20"/>
              </w:rPr>
              <w:t>.</w:t>
            </w:r>
          </w:p>
        </w:tc>
        <w:tc>
          <w:tcPr>
            <w:tcW w:w="2070" w:type="dxa"/>
          </w:tcPr>
          <w:p w14:paraId="64911D17" w14:textId="5CD5F46E" w:rsidR="00B64DD2" w:rsidRPr="004C12C9" w:rsidRDefault="00B64DD2" w:rsidP="00B64DD2">
            <w:pPr>
              <w:pStyle w:val="ICFTabletext"/>
              <w:rPr>
                <w:rFonts w:ascii="Calibri" w:eastAsia="Times New Roman" w:hAnsi="Calibri" w:cs="Times New Roman"/>
                <w:sz w:val="20"/>
                <w:lang w:eastAsia="en-US" w:bidi="en-US"/>
              </w:rPr>
            </w:pPr>
            <w:r w:rsidRPr="004C12C9">
              <w:rPr>
                <w:sz w:val="20"/>
              </w:rPr>
              <w:t>NA</w:t>
            </w:r>
          </w:p>
        </w:tc>
        <w:tc>
          <w:tcPr>
            <w:tcW w:w="1975" w:type="dxa"/>
          </w:tcPr>
          <w:p w14:paraId="2F77847D" w14:textId="753C7475" w:rsidR="00B64DD2" w:rsidRPr="004C12C9" w:rsidRDefault="00B64DD2" w:rsidP="00B64DD2">
            <w:pPr>
              <w:pStyle w:val="ICFTabletext"/>
              <w:rPr>
                <w:rFonts w:ascii="Calibri" w:eastAsia="Times New Roman" w:hAnsi="Calibri" w:cs="Times New Roman"/>
                <w:sz w:val="20"/>
                <w:lang w:eastAsia="en-US" w:bidi="en-US"/>
              </w:rPr>
            </w:pPr>
            <w:r w:rsidRPr="004C12C9">
              <w:rPr>
                <w:sz w:val="20"/>
              </w:rPr>
              <w:t>Population served by the municipal wastewater treatment plant.</w:t>
            </w:r>
          </w:p>
        </w:tc>
      </w:tr>
      <w:tr w:rsidR="00B23DE5" w:rsidRPr="004C12C9" w14:paraId="02A5E22A" w14:textId="77777777" w:rsidTr="00B23DE5">
        <w:trPr>
          <w:cantSplit/>
        </w:trPr>
        <w:tc>
          <w:tcPr>
            <w:tcW w:w="1606" w:type="dxa"/>
          </w:tcPr>
          <w:p w14:paraId="420BCCCF" w14:textId="7FF2AE86" w:rsidR="00B23DE5" w:rsidRPr="004C12C9" w:rsidRDefault="00B23DE5" w:rsidP="00B23DE5">
            <w:pPr>
              <w:pStyle w:val="ICFTabletext"/>
              <w:rPr>
                <w:sz w:val="20"/>
              </w:rPr>
            </w:pPr>
            <w:r>
              <w:rPr>
                <w:sz w:val="20"/>
              </w:rPr>
              <w:t>Wastewater treatment system type</w:t>
            </w:r>
          </w:p>
        </w:tc>
        <w:tc>
          <w:tcPr>
            <w:tcW w:w="1417" w:type="dxa"/>
          </w:tcPr>
          <w:p w14:paraId="59BCF8DD" w14:textId="1003869F" w:rsidR="00B23DE5" w:rsidRPr="004C12C9" w:rsidRDefault="00B23DE5" w:rsidP="00B23DE5">
            <w:pPr>
              <w:pStyle w:val="ICFTabletext"/>
              <w:rPr>
                <w:sz w:val="20"/>
              </w:rPr>
            </w:pPr>
            <w:r w:rsidRPr="004C12C9">
              <w:rPr>
                <w:sz w:val="20"/>
              </w:rPr>
              <w:t>Drop-down selection</w:t>
            </w:r>
          </w:p>
        </w:tc>
        <w:tc>
          <w:tcPr>
            <w:tcW w:w="2282" w:type="dxa"/>
          </w:tcPr>
          <w:p w14:paraId="41A4240E" w14:textId="7E95CBFF" w:rsidR="00B23DE5" w:rsidRPr="004C12C9" w:rsidRDefault="00B23DE5" w:rsidP="00B23DE5">
            <w:pPr>
              <w:pStyle w:val="ICFTabletext"/>
              <w:rPr>
                <w:sz w:val="20"/>
              </w:rPr>
            </w:pPr>
            <w:r w:rsidRPr="004C12C9">
              <w:rPr>
                <w:rFonts w:ascii="Calibri" w:eastAsia="Times New Roman" w:hAnsi="Calibri" w:cs="Times New Roman"/>
                <w:sz w:val="20"/>
                <w:lang w:eastAsia="en-US" w:bidi="en-US"/>
              </w:rPr>
              <w:t xml:space="preserve">Must match value from drop-down list. </w:t>
            </w:r>
            <w:r w:rsidRPr="004C12C9">
              <w:rPr>
                <w:sz w:val="20"/>
              </w:rPr>
              <w:t xml:space="preserve">Red checker will appear if no </w:t>
            </w:r>
            <w:r>
              <w:rPr>
                <w:sz w:val="20"/>
              </w:rPr>
              <w:t>system</w:t>
            </w:r>
            <w:r w:rsidRPr="004C12C9">
              <w:rPr>
                <w:sz w:val="20"/>
              </w:rPr>
              <w:t xml:space="preserve"> type is selected. </w:t>
            </w:r>
          </w:p>
        </w:tc>
        <w:tc>
          <w:tcPr>
            <w:tcW w:w="2070" w:type="dxa"/>
          </w:tcPr>
          <w:p w14:paraId="51080AE5" w14:textId="077D7CE4" w:rsidR="00B23DE5" w:rsidRPr="004C12C9" w:rsidRDefault="00B23DE5" w:rsidP="00B23DE5">
            <w:pPr>
              <w:pStyle w:val="ICFTabletext"/>
              <w:rPr>
                <w:sz w:val="20"/>
              </w:rPr>
            </w:pPr>
            <w:r w:rsidRPr="004C12C9">
              <w:rPr>
                <w:sz w:val="20"/>
              </w:rPr>
              <w:t>NA</w:t>
            </w:r>
          </w:p>
        </w:tc>
        <w:tc>
          <w:tcPr>
            <w:tcW w:w="1975" w:type="dxa"/>
          </w:tcPr>
          <w:p w14:paraId="3C96DCEA" w14:textId="5E596847" w:rsidR="00B23DE5" w:rsidRPr="004C12C9" w:rsidRDefault="00B23DE5" w:rsidP="00B23DE5">
            <w:pPr>
              <w:pStyle w:val="ICFTabletext"/>
              <w:rPr>
                <w:sz w:val="20"/>
              </w:rPr>
            </w:pPr>
            <w:r>
              <w:rPr>
                <w:sz w:val="20"/>
              </w:rPr>
              <w:t>Used to determine methane correction factor and direct N</w:t>
            </w:r>
            <w:r w:rsidRPr="00B23DE5">
              <w:rPr>
                <w:sz w:val="20"/>
                <w:vertAlign w:val="subscript"/>
              </w:rPr>
              <w:t>2</w:t>
            </w:r>
            <w:r>
              <w:rPr>
                <w:sz w:val="20"/>
              </w:rPr>
              <w:t>O emissions factor.</w:t>
            </w:r>
          </w:p>
        </w:tc>
      </w:tr>
      <w:tr w:rsidR="00B23DE5" w:rsidRPr="004C12C9" w14:paraId="12ED7CF3" w14:textId="77777777" w:rsidTr="00B23DE5">
        <w:trPr>
          <w:cantSplit/>
        </w:trPr>
        <w:tc>
          <w:tcPr>
            <w:tcW w:w="1606" w:type="dxa"/>
          </w:tcPr>
          <w:p w14:paraId="2AA8ACD4" w14:textId="53188713" w:rsidR="00B23DE5" w:rsidRPr="004C12C9" w:rsidRDefault="00B23DE5" w:rsidP="00B23DE5">
            <w:pPr>
              <w:pStyle w:val="ICFTabletext"/>
              <w:rPr>
                <w:rFonts w:ascii="Calibri" w:eastAsia="Times New Roman" w:hAnsi="Calibri" w:cs="Times New Roman"/>
                <w:sz w:val="20"/>
                <w:lang w:eastAsia="en-US" w:bidi="en-US"/>
              </w:rPr>
            </w:pPr>
            <w:r w:rsidRPr="004C12C9">
              <w:rPr>
                <w:sz w:val="20"/>
              </w:rPr>
              <w:lastRenderedPageBreak/>
              <w:t>Product type</w:t>
            </w:r>
          </w:p>
        </w:tc>
        <w:tc>
          <w:tcPr>
            <w:tcW w:w="1417" w:type="dxa"/>
          </w:tcPr>
          <w:p w14:paraId="23FB0A26" w14:textId="57937035" w:rsidR="00B23DE5" w:rsidRPr="004C12C9" w:rsidRDefault="00B23DE5" w:rsidP="00B23DE5">
            <w:pPr>
              <w:pStyle w:val="ICFTabletext"/>
              <w:rPr>
                <w:rFonts w:ascii="Calibri" w:eastAsia="Times New Roman" w:hAnsi="Calibri" w:cs="Times New Roman"/>
                <w:sz w:val="20"/>
                <w:lang w:eastAsia="en-US" w:bidi="en-US"/>
              </w:rPr>
            </w:pPr>
            <w:r w:rsidRPr="004C12C9">
              <w:rPr>
                <w:sz w:val="20"/>
              </w:rPr>
              <w:t>Drop-down selection</w:t>
            </w:r>
          </w:p>
        </w:tc>
        <w:tc>
          <w:tcPr>
            <w:tcW w:w="2282" w:type="dxa"/>
          </w:tcPr>
          <w:p w14:paraId="70C11211" w14:textId="56AD6D53" w:rsidR="00B23DE5" w:rsidRPr="004C12C9" w:rsidRDefault="00B23DE5" w:rsidP="00B23DE5">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Must match value from drop-down list. </w:t>
            </w:r>
            <w:r w:rsidRPr="004C12C9">
              <w:rPr>
                <w:sz w:val="20"/>
              </w:rPr>
              <w:t xml:space="preserve">Red checker will appear if no product type is selected and the population served is left blank or 0. </w:t>
            </w:r>
          </w:p>
        </w:tc>
        <w:tc>
          <w:tcPr>
            <w:tcW w:w="2070" w:type="dxa"/>
          </w:tcPr>
          <w:p w14:paraId="39DF1435" w14:textId="33F9A600" w:rsidR="00B23DE5" w:rsidRPr="004C12C9" w:rsidRDefault="00B23DE5" w:rsidP="00B23DE5">
            <w:pPr>
              <w:pStyle w:val="ICFTabletext"/>
              <w:rPr>
                <w:rFonts w:ascii="Calibri" w:eastAsia="Times New Roman" w:hAnsi="Calibri" w:cs="Times New Roman"/>
                <w:sz w:val="20"/>
                <w:lang w:eastAsia="en-US" w:bidi="en-US"/>
              </w:rPr>
            </w:pPr>
            <w:r w:rsidRPr="004C12C9">
              <w:rPr>
                <w:sz w:val="20"/>
              </w:rPr>
              <w:t>NA</w:t>
            </w:r>
          </w:p>
        </w:tc>
        <w:tc>
          <w:tcPr>
            <w:tcW w:w="1975" w:type="dxa"/>
          </w:tcPr>
          <w:p w14:paraId="3E16FCD0" w14:textId="60F07A81" w:rsidR="00B23DE5" w:rsidRPr="004C12C9" w:rsidRDefault="00B23DE5" w:rsidP="00B23DE5">
            <w:pPr>
              <w:pStyle w:val="ICFTabletext"/>
              <w:rPr>
                <w:rFonts w:ascii="Calibri" w:eastAsia="Times New Roman" w:hAnsi="Calibri" w:cs="Times New Roman"/>
                <w:sz w:val="20"/>
                <w:lang w:eastAsia="en-US" w:bidi="en-US"/>
              </w:rPr>
            </w:pPr>
            <w:r w:rsidRPr="004C12C9">
              <w:rPr>
                <w:sz w:val="20"/>
              </w:rPr>
              <w:t>Product type for industrial wastewater. Only one type may be selected.</w:t>
            </w:r>
          </w:p>
        </w:tc>
      </w:tr>
      <w:tr w:rsidR="00B23DE5" w:rsidRPr="004C12C9" w14:paraId="7803C73F" w14:textId="77777777" w:rsidTr="00B23DE5">
        <w:trPr>
          <w:cantSplit/>
        </w:trPr>
        <w:tc>
          <w:tcPr>
            <w:tcW w:w="1606" w:type="dxa"/>
          </w:tcPr>
          <w:p w14:paraId="226B0806" w14:textId="3FB27FF9" w:rsidR="00B23DE5" w:rsidRPr="004C12C9" w:rsidRDefault="00B23DE5" w:rsidP="00B23DE5">
            <w:pPr>
              <w:pStyle w:val="ICFTabletext"/>
              <w:rPr>
                <w:rFonts w:ascii="Calibri" w:eastAsia="Times New Roman" w:hAnsi="Calibri" w:cs="Times New Roman"/>
                <w:sz w:val="20"/>
                <w:lang w:eastAsia="en-US" w:bidi="en-US"/>
              </w:rPr>
            </w:pPr>
            <w:r w:rsidRPr="004C12C9">
              <w:rPr>
                <w:sz w:val="20"/>
              </w:rPr>
              <w:t>Production</w:t>
            </w:r>
          </w:p>
        </w:tc>
        <w:tc>
          <w:tcPr>
            <w:tcW w:w="1417" w:type="dxa"/>
          </w:tcPr>
          <w:p w14:paraId="7F1F9DD3" w14:textId="1C35973E" w:rsidR="00B23DE5" w:rsidRPr="004C12C9" w:rsidRDefault="00B23DE5" w:rsidP="00B23DE5">
            <w:pPr>
              <w:pStyle w:val="ICFTabletext"/>
              <w:rPr>
                <w:rFonts w:ascii="Calibri" w:eastAsia="Times New Roman" w:hAnsi="Calibri" w:cs="Times New Roman"/>
                <w:sz w:val="20"/>
                <w:lang w:eastAsia="en-US" w:bidi="en-US"/>
              </w:rPr>
            </w:pPr>
            <w:r w:rsidRPr="004C12C9">
              <w:rPr>
                <w:sz w:val="20"/>
              </w:rPr>
              <w:t>Decimal number</w:t>
            </w:r>
          </w:p>
        </w:tc>
        <w:tc>
          <w:tcPr>
            <w:tcW w:w="2282" w:type="dxa"/>
          </w:tcPr>
          <w:p w14:paraId="7AF6AB13" w14:textId="67B62768" w:rsidR="00B23DE5" w:rsidRPr="004C12C9" w:rsidRDefault="00B23DE5" w:rsidP="00B23DE5">
            <w:pPr>
              <w:pStyle w:val="ICFTabletext"/>
              <w:rPr>
                <w:rFonts w:ascii="Calibri" w:eastAsia="Times New Roman" w:hAnsi="Calibri" w:cs="Times New Roman"/>
                <w:sz w:val="20"/>
                <w:lang w:eastAsia="en-US" w:bidi="en-US"/>
              </w:rPr>
            </w:pPr>
            <w:r w:rsidRPr="004C12C9">
              <w:rPr>
                <w:sz w:val="20"/>
              </w:rPr>
              <w:t>Must be a decimal number equal to or greater than 0. Red checker will appear if no production value is entered and the population served is left blank or 0.</w:t>
            </w:r>
          </w:p>
        </w:tc>
        <w:tc>
          <w:tcPr>
            <w:tcW w:w="2070" w:type="dxa"/>
          </w:tcPr>
          <w:p w14:paraId="640DE8D1" w14:textId="4DCAA9DB" w:rsidR="00B23DE5" w:rsidRPr="004C12C9" w:rsidRDefault="00B23DE5" w:rsidP="00B23DE5">
            <w:pPr>
              <w:pStyle w:val="ICFTabletext"/>
              <w:rPr>
                <w:rFonts w:ascii="Calibri" w:eastAsia="Times New Roman" w:hAnsi="Calibri" w:cs="Times New Roman"/>
                <w:sz w:val="20"/>
                <w:lang w:eastAsia="en-US" w:bidi="en-US"/>
              </w:rPr>
            </w:pPr>
            <w:r w:rsidRPr="004C12C9">
              <w:rPr>
                <w:sz w:val="20"/>
              </w:rPr>
              <w:t>NA</w:t>
            </w:r>
          </w:p>
        </w:tc>
        <w:tc>
          <w:tcPr>
            <w:tcW w:w="1975" w:type="dxa"/>
          </w:tcPr>
          <w:p w14:paraId="04A98FF1" w14:textId="7E207821" w:rsidR="00B23DE5" w:rsidRPr="004C12C9" w:rsidRDefault="00B23DE5" w:rsidP="00B23DE5">
            <w:pPr>
              <w:pStyle w:val="ICFTabletext"/>
              <w:rPr>
                <w:rFonts w:ascii="Calibri" w:eastAsia="Times New Roman" w:hAnsi="Calibri" w:cs="Times New Roman"/>
                <w:sz w:val="20"/>
                <w:lang w:eastAsia="en-US" w:bidi="en-US"/>
              </w:rPr>
            </w:pPr>
            <w:r w:rsidRPr="004C12C9">
              <w:rPr>
                <w:sz w:val="20"/>
              </w:rPr>
              <w:t>Anticipated production output of the industrial wastewater plant for the selected product type in metric tons per year.</w:t>
            </w:r>
          </w:p>
        </w:tc>
      </w:tr>
    </w:tbl>
    <w:p w14:paraId="6657C61C" w14:textId="7A85E6B4" w:rsidR="00C548F7" w:rsidRPr="004C12C9" w:rsidRDefault="008430FC" w:rsidP="00C548F7">
      <w:r w:rsidRPr="004C12C9">
        <w:rPr>
          <w:b/>
          <w:bCs/>
        </w:rPr>
        <w:t>Treatment of Waste Off-Site:</w:t>
      </w:r>
      <w:r w:rsidRPr="004C12C9">
        <w:t xml:space="preserve"> </w:t>
      </w:r>
      <w:r w:rsidR="00C548F7" w:rsidRPr="004C12C9">
        <w:t xml:space="preserve">If treatment of waste off-site is applicable to the project, </w:t>
      </w:r>
      <w:r w:rsidR="00ED412D" w:rsidRPr="004C12C9">
        <w:t xml:space="preserve">a user is required to enter the inputs </w:t>
      </w:r>
      <w:r w:rsidR="008108D5" w:rsidRPr="004C12C9">
        <w:t>described</w:t>
      </w:r>
      <w:r w:rsidR="00ED412D" w:rsidRPr="004C12C9">
        <w:t xml:space="preserve"> in </w:t>
      </w:r>
      <w:r w:rsidR="00493464" w:rsidRPr="004C12C9">
        <w:fldChar w:fldCharType="begin" w:fldLock="1"/>
      </w:r>
      <w:r w:rsidR="00493464" w:rsidRPr="004C12C9">
        <w:instrText xml:space="preserve"> REF _Ref195880103 \h </w:instrText>
      </w:r>
      <w:r w:rsidR="00493464" w:rsidRPr="004C12C9">
        <w:fldChar w:fldCharType="separate"/>
      </w:r>
      <w:r w:rsidR="00127094" w:rsidRPr="004C12C9">
        <w:t>Table D-18</w:t>
      </w:r>
      <w:r w:rsidR="00493464" w:rsidRPr="004C12C9">
        <w:fldChar w:fldCharType="end"/>
      </w:r>
      <w:r w:rsidR="006B416F" w:rsidRPr="004C12C9">
        <w:t>.</w:t>
      </w:r>
    </w:p>
    <w:p w14:paraId="0A8996E7" w14:textId="25146631" w:rsidR="00474998" w:rsidRPr="004C12C9" w:rsidRDefault="00474998" w:rsidP="00474998">
      <w:pPr>
        <w:pStyle w:val="Caption"/>
      </w:pPr>
      <w:bookmarkStart w:id="350" w:name="_Ref195880103"/>
      <w:r w:rsidRPr="004C12C9">
        <w:t>Table D-</w:t>
      </w:r>
      <w:r w:rsidR="006658B4">
        <w:fldChar w:fldCharType="begin"/>
      </w:r>
      <w:r w:rsidR="006658B4">
        <w:instrText xml:space="preserve"> SEQ Table_D- \* ARABIC </w:instrText>
      </w:r>
      <w:r w:rsidR="006658B4">
        <w:fldChar w:fldCharType="separate"/>
      </w:r>
      <w:r w:rsidR="006658B4" w:rsidRPr="004C12C9">
        <w:t>18</w:t>
      </w:r>
      <w:r w:rsidR="006658B4">
        <w:fldChar w:fldCharType="end"/>
      </w:r>
      <w:bookmarkEnd w:id="350"/>
      <w:r w:rsidRPr="004C12C9">
        <w:t>. User Inputs for Waste Off-Site</w:t>
      </w:r>
    </w:p>
    <w:tbl>
      <w:tblPr>
        <w:tblStyle w:val="TableGridLight"/>
        <w:tblW w:w="0" w:type="auto"/>
        <w:tblLook w:val="04A0" w:firstRow="1" w:lastRow="0" w:firstColumn="1" w:lastColumn="0" w:noHBand="0" w:noVBand="1"/>
      </w:tblPr>
      <w:tblGrid>
        <w:gridCol w:w="1525"/>
        <w:gridCol w:w="1260"/>
        <w:gridCol w:w="2340"/>
        <w:gridCol w:w="1980"/>
        <w:gridCol w:w="2245"/>
      </w:tblGrid>
      <w:tr w:rsidR="002A0002" w:rsidRPr="004C12C9" w14:paraId="038894E5" w14:textId="77777777" w:rsidTr="00700EEE">
        <w:trPr>
          <w:trHeight w:val="70"/>
          <w:tblHeader/>
        </w:trPr>
        <w:tc>
          <w:tcPr>
            <w:tcW w:w="1525" w:type="dxa"/>
            <w:shd w:val="clear" w:color="auto" w:fill="D9D9D9" w:themeFill="background1" w:themeFillShade="D9"/>
            <w:vAlign w:val="center"/>
          </w:tcPr>
          <w:p w14:paraId="5DC82C9A" w14:textId="0A9A025E"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260" w:type="dxa"/>
            <w:shd w:val="clear" w:color="auto" w:fill="D9D9D9" w:themeFill="background1" w:themeFillShade="D9"/>
            <w:vAlign w:val="center"/>
          </w:tcPr>
          <w:p w14:paraId="6363E895" w14:textId="5159801A"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340" w:type="dxa"/>
            <w:shd w:val="clear" w:color="auto" w:fill="D9D9D9" w:themeFill="background1" w:themeFillShade="D9"/>
            <w:vAlign w:val="center"/>
          </w:tcPr>
          <w:p w14:paraId="0ADE97C4" w14:textId="719448DF"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1870E271" w14:textId="60BC94A3" w:rsidR="00EE4EC7" w:rsidRPr="004C12C9" w:rsidRDefault="00EE4EC7" w:rsidP="0077773D">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245" w:type="dxa"/>
            <w:shd w:val="clear" w:color="auto" w:fill="D9D9D9" w:themeFill="background1" w:themeFillShade="D9"/>
            <w:vAlign w:val="center"/>
          </w:tcPr>
          <w:p w14:paraId="3DABD148" w14:textId="3D9F1458"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C548F7" w:rsidRPr="004C12C9" w14:paraId="02AA692F" w14:textId="77777777" w:rsidTr="00700EEE">
        <w:tc>
          <w:tcPr>
            <w:tcW w:w="1525" w:type="dxa"/>
            <w:vAlign w:val="center"/>
          </w:tcPr>
          <w:p w14:paraId="29C4D196" w14:textId="5F2C6CB1" w:rsidR="00C548F7" w:rsidRPr="004C12C9" w:rsidRDefault="000025C4" w:rsidP="004474F4">
            <w:pPr>
              <w:pStyle w:val="ICFTabletext"/>
              <w:rPr>
                <w:rFonts w:ascii="Calibri" w:eastAsia="Times New Roman" w:hAnsi="Calibri" w:cs="Times New Roman"/>
                <w:sz w:val="20"/>
                <w:lang w:eastAsia="en-US" w:bidi="en-US"/>
              </w:rPr>
            </w:pPr>
            <w:r w:rsidRPr="004C12C9">
              <w:rPr>
                <w:sz w:val="20"/>
              </w:rPr>
              <w:t>Q</w:t>
            </w:r>
            <w:r w:rsidR="002C15BB" w:rsidRPr="004C12C9">
              <w:rPr>
                <w:sz w:val="20"/>
              </w:rPr>
              <w:t>uanti</w:t>
            </w:r>
            <w:r w:rsidRPr="004C12C9">
              <w:rPr>
                <w:sz w:val="20"/>
              </w:rPr>
              <w:t>ty of activity</w:t>
            </w:r>
          </w:p>
        </w:tc>
        <w:tc>
          <w:tcPr>
            <w:tcW w:w="1260" w:type="dxa"/>
            <w:vAlign w:val="center"/>
          </w:tcPr>
          <w:p w14:paraId="7EA92A66" w14:textId="4D57B95E" w:rsidR="00C548F7" w:rsidRPr="004C12C9" w:rsidRDefault="000025C4" w:rsidP="004474F4">
            <w:pPr>
              <w:pStyle w:val="ICFTabletext"/>
              <w:rPr>
                <w:rFonts w:ascii="Calibri" w:eastAsia="Times New Roman" w:hAnsi="Calibri" w:cs="Times New Roman"/>
                <w:sz w:val="20"/>
                <w:lang w:eastAsia="en-US" w:bidi="en-US"/>
              </w:rPr>
            </w:pPr>
            <w:r w:rsidRPr="004C12C9">
              <w:rPr>
                <w:sz w:val="20"/>
              </w:rPr>
              <w:t>Whole number</w:t>
            </w:r>
          </w:p>
        </w:tc>
        <w:tc>
          <w:tcPr>
            <w:tcW w:w="2340" w:type="dxa"/>
            <w:vAlign w:val="center"/>
          </w:tcPr>
          <w:p w14:paraId="3ACC9320" w14:textId="04F6BBE2" w:rsidR="00C548F7" w:rsidRPr="004C12C9" w:rsidRDefault="000025C4" w:rsidP="004474F4">
            <w:pPr>
              <w:pStyle w:val="ICFTabletext"/>
              <w:rPr>
                <w:rFonts w:ascii="Calibri" w:eastAsia="Times New Roman" w:hAnsi="Calibri" w:cs="Times New Roman"/>
                <w:sz w:val="20"/>
                <w:lang w:eastAsia="en-US" w:bidi="en-US"/>
              </w:rPr>
            </w:pPr>
            <w:r w:rsidRPr="004C12C9">
              <w:rPr>
                <w:sz w:val="20"/>
              </w:rPr>
              <w:t>Must be a whole number</w:t>
            </w:r>
            <w:r w:rsidR="006C4FAC" w:rsidRPr="004C12C9">
              <w:rPr>
                <w:sz w:val="20"/>
              </w:rPr>
              <w:t xml:space="preserve"> equal to or</w:t>
            </w:r>
            <w:r w:rsidRPr="004C12C9">
              <w:rPr>
                <w:sz w:val="20"/>
              </w:rPr>
              <w:t xml:space="preserve"> greater than 0.</w:t>
            </w:r>
            <w:r w:rsidR="005452EF" w:rsidRPr="004C12C9">
              <w:rPr>
                <w:sz w:val="20"/>
              </w:rPr>
              <w:t xml:space="preserve"> </w:t>
            </w:r>
            <w:r w:rsidR="001D19B2" w:rsidRPr="004C12C9">
              <w:rPr>
                <w:sz w:val="20"/>
                <w:lang w:bidi="en-US"/>
              </w:rPr>
              <w:t xml:space="preserve">Red checker appears if </w:t>
            </w:r>
            <w:r w:rsidR="001D19B2" w:rsidRPr="004C12C9">
              <w:rPr>
                <w:rFonts w:ascii="Calibri" w:eastAsia="Times New Roman" w:hAnsi="Calibri" w:cs="Times New Roman"/>
                <w:sz w:val="20"/>
                <w:lang w:eastAsia="en-US" w:bidi="en-US"/>
              </w:rPr>
              <w:t>the sum of all inputs equals 0</w:t>
            </w:r>
            <w:r w:rsidR="001D19B2" w:rsidRPr="004C12C9">
              <w:rPr>
                <w:sz w:val="20"/>
                <w:lang w:bidi="en-US"/>
              </w:rPr>
              <w:t>.</w:t>
            </w:r>
          </w:p>
        </w:tc>
        <w:tc>
          <w:tcPr>
            <w:tcW w:w="1980" w:type="dxa"/>
            <w:vAlign w:val="center"/>
          </w:tcPr>
          <w:p w14:paraId="55350711" w14:textId="465C4DD1" w:rsidR="00C548F7" w:rsidRPr="004C12C9" w:rsidRDefault="000025C4" w:rsidP="004474F4">
            <w:pPr>
              <w:pStyle w:val="ICFTabletext"/>
              <w:rPr>
                <w:rFonts w:ascii="Calibri" w:eastAsia="Times New Roman" w:hAnsi="Calibri" w:cs="Times New Roman"/>
                <w:sz w:val="20"/>
                <w:lang w:eastAsia="en-US" w:bidi="en-US"/>
              </w:rPr>
            </w:pPr>
            <w:r w:rsidRPr="004C12C9">
              <w:rPr>
                <w:sz w:val="20"/>
              </w:rPr>
              <w:t>N</w:t>
            </w:r>
            <w:r w:rsidR="00E006C0" w:rsidRPr="004C12C9">
              <w:rPr>
                <w:sz w:val="20"/>
              </w:rPr>
              <w:t>A</w:t>
            </w:r>
          </w:p>
        </w:tc>
        <w:tc>
          <w:tcPr>
            <w:tcW w:w="2245" w:type="dxa"/>
            <w:vAlign w:val="center"/>
          </w:tcPr>
          <w:p w14:paraId="6E5D0C36" w14:textId="251C9F4C" w:rsidR="00C548F7" w:rsidRPr="004C12C9" w:rsidRDefault="00EC5FE5" w:rsidP="004474F4">
            <w:pPr>
              <w:pStyle w:val="ICFTabletext"/>
              <w:rPr>
                <w:rFonts w:ascii="Calibri" w:eastAsia="Times New Roman" w:hAnsi="Calibri" w:cs="Times New Roman"/>
                <w:sz w:val="20"/>
                <w:lang w:eastAsia="en-US" w:bidi="en-US"/>
              </w:rPr>
            </w:pPr>
            <w:r w:rsidRPr="004C12C9">
              <w:rPr>
                <w:sz w:val="20"/>
              </w:rPr>
              <w:t>Number of households</w:t>
            </w:r>
            <w:r w:rsidR="007D7080" w:rsidRPr="004C12C9">
              <w:rPr>
                <w:sz w:val="20"/>
              </w:rPr>
              <w:t xml:space="preserve">, </w:t>
            </w:r>
            <w:r w:rsidR="000737D5" w:rsidRPr="004C12C9">
              <w:rPr>
                <w:sz w:val="20"/>
              </w:rPr>
              <w:t>commercial, industrial, or institutional employees, and visitors per year at public venues.</w:t>
            </w:r>
          </w:p>
        </w:tc>
      </w:tr>
      <w:tr w:rsidR="000025C4" w:rsidRPr="004C12C9" w14:paraId="7A7916F3" w14:textId="77777777" w:rsidTr="00700EEE">
        <w:tc>
          <w:tcPr>
            <w:tcW w:w="1525" w:type="dxa"/>
            <w:vAlign w:val="center"/>
          </w:tcPr>
          <w:p w14:paraId="13076158" w14:textId="1BEE1F14" w:rsidR="000025C4" w:rsidRPr="004C12C9" w:rsidRDefault="000025C4" w:rsidP="004474F4">
            <w:pPr>
              <w:pStyle w:val="ICFTabletext"/>
              <w:rPr>
                <w:rFonts w:ascii="Calibri" w:eastAsia="Times New Roman" w:hAnsi="Calibri" w:cs="Times New Roman"/>
                <w:sz w:val="20"/>
                <w:lang w:eastAsia="en-US" w:bidi="en-US"/>
              </w:rPr>
            </w:pPr>
            <w:r w:rsidRPr="004C12C9">
              <w:rPr>
                <w:sz w:val="20"/>
              </w:rPr>
              <w:t>Waste generation rate by activity</w:t>
            </w:r>
          </w:p>
        </w:tc>
        <w:tc>
          <w:tcPr>
            <w:tcW w:w="1260" w:type="dxa"/>
            <w:vAlign w:val="center"/>
          </w:tcPr>
          <w:p w14:paraId="1D2E1655" w14:textId="4AB7B2DC" w:rsidR="000025C4" w:rsidRPr="004C12C9" w:rsidRDefault="000025C4" w:rsidP="004474F4">
            <w:pPr>
              <w:pStyle w:val="ICFTabletext"/>
              <w:rPr>
                <w:rFonts w:ascii="Calibri" w:eastAsia="Times New Roman" w:hAnsi="Calibri" w:cs="Times New Roman"/>
                <w:sz w:val="20"/>
                <w:lang w:eastAsia="en-US" w:bidi="en-US"/>
              </w:rPr>
            </w:pPr>
            <w:r w:rsidRPr="004C12C9">
              <w:rPr>
                <w:sz w:val="20"/>
              </w:rPr>
              <w:t>Decimal number</w:t>
            </w:r>
          </w:p>
        </w:tc>
        <w:tc>
          <w:tcPr>
            <w:tcW w:w="2340" w:type="dxa"/>
            <w:vAlign w:val="center"/>
          </w:tcPr>
          <w:p w14:paraId="0C1B788C" w14:textId="2C3A768A" w:rsidR="000025C4" w:rsidRPr="004C12C9" w:rsidRDefault="00C210DC" w:rsidP="004474F4">
            <w:pPr>
              <w:pStyle w:val="ICFTabletext"/>
              <w:rPr>
                <w:sz w:val="20"/>
              </w:rPr>
            </w:pPr>
            <w:r w:rsidRPr="004C12C9">
              <w:rPr>
                <w:sz w:val="20"/>
              </w:rPr>
              <w:t xml:space="preserve">Must be a decimal number </w:t>
            </w:r>
            <w:r w:rsidR="00F80A96" w:rsidRPr="004C12C9">
              <w:rPr>
                <w:sz w:val="20"/>
              </w:rPr>
              <w:t xml:space="preserve">equal to or </w:t>
            </w:r>
            <w:r w:rsidRPr="004C12C9">
              <w:rPr>
                <w:sz w:val="20"/>
              </w:rPr>
              <w:t xml:space="preserve">greater than 0. </w:t>
            </w:r>
            <w:r w:rsidR="00965EE6" w:rsidRPr="004C12C9">
              <w:rPr>
                <w:sz w:val="20"/>
              </w:rPr>
              <w:t>Red checker appear</w:t>
            </w:r>
            <w:r w:rsidR="00027532" w:rsidRPr="004C12C9">
              <w:rPr>
                <w:sz w:val="20"/>
              </w:rPr>
              <w:t>s</w:t>
            </w:r>
            <w:r w:rsidR="00965EE6" w:rsidRPr="004C12C9">
              <w:rPr>
                <w:sz w:val="20"/>
              </w:rPr>
              <w:t xml:space="preserve"> if no values are added for </w:t>
            </w:r>
            <w:r w:rsidR="007D2BD6" w:rsidRPr="004C12C9">
              <w:rPr>
                <w:sz w:val="20"/>
              </w:rPr>
              <w:t>activities</w:t>
            </w:r>
            <w:r w:rsidR="00965EE6" w:rsidRPr="004C12C9">
              <w:rPr>
                <w:sz w:val="20"/>
              </w:rPr>
              <w:t xml:space="preserve"> with </w:t>
            </w:r>
            <w:r w:rsidR="007D2BD6" w:rsidRPr="004C12C9">
              <w:rPr>
                <w:sz w:val="20"/>
              </w:rPr>
              <w:t xml:space="preserve">quantities </w:t>
            </w:r>
            <w:r w:rsidR="00965EE6" w:rsidRPr="004C12C9">
              <w:rPr>
                <w:sz w:val="20"/>
              </w:rPr>
              <w:t>greater than 0.</w:t>
            </w:r>
          </w:p>
        </w:tc>
        <w:tc>
          <w:tcPr>
            <w:tcW w:w="1980" w:type="dxa"/>
            <w:vAlign w:val="center"/>
          </w:tcPr>
          <w:p w14:paraId="14EC5925" w14:textId="4FBD5907" w:rsidR="000025C4" w:rsidRPr="004C12C9" w:rsidRDefault="00E006C0" w:rsidP="004474F4">
            <w:pPr>
              <w:pStyle w:val="ICFTabletext"/>
              <w:rPr>
                <w:rFonts w:ascii="Calibri" w:eastAsia="Times New Roman" w:hAnsi="Calibri" w:cs="Times New Roman"/>
                <w:sz w:val="20"/>
                <w:lang w:eastAsia="en-US" w:bidi="en-US"/>
              </w:rPr>
            </w:pPr>
            <w:r w:rsidRPr="004C12C9">
              <w:rPr>
                <w:sz w:val="20"/>
              </w:rPr>
              <w:t>Yes</w:t>
            </w:r>
            <w:r w:rsidR="00F80A96" w:rsidRPr="004C12C9">
              <w:rPr>
                <w:sz w:val="20"/>
              </w:rPr>
              <w:t xml:space="preserve"> </w:t>
            </w:r>
          </w:p>
        </w:tc>
        <w:tc>
          <w:tcPr>
            <w:tcW w:w="2245" w:type="dxa"/>
            <w:vAlign w:val="center"/>
          </w:tcPr>
          <w:p w14:paraId="4A24A274" w14:textId="1E95F220" w:rsidR="000025C4" w:rsidRPr="004C12C9" w:rsidRDefault="006A0CBD" w:rsidP="004474F4">
            <w:pPr>
              <w:pStyle w:val="ICFTabletext"/>
              <w:rPr>
                <w:rFonts w:ascii="Calibri" w:eastAsia="Times New Roman" w:hAnsi="Calibri" w:cs="Times New Roman"/>
                <w:sz w:val="20"/>
                <w:lang w:eastAsia="en-US" w:bidi="en-US"/>
              </w:rPr>
            </w:pPr>
            <w:r w:rsidRPr="004C12C9">
              <w:rPr>
                <w:sz w:val="20"/>
              </w:rPr>
              <w:t>Waste generation rate</w:t>
            </w:r>
            <w:r w:rsidR="00AC6834" w:rsidRPr="004C12C9">
              <w:rPr>
                <w:sz w:val="20"/>
              </w:rPr>
              <w:t xml:space="preserve"> </w:t>
            </w:r>
            <w:r w:rsidR="008F0147" w:rsidRPr="004C12C9">
              <w:rPr>
                <w:sz w:val="20"/>
              </w:rPr>
              <w:t xml:space="preserve">in pounds per household </w:t>
            </w:r>
            <w:r w:rsidR="007D2BD6" w:rsidRPr="004C12C9">
              <w:rPr>
                <w:sz w:val="20"/>
              </w:rPr>
              <w:t>per day</w:t>
            </w:r>
            <w:r w:rsidR="00351205" w:rsidRPr="004C12C9">
              <w:rPr>
                <w:sz w:val="20"/>
              </w:rPr>
              <w:t xml:space="preserve">, </w:t>
            </w:r>
            <w:r w:rsidR="008F0147" w:rsidRPr="004C12C9">
              <w:rPr>
                <w:sz w:val="20"/>
              </w:rPr>
              <w:t>employee per day, or pounds per visitor, depending on the activity.</w:t>
            </w:r>
          </w:p>
        </w:tc>
      </w:tr>
      <w:tr w:rsidR="000849E4" w:rsidRPr="004C12C9" w14:paraId="394F5A85" w14:textId="77777777" w:rsidTr="00700EEE">
        <w:tc>
          <w:tcPr>
            <w:tcW w:w="1525" w:type="dxa"/>
            <w:vAlign w:val="center"/>
          </w:tcPr>
          <w:p w14:paraId="2060084C" w14:textId="6B3FFDC2" w:rsidR="000849E4" w:rsidRPr="004C12C9" w:rsidRDefault="000849E4" w:rsidP="004474F4">
            <w:pPr>
              <w:pStyle w:val="ICFTabletext"/>
              <w:rPr>
                <w:rFonts w:ascii="Calibri" w:eastAsia="Times New Roman" w:hAnsi="Calibri" w:cs="Times New Roman"/>
                <w:sz w:val="20"/>
                <w:lang w:eastAsia="en-US" w:bidi="en-US"/>
              </w:rPr>
            </w:pPr>
            <w:r w:rsidRPr="004C12C9">
              <w:rPr>
                <w:sz w:val="20"/>
              </w:rPr>
              <w:t>Percent of waste by waste treatment practice</w:t>
            </w:r>
            <w:r w:rsidR="0035629B">
              <w:rPr>
                <w:sz w:val="20"/>
              </w:rPr>
              <w:t>*</w:t>
            </w:r>
          </w:p>
        </w:tc>
        <w:tc>
          <w:tcPr>
            <w:tcW w:w="1260" w:type="dxa"/>
            <w:vAlign w:val="center"/>
          </w:tcPr>
          <w:p w14:paraId="1F2B12F2" w14:textId="2F4DC67A" w:rsidR="000849E4" w:rsidRPr="004C12C9" w:rsidRDefault="0088585E" w:rsidP="004474F4">
            <w:pPr>
              <w:pStyle w:val="ICFTabletext"/>
              <w:rPr>
                <w:rFonts w:ascii="Calibri" w:eastAsia="Times New Roman" w:hAnsi="Calibri" w:cs="Times New Roman"/>
                <w:sz w:val="20"/>
                <w:lang w:eastAsia="en-US" w:bidi="en-US"/>
              </w:rPr>
            </w:pPr>
            <w:r w:rsidRPr="004C12C9">
              <w:rPr>
                <w:sz w:val="20"/>
              </w:rPr>
              <w:t>Percent</w:t>
            </w:r>
          </w:p>
        </w:tc>
        <w:tc>
          <w:tcPr>
            <w:tcW w:w="2340" w:type="dxa"/>
            <w:vAlign w:val="center"/>
          </w:tcPr>
          <w:p w14:paraId="52827E64" w14:textId="1522CAB9" w:rsidR="000849E4" w:rsidRPr="004C12C9" w:rsidRDefault="009C3A42" w:rsidP="004474F4">
            <w:pPr>
              <w:pStyle w:val="ICFTabletext"/>
              <w:rPr>
                <w:rFonts w:ascii="Calibri" w:eastAsia="Times New Roman" w:hAnsi="Calibri" w:cs="Times New Roman"/>
                <w:sz w:val="20"/>
                <w:lang w:eastAsia="en-US" w:bidi="en-US"/>
              </w:rPr>
            </w:pPr>
            <w:r w:rsidRPr="004C12C9">
              <w:rPr>
                <w:sz w:val="20"/>
              </w:rPr>
              <w:t>Must</w:t>
            </w:r>
            <w:r w:rsidR="0088585E" w:rsidRPr="004C12C9">
              <w:rPr>
                <w:sz w:val="20"/>
              </w:rPr>
              <w:t xml:space="preserve"> be between </w:t>
            </w:r>
            <w:r w:rsidRPr="004C12C9">
              <w:rPr>
                <w:sz w:val="20"/>
              </w:rPr>
              <w:t>0 and 100%</w:t>
            </w:r>
            <w:r w:rsidR="009A75DF" w:rsidRPr="004C12C9">
              <w:rPr>
                <w:sz w:val="20"/>
              </w:rPr>
              <w:t>.</w:t>
            </w:r>
            <w:r w:rsidRPr="004C12C9">
              <w:rPr>
                <w:sz w:val="20"/>
              </w:rPr>
              <w:t xml:space="preserve"> </w:t>
            </w:r>
            <w:r w:rsidR="009A75DF" w:rsidRPr="004C12C9">
              <w:rPr>
                <w:sz w:val="20"/>
              </w:rPr>
              <w:t>T</w:t>
            </w:r>
            <w:r w:rsidRPr="004C12C9">
              <w:rPr>
                <w:sz w:val="20"/>
              </w:rPr>
              <w:t xml:space="preserve">otal </w:t>
            </w:r>
            <w:r w:rsidR="00724887" w:rsidRPr="004C12C9">
              <w:rPr>
                <w:sz w:val="20"/>
              </w:rPr>
              <w:t>across practices</w:t>
            </w:r>
            <w:r w:rsidRPr="004C12C9">
              <w:rPr>
                <w:sz w:val="20"/>
              </w:rPr>
              <w:t xml:space="preserve"> must </w:t>
            </w:r>
            <w:r w:rsidR="00737FE3" w:rsidRPr="004C12C9">
              <w:rPr>
                <w:sz w:val="20"/>
                <w:lang w:bidi="en-US"/>
              </w:rPr>
              <w:t xml:space="preserve">sum </w:t>
            </w:r>
            <w:r w:rsidR="00724887" w:rsidRPr="004C12C9">
              <w:rPr>
                <w:sz w:val="20"/>
                <w:lang w:bidi="en-US"/>
              </w:rPr>
              <w:t>to 100%. Red checker and text will appear if total does not equal 100%.</w:t>
            </w:r>
          </w:p>
        </w:tc>
        <w:tc>
          <w:tcPr>
            <w:tcW w:w="1980" w:type="dxa"/>
            <w:vAlign w:val="center"/>
          </w:tcPr>
          <w:p w14:paraId="7337B02C" w14:textId="63B0A9FF" w:rsidR="000849E4" w:rsidRPr="004C12C9" w:rsidRDefault="00E006C0" w:rsidP="004474F4">
            <w:pPr>
              <w:pStyle w:val="ICFTabletext"/>
              <w:rPr>
                <w:rFonts w:ascii="Calibri" w:eastAsia="Times New Roman" w:hAnsi="Calibri" w:cs="Times New Roman"/>
                <w:sz w:val="20"/>
                <w:lang w:eastAsia="en-US" w:bidi="en-US"/>
              </w:rPr>
            </w:pPr>
            <w:r w:rsidRPr="004C12C9">
              <w:rPr>
                <w:sz w:val="20"/>
              </w:rPr>
              <w:t xml:space="preserve">Yes. </w:t>
            </w:r>
            <w:r w:rsidR="00FB340E" w:rsidRPr="004C12C9">
              <w:rPr>
                <w:sz w:val="20"/>
              </w:rPr>
              <w:t xml:space="preserve">Defaults based on the county in which the project is located, </w:t>
            </w:r>
            <w:r w:rsidR="00407BD0" w:rsidRPr="004C12C9">
              <w:rPr>
                <w:sz w:val="20"/>
              </w:rPr>
              <w:t>as entered</w:t>
            </w:r>
            <w:r w:rsidR="00FB340E" w:rsidRPr="004C12C9">
              <w:rPr>
                <w:sz w:val="20"/>
              </w:rPr>
              <w:t xml:space="preserve"> on the Project Background tab.</w:t>
            </w:r>
            <w:r w:rsidR="00E73133" w:rsidRPr="004C12C9">
              <w:rPr>
                <w:sz w:val="20"/>
              </w:rPr>
              <w:t xml:space="preserve"> </w:t>
            </w:r>
          </w:p>
        </w:tc>
        <w:tc>
          <w:tcPr>
            <w:tcW w:w="2245" w:type="dxa"/>
            <w:vAlign w:val="center"/>
          </w:tcPr>
          <w:p w14:paraId="3A6E6CC3" w14:textId="5C39381A" w:rsidR="000849E4" w:rsidRPr="004C12C9" w:rsidRDefault="00616E5A" w:rsidP="004474F4">
            <w:pPr>
              <w:pStyle w:val="ICFTabletext"/>
              <w:rPr>
                <w:rFonts w:ascii="Calibri" w:eastAsia="Times New Roman" w:hAnsi="Calibri" w:cs="Times New Roman"/>
                <w:sz w:val="20"/>
                <w:lang w:eastAsia="en-US" w:bidi="en-US"/>
              </w:rPr>
            </w:pPr>
            <w:r w:rsidRPr="004C12C9">
              <w:rPr>
                <w:sz w:val="20"/>
              </w:rPr>
              <w:t>Percent of waste that is managed by each type of waste treatment practice.</w:t>
            </w:r>
          </w:p>
        </w:tc>
      </w:tr>
    </w:tbl>
    <w:p w14:paraId="7CBDFA79" w14:textId="0EB1760D" w:rsidR="00655450" w:rsidRPr="00BC0D67" w:rsidRDefault="00655450" w:rsidP="00655450">
      <w:pPr>
        <w:spacing w:before="0" w:after="0"/>
        <w:rPr>
          <w:sz w:val="18"/>
          <w:szCs w:val="18"/>
        </w:rPr>
      </w:pPr>
      <w:r w:rsidRPr="00BC0D67">
        <w:rPr>
          <w:sz w:val="18"/>
          <w:szCs w:val="18"/>
        </w:rPr>
        <w:t>*</w:t>
      </w:r>
      <w:r w:rsidR="003D47C7">
        <w:rPr>
          <w:sz w:val="18"/>
          <w:szCs w:val="18"/>
        </w:rPr>
        <w:t>Input</w:t>
      </w:r>
      <w:r w:rsidR="00301E85">
        <w:rPr>
          <w:sz w:val="18"/>
          <w:szCs w:val="18"/>
        </w:rPr>
        <w:t xml:space="preserve"> </w:t>
      </w:r>
      <w:r w:rsidRPr="00BC0D67">
        <w:rPr>
          <w:sz w:val="18"/>
          <w:szCs w:val="18"/>
        </w:rPr>
        <w:t xml:space="preserve">for mitigation measure quantification. </w:t>
      </w:r>
    </w:p>
    <w:p w14:paraId="32CBAEAB" w14:textId="5C637142" w:rsidR="00FB3411" w:rsidRPr="004C12C9" w:rsidRDefault="004474F4" w:rsidP="00FB3411">
      <w:r w:rsidRPr="004C12C9">
        <w:rPr>
          <w:b/>
          <w:bCs/>
        </w:rPr>
        <w:t>Enteric Fermentation and Manure Management:</w:t>
      </w:r>
      <w:r w:rsidRPr="004C12C9">
        <w:t xml:space="preserve"> </w:t>
      </w:r>
      <w:r w:rsidR="00FB3411" w:rsidRPr="004C12C9">
        <w:t xml:space="preserve">If enteric fermentation and manure management are applicable to the project, </w:t>
      </w:r>
      <w:r w:rsidR="00ED412D" w:rsidRPr="004C12C9">
        <w:t xml:space="preserve">a user is required to enter the inputs </w:t>
      </w:r>
      <w:r w:rsidR="008108D5" w:rsidRPr="004C12C9">
        <w:t xml:space="preserve">described </w:t>
      </w:r>
      <w:r w:rsidR="00ED412D" w:rsidRPr="004C12C9">
        <w:t xml:space="preserve">in </w:t>
      </w:r>
      <w:r w:rsidR="00012215" w:rsidRPr="004C12C9">
        <w:fldChar w:fldCharType="begin" w:fldLock="1"/>
      </w:r>
      <w:r w:rsidR="00012215" w:rsidRPr="004C12C9">
        <w:instrText xml:space="preserve"> REF _Ref195880447 \h </w:instrText>
      </w:r>
      <w:r w:rsidR="00012215" w:rsidRPr="004C12C9">
        <w:fldChar w:fldCharType="separate"/>
      </w:r>
      <w:r w:rsidR="00127094" w:rsidRPr="004C12C9">
        <w:t>Table D-19</w:t>
      </w:r>
      <w:r w:rsidR="00012215" w:rsidRPr="004C12C9">
        <w:fldChar w:fldCharType="end"/>
      </w:r>
      <w:r w:rsidR="00012215" w:rsidRPr="004C12C9">
        <w:t>.</w:t>
      </w:r>
    </w:p>
    <w:p w14:paraId="0CBE2064" w14:textId="6108D29D" w:rsidR="00424992" w:rsidRPr="004C12C9" w:rsidRDefault="00424992" w:rsidP="00424992">
      <w:pPr>
        <w:pStyle w:val="Caption"/>
      </w:pPr>
      <w:bookmarkStart w:id="351" w:name="_Ref195880447"/>
      <w:r w:rsidRPr="004C12C9">
        <w:lastRenderedPageBreak/>
        <w:t>Table D-</w:t>
      </w:r>
      <w:r w:rsidR="009567CD">
        <w:fldChar w:fldCharType="begin"/>
      </w:r>
      <w:r w:rsidR="009567CD">
        <w:instrText xml:space="preserve"> SEQ Table_D- \* ARABIC </w:instrText>
      </w:r>
      <w:r w:rsidR="009567CD">
        <w:fldChar w:fldCharType="separate"/>
      </w:r>
      <w:r w:rsidR="009567CD" w:rsidRPr="004C12C9">
        <w:t>19</w:t>
      </w:r>
      <w:r w:rsidR="009567CD">
        <w:fldChar w:fldCharType="end"/>
      </w:r>
      <w:bookmarkEnd w:id="351"/>
      <w:r w:rsidRPr="004C12C9">
        <w:t>. User Inputs for Enteric Fermentation and Manure Management</w:t>
      </w:r>
    </w:p>
    <w:tbl>
      <w:tblPr>
        <w:tblStyle w:val="TableGridLight"/>
        <w:tblW w:w="0" w:type="auto"/>
        <w:tblLook w:val="04A0" w:firstRow="1" w:lastRow="0" w:firstColumn="1" w:lastColumn="0" w:noHBand="0" w:noVBand="1"/>
      </w:tblPr>
      <w:tblGrid>
        <w:gridCol w:w="1975"/>
        <w:gridCol w:w="1170"/>
        <w:gridCol w:w="2250"/>
        <w:gridCol w:w="1980"/>
        <w:gridCol w:w="1975"/>
      </w:tblGrid>
      <w:tr w:rsidR="002A0002" w:rsidRPr="004C12C9" w14:paraId="55C6D8E8" w14:textId="77777777" w:rsidTr="007749FF">
        <w:trPr>
          <w:cantSplit/>
          <w:trHeight w:val="70"/>
          <w:tblHeader/>
        </w:trPr>
        <w:tc>
          <w:tcPr>
            <w:tcW w:w="1975" w:type="dxa"/>
            <w:shd w:val="clear" w:color="auto" w:fill="D9D9D9" w:themeFill="background1" w:themeFillShade="D9"/>
            <w:vAlign w:val="center"/>
          </w:tcPr>
          <w:p w14:paraId="3E2208F7" w14:textId="6DA98FC3"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70" w:type="dxa"/>
            <w:shd w:val="clear" w:color="auto" w:fill="D9D9D9" w:themeFill="background1" w:themeFillShade="D9"/>
            <w:vAlign w:val="center"/>
          </w:tcPr>
          <w:p w14:paraId="3ABED1EF" w14:textId="1CFD2A06"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250" w:type="dxa"/>
            <w:shd w:val="clear" w:color="auto" w:fill="D9D9D9" w:themeFill="background1" w:themeFillShade="D9"/>
            <w:vAlign w:val="center"/>
          </w:tcPr>
          <w:p w14:paraId="45888E5F" w14:textId="3741D729"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7043DC11" w14:textId="73E81576" w:rsidR="00EE4EC7" w:rsidRPr="004C12C9" w:rsidRDefault="00EE4EC7" w:rsidP="0077773D">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22CAB678" w14:textId="298C3A58" w:rsidR="00EE4EC7" w:rsidRPr="004C12C9" w:rsidRDefault="00EE4EC7" w:rsidP="0077773D">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6B6066" w:rsidRPr="004C12C9" w14:paraId="4BF44F0C" w14:textId="77777777" w:rsidTr="007749FF">
        <w:trPr>
          <w:cantSplit/>
        </w:trPr>
        <w:tc>
          <w:tcPr>
            <w:tcW w:w="1975" w:type="dxa"/>
          </w:tcPr>
          <w:p w14:paraId="4282CECD" w14:textId="241687F9" w:rsidR="006B6066" w:rsidRPr="004C12C9" w:rsidRDefault="006B6066" w:rsidP="002A0002">
            <w:pPr>
              <w:pStyle w:val="ICFTabletext"/>
              <w:rPr>
                <w:sz w:val="20"/>
              </w:rPr>
            </w:pPr>
            <w:r w:rsidRPr="004C12C9">
              <w:rPr>
                <w:sz w:val="20"/>
              </w:rPr>
              <w:t>Percent of manure applied or sold for application to agricultural soils (pasture or cropland) as fertilizer</w:t>
            </w:r>
          </w:p>
        </w:tc>
        <w:tc>
          <w:tcPr>
            <w:tcW w:w="1170" w:type="dxa"/>
          </w:tcPr>
          <w:p w14:paraId="2F44695D" w14:textId="12499EAD" w:rsidR="006B6066" w:rsidRPr="004C12C9" w:rsidRDefault="006E2980" w:rsidP="002A0002">
            <w:pPr>
              <w:pStyle w:val="ICFTabletext"/>
              <w:rPr>
                <w:sz w:val="20"/>
              </w:rPr>
            </w:pPr>
            <w:r w:rsidRPr="004C12C9">
              <w:rPr>
                <w:sz w:val="20"/>
              </w:rPr>
              <w:t>Percent</w:t>
            </w:r>
          </w:p>
        </w:tc>
        <w:tc>
          <w:tcPr>
            <w:tcW w:w="2250" w:type="dxa"/>
          </w:tcPr>
          <w:p w14:paraId="6E8AD4EC" w14:textId="3C99E715" w:rsidR="006B6066" w:rsidRPr="004C12C9" w:rsidRDefault="006E2980" w:rsidP="002A0002">
            <w:pPr>
              <w:pStyle w:val="ICFTabletext"/>
              <w:rPr>
                <w:sz w:val="20"/>
              </w:rPr>
            </w:pPr>
            <w:r w:rsidRPr="004C12C9">
              <w:rPr>
                <w:sz w:val="20"/>
              </w:rPr>
              <w:t xml:space="preserve">Must be between 0 and 100%. </w:t>
            </w:r>
            <w:r w:rsidR="00A90E3C" w:rsidRPr="004C12C9">
              <w:rPr>
                <w:sz w:val="20"/>
              </w:rPr>
              <w:t xml:space="preserve">Red checker will appear if </w:t>
            </w:r>
            <w:r w:rsidR="002D3BCE" w:rsidRPr="004C12C9">
              <w:rPr>
                <w:sz w:val="20"/>
              </w:rPr>
              <w:t>no value is entered.</w:t>
            </w:r>
          </w:p>
        </w:tc>
        <w:tc>
          <w:tcPr>
            <w:tcW w:w="1980" w:type="dxa"/>
          </w:tcPr>
          <w:p w14:paraId="5F174E27" w14:textId="030A56BC" w:rsidR="006B6066" w:rsidRPr="004C12C9" w:rsidRDefault="006E2980" w:rsidP="002A0002">
            <w:pPr>
              <w:pStyle w:val="ICFTabletext"/>
              <w:rPr>
                <w:sz w:val="20"/>
              </w:rPr>
            </w:pPr>
            <w:r w:rsidRPr="004C12C9">
              <w:rPr>
                <w:sz w:val="20"/>
              </w:rPr>
              <w:t>NA</w:t>
            </w:r>
          </w:p>
        </w:tc>
        <w:tc>
          <w:tcPr>
            <w:tcW w:w="1975" w:type="dxa"/>
          </w:tcPr>
          <w:p w14:paraId="1C1E2814" w14:textId="3AD9E0B9" w:rsidR="006B6066" w:rsidRPr="004C12C9" w:rsidRDefault="00E03E31" w:rsidP="002A0002">
            <w:pPr>
              <w:pStyle w:val="ICFTabletext"/>
              <w:rPr>
                <w:sz w:val="20"/>
              </w:rPr>
            </w:pPr>
            <w:r w:rsidRPr="004C12C9">
              <w:rPr>
                <w:sz w:val="20"/>
              </w:rPr>
              <w:t xml:space="preserve">Used to calculate annual </w:t>
            </w:r>
            <w:r w:rsidR="00241725" w:rsidRPr="004C12C9">
              <w:rPr>
                <w:sz w:val="20"/>
              </w:rPr>
              <w:t xml:space="preserve">direct and </w:t>
            </w:r>
            <w:r w:rsidRPr="004C12C9">
              <w:rPr>
                <w:sz w:val="20"/>
              </w:rPr>
              <w:t>indirect nitrous oxide emissions from land application.</w:t>
            </w:r>
          </w:p>
        </w:tc>
      </w:tr>
      <w:tr w:rsidR="00FB3411" w:rsidRPr="004C12C9" w14:paraId="685A51E2" w14:textId="77777777" w:rsidTr="007749FF">
        <w:trPr>
          <w:cantSplit/>
        </w:trPr>
        <w:tc>
          <w:tcPr>
            <w:tcW w:w="1975" w:type="dxa"/>
          </w:tcPr>
          <w:p w14:paraId="487C28C7" w14:textId="7CF3AFE7" w:rsidR="00FB3411" w:rsidRPr="004C12C9" w:rsidRDefault="00616E5A" w:rsidP="002A0002">
            <w:pPr>
              <w:pStyle w:val="ICFTabletext"/>
              <w:rPr>
                <w:rFonts w:ascii="Calibri" w:eastAsia="Times New Roman" w:hAnsi="Calibri" w:cs="Times New Roman"/>
                <w:sz w:val="20"/>
                <w:lang w:eastAsia="en-US" w:bidi="en-US"/>
              </w:rPr>
            </w:pPr>
            <w:r w:rsidRPr="004C12C9">
              <w:rPr>
                <w:sz w:val="20"/>
              </w:rPr>
              <w:t xml:space="preserve">Population </w:t>
            </w:r>
            <w:r w:rsidR="00AA364F" w:rsidRPr="004C12C9">
              <w:rPr>
                <w:sz w:val="20"/>
              </w:rPr>
              <w:t>of animals</w:t>
            </w:r>
          </w:p>
        </w:tc>
        <w:tc>
          <w:tcPr>
            <w:tcW w:w="1170" w:type="dxa"/>
          </w:tcPr>
          <w:p w14:paraId="5E3534BB" w14:textId="4ACACBF9" w:rsidR="00FB3411" w:rsidRPr="004C12C9" w:rsidRDefault="00D61184" w:rsidP="002A0002">
            <w:pPr>
              <w:pStyle w:val="ICFTabletext"/>
              <w:rPr>
                <w:rFonts w:ascii="Calibri" w:eastAsia="Times New Roman" w:hAnsi="Calibri" w:cs="Times New Roman"/>
                <w:sz w:val="20"/>
                <w:lang w:eastAsia="en-US" w:bidi="en-US"/>
              </w:rPr>
            </w:pPr>
            <w:r w:rsidRPr="004C12C9">
              <w:rPr>
                <w:sz w:val="20"/>
              </w:rPr>
              <w:t>Whole number</w:t>
            </w:r>
          </w:p>
        </w:tc>
        <w:tc>
          <w:tcPr>
            <w:tcW w:w="2250" w:type="dxa"/>
          </w:tcPr>
          <w:p w14:paraId="3A34CCFD" w14:textId="6EBD52CC" w:rsidR="00FB3411" w:rsidRPr="004C12C9" w:rsidRDefault="00D61184" w:rsidP="002A0002">
            <w:pPr>
              <w:pStyle w:val="ICFTabletext"/>
              <w:rPr>
                <w:rFonts w:ascii="Calibri" w:eastAsia="Times New Roman" w:hAnsi="Calibri" w:cs="Times New Roman"/>
                <w:sz w:val="20"/>
                <w:lang w:eastAsia="en-US" w:bidi="en-US"/>
              </w:rPr>
            </w:pPr>
            <w:r w:rsidRPr="004C12C9">
              <w:rPr>
                <w:sz w:val="20"/>
              </w:rPr>
              <w:t>Must be a whole number</w:t>
            </w:r>
            <w:r w:rsidR="00BC4018" w:rsidRPr="004C12C9">
              <w:rPr>
                <w:sz w:val="20"/>
              </w:rPr>
              <w:t xml:space="preserve"> equal to or</w:t>
            </w:r>
            <w:r w:rsidRPr="004C12C9">
              <w:rPr>
                <w:sz w:val="20"/>
              </w:rPr>
              <w:t xml:space="preserve"> greater than 0. </w:t>
            </w:r>
            <w:r w:rsidR="00FC4462" w:rsidRPr="004C12C9">
              <w:rPr>
                <w:sz w:val="20"/>
              </w:rPr>
              <w:t>Population must be provided for at least one animal</w:t>
            </w:r>
            <w:r w:rsidR="00BC4018" w:rsidRPr="004C12C9">
              <w:rPr>
                <w:sz w:val="20"/>
              </w:rPr>
              <w:t xml:space="preserve">. Red checker appears if </w:t>
            </w:r>
            <w:r w:rsidR="00BC4018" w:rsidRPr="004C12C9">
              <w:rPr>
                <w:sz w:val="20"/>
                <w:lang w:bidi="en-US"/>
              </w:rPr>
              <w:t xml:space="preserve">the </w:t>
            </w:r>
            <w:r w:rsidR="00BC4018" w:rsidRPr="004C12C9">
              <w:rPr>
                <w:rFonts w:ascii="Calibri" w:eastAsia="Times New Roman" w:hAnsi="Calibri" w:cs="Times New Roman"/>
                <w:sz w:val="20"/>
                <w:lang w:eastAsia="en-US" w:bidi="en-US"/>
              </w:rPr>
              <w:t>sum of all values equals 0.</w:t>
            </w:r>
            <w:r w:rsidR="00C51AD6" w:rsidRPr="004C12C9">
              <w:rPr>
                <w:sz w:val="20"/>
              </w:rPr>
              <w:t xml:space="preserve"> </w:t>
            </w:r>
          </w:p>
        </w:tc>
        <w:tc>
          <w:tcPr>
            <w:tcW w:w="1980" w:type="dxa"/>
          </w:tcPr>
          <w:p w14:paraId="31C4CEFD" w14:textId="1F44DA13" w:rsidR="00550525" w:rsidRPr="004C12C9" w:rsidRDefault="00B2052E" w:rsidP="002A0002">
            <w:pPr>
              <w:pStyle w:val="ICFTabletext"/>
              <w:rPr>
                <w:rFonts w:ascii="Calibri" w:eastAsia="Times New Roman" w:hAnsi="Calibri" w:cs="Times New Roman"/>
                <w:sz w:val="20"/>
                <w:lang w:eastAsia="en-US" w:bidi="en-US"/>
              </w:rPr>
            </w:pPr>
            <w:r w:rsidRPr="004C12C9">
              <w:rPr>
                <w:sz w:val="20"/>
              </w:rPr>
              <w:t>NA</w:t>
            </w:r>
          </w:p>
        </w:tc>
        <w:tc>
          <w:tcPr>
            <w:tcW w:w="1975" w:type="dxa"/>
          </w:tcPr>
          <w:p w14:paraId="16A8E4B3" w14:textId="49258F97" w:rsidR="00FB3411" w:rsidRPr="004C12C9" w:rsidRDefault="00EB103D" w:rsidP="002A0002">
            <w:pPr>
              <w:pStyle w:val="ICFTabletext"/>
              <w:rPr>
                <w:rFonts w:ascii="Calibri" w:eastAsia="Times New Roman" w:hAnsi="Calibri" w:cs="Times New Roman"/>
                <w:sz w:val="20"/>
                <w:lang w:eastAsia="en-US" w:bidi="en-US"/>
              </w:rPr>
            </w:pPr>
            <w:r w:rsidRPr="004C12C9">
              <w:rPr>
                <w:sz w:val="20"/>
              </w:rPr>
              <w:t>Average annual number of animals across the operational lifetime of the project that will be managed during feedlot operation as a result of the project.</w:t>
            </w:r>
          </w:p>
        </w:tc>
      </w:tr>
      <w:tr w:rsidR="00616E5A" w:rsidRPr="004C12C9" w14:paraId="71BCCCFA" w14:textId="77777777" w:rsidTr="007749FF">
        <w:trPr>
          <w:cantSplit/>
        </w:trPr>
        <w:tc>
          <w:tcPr>
            <w:tcW w:w="1975" w:type="dxa"/>
          </w:tcPr>
          <w:p w14:paraId="03835551" w14:textId="5BDBA84C" w:rsidR="00616E5A" w:rsidRPr="004C12C9" w:rsidRDefault="00AA364F" w:rsidP="002A0002">
            <w:pPr>
              <w:pStyle w:val="ICFTabletext"/>
              <w:rPr>
                <w:rFonts w:ascii="Calibri" w:eastAsia="Times New Roman" w:hAnsi="Calibri" w:cs="Times New Roman"/>
                <w:sz w:val="20"/>
                <w:lang w:eastAsia="en-US" w:bidi="en-US"/>
              </w:rPr>
            </w:pPr>
            <w:r w:rsidRPr="004C12C9">
              <w:rPr>
                <w:sz w:val="20"/>
              </w:rPr>
              <w:t>Percentage of applicable manure management system by livestock type</w:t>
            </w:r>
            <w:r w:rsidR="00301E85">
              <w:rPr>
                <w:sz w:val="20"/>
              </w:rPr>
              <w:t>*</w:t>
            </w:r>
          </w:p>
        </w:tc>
        <w:tc>
          <w:tcPr>
            <w:tcW w:w="1170" w:type="dxa"/>
          </w:tcPr>
          <w:p w14:paraId="606CB8A6" w14:textId="2BCA8395" w:rsidR="00616E5A" w:rsidRPr="004C12C9" w:rsidRDefault="00FC4462" w:rsidP="002A0002">
            <w:pPr>
              <w:pStyle w:val="ICFTabletext"/>
              <w:rPr>
                <w:rFonts w:ascii="Calibri" w:eastAsia="Times New Roman" w:hAnsi="Calibri" w:cs="Times New Roman"/>
                <w:sz w:val="20"/>
                <w:lang w:eastAsia="en-US" w:bidi="en-US"/>
              </w:rPr>
            </w:pPr>
            <w:r w:rsidRPr="004C12C9">
              <w:rPr>
                <w:sz w:val="20"/>
              </w:rPr>
              <w:t>Percent</w:t>
            </w:r>
          </w:p>
        </w:tc>
        <w:tc>
          <w:tcPr>
            <w:tcW w:w="2250" w:type="dxa"/>
          </w:tcPr>
          <w:p w14:paraId="45F4A94C" w14:textId="4F5BD078" w:rsidR="00616E5A" w:rsidRPr="004C12C9" w:rsidRDefault="00A4741E" w:rsidP="002A0002">
            <w:pPr>
              <w:pStyle w:val="ICFTabletext"/>
              <w:rPr>
                <w:rFonts w:ascii="Calibri" w:eastAsia="Times New Roman" w:hAnsi="Calibri" w:cs="Times New Roman"/>
                <w:sz w:val="20"/>
                <w:lang w:eastAsia="en-US" w:bidi="en-US"/>
              </w:rPr>
            </w:pPr>
            <w:r w:rsidRPr="004C12C9">
              <w:rPr>
                <w:sz w:val="20"/>
              </w:rPr>
              <w:t>Must be between 0 and 100%</w:t>
            </w:r>
            <w:r w:rsidR="009567CD" w:rsidRPr="004C12C9">
              <w:rPr>
                <w:sz w:val="20"/>
              </w:rPr>
              <w:t>.</w:t>
            </w:r>
            <w:r w:rsidRPr="004C12C9">
              <w:rPr>
                <w:sz w:val="20"/>
              </w:rPr>
              <w:t xml:space="preserve"> </w:t>
            </w:r>
            <w:r w:rsidR="009567CD" w:rsidRPr="004C12C9">
              <w:rPr>
                <w:sz w:val="20"/>
              </w:rPr>
              <w:t>V</w:t>
            </w:r>
            <w:r w:rsidR="00DF526E" w:rsidRPr="004C12C9">
              <w:rPr>
                <w:sz w:val="20"/>
              </w:rPr>
              <w:t>alues by livestock type must sum to 100%</w:t>
            </w:r>
            <w:r w:rsidRPr="004C12C9">
              <w:rPr>
                <w:sz w:val="20"/>
              </w:rPr>
              <w:t xml:space="preserve"> for each animal</w:t>
            </w:r>
            <w:r w:rsidR="00444D02" w:rsidRPr="004C12C9">
              <w:rPr>
                <w:sz w:val="20"/>
              </w:rPr>
              <w:t xml:space="preserve"> type. </w:t>
            </w:r>
            <w:r w:rsidR="00444D02" w:rsidRPr="004C12C9">
              <w:rPr>
                <w:sz w:val="20"/>
                <w:lang w:bidi="en-US"/>
              </w:rPr>
              <w:t>Red checker and text will appear if total does not equal 100%.</w:t>
            </w:r>
          </w:p>
        </w:tc>
        <w:tc>
          <w:tcPr>
            <w:tcW w:w="1980" w:type="dxa"/>
          </w:tcPr>
          <w:p w14:paraId="560F9F27" w14:textId="0F2A37B2" w:rsidR="00616E5A" w:rsidRPr="004C12C9" w:rsidRDefault="006B4D9A" w:rsidP="002A0002">
            <w:pPr>
              <w:pStyle w:val="ICFTabletext"/>
              <w:rPr>
                <w:rFonts w:ascii="Calibri" w:eastAsia="Times New Roman" w:hAnsi="Calibri" w:cs="Times New Roman"/>
                <w:sz w:val="20"/>
                <w:lang w:eastAsia="en-US" w:bidi="en-US"/>
              </w:rPr>
            </w:pPr>
            <w:r w:rsidRPr="004C12C9">
              <w:rPr>
                <w:sz w:val="20"/>
              </w:rPr>
              <w:t xml:space="preserve">NA. </w:t>
            </w:r>
            <w:r w:rsidR="00686066" w:rsidRPr="004C12C9">
              <w:rPr>
                <w:sz w:val="20"/>
              </w:rPr>
              <w:t xml:space="preserve">Values can only be </w:t>
            </w:r>
            <w:r w:rsidRPr="004C12C9">
              <w:rPr>
                <w:sz w:val="20"/>
              </w:rPr>
              <w:t>entered</w:t>
            </w:r>
            <w:r w:rsidR="00686066" w:rsidRPr="004C12C9">
              <w:rPr>
                <w:sz w:val="20"/>
              </w:rPr>
              <w:t xml:space="preserve"> for</w:t>
            </w:r>
            <w:r w:rsidR="000742BC" w:rsidRPr="004C12C9">
              <w:rPr>
                <w:sz w:val="20"/>
              </w:rPr>
              <w:t xml:space="preserve"> applicable manure management systems for each livestock type</w:t>
            </w:r>
            <w:r w:rsidR="00B2052E" w:rsidRPr="004C12C9">
              <w:rPr>
                <w:sz w:val="20"/>
              </w:rPr>
              <w:t>.</w:t>
            </w:r>
          </w:p>
        </w:tc>
        <w:tc>
          <w:tcPr>
            <w:tcW w:w="1975" w:type="dxa"/>
          </w:tcPr>
          <w:p w14:paraId="30596D24" w14:textId="746E5DE6" w:rsidR="00616E5A" w:rsidRPr="004C12C9" w:rsidRDefault="00EB103D" w:rsidP="002A0002">
            <w:pPr>
              <w:pStyle w:val="ICFTabletext"/>
              <w:rPr>
                <w:rFonts w:ascii="Calibri" w:eastAsia="Times New Roman" w:hAnsi="Calibri" w:cs="Times New Roman"/>
                <w:sz w:val="20"/>
                <w:lang w:eastAsia="en-US" w:bidi="en-US"/>
              </w:rPr>
            </w:pPr>
            <w:r w:rsidRPr="004C12C9">
              <w:rPr>
                <w:sz w:val="20"/>
              </w:rPr>
              <w:t>Portion of manure that will be treated by each management system</w:t>
            </w:r>
            <w:r w:rsidR="000665E0" w:rsidRPr="004C12C9">
              <w:rPr>
                <w:sz w:val="20"/>
              </w:rPr>
              <w:t>.</w:t>
            </w:r>
          </w:p>
        </w:tc>
      </w:tr>
    </w:tbl>
    <w:p w14:paraId="61A87350" w14:textId="346BB668" w:rsidR="00CB09C3" w:rsidRPr="00533FB5" w:rsidRDefault="00301E85" w:rsidP="00533FB5">
      <w:pPr>
        <w:spacing w:before="0" w:after="0"/>
        <w:rPr>
          <w:sz w:val="18"/>
          <w:szCs w:val="18"/>
        </w:rPr>
      </w:pPr>
      <w:r w:rsidRPr="00BC0D67">
        <w:rPr>
          <w:sz w:val="18"/>
          <w:szCs w:val="18"/>
        </w:rPr>
        <w:t>*</w:t>
      </w:r>
      <w:r w:rsidR="003D47C7">
        <w:rPr>
          <w:sz w:val="18"/>
          <w:szCs w:val="18"/>
        </w:rPr>
        <w:t>Input</w:t>
      </w:r>
      <w:r>
        <w:rPr>
          <w:sz w:val="18"/>
          <w:szCs w:val="18"/>
        </w:rPr>
        <w:t xml:space="preserve"> </w:t>
      </w:r>
      <w:r w:rsidRPr="00BC0D67">
        <w:rPr>
          <w:sz w:val="18"/>
          <w:szCs w:val="18"/>
        </w:rPr>
        <w:t xml:space="preserve">for mitigation measure quantification. </w:t>
      </w:r>
    </w:p>
    <w:p w14:paraId="165CAFF6" w14:textId="77777777" w:rsidR="00CB09C3" w:rsidRPr="004C12C9" w:rsidRDefault="00CB09C3" w:rsidP="00097C38">
      <w:pPr>
        <w:pStyle w:val="ICFTabletext"/>
        <w:sectPr w:rsidR="00CB09C3" w:rsidRPr="004C12C9" w:rsidSect="00957EA5">
          <w:headerReference w:type="default" r:id="rId158"/>
          <w:footerReference w:type="default" r:id="rId159"/>
          <w:pgSz w:w="12240" w:h="15840"/>
          <w:pgMar w:top="1152" w:right="1440" w:bottom="1152" w:left="1440" w:header="576" w:footer="446" w:gutter="0"/>
          <w:cols w:space="720"/>
          <w:docGrid w:linePitch="360"/>
        </w:sectPr>
      </w:pPr>
    </w:p>
    <w:p w14:paraId="59D83B8C" w14:textId="55CF8480" w:rsidR="00511754" w:rsidRPr="004C12C9" w:rsidRDefault="00E545F9" w:rsidP="007F736B">
      <w:pPr>
        <w:pStyle w:val="Appendix2"/>
      </w:pPr>
      <w:bookmarkStart w:id="352" w:name="_Toc194319974"/>
      <w:bookmarkStart w:id="353" w:name="_Toc194676880"/>
      <w:bookmarkStart w:id="354" w:name="_Ref196747526"/>
      <w:bookmarkStart w:id="355" w:name="_Ref196747558"/>
      <w:bookmarkStart w:id="356" w:name="_Toc219887800"/>
      <w:r w:rsidRPr="004C12C9">
        <w:lastRenderedPageBreak/>
        <w:t>Emission</w:t>
      </w:r>
      <w:r w:rsidR="00511754" w:rsidRPr="004C12C9">
        <w:t xml:space="preserve"> Outputs</w:t>
      </w:r>
      <w:bookmarkEnd w:id="334"/>
      <w:bookmarkEnd w:id="335"/>
      <w:bookmarkEnd w:id="352"/>
      <w:bookmarkEnd w:id="353"/>
      <w:bookmarkEnd w:id="354"/>
      <w:bookmarkEnd w:id="355"/>
      <w:bookmarkEnd w:id="356"/>
    </w:p>
    <w:p w14:paraId="6EBF42FD" w14:textId="6811EDB3" w:rsidR="00E61A60" w:rsidRPr="004C12C9" w:rsidRDefault="00B165AD" w:rsidP="00972CF9">
      <w:r w:rsidRPr="004C12C9">
        <w:t xml:space="preserve">Based on the inputs entered by users and the assumptions embedded into the </w:t>
      </w:r>
      <w:r w:rsidR="00DF04D4" w:rsidRPr="004C12C9">
        <w:t>calculator</w:t>
      </w:r>
      <w:r w:rsidRPr="004C12C9">
        <w:t xml:space="preserve">, the </w:t>
      </w:r>
      <w:r w:rsidR="00DF04D4" w:rsidRPr="004C12C9">
        <w:t xml:space="preserve">calculator </w:t>
      </w:r>
      <w:r w:rsidRPr="004C12C9">
        <w:t>quanti</w:t>
      </w:r>
      <w:r w:rsidR="00AA555C" w:rsidRPr="004C12C9">
        <w:t>fies</w:t>
      </w:r>
      <w:r w:rsidRPr="004C12C9">
        <w:t xml:space="preserve"> GHG emissions across the lifetime of the proposed project. The calculations </w:t>
      </w:r>
      <w:r w:rsidR="00895318" w:rsidRPr="004C12C9">
        <w:t>by</w:t>
      </w:r>
      <w:r w:rsidRPr="004C12C9">
        <w:t xml:space="preserve"> emissions source </w:t>
      </w:r>
      <w:r w:rsidR="00895318" w:rsidRPr="004C12C9">
        <w:t xml:space="preserve">are </w:t>
      </w:r>
      <w:r w:rsidR="007062B8" w:rsidRPr="004C12C9">
        <w:t>detailed</w:t>
      </w:r>
      <w:r w:rsidR="00895318" w:rsidRPr="004C12C9">
        <w:t xml:space="preserve"> </w:t>
      </w:r>
      <w:r w:rsidRPr="004C12C9">
        <w:t xml:space="preserve">in the Construction and Operation tabs. </w:t>
      </w:r>
      <w:r w:rsidR="00C246C4" w:rsidRPr="004C12C9">
        <w:t xml:space="preserve">The </w:t>
      </w:r>
      <w:r w:rsidR="004D060E" w:rsidRPr="004C12C9">
        <w:t>emissions</w:t>
      </w:r>
      <w:r w:rsidR="00C246C4" w:rsidRPr="004C12C9">
        <w:t xml:space="preserve"> in these tabs are presented in </w:t>
      </w:r>
      <w:r w:rsidR="00263745" w:rsidRPr="004C12C9">
        <w:t>kilograms of carbon dioxide equivalent (</w:t>
      </w:r>
      <w:r w:rsidR="00C246C4" w:rsidRPr="004C12C9">
        <w:t>kgCO</w:t>
      </w:r>
      <w:r w:rsidR="00C246C4" w:rsidRPr="004C12C9">
        <w:rPr>
          <w:vertAlign w:val="subscript"/>
        </w:rPr>
        <w:t>2</w:t>
      </w:r>
      <w:r w:rsidR="00C246C4" w:rsidRPr="004C12C9">
        <w:t>e</w:t>
      </w:r>
      <w:r w:rsidR="00263745" w:rsidRPr="004C12C9">
        <w:t>)</w:t>
      </w:r>
      <w:r w:rsidR="00C246C4" w:rsidRPr="004C12C9">
        <w:t>.</w:t>
      </w:r>
      <w:r w:rsidRPr="004C12C9">
        <w:t xml:space="preserve"> </w:t>
      </w:r>
      <w:r w:rsidR="00381C7F" w:rsidRPr="004C12C9">
        <w:t>Construction e</w:t>
      </w:r>
      <w:r w:rsidR="004D060E" w:rsidRPr="004C12C9">
        <w:t xml:space="preserve">missions </w:t>
      </w:r>
      <w:r w:rsidR="00381C7F" w:rsidRPr="004C12C9">
        <w:t xml:space="preserve">and annual operational emissions </w:t>
      </w:r>
      <w:r w:rsidR="00AA555C" w:rsidRPr="004C12C9">
        <w:t>are</w:t>
      </w:r>
      <w:r w:rsidRPr="004C12C9">
        <w:t xml:space="preserve"> then aggregated and presented as cumulative and annualized emissions by emission source and project phase</w:t>
      </w:r>
      <w:r w:rsidR="00410952" w:rsidRPr="004C12C9">
        <w:t xml:space="preserve"> on the Results tab.</w:t>
      </w:r>
      <w:r w:rsidR="00E7188A" w:rsidRPr="004C12C9">
        <w:t xml:space="preserve"> </w:t>
      </w:r>
      <w:r w:rsidR="00E16C8A" w:rsidRPr="004C12C9">
        <w:t>Definitions of key terms</w:t>
      </w:r>
      <w:r w:rsidR="00E7188A" w:rsidRPr="004C12C9">
        <w:t xml:space="preserve"> include the following:</w:t>
      </w:r>
    </w:p>
    <w:p w14:paraId="79394C55" w14:textId="37406B01" w:rsidR="005104AF" w:rsidRPr="004C12C9" w:rsidRDefault="005104AF" w:rsidP="003B5F7F">
      <w:pPr>
        <w:pStyle w:val="ListParagraph"/>
        <w:numPr>
          <w:ilvl w:val="0"/>
          <w:numId w:val="42"/>
        </w:numPr>
      </w:pPr>
      <w:r w:rsidRPr="004C12C9">
        <w:rPr>
          <w:b/>
          <w:bCs/>
        </w:rPr>
        <w:t>Cumulative Emissions:</w:t>
      </w:r>
      <w:r w:rsidRPr="004C12C9">
        <w:t xml:space="preserve"> C</w:t>
      </w:r>
      <w:r w:rsidR="00B60453" w:rsidRPr="004C12C9">
        <w:t>umulative emissions are calculated as the</w:t>
      </w:r>
      <w:r w:rsidR="004B0180" w:rsidRPr="004C12C9">
        <w:t xml:space="preserve"> sum of</w:t>
      </w:r>
      <w:r w:rsidR="00B60453" w:rsidRPr="004C12C9">
        <w:t xml:space="preserve"> </w:t>
      </w:r>
      <w:r w:rsidR="00CF6040" w:rsidRPr="004C12C9">
        <w:t xml:space="preserve">construction </w:t>
      </w:r>
      <w:r w:rsidR="007A3A1E" w:rsidRPr="004C12C9">
        <w:t xml:space="preserve">emissions </w:t>
      </w:r>
      <w:r w:rsidR="00CF6040" w:rsidRPr="004C12C9">
        <w:t xml:space="preserve">and operational </w:t>
      </w:r>
      <w:r w:rsidR="00B60453" w:rsidRPr="004C12C9">
        <w:t xml:space="preserve">emissions across </w:t>
      </w:r>
      <w:r w:rsidR="007A3A1E" w:rsidRPr="004C12C9">
        <w:t>operational lifespan of the project</w:t>
      </w:r>
      <w:r w:rsidR="00187854" w:rsidRPr="004C12C9">
        <w:t>.</w:t>
      </w:r>
    </w:p>
    <w:p w14:paraId="7E4FBA8F" w14:textId="3A49CDF2" w:rsidR="005104AF" w:rsidRPr="004C12C9" w:rsidRDefault="005104AF" w:rsidP="003B5F7F">
      <w:pPr>
        <w:pStyle w:val="ListParagraph"/>
        <w:numPr>
          <w:ilvl w:val="0"/>
          <w:numId w:val="42"/>
        </w:numPr>
      </w:pPr>
      <w:r w:rsidRPr="004C12C9">
        <w:rPr>
          <w:b/>
          <w:bCs/>
        </w:rPr>
        <w:t>Annualized Emissions:</w:t>
      </w:r>
      <w:r w:rsidRPr="004C12C9">
        <w:t xml:space="preserve"> </w:t>
      </w:r>
      <w:r w:rsidR="00B60453" w:rsidRPr="004C12C9">
        <w:t>Annualized emissions are calculated</w:t>
      </w:r>
      <w:r w:rsidR="00BC0B06" w:rsidRPr="004C12C9">
        <w:t xml:space="preserve"> </w:t>
      </w:r>
      <w:r w:rsidR="00187854" w:rsidRPr="004C12C9">
        <w:t>by dividing</w:t>
      </w:r>
      <w:r w:rsidR="00BC0B06" w:rsidRPr="004C12C9">
        <w:t xml:space="preserve"> cumulative emissions</w:t>
      </w:r>
      <w:r w:rsidR="002D345A" w:rsidRPr="004C12C9">
        <w:t xml:space="preserve">, which </w:t>
      </w:r>
      <w:r w:rsidR="0053690C" w:rsidRPr="004C12C9">
        <w:t>include</w:t>
      </w:r>
      <w:r w:rsidR="002D345A" w:rsidRPr="004C12C9">
        <w:t xml:space="preserve"> both construction and operational emissions,</w:t>
      </w:r>
      <w:r w:rsidR="00BC0B06" w:rsidRPr="004C12C9">
        <w:t xml:space="preserve"> by the project lifetime</w:t>
      </w:r>
      <w:r w:rsidR="00A57A72" w:rsidRPr="004C12C9">
        <w:t xml:space="preserve">. </w:t>
      </w:r>
    </w:p>
    <w:p w14:paraId="2D6FCF5C" w14:textId="3342DCE7" w:rsidR="00705927" w:rsidRPr="004C12C9" w:rsidRDefault="00705927" w:rsidP="003B5F7F">
      <w:pPr>
        <w:pStyle w:val="ListParagraph"/>
        <w:numPr>
          <w:ilvl w:val="0"/>
          <w:numId w:val="42"/>
        </w:numPr>
      </w:pPr>
      <w:r w:rsidRPr="004C12C9">
        <w:rPr>
          <w:b/>
          <w:bCs/>
        </w:rPr>
        <w:t>Project Lifetime:</w:t>
      </w:r>
      <w:r w:rsidRPr="004C12C9">
        <w:t xml:space="preserve"> </w:t>
      </w:r>
      <w:r w:rsidR="0053690C" w:rsidRPr="004C12C9">
        <w:t xml:space="preserve">The project lifetime includes both </w:t>
      </w:r>
      <w:r w:rsidR="003D1142" w:rsidRPr="004C12C9">
        <w:t>the construction and operational phases of the project and is derived based on the construction start</w:t>
      </w:r>
      <w:r w:rsidR="004548AF" w:rsidRPr="004C12C9">
        <w:t xml:space="preserve"> date, operational year, and operational lifetime.</w:t>
      </w:r>
    </w:p>
    <w:p w14:paraId="5505EEBE" w14:textId="12D8E5A4" w:rsidR="00A32C3A" w:rsidRPr="004C12C9" w:rsidRDefault="00D61871" w:rsidP="00972CF9">
      <w:r w:rsidRPr="004C12C9">
        <w:t>Results are</w:t>
      </w:r>
      <w:r w:rsidR="002D497E" w:rsidRPr="004C12C9">
        <w:t xml:space="preserve"> shown in short tons, metric tons, or kilograms</w:t>
      </w:r>
      <w:r w:rsidR="008B30DA" w:rsidRPr="004C12C9">
        <w:t xml:space="preserve"> </w:t>
      </w:r>
      <w:r w:rsidR="002D497E" w:rsidRPr="004C12C9">
        <w:t xml:space="preserve">based on the unit selected in the Project Background tab. </w:t>
      </w:r>
      <w:r w:rsidR="00A9063D" w:rsidRPr="004C12C9">
        <w:rPr>
          <w:b/>
          <w:bCs/>
        </w:rPr>
        <w:t xml:space="preserve">Users may </w:t>
      </w:r>
      <w:r w:rsidR="00B50C35" w:rsidRPr="004C12C9">
        <w:rPr>
          <w:b/>
          <w:bCs/>
        </w:rPr>
        <w:t xml:space="preserve">use the lifetime emissions quantified by the </w:t>
      </w:r>
      <w:r w:rsidR="00DF04D4" w:rsidRPr="004C12C9">
        <w:rPr>
          <w:b/>
          <w:bCs/>
        </w:rPr>
        <w:t xml:space="preserve">calculator </w:t>
      </w:r>
      <w:r w:rsidR="00B50C35" w:rsidRPr="004C12C9">
        <w:rPr>
          <w:b/>
          <w:bCs/>
        </w:rPr>
        <w:t xml:space="preserve">to answer </w:t>
      </w:r>
      <w:r w:rsidR="00BB1751" w:rsidRPr="004C12C9">
        <w:rPr>
          <w:b/>
          <w:bCs/>
        </w:rPr>
        <w:t>Item</w:t>
      </w:r>
      <w:r w:rsidR="00B62DAA" w:rsidRPr="004C12C9">
        <w:rPr>
          <w:b/>
          <w:bCs/>
        </w:rPr>
        <w:t xml:space="preserve"> 18 </w:t>
      </w:r>
      <w:r w:rsidR="00C619E1" w:rsidRPr="004C12C9">
        <w:rPr>
          <w:b/>
          <w:bCs/>
        </w:rPr>
        <w:t>in</w:t>
      </w:r>
      <w:r w:rsidR="00B62DAA" w:rsidRPr="004C12C9">
        <w:rPr>
          <w:b/>
          <w:bCs/>
        </w:rPr>
        <w:t xml:space="preserve"> the EAW.</w:t>
      </w:r>
      <w:r w:rsidR="00B62DAA" w:rsidRPr="004C12C9">
        <w:t xml:space="preserve"> </w:t>
      </w:r>
      <w:r w:rsidR="001115D2" w:rsidRPr="004C12C9">
        <w:t>E</w:t>
      </w:r>
      <w:r w:rsidR="00F02548" w:rsidRPr="004C12C9">
        <w:t xml:space="preserve">mission sources </w:t>
      </w:r>
      <w:r w:rsidR="005C0C80" w:rsidRPr="004C12C9">
        <w:t>that are indicated as no</w:t>
      </w:r>
      <w:r w:rsidR="001911B9" w:rsidRPr="004C12C9">
        <w:t xml:space="preserve">t applicable in the Project Background tab are </w:t>
      </w:r>
      <w:r w:rsidR="00F02548" w:rsidRPr="004C12C9">
        <w:t xml:space="preserve">excluded from calculations </w:t>
      </w:r>
      <w:r w:rsidR="001911B9" w:rsidRPr="004C12C9">
        <w:t xml:space="preserve">and </w:t>
      </w:r>
      <w:r w:rsidR="000977A9" w:rsidRPr="004C12C9">
        <w:t>noted</w:t>
      </w:r>
      <w:r w:rsidR="00F02548" w:rsidRPr="004C12C9">
        <w:t xml:space="preserve"> in a box at the top of the tab.</w:t>
      </w:r>
      <w:r w:rsidR="00777A5C" w:rsidRPr="004C12C9">
        <w:t xml:space="preserve"> Rows for these </w:t>
      </w:r>
      <w:r w:rsidR="007B453E" w:rsidRPr="004C12C9">
        <w:t>not applicable</w:t>
      </w:r>
      <w:r w:rsidR="001911B9" w:rsidRPr="004C12C9">
        <w:t xml:space="preserve"> </w:t>
      </w:r>
      <w:r w:rsidR="00777A5C" w:rsidRPr="004C12C9">
        <w:t>sources are automatically hidden</w:t>
      </w:r>
      <w:r w:rsidR="00DD181B" w:rsidRPr="004C12C9">
        <w:t xml:space="preserve"> and </w:t>
      </w:r>
      <w:r w:rsidR="005A5A4D" w:rsidRPr="004C12C9">
        <w:t>excluded from the</w:t>
      </w:r>
      <w:r w:rsidR="00DD181B" w:rsidRPr="004C12C9">
        <w:t xml:space="preserve"> table </w:t>
      </w:r>
      <w:r w:rsidR="005A5A4D" w:rsidRPr="004C12C9">
        <w:t>and</w:t>
      </w:r>
      <w:r w:rsidR="00DD181B" w:rsidRPr="004C12C9">
        <w:t xml:space="preserve"> charts</w:t>
      </w:r>
      <w:r w:rsidR="00777A5C" w:rsidRPr="004C12C9">
        <w:t>.</w:t>
      </w:r>
      <w:r w:rsidR="008227D2" w:rsidRPr="004C12C9">
        <w:t xml:space="preserve"> </w:t>
      </w:r>
      <w:r w:rsidR="005B36D0" w:rsidRPr="004C12C9">
        <w:t xml:space="preserve">Users can </w:t>
      </w:r>
      <w:r w:rsidR="00C619E1" w:rsidRPr="004C12C9">
        <w:t xml:space="preserve">also </w:t>
      </w:r>
      <w:r w:rsidR="005B36D0" w:rsidRPr="004C12C9">
        <w:t xml:space="preserve">select the “Generate Summary Report” button to print a </w:t>
      </w:r>
      <w:r w:rsidR="007B453E" w:rsidRPr="004C12C9">
        <w:t>PDF summary report</w:t>
      </w:r>
      <w:r w:rsidR="005B36D0" w:rsidRPr="004C12C9">
        <w:t xml:space="preserve">. </w:t>
      </w:r>
      <w:r w:rsidR="00F931AF" w:rsidRPr="004C12C9">
        <w:fldChar w:fldCharType="begin" w:fldLock="1"/>
      </w:r>
      <w:r w:rsidR="00F931AF" w:rsidRPr="004C12C9">
        <w:instrText xml:space="preserve"> REF _Ref196775491 \h </w:instrText>
      </w:r>
      <w:r w:rsidR="00A96E32" w:rsidRPr="004C12C9">
        <w:instrText xml:space="preserve"> \* MERGEFORMAT </w:instrText>
      </w:r>
      <w:r w:rsidR="00F931AF" w:rsidRPr="004C12C9">
        <w:fldChar w:fldCharType="separate"/>
      </w:r>
      <w:r w:rsidR="00F931AF" w:rsidRPr="004C12C9">
        <w:rPr>
          <w:iCs/>
        </w:rPr>
        <w:t>Figure D-12</w:t>
      </w:r>
      <w:r w:rsidR="00F931AF" w:rsidRPr="004C12C9">
        <w:fldChar w:fldCharType="end"/>
      </w:r>
      <w:r w:rsidR="00A32C3A" w:rsidRPr="004C12C9">
        <w:t xml:space="preserve"> provides an overview of the Results tab</w:t>
      </w:r>
      <w:r w:rsidR="007B453E" w:rsidRPr="004C12C9">
        <w:t xml:space="preserve"> and these features</w:t>
      </w:r>
      <w:r w:rsidR="00A32C3A" w:rsidRPr="004C12C9">
        <w:t>.</w:t>
      </w:r>
    </w:p>
    <w:p w14:paraId="40A69233" w14:textId="2700B1FD" w:rsidR="007F4144" w:rsidRPr="004C12C9" w:rsidRDefault="00D15BDB" w:rsidP="00F931AF">
      <w:bookmarkStart w:id="357" w:name="_Ref196775491"/>
      <w:r w:rsidRPr="004C12C9">
        <w:rPr>
          <w:rStyle w:val="CaptionChar"/>
        </w:rPr>
        <w:t>Figure D-</w:t>
      </w:r>
      <w:r w:rsidRPr="004C12C9">
        <w:rPr>
          <w:rStyle w:val="CaptionChar"/>
        </w:rPr>
        <w:fldChar w:fldCharType="begin"/>
      </w:r>
      <w:r w:rsidRPr="004C12C9">
        <w:rPr>
          <w:rStyle w:val="CaptionChar"/>
        </w:rPr>
        <w:instrText xml:space="preserve"> SEQ Figure_D- \* ARABIC </w:instrText>
      </w:r>
      <w:r w:rsidRPr="004C12C9">
        <w:rPr>
          <w:rStyle w:val="CaptionChar"/>
        </w:rPr>
        <w:fldChar w:fldCharType="separate"/>
      </w:r>
      <w:r w:rsidR="00752F47">
        <w:rPr>
          <w:rStyle w:val="CaptionChar"/>
          <w:noProof/>
        </w:rPr>
        <w:t>12</w:t>
      </w:r>
      <w:r w:rsidRPr="004C12C9">
        <w:rPr>
          <w:rStyle w:val="CaptionChar"/>
        </w:rPr>
        <w:fldChar w:fldCharType="end"/>
      </w:r>
      <w:bookmarkEnd w:id="357"/>
      <w:r w:rsidRPr="004C12C9">
        <w:rPr>
          <w:rStyle w:val="CaptionChar"/>
        </w:rPr>
        <w:t xml:space="preserve">. </w:t>
      </w:r>
      <w:r w:rsidR="007F4144" w:rsidRPr="004C12C9">
        <w:rPr>
          <w:rStyle w:val="CaptionChar"/>
        </w:rPr>
        <w:t>Example</w:t>
      </w:r>
      <w:r w:rsidR="00AD2B86" w:rsidRPr="004C12C9">
        <w:rPr>
          <w:rStyle w:val="CaptionChar"/>
        </w:rPr>
        <w:t xml:space="preserve"> </w:t>
      </w:r>
      <w:r w:rsidR="00BB1751" w:rsidRPr="004C12C9">
        <w:rPr>
          <w:rStyle w:val="CaptionChar"/>
        </w:rPr>
        <w:t xml:space="preserve">Climate </w:t>
      </w:r>
      <w:r w:rsidR="00DF04D4" w:rsidRPr="004C12C9">
        <w:rPr>
          <w:rStyle w:val="CaptionChar"/>
        </w:rPr>
        <w:t xml:space="preserve">Calculator </w:t>
      </w:r>
      <w:r w:rsidR="007F4144" w:rsidRPr="004C12C9">
        <w:rPr>
          <w:rStyle w:val="CaptionChar"/>
        </w:rPr>
        <w:t>Summary Results</w:t>
      </w:r>
      <w:r w:rsidR="007F4144" w:rsidRPr="004C12C9">
        <w:t xml:space="preserve"> </w:t>
      </w:r>
      <w:r w:rsidR="00335A2F" w:rsidRPr="004C12C9">
        <w:t xml:space="preserve"> </w:t>
      </w:r>
      <w:r w:rsidR="00563F2C" w:rsidRPr="004C12C9">
        <w:rPr>
          <w:noProof/>
        </w:rPr>
        <w:drawing>
          <wp:inline distT="0" distB="0" distL="0" distR="0" wp14:anchorId="56B7740F" wp14:editId="002991DC">
            <wp:extent cx="6400800" cy="3067050"/>
            <wp:effectExtent l="19050" t="19050" r="19050" b="19050"/>
            <wp:docPr id="4700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454" name="Picture 1" descr="A screenshot of a computer&#10;&#10;AI-generated content may be incorrect."/>
                    <pic:cNvPicPr/>
                  </pic:nvPicPr>
                  <pic:blipFill>
                    <a:blip r:embed="rId160"/>
                    <a:stretch>
                      <a:fillRect/>
                    </a:stretch>
                  </pic:blipFill>
                  <pic:spPr>
                    <a:xfrm>
                      <a:off x="0" y="0"/>
                      <a:ext cx="6400800" cy="3067050"/>
                    </a:xfrm>
                    <a:prstGeom prst="rect">
                      <a:avLst/>
                    </a:prstGeom>
                    <a:ln>
                      <a:solidFill>
                        <a:schemeClr val="tx2"/>
                      </a:solidFill>
                    </a:ln>
                  </pic:spPr>
                </pic:pic>
              </a:graphicData>
            </a:graphic>
          </wp:inline>
        </w:drawing>
      </w:r>
      <w:r w:rsidR="001E17BB" w:rsidRPr="004C12C9" w:rsidDel="001E17BB">
        <w:t xml:space="preserve"> </w:t>
      </w:r>
    </w:p>
    <w:p w14:paraId="32726FB8" w14:textId="16A89B71" w:rsidR="00991600" w:rsidRPr="004C12C9" w:rsidRDefault="00991600" w:rsidP="00283F1A">
      <w:pPr>
        <w:keepNext/>
        <w:keepLines/>
      </w:pPr>
      <w:r w:rsidRPr="004C12C9">
        <w:rPr>
          <w:b/>
          <w:bCs/>
        </w:rPr>
        <w:lastRenderedPageBreak/>
        <w:t xml:space="preserve">Summary Report: </w:t>
      </w:r>
      <w:r w:rsidRPr="004C12C9">
        <w:t xml:space="preserve">This report includes a summary of the background information provided by users, the </w:t>
      </w:r>
      <w:r w:rsidR="00145DAC" w:rsidRPr="004C12C9">
        <w:t>cumulative and annualized emissions</w:t>
      </w:r>
      <w:r w:rsidRPr="004C12C9">
        <w:t xml:space="preserve"> by </w:t>
      </w:r>
      <w:r w:rsidR="00145DAC" w:rsidRPr="004C12C9">
        <w:t>s</w:t>
      </w:r>
      <w:r w:rsidR="009F532C" w:rsidRPr="004C12C9">
        <w:t>ource</w:t>
      </w:r>
      <w:r w:rsidR="00D04C66" w:rsidRPr="004C12C9">
        <w:t xml:space="preserve"> and project phase</w:t>
      </w:r>
      <w:r w:rsidRPr="004C12C9">
        <w:t xml:space="preserve">, user inputs for each emissions source, and any notes </w:t>
      </w:r>
      <w:r w:rsidR="00395D01" w:rsidRPr="004C12C9">
        <w:t>entered</w:t>
      </w:r>
      <w:r w:rsidRPr="004C12C9">
        <w:t xml:space="preserve"> on the Notes tab. </w:t>
      </w:r>
      <w:r w:rsidR="005B3296" w:rsidRPr="004C12C9">
        <w:t xml:space="preserve">NA is used to denote emissions that were not quantified and/or activity </w:t>
      </w:r>
      <w:r w:rsidR="00CE26B2" w:rsidRPr="004C12C9">
        <w:t xml:space="preserve">was identified as not applicable by the user. </w:t>
      </w:r>
      <w:r w:rsidR="00CA1941" w:rsidRPr="004C12C9">
        <w:t xml:space="preserve">An </w:t>
      </w:r>
      <w:r w:rsidR="001573B3" w:rsidRPr="004C12C9">
        <w:t xml:space="preserve">example </w:t>
      </w:r>
      <w:r w:rsidR="00CA1941" w:rsidRPr="004C12C9">
        <w:t xml:space="preserve">excerpt of this report is provided in </w:t>
      </w:r>
      <w:r w:rsidR="00CA1941" w:rsidRPr="004C12C9">
        <w:fldChar w:fldCharType="begin" w:fldLock="1"/>
      </w:r>
      <w:r w:rsidR="00CA1941" w:rsidRPr="004C12C9">
        <w:instrText xml:space="preserve"> REF _Ref196816821 \h </w:instrText>
      </w:r>
      <w:r w:rsidR="00CA1941" w:rsidRPr="004C12C9">
        <w:fldChar w:fldCharType="separate"/>
      </w:r>
      <w:r w:rsidR="00CA1941" w:rsidRPr="004C12C9">
        <w:t>Figure D-13</w:t>
      </w:r>
      <w:r w:rsidR="00CA1941" w:rsidRPr="004C12C9">
        <w:fldChar w:fldCharType="end"/>
      </w:r>
      <w:r w:rsidR="00CA1941" w:rsidRPr="004C12C9">
        <w:t>. Users may amend this report to their EAW</w:t>
      </w:r>
      <w:r w:rsidR="00640644" w:rsidRPr="004C12C9">
        <w:t xml:space="preserve"> </w:t>
      </w:r>
      <w:r w:rsidR="006C3184" w:rsidRPr="004C12C9">
        <w:t xml:space="preserve">as part of their report </w:t>
      </w:r>
      <w:r w:rsidR="00640644" w:rsidRPr="004C12C9">
        <w:t xml:space="preserve">to </w:t>
      </w:r>
      <w:r w:rsidR="00DE040C" w:rsidRPr="004C12C9">
        <w:t>Item</w:t>
      </w:r>
      <w:r w:rsidR="00640644" w:rsidRPr="004C12C9">
        <w:t xml:space="preserve"> 18.</w:t>
      </w:r>
      <w:r w:rsidR="00DF3D17" w:rsidRPr="004C12C9">
        <w:t xml:space="preserve"> </w:t>
      </w:r>
    </w:p>
    <w:p w14:paraId="7CC93CFB" w14:textId="15E7B70A" w:rsidR="00015E2D" w:rsidRDefault="00015E2D" w:rsidP="00533FB5">
      <w:pPr>
        <w:pStyle w:val="Caption"/>
        <w:keepLines/>
      </w:pPr>
      <w:bookmarkStart w:id="358" w:name="_Ref196816821"/>
      <w:r w:rsidRPr="004C12C9">
        <w:t>Figure D-</w:t>
      </w:r>
      <w:r>
        <w:fldChar w:fldCharType="begin"/>
      </w:r>
      <w:r>
        <w:instrText xml:space="preserve"> SEQ Figure_D- \* ARABIC </w:instrText>
      </w:r>
      <w:r>
        <w:fldChar w:fldCharType="separate"/>
      </w:r>
      <w:r w:rsidR="00752F47">
        <w:rPr>
          <w:noProof/>
        </w:rPr>
        <w:t>13</w:t>
      </w:r>
      <w:r>
        <w:fldChar w:fldCharType="end"/>
      </w:r>
      <w:bookmarkEnd w:id="358"/>
      <w:r w:rsidRPr="004C12C9">
        <w:t>. Example Summary Report</w:t>
      </w:r>
      <w:r w:rsidR="00395D01" w:rsidRPr="004C12C9">
        <w:t xml:space="preserve"> Excerpt </w:t>
      </w:r>
    </w:p>
    <w:p w14:paraId="4B49E5BB" w14:textId="7B0C1BB0" w:rsidR="00BE3F9E" w:rsidRPr="00BE3F9E" w:rsidRDefault="00BE3F9E" w:rsidP="00684156">
      <w:pPr>
        <w:spacing w:before="0" w:after="0"/>
      </w:pPr>
      <w:r w:rsidRPr="00BE3F9E">
        <w:rPr>
          <w:noProof/>
        </w:rPr>
        <w:drawing>
          <wp:inline distT="0" distB="0" distL="0" distR="0" wp14:anchorId="1A8F2B3F" wp14:editId="4E087675">
            <wp:extent cx="6038850" cy="6715760"/>
            <wp:effectExtent l="19050" t="19050" r="19050" b="27940"/>
            <wp:docPr id="29269470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4703" name="Picture 1" descr="A screenshot of a document&#10;&#10;AI-generated content may be incorrect."/>
                    <pic:cNvPicPr/>
                  </pic:nvPicPr>
                  <pic:blipFill rotWithShape="1">
                    <a:blip r:embed="rId161"/>
                    <a:srcRect r="782"/>
                    <a:stretch>
                      <a:fillRect/>
                    </a:stretch>
                  </pic:blipFill>
                  <pic:spPr bwMode="auto">
                    <a:xfrm>
                      <a:off x="0" y="0"/>
                      <a:ext cx="6054332" cy="6732977"/>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0BD3CD" w14:textId="0866E1DE" w:rsidR="00015E2D" w:rsidRPr="004C12C9" w:rsidRDefault="00D03FB6" w:rsidP="001A7D13">
      <w:pPr>
        <w:spacing w:before="0" w:after="0"/>
      </w:pPr>
      <w:r w:rsidRPr="00D03FB6">
        <w:rPr>
          <w:noProof/>
        </w:rPr>
        <w:lastRenderedPageBreak/>
        <w:drawing>
          <wp:inline distT="0" distB="0" distL="0" distR="0" wp14:anchorId="7AC77448" wp14:editId="1F6EA293">
            <wp:extent cx="6083460" cy="6172178"/>
            <wp:effectExtent l="19050" t="19050" r="12700" b="19685"/>
            <wp:docPr id="20663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687" name="Picture 1" descr="A screenshot of a computer&#10;&#10;AI-generated content may be incorrect."/>
                    <pic:cNvPicPr/>
                  </pic:nvPicPr>
                  <pic:blipFill>
                    <a:blip r:embed="rId162"/>
                    <a:stretch>
                      <a:fillRect/>
                    </a:stretch>
                  </pic:blipFill>
                  <pic:spPr>
                    <a:xfrm>
                      <a:off x="0" y="0"/>
                      <a:ext cx="6117434" cy="6206647"/>
                    </a:xfrm>
                    <a:prstGeom prst="rect">
                      <a:avLst/>
                    </a:prstGeom>
                    <a:ln>
                      <a:solidFill>
                        <a:schemeClr val="tx2"/>
                      </a:solidFill>
                    </a:ln>
                  </pic:spPr>
                </pic:pic>
              </a:graphicData>
            </a:graphic>
          </wp:inline>
        </w:drawing>
      </w:r>
    </w:p>
    <w:p w14:paraId="10F8FCC3" w14:textId="353FB69A" w:rsidR="004B39B7" w:rsidRPr="004C12C9" w:rsidRDefault="00991600" w:rsidP="009126C4">
      <w:pPr>
        <w:keepNext/>
        <w:keepLines/>
      </w:pPr>
      <w:r w:rsidRPr="004C12C9">
        <w:rPr>
          <w:b/>
          <w:bCs/>
        </w:rPr>
        <w:lastRenderedPageBreak/>
        <w:t>Emissions Equivalencies:</w:t>
      </w:r>
      <w:r w:rsidRPr="004C12C9">
        <w:t xml:space="preserve"> </w:t>
      </w:r>
      <w:r w:rsidR="00CA53C2" w:rsidRPr="004C12C9">
        <w:t>E</w:t>
      </w:r>
      <w:r w:rsidR="009429AF" w:rsidRPr="004C12C9">
        <w:t xml:space="preserve">missions equivalencies </w:t>
      </w:r>
      <w:r w:rsidR="00ED020D" w:rsidRPr="004C12C9">
        <w:t xml:space="preserve">for cumulative and annualized emissions are shown underneath the results table, </w:t>
      </w:r>
      <w:r w:rsidR="00DD1EFB" w:rsidRPr="004C12C9">
        <w:t xml:space="preserve">derived </w:t>
      </w:r>
      <w:r w:rsidR="00ED020D" w:rsidRPr="004C12C9">
        <w:t>using equivalency factors from EPA</w:t>
      </w:r>
      <w:r w:rsidR="00D15BDB" w:rsidRPr="004C12C9">
        <w:t>’s</w:t>
      </w:r>
      <w:r w:rsidR="00ED020D" w:rsidRPr="004C12C9">
        <w:t xml:space="preserve"> Greenhouse Gas Equivalency Calculator.</w:t>
      </w:r>
      <w:r w:rsidR="004B6ADC" w:rsidRPr="004C12C9">
        <w:rPr>
          <w:rStyle w:val="FootnoteReference"/>
        </w:rPr>
        <w:footnoteReference w:id="159"/>
      </w:r>
      <w:r w:rsidR="007E3B97" w:rsidRPr="004C12C9">
        <w:t xml:space="preserve"> For cumulative emissions results, equivalencies are shown for miles driven by an average gasoline-powered passenger vehicle, gallons of gasoline consumed, and tons of waste recycled instead of landfilled. For annualized emissions results, equivalencies are shown for gasolin</w:t>
      </w:r>
      <w:r w:rsidR="00E9153C" w:rsidRPr="004C12C9">
        <w:t xml:space="preserve">e-powered passenger </w:t>
      </w:r>
      <w:r w:rsidR="008718FA" w:rsidRPr="004C12C9">
        <w:t xml:space="preserve">vehicles driven for one year, home energy use for one year, and acres of U.S. forests in one year. </w:t>
      </w:r>
      <w:r w:rsidR="00224400" w:rsidRPr="004C12C9">
        <w:t xml:space="preserve">Users may also follow the link provided to convert emissions results into </w:t>
      </w:r>
      <w:r w:rsidR="00F47A9F" w:rsidRPr="004C12C9">
        <w:t>additional</w:t>
      </w:r>
      <w:r w:rsidR="007B7F9F" w:rsidRPr="004C12C9">
        <w:t xml:space="preserve"> equivalen</w:t>
      </w:r>
      <w:r w:rsidR="00F47A9F" w:rsidRPr="004C12C9">
        <w:t>cies</w:t>
      </w:r>
      <w:r w:rsidR="00967844" w:rsidRPr="004C12C9">
        <w:t>.</w:t>
      </w:r>
      <w:r w:rsidR="005C077A" w:rsidRPr="004C12C9">
        <w:t xml:space="preserve"> </w:t>
      </w:r>
    </w:p>
    <w:p w14:paraId="4D9C30E3" w14:textId="163D4614" w:rsidR="00165CF3" w:rsidRPr="004C12C9" w:rsidRDefault="008973AF" w:rsidP="00972CF9">
      <w:r w:rsidRPr="004C12C9">
        <w:rPr>
          <w:b/>
          <w:bCs/>
        </w:rPr>
        <w:t>Charts</w:t>
      </w:r>
      <w:r w:rsidR="00D15BDB" w:rsidRPr="004C12C9">
        <w:rPr>
          <w:b/>
          <w:bCs/>
        </w:rPr>
        <w:t>:</w:t>
      </w:r>
      <w:r w:rsidR="00D15BDB" w:rsidRPr="004C12C9">
        <w:t xml:space="preserve"> </w:t>
      </w:r>
      <w:r w:rsidR="00F5347D" w:rsidRPr="004C12C9">
        <w:t>R</w:t>
      </w:r>
      <w:r w:rsidR="00B165AD" w:rsidRPr="004C12C9">
        <w:t xml:space="preserve">esults </w:t>
      </w:r>
      <w:r w:rsidR="00AA555C" w:rsidRPr="004C12C9">
        <w:t>are</w:t>
      </w:r>
      <w:r w:rsidR="00B165AD" w:rsidRPr="004C12C9">
        <w:t xml:space="preserve"> </w:t>
      </w:r>
      <w:r w:rsidR="00F5347D" w:rsidRPr="004C12C9">
        <w:t xml:space="preserve">also </w:t>
      </w:r>
      <w:r w:rsidR="00B165AD" w:rsidRPr="004C12C9">
        <w:t xml:space="preserve">displayed graphically </w:t>
      </w:r>
      <w:r w:rsidR="008C098C" w:rsidRPr="004C12C9">
        <w:t>on the</w:t>
      </w:r>
      <w:r w:rsidR="00D84F45" w:rsidRPr="004C12C9">
        <w:t xml:space="preserve"> Charts tab</w:t>
      </w:r>
      <w:r w:rsidR="00B165AD" w:rsidRPr="004C12C9">
        <w:t xml:space="preserve">. </w:t>
      </w:r>
      <w:r w:rsidR="00026492" w:rsidRPr="004C12C9">
        <w:t>Lifetime emissions are represented as stacked bar charts, to</w:t>
      </w:r>
      <w:r w:rsidR="00B165AD" w:rsidRPr="004C12C9">
        <w:t xml:space="preserve"> show cumulative and annualized </w:t>
      </w:r>
      <w:r w:rsidR="00ED7878" w:rsidRPr="004C12C9">
        <w:t xml:space="preserve">lifetime </w:t>
      </w:r>
      <w:r w:rsidR="00B165AD" w:rsidRPr="004C12C9">
        <w:t>emissions by emission source.</w:t>
      </w:r>
      <w:r w:rsidR="00ED7878" w:rsidRPr="004C12C9">
        <w:t xml:space="preserve"> </w:t>
      </w:r>
      <w:r w:rsidR="00A65476" w:rsidRPr="004C12C9">
        <w:t xml:space="preserve">Emissions by project phase are represented as </w:t>
      </w:r>
      <w:r w:rsidR="00033CCA" w:rsidRPr="004C12C9">
        <w:t>clustered column</w:t>
      </w:r>
      <w:r w:rsidR="00A65476" w:rsidRPr="004C12C9">
        <w:t xml:space="preserve"> charts.</w:t>
      </w:r>
      <w:r w:rsidR="00B165AD" w:rsidRPr="004C12C9">
        <w:t xml:space="preserve"> Non-applicable emission sources </w:t>
      </w:r>
      <w:r w:rsidR="00AA555C" w:rsidRPr="004C12C9">
        <w:t>are</w:t>
      </w:r>
      <w:r w:rsidR="00B165AD" w:rsidRPr="004C12C9">
        <w:t xml:space="preserve"> automatically hidden from view</w:t>
      </w:r>
      <w:r w:rsidR="00387E71" w:rsidRPr="004C12C9">
        <w:t xml:space="preserve"> in </w:t>
      </w:r>
      <w:r w:rsidR="006E73FD" w:rsidRPr="004C12C9">
        <w:t xml:space="preserve">the </w:t>
      </w:r>
      <w:r w:rsidR="00387E71" w:rsidRPr="004C12C9">
        <w:t>charts</w:t>
      </w:r>
      <w:r w:rsidR="00B165AD" w:rsidRPr="004C12C9">
        <w:t>.</w:t>
      </w:r>
    </w:p>
    <w:p w14:paraId="482658C5" w14:textId="77777777" w:rsidR="00A41CAD" w:rsidRDefault="00A41CAD">
      <w:pPr>
        <w:spacing w:before="120" w:after="0" w:line="271" w:lineRule="auto"/>
        <w:rPr>
          <w:rFonts w:asciiTheme="minorHAnsi" w:eastAsiaTheme="majorEastAsia" w:hAnsiTheme="minorHAnsi" w:cs="Arial"/>
          <w:b/>
          <w:color w:val="003865" w:themeColor="accent1"/>
          <w:sz w:val="26"/>
          <w:szCs w:val="24"/>
        </w:rPr>
      </w:pPr>
      <w:bookmarkStart w:id="359" w:name="_Ref196747529"/>
      <w:bookmarkStart w:id="360" w:name="_Toc194319975"/>
      <w:bookmarkStart w:id="361" w:name="_Toc194676881"/>
      <w:r>
        <w:br w:type="page"/>
      </w:r>
    </w:p>
    <w:p w14:paraId="7FBAF817" w14:textId="202F0D85" w:rsidR="00B339D5" w:rsidRPr="004C12C9" w:rsidRDefault="00E545F9" w:rsidP="007F736B">
      <w:pPr>
        <w:pStyle w:val="Appendix2"/>
      </w:pPr>
      <w:bookmarkStart w:id="362" w:name="_Toc219887801"/>
      <w:r w:rsidRPr="004C12C9">
        <w:lastRenderedPageBreak/>
        <w:t xml:space="preserve">Mitigation </w:t>
      </w:r>
      <w:r w:rsidR="004225E4" w:rsidRPr="004C12C9">
        <w:t>and Adaptation</w:t>
      </w:r>
      <w:bookmarkEnd w:id="359"/>
      <w:bookmarkEnd w:id="362"/>
      <w:r w:rsidRPr="004C12C9">
        <w:t xml:space="preserve"> </w:t>
      </w:r>
      <w:bookmarkEnd w:id="360"/>
      <w:bookmarkEnd w:id="361"/>
    </w:p>
    <w:p w14:paraId="494C809A" w14:textId="407484E5" w:rsidR="00436992" w:rsidRPr="004C12C9" w:rsidRDefault="00432984" w:rsidP="00436992">
      <w:pPr>
        <w:pStyle w:val="Heading4"/>
      </w:pPr>
      <w:r w:rsidRPr="004C12C9">
        <w:t xml:space="preserve">Mitigation </w:t>
      </w:r>
      <w:r w:rsidR="00436992" w:rsidRPr="004C12C9">
        <w:t>Tab</w:t>
      </w:r>
      <w:r w:rsidRPr="004C12C9">
        <w:t xml:space="preserve"> </w:t>
      </w:r>
    </w:p>
    <w:p w14:paraId="2BF6A59C" w14:textId="226504E3" w:rsidR="00B363F9" w:rsidRDefault="000C0653" w:rsidP="00ED0254">
      <w:r w:rsidRPr="004C12C9">
        <w:t xml:space="preserve">The </w:t>
      </w:r>
      <w:r w:rsidR="00CC4F4F" w:rsidRPr="004C12C9">
        <w:t>M</w:t>
      </w:r>
      <w:r w:rsidRPr="004C12C9">
        <w:t xml:space="preserve">itigation tab identifies potential mitigation measures that </w:t>
      </w:r>
      <w:r w:rsidR="005C4ED9" w:rsidRPr="004C12C9">
        <w:t>may be used to reduce GHG emission</w:t>
      </w:r>
      <w:r w:rsidR="00F55F62" w:rsidRPr="004C12C9">
        <w:t>s</w:t>
      </w:r>
      <w:r w:rsidR="005C4ED9" w:rsidRPr="004C12C9">
        <w:t xml:space="preserve"> from the proposed project. </w:t>
      </w:r>
      <w:r w:rsidR="00FC65F8" w:rsidRPr="004C12C9">
        <w:t>A unique identifier (e.g., M-1A-1) is assigned to e</w:t>
      </w:r>
      <w:r w:rsidR="005C4ED9" w:rsidRPr="004C12C9">
        <w:t xml:space="preserve">ach </w:t>
      </w:r>
      <w:r w:rsidR="00FC65F8" w:rsidRPr="004C12C9">
        <w:t xml:space="preserve">identified </w:t>
      </w:r>
      <w:r w:rsidR="00F441C3" w:rsidRPr="004C12C9">
        <w:t xml:space="preserve">mitigation </w:t>
      </w:r>
      <w:r w:rsidR="005C4ED9" w:rsidRPr="004C12C9">
        <w:t>measure</w:t>
      </w:r>
      <w:r w:rsidR="00042338" w:rsidRPr="004C12C9">
        <w:t xml:space="preserve"> in the </w:t>
      </w:r>
      <w:r w:rsidR="00291153" w:rsidRPr="004C12C9">
        <w:t>calculator</w:t>
      </w:r>
      <w:r w:rsidR="00B95776" w:rsidRPr="004C12C9">
        <w:t>.</w:t>
      </w:r>
      <w:r w:rsidR="008B6D1E">
        <w:t xml:space="preserve"> </w:t>
      </w:r>
      <w:r w:rsidR="00B95776" w:rsidRPr="004C12C9">
        <w:t xml:space="preserve">While some measures may reduce emissions across more than one source, the </w:t>
      </w:r>
      <w:r w:rsidR="00291153" w:rsidRPr="004C12C9">
        <w:t xml:space="preserve">calculator </w:t>
      </w:r>
      <w:r w:rsidR="00B95776" w:rsidRPr="004C12C9">
        <w:t>categorizes each measure according to the primary source through which emission reductions are expected.</w:t>
      </w:r>
      <w:r w:rsidR="000643F5" w:rsidRPr="004C12C9">
        <w:t xml:space="preserve"> Users can use the column filters to narrow the list of measures to only those emission sources applicable to their project.</w:t>
      </w:r>
      <w:r w:rsidR="007A459D" w:rsidRPr="004C12C9">
        <w:t xml:space="preserve"> Once the measure list is filtered, users should carefully review the measure descriptions to determine which measures are most applicable to their project and support their GHG reduction goals. Users can then use the drop-down menu under the Select column to choose the measures they intend to implement as part of their project.</w:t>
      </w:r>
      <w:r w:rsidR="008F12DA" w:rsidRPr="004C12C9">
        <w:t xml:space="preserve"> </w:t>
      </w:r>
    </w:p>
    <w:p w14:paraId="48094EDB" w14:textId="59100288" w:rsidR="00ED0254" w:rsidRPr="004C12C9" w:rsidRDefault="007E4471" w:rsidP="00ED0254">
      <w:r>
        <w:t xml:space="preserve">Select measures are available for quantification. </w:t>
      </w:r>
      <w:r w:rsidR="002D5E5C">
        <w:t>The ‘Quantifiable?’ column identifies which measures are available for quantification in the ‘Quantified Reductions’ tab.</w:t>
      </w:r>
      <w:r w:rsidR="002D5E5C" w:rsidRPr="004C12C9">
        <w:t xml:space="preserve"> </w:t>
      </w:r>
      <w:r w:rsidR="00322283">
        <w:t>U</w:t>
      </w:r>
      <w:r w:rsidR="00141323">
        <w:t xml:space="preserve">sers can click the ‘Select Applicable Quantifiable Measures’ button to select quantifiable mitigation measures that are deemed applicable based on entered user inputs. </w:t>
      </w:r>
      <w:r w:rsidR="00B51935" w:rsidRPr="004C12C9">
        <w:t>Users can also</w:t>
      </w:r>
      <w:r w:rsidR="00715E6E" w:rsidRPr="004C12C9">
        <w:t xml:space="preserve"> select</w:t>
      </w:r>
      <w:r w:rsidR="00D44C02" w:rsidRPr="004C12C9">
        <w:t xml:space="preserve"> the ‘Select All Unhidden Measures’ button to select </w:t>
      </w:r>
      <w:r w:rsidR="0001508A" w:rsidRPr="004C12C9">
        <w:t>“Y</w:t>
      </w:r>
      <w:r w:rsidR="00D44C02" w:rsidRPr="004C12C9">
        <w:t>es</w:t>
      </w:r>
      <w:r w:rsidR="0001508A" w:rsidRPr="004C12C9">
        <w:t>”</w:t>
      </w:r>
      <w:r w:rsidR="00D44C02" w:rsidRPr="004C12C9">
        <w:t xml:space="preserve"> for </w:t>
      </w:r>
      <w:r w:rsidR="008F12DA" w:rsidRPr="004C12C9">
        <w:t>all visible</w:t>
      </w:r>
      <w:r w:rsidR="00D44C02" w:rsidRPr="004C12C9">
        <w:t xml:space="preserve"> measure</w:t>
      </w:r>
      <w:r w:rsidR="008F12DA" w:rsidRPr="004C12C9">
        <w:t>s</w:t>
      </w:r>
      <w:r w:rsidR="00105B12" w:rsidRPr="004C12C9">
        <w:t xml:space="preserve">. </w:t>
      </w:r>
      <w:r w:rsidR="00BE15B5" w:rsidRPr="004C12C9">
        <w:t>Rows are shaded</w:t>
      </w:r>
      <w:r w:rsidR="001C21E0" w:rsidRPr="004C12C9">
        <w:t xml:space="preserve"> gray when a</w:t>
      </w:r>
      <w:r w:rsidR="00E308D7" w:rsidRPr="004C12C9">
        <w:t xml:space="preserve"> measured is selected. </w:t>
      </w:r>
      <w:r w:rsidR="00537EDF" w:rsidRPr="004C12C9">
        <w:t xml:space="preserve">The ‘Reset all Selected Measures’ button </w:t>
      </w:r>
      <w:r w:rsidR="008F12DA" w:rsidRPr="004C12C9">
        <w:t xml:space="preserve">can be used to </w:t>
      </w:r>
      <w:r w:rsidR="00537EDF" w:rsidRPr="004C12C9">
        <w:t>remove all selections from the first column.</w:t>
      </w:r>
      <w:r w:rsidR="00E07DEF" w:rsidRPr="004C12C9">
        <w:t xml:space="preserve"> The ‘Generate PDF’ button can be used to print a PDF of all visible measures.</w:t>
      </w:r>
      <w:r w:rsidR="00105B12" w:rsidRPr="004C12C9">
        <w:t xml:space="preserve"> </w:t>
      </w:r>
      <w:r w:rsidR="000A036B" w:rsidRPr="004C12C9">
        <w:fldChar w:fldCharType="begin" w:fldLock="1"/>
      </w:r>
      <w:r w:rsidR="000A036B" w:rsidRPr="004C12C9">
        <w:instrText xml:space="preserve"> REF _Ref196820486 \h </w:instrText>
      </w:r>
      <w:r w:rsidR="000A036B" w:rsidRPr="004C12C9">
        <w:fldChar w:fldCharType="separate"/>
      </w:r>
      <w:r w:rsidR="000A036B" w:rsidRPr="004C12C9">
        <w:t>Figure D-14</w:t>
      </w:r>
      <w:r w:rsidR="000A036B" w:rsidRPr="004C12C9">
        <w:fldChar w:fldCharType="end"/>
      </w:r>
      <w:r w:rsidR="000A036B" w:rsidRPr="004C12C9">
        <w:t xml:space="preserve"> highlights the features of the </w:t>
      </w:r>
      <w:r w:rsidR="00C91437">
        <w:t>M</w:t>
      </w:r>
      <w:r w:rsidR="00C91437" w:rsidRPr="004C12C9">
        <w:t xml:space="preserve">itigation </w:t>
      </w:r>
      <w:r w:rsidR="000A036B" w:rsidRPr="004C12C9">
        <w:t>tab.</w:t>
      </w:r>
      <w:r w:rsidR="00141323">
        <w:t xml:space="preserve"> </w:t>
      </w:r>
    </w:p>
    <w:p w14:paraId="4C743FE2" w14:textId="03192B42" w:rsidR="00AF0E6C" w:rsidRDefault="006D7535" w:rsidP="00AF0E6C">
      <w:pPr>
        <w:pStyle w:val="Caption"/>
      </w:pPr>
      <w:bookmarkStart w:id="363" w:name="_Ref196820486"/>
      <w:r w:rsidRPr="00AF0E6C">
        <w:t>Figure D-</w:t>
      </w:r>
      <w:r w:rsidRPr="00AF0E6C">
        <w:fldChar w:fldCharType="begin"/>
      </w:r>
      <w:r w:rsidRPr="00AF0E6C">
        <w:instrText xml:space="preserve"> SEQ Figure_D- \* ARABIC </w:instrText>
      </w:r>
      <w:r w:rsidRPr="00AF0E6C">
        <w:fldChar w:fldCharType="separate"/>
      </w:r>
      <w:r w:rsidR="00752F47">
        <w:rPr>
          <w:noProof/>
        </w:rPr>
        <w:t>14</w:t>
      </w:r>
      <w:r w:rsidRPr="00AF0E6C">
        <w:fldChar w:fldCharType="end"/>
      </w:r>
      <w:bookmarkEnd w:id="363"/>
      <w:r w:rsidRPr="00AF0E6C">
        <w:t>. Example Mitigation Measure</w:t>
      </w:r>
      <w:r w:rsidRPr="004C12C9">
        <w:t xml:space="preserve"> </w:t>
      </w:r>
      <w:r w:rsidR="005D2ADC" w:rsidRPr="004C12C9" w:rsidDel="00C47FB5">
        <w:t xml:space="preserve"> </w:t>
      </w:r>
    </w:p>
    <w:p w14:paraId="15B771F9" w14:textId="68E8F7B8" w:rsidR="005C4ED9" w:rsidRPr="004C12C9" w:rsidRDefault="00F1036D" w:rsidP="00A41CAD">
      <w:pPr>
        <w:pStyle w:val="Caption"/>
        <w:keepNext w:val="0"/>
        <w:spacing w:before="0" w:after="0"/>
      </w:pPr>
      <w:r w:rsidRPr="00F1036D">
        <w:rPr>
          <w:noProof/>
        </w:rPr>
        <w:drawing>
          <wp:inline distT="0" distB="0" distL="0" distR="0" wp14:anchorId="4E3BFC87" wp14:editId="2D98D4F5">
            <wp:extent cx="6296025" cy="3730770"/>
            <wp:effectExtent l="19050" t="19050" r="9525" b="22225"/>
            <wp:docPr id="15978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7834" name=""/>
                    <pic:cNvPicPr/>
                  </pic:nvPicPr>
                  <pic:blipFill>
                    <a:blip r:embed="rId163"/>
                    <a:stretch>
                      <a:fillRect/>
                    </a:stretch>
                  </pic:blipFill>
                  <pic:spPr>
                    <a:xfrm>
                      <a:off x="0" y="0"/>
                      <a:ext cx="6307113" cy="3737340"/>
                    </a:xfrm>
                    <a:prstGeom prst="rect">
                      <a:avLst/>
                    </a:prstGeom>
                    <a:ln>
                      <a:solidFill>
                        <a:schemeClr val="tx2"/>
                      </a:solidFill>
                    </a:ln>
                  </pic:spPr>
                </pic:pic>
              </a:graphicData>
            </a:graphic>
          </wp:inline>
        </w:drawing>
      </w:r>
    </w:p>
    <w:p w14:paraId="1E2B5719" w14:textId="788CE554" w:rsidR="00DC4C6D" w:rsidRDefault="00DC4C6D" w:rsidP="00943E92">
      <w:pPr>
        <w:pStyle w:val="Heading4"/>
      </w:pPr>
      <w:r>
        <w:lastRenderedPageBreak/>
        <w:t>Quantified Reductions</w:t>
      </w:r>
    </w:p>
    <w:p w14:paraId="32EF4936" w14:textId="7081B023" w:rsidR="00A3511A" w:rsidRDefault="00BF02B1" w:rsidP="00752F47">
      <w:r>
        <w:t xml:space="preserve">The Quantified Reductions tab </w:t>
      </w:r>
      <w:r w:rsidR="00864FF3">
        <w:t>quantifie</w:t>
      </w:r>
      <w:r w:rsidR="00217618">
        <w:t>s</w:t>
      </w:r>
      <w:r w:rsidR="00864FF3">
        <w:t xml:space="preserve"> GHG emission reductions from </w:t>
      </w:r>
      <w:r w:rsidR="00217618">
        <w:t>the user-</w:t>
      </w:r>
      <w:r w:rsidR="00864FF3">
        <w:t>select mitigation measures</w:t>
      </w:r>
      <w:r w:rsidR="00217618">
        <w:t xml:space="preserve"> </w:t>
      </w:r>
      <w:r w:rsidR="00584406">
        <w:t xml:space="preserve">in the Mitigation </w:t>
      </w:r>
      <w:r w:rsidR="00217618">
        <w:t>tab</w:t>
      </w:r>
      <w:r w:rsidR="00864FF3">
        <w:t xml:space="preserve">. </w:t>
      </w:r>
      <w:r w:rsidR="008123F4">
        <w:t xml:space="preserve">Reductions are quantified based on data entered in the Project Background and User Inputs tabs, as well as methods and assumptions used throughout the calculator. </w:t>
      </w:r>
      <w:r w:rsidR="007E1A91">
        <w:t xml:space="preserve">In some cases, additional data inputs are required to quantify reductions. </w:t>
      </w:r>
      <w:r w:rsidR="00242F1C">
        <w:t>For these cases, users should enter data into the yellow cells to quantify reductions from these measures.</w:t>
      </w:r>
      <w:r w:rsidR="0022515F">
        <w:t xml:space="preserve"> </w:t>
      </w:r>
      <w:r w:rsidR="00A3511A">
        <w:t xml:space="preserve">Emissions from the Baseline and Mitigation Scenarios, as well as total mitigated emissions, are shown for all </w:t>
      </w:r>
      <w:r w:rsidR="008E18E2">
        <w:t xml:space="preserve">selected </w:t>
      </w:r>
      <w:r w:rsidR="00C91437">
        <w:t xml:space="preserve">measures in the summary table and graphic at the top of the tab. The ‘Generate PDF’ button can be used to print a PDF of the tab. </w:t>
      </w:r>
      <w:r w:rsidR="00752F47">
        <w:rPr>
          <w:highlight w:val="yellow"/>
        </w:rPr>
        <w:fldChar w:fldCharType="begin"/>
      </w:r>
      <w:r w:rsidR="00752F47">
        <w:instrText xml:space="preserve"> REF _Ref219884509 \h </w:instrText>
      </w:r>
      <w:r w:rsidR="00752F47">
        <w:rPr>
          <w:highlight w:val="yellow"/>
        </w:rPr>
      </w:r>
      <w:r w:rsidR="00752F47">
        <w:rPr>
          <w:highlight w:val="yellow"/>
        </w:rPr>
        <w:fldChar w:fldCharType="separate"/>
      </w:r>
      <w:r w:rsidR="00752F47">
        <w:t>Figure D-</w:t>
      </w:r>
      <w:r w:rsidR="00752F47">
        <w:rPr>
          <w:noProof/>
        </w:rPr>
        <w:t>15</w:t>
      </w:r>
      <w:r w:rsidR="00752F47">
        <w:rPr>
          <w:highlight w:val="yellow"/>
        </w:rPr>
        <w:fldChar w:fldCharType="end"/>
      </w:r>
      <w:r w:rsidR="00C91437">
        <w:t xml:space="preserve"> highlights the features of the Quantified Reductions tab.</w:t>
      </w:r>
    </w:p>
    <w:p w14:paraId="396834B2" w14:textId="73B2C5C2" w:rsidR="00B363F9" w:rsidRDefault="00B363F9" w:rsidP="00281E16">
      <w:pPr>
        <w:pStyle w:val="Caption"/>
      </w:pPr>
      <w:bookmarkStart w:id="364" w:name="_Ref219884509"/>
      <w:r>
        <w:t>Figure D-</w:t>
      </w:r>
      <w:r>
        <w:rPr>
          <w:b w:val="0"/>
        </w:rPr>
        <w:fldChar w:fldCharType="begin"/>
      </w:r>
      <w:r>
        <w:instrText xml:space="preserve"> SEQ Figure_D- \* ARABIC </w:instrText>
      </w:r>
      <w:r>
        <w:rPr>
          <w:b w:val="0"/>
        </w:rPr>
        <w:fldChar w:fldCharType="separate"/>
      </w:r>
      <w:r w:rsidR="00752F47">
        <w:rPr>
          <w:noProof/>
        </w:rPr>
        <w:t>15</w:t>
      </w:r>
      <w:r>
        <w:rPr>
          <w:b w:val="0"/>
        </w:rPr>
        <w:fldChar w:fldCharType="end"/>
      </w:r>
      <w:bookmarkEnd w:id="364"/>
      <w:r>
        <w:t xml:space="preserve">. </w:t>
      </w:r>
      <w:r w:rsidR="004070C8">
        <w:t>Example Quantified Reductions</w:t>
      </w:r>
    </w:p>
    <w:p w14:paraId="753042BF" w14:textId="1EC93D7A" w:rsidR="00B363F9" w:rsidRDefault="00792AB4" w:rsidP="00281E16">
      <w:pPr>
        <w:pStyle w:val="Caption"/>
        <w:spacing w:before="0" w:after="0"/>
      </w:pPr>
      <w:r w:rsidRPr="00792AB4">
        <w:rPr>
          <w:noProof/>
        </w:rPr>
        <w:drawing>
          <wp:inline distT="0" distB="0" distL="0" distR="0" wp14:anchorId="294829F8" wp14:editId="70338916">
            <wp:extent cx="6400800" cy="3094355"/>
            <wp:effectExtent l="19050" t="19050" r="19050" b="10795"/>
            <wp:docPr id="2997541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54110" name="Picture 1" descr="A screenshot of a computer&#10;&#10;AI-generated content may be incorrect."/>
                    <pic:cNvPicPr/>
                  </pic:nvPicPr>
                  <pic:blipFill>
                    <a:blip r:embed="rId164"/>
                    <a:stretch>
                      <a:fillRect/>
                    </a:stretch>
                  </pic:blipFill>
                  <pic:spPr>
                    <a:xfrm>
                      <a:off x="0" y="0"/>
                      <a:ext cx="6400800" cy="3094355"/>
                    </a:xfrm>
                    <a:prstGeom prst="rect">
                      <a:avLst/>
                    </a:prstGeom>
                    <a:ln>
                      <a:solidFill>
                        <a:schemeClr val="tx2"/>
                      </a:solidFill>
                    </a:ln>
                  </pic:spPr>
                </pic:pic>
              </a:graphicData>
            </a:graphic>
          </wp:inline>
        </w:drawing>
      </w:r>
    </w:p>
    <w:p w14:paraId="36730914" w14:textId="68F8719C" w:rsidR="00943E92" w:rsidRPr="004C12C9" w:rsidRDefault="00943E92" w:rsidP="00943E92">
      <w:pPr>
        <w:pStyle w:val="Heading4"/>
      </w:pPr>
      <w:r w:rsidRPr="004C12C9">
        <w:t xml:space="preserve">Adaptation Tab </w:t>
      </w:r>
    </w:p>
    <w:p w14:paraId="5D08F123" w14:textId="2EE103FC" w:rsidR="007E36FF" w:rsidRPr="004C12C9" w:rsidRDefault="00943E92" w:rsidP="00F86AC2">
      <w:r w:rsidRPr="004C12C9">
        <w:t>T</w:t>
      </w:r>
      <w:r w:rsidR="00311FE5" w:rsidRPr="004C12C9">
        <w:t>he Adaptation tab</w:t>
      </w:r>
      <w:r w:rsidRPr="004C12C9">
        <w:t xml:space="preserve"> identifies</w:t>
      </w:r>
      <w:r w:rsidR="00311FE5" w:rsidRPr="004C12C9">
        <w:t xml:space="preserve"> a</w:t>
      </w:r>
      <w:r w:rsidR="001671D4" w:rsidRPr="004C12C9">
        <w:t xml:space="preserve">daptation strategies </w:t>
      </w:r>
      <w:r w:rsidR="00FA34A3" w:rsidRPr="004C12C9">
        <w:t xml:space="preserve">that can be </w:t>
      </w:r>
      <w:r w:rsidR="00100C83" w:rsidRPr="004C12C9">
        <w:t>applied</w:t>
      </w:r>
      <w:r w:rsidR="00FA34A3" w:rsidRPr="004C12C9">
        <w:t xml:space="preserve"> </w:t>
      </w:r>
      <w:r w:rsidR="00100C83" w:rsidRPr="004C12C9">
        <w:t xml:space="preserve">by project developers </w:t>
      </w:r>
      <w:r w:rsidR="00FA34A3" w:rsidRPr="004C12C9">
        <w:t xml:space="preserve">to adapt to changing climate conditions. </w:t>
      </w:r>
      <w:r w:rsidR="008724CA" w:rsidRPr="004C12C9">
        <w:t xml:space="preserve">A unique identifier (e.g., S-1A-1) is assigned to each identified </w:t>
      </w:r>
      <w:r w:rsidR="00311FE5" w:rsidRPr="004C12C9">
        <w:t>a</w:t>
      </w:r>
      <w:r w:rsidR="001671D4" w:rsidRPr="004C12C9">
        <w:t>daptation strateg</w:t>
      </w:r>
      <w:r w:rsidR="008724CA" w:rsidRPr="004C12C9">
        <w:t>y</w:t>
      </w:r>
      <w:r w:rsidR="001671D4" w:rsidRPr="004C12C9">
        <w:t xml:space="preserve"> </w:t>
      </w:r>
      <w:r w:rsidR="008724CA" w:rsidRPr="004C12C9">
        <w:t xml:space="preserve">in the </w:t>
      </w:r>
      <w:r w:rsidR="00291153" w:rsidRPr="004C12C9">
        <w:t>calculator</w:t>
      </w:r>
      <w:r w:rsidR="008724CA" w:rsidRPr="004C12C9">
        <w:t>.</w:t>
      </w:r>
      <w:r w:rsidR="000B4286" w:rsidRPr="004C12C9">
        <w:t xml:space="preserve"> </w:t>
      </w:r>
      <w:r w:rsidR="00F213A1" w:rsidRPr="004C12C9">
        <w:t xml:space="preserve">The strategies are </w:t>
      </w:r>
      <w:r w:rsidR="00D364D9" w:rsidRPr="004C12C9">
        <w:t xml:space="preserve">mapped to </w:t>
      </w:r>
      <w:r w:rsidR="00596BE2" w:rsidRPr="004C12C9">
        <w:t xml:space="preserve">a defined list of climate trends and project characteristics. </w:t>
      </w:r>
      <w:r w:rsidR="000B4286" w:rsidRPr="004C12C9">
        <w:rPr>
          <w:rFonts w:asciiTheme="minorHAnsi" w:hAnsiTheme="minorHAnsi" w:cstheme="minorHAnsi"/>
        </w:rPr>
        <w:t>Strategies may map to more than climate trend and/or project characteristic.</w:t>
      </w:r>
      <w:r w:rsidR="003B2574" w:rsidRPr="004C12C9">
        <w:t xml:space="preserve"> </w:t>
      </w:r>
      <w:r w:rsidR="004618ED" w:rsidRPr="004C12C9">
        <w:t xml:space="preserve">Users can filter relevant adaptation strategies by selecting or unselecting relevant climate trends and project characteristics in the check boxes under Steps 1 and 2. The table automatically filters based on these selections. </w:t>
      </w:r>
      <w:r w:rsidR="003B2574" w:rsidRPr="004C12C9">
        <w:t>Users can then use the drop-down menu under the Select column to choose the strategies they intend to implement as part of their project.</w:t>
      </w:r>
      <w:bookmarkEnd w:id="0"/>
      <w:r w:rsidR="004A359D" w:rsidRPr="004C12C9">
        <w:t xml:space="preserve"> </w:t>
      </w:r>
      <w:r w:rsidR="007E36FF" w:rsidRPr="004C12C9">
        <w:t xml:space="preserve">Users can also select the ‘Select All Unhidden </w:t>
      </w:r>
      <w:r w:rsidR="004618ED" w:rsidRPr="004C12C9">
        <w:t>Strategies</w:t>
      </w:r>
      <w:r w:rsidR="007E36FF" w:rsidRPr="004C12C9">
        <w:t xml:space="preserve">’ button to select “Yes” for all visible </w:t>
      </w:r>
      <w:r w:rsidR="00D36587" w:rsidRPr="004C12C9">
        <w:t>strategies</w:t>
      </w:r>
      <w:r w:rsidR="007E36FF" w:rsidRPr="004C12C9">
        <w:t xml:space="preserve">. Rows are shaded gray when a </w:t>
      </w:r>
      <w:r w:rsidR="00D36587" w:rsidRPr="004C12C9">
        <w:t>strategy</w:t>
      </w:r>
      <w:r w:rsidR="007E36FF" w:rsidRPr="004C12C9">
        <w:t xml:space="preserve"> is selected. The ‘Reset all Selected </w:t>
      </w:r>
      <w:r w:rsidR="00D36587" w:rsidRPr="004C12C9">
        <w:t>Strategies</w:t>
      </w:r>
      <w:r w:rsidR="007E36FF" w:rsidRPr="004C12C9">
        <w:t xml:space="preserve">’ button can be used to remove all selections from the first column. </w:t>
      </w:r>
      <w:r w:rsidR="008C697D" w:rsidRPr="004C12C9">
        <w:t xml:space="preserve">The ‘Reset Climate Trends’ and ‘Reset Project Characteristics’ buttons may also be used to </w:t>
      </w:r>
      <w:r w:rsidR="00253209" w:rsidRPr="004C12C9">
        <w:t xml:space="preserve">select all </w:t>
      </w:r>
      <w:r w:rsidR="008A1083" w:rsidRPr="004C12C9">
        <w:t xml:space="preserve">climate trends and project characteristics in the check boxes under Steps 1 </w:t>
      </w:r>
      <w:r w:rsidR="008A1083" w:rsidRPr="004C12C9">
        <w:lastRenderedPageBreak/>
        <w:t xml:space="preserve">and 2. </w:t>
      </w:r>
      <w:r w:rsidR="00E07DEF" w:rsidRPr="004C12C9">
        <w:t xml:space="preserve">The ‘Generate PDF’ button may be selected to print a PDF of all visible strategies. </w:t>
      </w:r>
      <w:r w:rsidR="00752F47">
        <w:fldChar w:fldCharType="begin"/>
      </w:r>
      <w:r w:rsidR="00752F47">
        <w:instrText xml:space="preserve"> REF _Ref196821135 \h </w:instrText>
      </w:r>
      <w:r w:rsidR="00752F47">
        <w:fldChar w:fldCharType="separate"/>
      </w:r>
      <w:r w:rsidR="00752F47" w:rsidRPr="004C12C9">
        <w:t>Figure D-</w:t>
      </w:r>
      <w:r w:rsidR="00752F47">
        <w:rPr>
          <w:noProof/>
        </w:rPr>
        <w:t>16</w:t>
      </w:r>
      <w:r w:rsidR="00752F47">
        <w:fldChar w:fldCharType="end"/>
      </w:r>
      <w:r w:rsidR="00752F47">
        <w:t xml:space="preserve"> </w:t>
      </w:r>
      <w:r w:rsidR="007E36FF" w:rsidRPr="004C12C9">
        <w:t xml:space="preserve">highlights the features of the </w:t>
      </w:r>
      <w:r w:rsidR="004A359D" w:rsidRPr="004C12C9">
        <w:t>adaptation</w:t>
      </w:r>
      <w:r w:rsidR="007E36FF" w:rsidRPr="004C12C9">
        <w:t xml:space="preserve"> tab.</w:t>
      </w:r>
    </w:p>
    <w:p w14:paraId="4D37EA4E" w14:textId="559F3292" w:rsidR="008366BC" w:rsidRPr="004C12C9" w:rsidRDefault="008366BC" w:rsidP="008366BC">
      <w:pPr>
        <w:pStyle w:val="Caption"/>
      </w:pPr>
      <w:bookmarkStart w:id="365" w:name="_Ref196821135"/>
      <w:r w:rsidRPr="004C12C9">
        <w:t>Figure D-</w:t>
      </w:r>
      <w:r>
        <w:fldChar w:fldCharType="begin"/>
      </w:r>
      <w:r>
        <w:instrText xml:space="preserve"> SEQ Figure_D- \* ARABIC </w:instrText>
      </w:r>
      <w:r>
        <w:fldChar w:fldCharType="separate"/>
      </w:r>
      <w:r w:rsidR="00752F47">
        <w:rPr>
          <w:noProof/>
        </w:rPr>
        <w:t>16</w:t>
      </w:r>
      <w:r>
        <w:fldChar w:fldCharType="end"/>
      </w:r>
      <w:bookmarkEnd w:id="365"/>
      <w:r w:rsidRPr="004C12C9">
        <w:t xml:space="preserve">. Example Adaptation Strategies </w:t>
      </w:r>
    </w:p>
    <w:p w14:paraId="360866E0" w14:textId="42A2F198" w:rsidR="008366BC" w:rsidRPr="004C12C9" w:rsidRDefault="000114D9" w:rsidP="00AF2AD9">
      <w:pPr>
        <w:spacing w:before="60" w:after="60"/>
      </w:pPr>
      <w:r w:rsidRPr="004C12C9">
        <w:rPr>
          <w:noProof/>
        </w:rPr>
        <w:drawing>
          <wp:inline distT="0" distB="0" distL="0" distR="0" wp14:anchorId="001B34CE" wp14:editId="1E4E1BF9">
            <wp:extent cx="6400800" cy="2716530"/>
            <wp:effectExtent l="19050" t="19050" r="19050" b="26670"/>
            <wp:docPr id="167137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811" name="Picture 1" descr="A screenshot of a computer&#10;&#10;AI-generated content may be incorrect."/>
                    <pic:cNvPicPr/>
                  </pic:nvPicPr>
                  <pic:blipFill>
                    <a:blip r:embed="rId165"/>
                    <a:stretch>
                      <a:fillRect/>
                    </a:stretch>
                  </pic:blipFill>
                  <pic:spPr>
                    <a:xfrm>
                      <a:off x="0" y="0"/>
                      <a:ext cx="6400800" cy="2716530"/>
                    </a:xfrm>
                    <a:prstGeom prst="rect">
                      <a:avLst/>
                    </a:prstGeom>
                    <a:ln>
                      <a:solidFill>
                        <a:schemeClr val="tx2">
                          <a:lumMod val="50000"/>
                          <a:lumOff val="50000"/>
                        </a:schemeClr>
                      </a:solidFill>
                    </a:ln>
                  </pic:spPr>
                </pic:pic>
              </a:graphicData>
            </a:graphic>
          </wp:inline>
        </w:drawing>
      </w:r>
      <w:r w:rsidR="00EB483A" w:rsidRPr="004C12C9" w:rsidDel="001A72DD">
        <w:t xml:space="preserve"> </w:t>
      </w:r>
    </w:p>
    <w:p w14:paraId="24650BE0" w14:textId="77777777" w:rsidR="00D23476" w:rsidRPr="004C12C9" w:rsidRDefault="00D23476" w:rsidP="00F86AC2"/>
    <w:p w14:paraId="4B616B98" w14:textId="77777777" w:rsidR="001605A3" w:rsidRPr="004C12C9" w:rsidRDefault="001605A3">
      <w:pPr>
        <w:spacing w:before="120" w:after="0" w:line="271" w:lineRule="auto"/>
        <w:rPr>
          <w:rFonts w:asciiTheme="minorHAnsi" w:eastAsiaTheme="majorEastAsia" w:hAnsiTheme="minorHAnsi" w:cstheme="majorBidi"/>
          <w:b/>
          <w:color w:val="003865" w:themeColor="accent1"/>
          <w:sz w:val="32"/>
          <w:szCs w:val="32"/>
        </w:rPr>
      </w:pPr>
      <w:r w:rsidRPr="004C12C9">
        <w:br w:type="page"/>
      </w:r>
    </w:p>
    <w:p w14:paraId="7E84970F" w14:textId="37E6D9D4" w:rsidR="00D23476" w:rsidRPr="004C12C9" w:rsidRDefault="00291153" w:rsidP="00D23476">
      <w:pPr>
        <w:pStyle w:val="Appendix"/>
      </w:pPr>
      <w:bookmarkStart w:id="366" w:name="_Toc219887802"/>
      <w:r w:rsidRPr="004C12C9">
        <w:lastRenderedPageBreak/>
        <w:t xml:space="preserve">Calculator </w:t>
      </w:r>
      <w:r w:rsidR="00C8055A" w:rsidRPr="004C12C9">
        <w:t>Maintenance Guide</w:t>
      </w:r>
      <w:bookmarkEnd w:id="366"/>
    </w:p>
    <w:p w14:paraId="6CC2E124" w14:textId="384C5F76" w:rsidR="00FE3065" w:rsidRPr="004C12C9" w:rsidRDefault="00844925" w:rsidP="00AF0C04">
      <w:r w:rsidRPr="004C12C9">
        <w:t xml:space="preserve">Many of the </w:t>
      </w:r>
      <w:r w:rsidR="00FE3065" w:rsidRPr="004C12C9">
        <w:t>data</w:t>
      </w:r>
      <w:r w:rsidRPr="004C12C9">
        <w:t xml:space="preserve"> sources </w:t>
      </w:r>
      <w:r w:rsidR="00FE3065" w:rsidRPr="004C12C9">
        <w:t xml:space="preserve">that the </w:t>
      </w:r>
      <w:r w:rsidR="00291153" w:rsidRPr="004C12C9">
        <w:t xml:space="preserve">calculator </w:t>
      </w:r>
      <w:r w:rsidR="00FE3065" w:rsidRPr="004C12C9">
        <w:t>relie</w:t>
      </w:r>
      <w:r w:rsidR="00734835" w:rsidRPr="004C12C9">
        <w:t>s</w:t>
      </w:r>
      <w:r w:rsidR="00FE3065" w:rsidRPr="004C12C9">
        <w:t xml:space="preserve"> on to </w:t>
      </w:r>
      <w:r w:rsidR="00734835" w:rsidRPr="004C12C9">
        <w:t>inform</w:t>
      </w:r>
      <w:r w:rsidR="00FE3065" w:rsidRPr="004C12C9">
        <w:t xml:space="preserve"> assumptions are </w:t>
      </w:r>
      <w:r w:rsidR="00E63964" w:rsidRPr="004C12C9">
        <w:t>regularly updated to reflect the best and most recently available information.</w:t>
      </w:r>
      <w:r w:rsidR="006F7781" w:rsidRPr="004C12C9">
        <w:t xml:space="preserve"> </w:t>
      </w:r>
      <w:r w:rsidR="00105BCB" w:rsidRPr="004C12C9">
        <w:t xml:space="preserve">To ensure assumptions in the </w:t>
      </w:r>
      <w:r w:rsidR="00291153" w:rsidRPr="004C12C9">
        <w:t xml:space="preserve">calculator </w:t>
      </w:r>
      <w:r w:rsidR="00105BCB" w:rsidRPr="004C12C9">
        <w:t>reflect changing and evolving trends, i</w:t>
      </w:r>
      <w:r w:rsidR="006F7781" w:rsidRPr="004C12C9">
        <w:t xml:space="preserve">t is recommended that the </w:t>
      </w:r>
      <w:r w:rsidR="00291153" w:rsidRPr="004C12C9">
        <w:t xml:space="preserve">calculator </w:t>
      </w:r>
      <w:r w:rsidR="006F7781" w:rsidRPr="004C12C9">
        <w:t xml:space="preserve">is reviewed </w:t>
      </w:r>
      <w:r w:rsidR="00D0769B" w:rsidRPr="004C12C9">
        <w:t xml:space="preserve">and updated </w:t>
      </w:r>
      <w:r w:rsidR="006F7781" w:rsidRPr="004C12C9">
        <w:t>annually</w:t>
      </w:r>
      <w:r w:rsidR="00FB2F1A" w:rsidRPr="004C12C9">
        <w:t>.</w:t>
      </w:r>
      <w:r w:rsidR="00154C5C" w:rsidRPr="004C12C9">
        <w:t xml:space="preserve"> At a minimum, the sources listed in </w:t>
      </w:r>
      <w:r w:rsidR="00154C5C" w:rsidRPr="004C12C9">
        <w:fldChar w:fldCharType="begin" w:fldLock="1"/>
      </w:r>
      <w:r w:rsidR="00154C5C" w:rsidRPr="004C12C9">
        <w:instrText xml:space="preserve"> REF _Ref196821696 \h </w:instrText>
      </w:r>
      <w:r w:rsidR="00154C5C" w:rsidRPr="004C12C9">
        <w:fldChar w:fldCharType="separate"/>
      </w:r>
      <w:r w:rsidR="00154C5C" w:rsidRPr="004C12C9">
        <w:t>Table E-1</w:t>
      </w:r>
      <w:r w:rsidR="00154C5C" w:rsidRPr="004C12C9">
        <w:fldChar w:fldCharType="end"/>
      </w:r>
      <w:r w:rsidR="00532FD7" w:rsidRPr="004C12C9">
        <w:t xml:space="preserve"> should be reviewed</w:t>
      </w:r>
      <w:r w:rsidR="00F368AE" w:rsidRPr="004C12C9">
        <w:t xml:space="preserve"> and the latest available data incorporated into the </w:t>
      </w:r>
      <w:r w:rsidR="00291153" w:rsidRPr="004C12C9">
        <w:t>calculator</w:t>
      </w:r>
      <w:r w:rsidR="00F368AE" w:rsidRPr="004C12C9">
        <w:t>.</w:t>
      </w:r>
    </w:p>
    <w:p w14:paraId="7D7D56D1" w14:textId="27A6D27F" w:rsidR="00B9054C" w:rsidRPr="004C12C9" w:rsidRDefault="00154C5C" w:rsidP="00154C5C">
      <w:pPr>
        <w:pStyle w:val="Caption"/>
      </w:pPr>
      <w:bookmarkStart w:id="367" w:name="_Ref196821696"/>
      <w:r w:rsidRPr="004C12C9">
        <w:t>Table E-</w:t>
      </w:r>
      <w:r>
        <w:fldChar w:fldCharType="begin"/>
      </w:r>
      <w:r>
        <w:instrText xml:space="preserve"> SEQ Table_E- \* ARABIC </w:instrText>
      </w:r>
      <w:r>
        <w:fldChar w:fldCharType="separate"/>
      </w:r>
      <w:r w:rsidRPr="004C12C9">
        <w:t>1</w:t>
      </w:r>
      <w:r>
        <w:fldChar w:fldCharType="end"/>
      </w:r>
      <w:bookmarkEnd w:id="367"/>
      <w:r w:rsidRPr="004C12C9">
        <w:t xml:space="preserve">. </w:t>
      </w:r>
      <w:r w:rsidR="00F255D6" w:rsidRPr="004C12C9">
        <w:t xml:space="preserve">Sources to Review Annually for Potential Updates </w:t>
      </w:r>
    </w:p>
    <w:tbl>
      <w:tblPr>
        <w:tblStyle w:val="TableGrid"/>
        <w:tblW w:w="10165" w:type="dxa"/>
        <w:tblLook w:val="04A0" w:firstRow="1" w:lastRow="0" w:firstColumn="1" w:lastColumn="0" w:noHBand="0" w:noVBand="1"/>
      </w:tblPr>
      <w:tblGrid>
        <w:gridCol w:w="5485"/>
        <w:gridCol w:w="4680"/>
      </w:tblGrid>
      <w:tr w:rsidR="006D3BA0" w:rsidRPr="004C12C9" w14:paraId="1EE5D75A" w14:textId="511BCC5D" w:rsidTr="006152DA">
        <w:tc>
          <w:tcPr>
            <w:tcW w:w="5485" w:type="dxa"/>
            <w:shd w:val="clear" w:color="auto" w:fill="D9D9D9" w:themeFill="background1" w:themeFillShade="D9"/>
            <w:vAlign w:val="center"/>
          </w:tcPr>
          <w:p w14:paraId="0158CF55" w14:textId="5605A5FB" w:rsidR="006D3BA0" w:rsidRPr="004C12C9" w:rsidRDefault="006D3BA0" w:rsidP="00880A42">
            <w:pPr>
              <w:pStyle w:val="ICFTableHeading"/>
              <w:rPr>
                <w:sz w:val="20"/>
              </w:rPr>
            </w:pPr>
            <w:r w:rsidRPr="004C12C9">
              <w:rPr>
                <w:sz w:val="20"/>
              </w:rPr>
              <w:t xml:space="preserve">Source </w:t>
            </w:r>
          </w:p>
        </w:tc>
        <w:tc>
          <w:tcPr>
            <w:tcW w:w="4680" w:type="dxa"/>
            <w:shd w:val="clear" w:color="auto" w:fill="D9D9D9" w:themeFill="background1" w:themeFillShade="D9"/>
            <w:vAlign w:val="center"/>
          </w:tcPr>
          <w:p w14:paraId="66BD6EF8" w14:textId="0A1B42AB" w:rsidR="006D3BA0" w:rsidRPr="004C12C9" w:rsidRDefault="006A6EA1" w:rsidP="00880A42">
            <w:pPr>
              <w:pStyle w:val="ICFTableHeading"/>
              <w:rPr>
                <w:sz w:val="20"/>
              </w:rPr>
            </w:pPr>
            <w:r w:rsidRPr="004C12C9">
              <w:rPr>
                <w:sz w:val="20"/>
              </w:rPr>
              <w:t>Impacted</w:t>
            </w:r>
            <w:r w:rsidR="00A3412F" w:rsidRPr="004C12C9">
              <w:rPr>
                <w:sz w:val="20"/>
              </w:rPr>
              <w:t xml:space="preserve"> Assumptions</w:t>
            </w:r>
          </w:p>
        </w:tc>
      </w:tr>
      <w:tr w:rsidR="006A6EA1" w:rsidRPr="004C12C9" w14:paraId="428C93B8" w14:textId="77777777" w:rsidTr="006152DA">
        <w:tc>
          <w:tcPr>
            <w:tcW w:w="5485" w:type="dxa"/>
            <w:vAlign w:val="center"/>
          </w:tcPr>
          <w:p w14:paraId="04C891F2" w14:textId="7E46E774" w:rsidR="006A6EA1" w:rsidRPr="004C12C9" w:rsidRDefault="006A6EA1" w:rsidP="006152DA">
            <w:pPr>
              <w:pStyle w:val="ICFTabletext"/>
            </w:pPr>
            <w:hyperlink r:id="rId166" w:history="1">
              <w:r w:rsidRPr="004C12C9">
                <w:rPr>
                  <w:rStyle w:val="Hyperlink"/>
                  <w:rFonts w:asciiTheme="minorHAnsi" w:hAnsiTheme="minorHAnsi" w:cstheme="minorHAnsi"/>
                  <w:sz w:val="20"/>
                  <w:szCs w:val="18"/>
                </w:rPr>
                <w:t>Greenhouse gases, Regulated Emissions, and Energy use in Technologies Model (GREET)</w:t>
              </w:r>
            </w:hyperlink>
          </w:p>
        </w:tc>
        <w:tc>
          <w:tcPr>
            <w:tcW w:w="4680" w:type="dxa"/>
          </w:tcPr>
          <w:p w14:paraId="1D939A21" w14:textId="012A4182" w:rsidR="006A6EA1" w:rsidRPr="004C12C9" w:rsidRDefault="006A6EA1" w:rsidP="006A6EA1">
            <w:pPr>
              <w:pStyle w:val="ICFTabletext"/>
              <w:rPr>
                <w:sz w:val="20"/>
              </w:rPr>
            </w:pPr>
            <w:r w:rsidRPr="004C12C9">
              <w:rPr>
                <w:sz w:val="20"/>
              </w:rPr>
              <w:t>Material inputs; Employee commuting; Construction equipment; Electricity; Building energy consumption, Coal production, Natural gas and oil products; Industrial processes</w:t>
            </w:r>
          </w:p>
        </w:tc>
      </w:tr>
      <w:tr w:rsidR="006A6EA1" w:rsidRPr="004C12C9" w14:paraId="064C9DEF" w14:textId="77777777" w:rsidTr="006152DA">
        <w:tc>
          <w:tcPr>
            <w:tcW w:w="5485" w:type="dxa"/>
            <w:vAlign w:val="center"/>
          </w:tcPr>
          <w:p w14:paraId="43237ADC" w14:textId="44538CB3" w:rsidR="006A6EA1" w:rsidRPr="004C12C9" w:rsidRDefault="006A6EA1" w:rsidP="006152DA">
            <w:pPr>
              <w:pStyle w:val="ICFTabletext"/>
              <w:rPr>
                <w:sz w:val="20"/>
              </w:rPr>
            </w:pPr>
            <w:hyperlink r:id="rId167" w:history="1">
              <w:r w:rsidRPr="004C12C9">
                <w:rPr>
                  <w:rStyle w:val="Hyperlink"/>
                  <w:rFonts w:asciiTheme="minorHAnsi" w:hAnsiTheme="minorHAnsi" w:cstheme="minorHAnsi"/>
                  <w:sz w:val="20"/>
                  <w:szCs w:val="18"/>
                </w:rPr>
                <w:t>Embodied Carbon in Construction Calculator (EC3)</w:t>
              </w:r>
            </w:hyperlink>
          </w:p>
        </w:tc>
        <w:tc>
          <w:tcPr>
            <w:tcW w:w="4680" w:type="dxa"/>
          </w:tcPr>
          <w:p w14:paraId="5D11934B" w14:textId="7B5FB57E" w:rsidR="006A6EA1" w:rsidRPr="004C12C9" w:rsidRDefault="006A6EA1" w:rsidP="006A6EA1">
            <w:pPr>
              <w:pStyle w:val="ICFTabletext"/>
              <w:rPr>
                <w:sz w:val="20"/>
              </w:rPr>
            </w:pPr>
            <w:r w:rsidRPr="004C12C9">
              <w:rPr>
                <w:sz w:val="20"/>
              </w:rPr>
              <w:t>Material inputs; Industrial processes</w:t>
            </w:r>
          </w:p>
        </w:tc>
      </w:tr>
      <w:tr w:rsidR="00B37F6E" w:rsidRPr="004C12C9" w14:paraId="77C6665D" w14:textId="77777777" w:rsidTr="006152DA">
        <w:tc>
          <w:tcPr>
            <w:tcW w:w="5485" w:type="dxa"/>
            <w:vAlign w:val="center"/>
          </w:tcPr>
          <w:p w14:paraId="79F26FCB" w14:textId="2ECE0448" w:rsidR="00B37F6E" w:rsidRPr="004C12C9" w:rsidRDefault="00B37F6E" w:rsidP="006152DA">
            <w:pPr>
              <w:pStyle w:val="ICFTabletext"/>
            </w:pPr>
            <w:hyperlink r:id="rId168" w:history="1">
              <w:r w:rsidRPr="004C12C9">
                <w:rPr>
                  <w:rStyle w:val="Hyperlink"/>
                  <w:rFonts w:asciiTheme="minorHAnsi" w:hAnsiTheme="minorHAnsi" w:cstheme="minorHAnsi"/>
                  <w:sz w:val="20"/>
                  <w:szCs w:val="18"/>
                </w:rPr>
                <w:t>Emissions &amp; Generation Resource Integrated Database (eGRID)</w:t>
              </w:r>
            </w:hyperlink>
          </w:p>
        </w:tc>
        <w:tc>
          <w:tcPr>
            <w:tcW w:w="4680" w:type="dxa"/>
          </w:tcPr>
          <w:p w14:paraId="64B7BC79" w14:textId="3087191F" w:rsidR="00B37F6E" w:rsidRPr="004C12C9" w:rsidRDefault="00B37F6E" w:rsidP="00B37F6E">
            <w:pPr>
              <w:pStyle w:val="ICFTabletext"/>
              <w:rPr>
                <w:sz w:val="20"/>
              </w:rPr>
            </w:pPr>
            <w:r w:rsidRPr="004C12C9">
              <w:rPr>
                <w:sz w:val="20"/>
              </w:rPr>
              <w:t>Electricity emission factors</w:t>
            </w:r>
          </w:p>
        </w:tc>
      </w:tr>
      <w:tr w:rsidR="00B37F6E" w:rsidRPr="004C12C9" w14:paraId="4DD76D67" w14:textId="39B7E24E" w:rsidTr="006152DA">
        <w:tc>
          <w:tcPr>
            <w:tcW w:w="5485" w:type="dxa"/>
            <w:vAlign w:val="center"/>
          </w:tcPr>
          <w:p w14:paraId="561DEDC9" w14:textId="654CB418" w:rsidR="00B37F6E" w:rsidRPr="004C12C9" w:rsidRDefault="00B37F6E" w:rsidP="006152DA">
            <w:pPr>
              <w:pStyle w:val="ICFTabletext"/>
              <w:rPr>
                <w:sz w:val="20"/>
              </w:rPr>
            </w:pPr>
            <w:hyperlink r:id="rId169" w:history="1">
              <w:r w:rsidRPr="004C12C9">
                <w:rPr>
                  <w:rStyle w:val="Hyperlink"/>
                  <w:rFonts w:asciiTheme="minorHAnsi" w:hAnsiTheme="minorHAnsi" w:cstheme="minorHAnsi"/>
                  <w:sz w:val="20"/>
                  <w:szCs w:val="18"/>
                </w:rPr>
                <w:t>EPA GHG Emission Factor Hub</w:t>
              </w:r>
            </w:hyperlink>
          </w:p>
        </w:tc>
        <w:tc>
          <w:tcPr>
            <w:tcW w:w="4680" w:type="dxa"/>
          </w:tcPr>
          <w:p w14:paraId="42BACD45" w14:textId="4AA5F07C" w:rsidR="00B37F6E" w:rsidRPr="004C12C9" w:rsidRDefault="00B37F6E" w:rsidP="00B37F6E">
            <w:pPr>
              <w:pStyle w:val="ICFTabletext"/>
              <w:rPr>
                <w:sz w:val="20"/>
              </w:rPr>
            </w:pPr>
            <w:r w:rsidRPr="004C12C9">
              <w:rPr>
                <w:sz w:val="20"/>
              </w:rPr>
              <w:t>All except land use change</w:t>
            </w:r>
          </w:p>
        </w:tc>
      </w:tr>
      <w:tr w:rsidR="00B37F6E" w:rsidRPr="004C12C9" w14:paraId="350B62B3" w14:textId="77777777" w:rsidTr="006152DA">
        <w:tc>
          <w:tcPr>
            <w:tcW w:w="5485" w:type="dxa"/>
            <w:vAlign w:val="center"/>
          </w:tcPr>
          <w:p w14:paraId="20E8F164" w14:textId="77777B65" w:rsidR="00B37F6E" w:rsidRPr="004C12C9" w:rsidRDefault="00B37F6E" w:rsidP="006152DA">
            <w:pPr>
              <w:pStyle w:val="ICFTabletext"/>
              <w:rPr>
                <w:rStyle w:val="Hyperlink"/>
                <w:rFonts w:asciiTheme="minorHAnsi" w:hAnsiTheme="minorHAnsi" w:cstheme="minorHAnsi"/>
                <w:sz w:val="20"/>
                <w:szCs w:val="18"/>
              </w:rPr>
            </w:pPr>
            <w:hyperlink r:id="rId170" w:history="1">
              <w:r w:rsidRPr="004C12C9">
                <w:rPr>
                  <w:rStyle w:val="Hyperlink"/>
                  <w:rFonts w:asciiTheme="minorHAnsi" w:hAnsiTheme="minorHAnsi" w:cstheme="minorHAnsi"/>
                  <w:sz w:val="20"/>
                  <w:szCs w:val="18"/>
                </w:rPr>
                <w:t>EPA Greenhouse Gas Equivalencies Calculator</w:t>
              </w:r>
            </w:hyperlink>
          </w:p>
        </w:tc>
        <w:tc>
          <w:tcPr>
            <w:tcW w:w="4680" w:type="dxa"/>
          </w:tcPr>
          <w:p w14:paraId="23815E4D" w14:textId="63B5E931" w:rsidR="00B37F6E" w:rsidRPr="004C12C9" w:rsidRDefault="00B37F6E" w:rsidP="00B37F6E">
            <w:pPr>
              <w:pStyle w:val="ICFTabletext"/>
              <w:rPr>
                <w:rStyle w:val="Hyperlink"/>
                <w:rFonts w:asciiTheme="minorHAnsi" w:hAnsiTheme="minorHAnsi" w:cstheme="minorHAnsi"/>
                <w:szCs w:val="18"/>
              </w:rPr>
            </w:pPr>
            <w:r w:rsidRPr="004C12C9">
              <w:rPr>
                <w:sz w:val="20"/>
              </w:rPr>
              <w:t>Emissions equivalencies</w:t>
            </w:r>
          </w:p>
        </w:tc>
      </w:tr>
      <w:tr w:rsidR="00B37F6E" w:rsidRPr="004C12C9" w14:paraId="2A582FDB" w14:textId="41AF3F4D" w:rsidTr="006152DA">
        <w:tc>
          <w:tcPr>
            <w:tcW w:w="5485" w:type="dxa"/>
            <w:vAlign w:val="center"/>
          </w:tcPr>
          <w:p w14:paraId="16CA8157" w14:textId="7DF324E7" w:rsidR="00B37F6E" w:rsidRPr="004C12C9" w:rsidRDefault="00B37F6E" w:rsidP="006152DA">
            <w:pPr>
              <w:pStyle w:val="ICFTabletext"/>
              <w:rPr>
                <w:rStyle w:val="Hyperlink"/>
                <w:rFonts w:asciiTheme="minorHAnsi" w:hAnsiTheme="minorHAnsi" w:cstheme="minorHAnsi"/>
                <w:sz w:val="20"/>
                <w:szCs w:val="18"/>
              </w:rPr>
            </w:pPr>
            <w:r w:rsidRPr="004C12C9">
              <w:rPr>
                <w:rStyle w:val="Hyperlink"/>
                <w:rFonts w:asciiTheme="minorHAnsi" w:hAnsiTheme="minorHAnsi" w:cstheme="minorHAnsi"/>
                <w:sz w:val="20"/>
                <w:szCs w:val="18"/>
              </w:rPr>
              <w:t xml:space="preserve">EPA </w:t>
            </w:r>
            <w:hyperlink r:id="rId171" w:history="1">
              <w:r w:rsidRPr="004C12C9">
                <w:rPr>
                  <w:rStyle w:val="Hyperlink"/>
                  <w:rFonts w:asciiTheme="minorHAnsi" w:hAnsiTheme="minorHAnsi" w:cstheme="minorHAnsi"/>
                  <w:sz w:val="20"/>
                  <w:szCs w:val="18"/>
                </w:rPr>
                <w:t>State Inventory Tool (SIT)</w:t>
              </w:r>
            </w:hyperlink>
            <w:r w:rsidRPr="004C12C9">
              <w:rPr>
                <w:rStyle w:val="Hyperlink"/>
                <w:rFonts w:asciiTheme="minorHAnsi" w:hAnsiTheme="minorHAnsi" w:cstheme="minorHAnsi"/>
                <w:sz w:val="20"/>
                <w:szCs w:val="18"/>
              </w:rPr>
              <w:t xml:space="preserve"> </w:t>
            </w:r>
          </w:p>
        </w:tc>
        <w:tc>
          <w:tcPr>
            <w:tcW w:w="4680" w:type="dxa"/>
          </w:tcPr>
          <w:p w14:paraId="127D7807" w14:textId="6A7CB238" w:rsidR="00B37F6E" w:rsidRPr="004C12C9" w:rsidRDefault="00B37F6E" w:rsidP="00B37F6E">
            <w:pPr>
              <w:pStyle w:val="ICFTabletext"/>
              <w:rPr>
                <w:sz w:val="20"/>
              </w:rPr>
            </w:pPr>
            <w:r w:rsidRPr="004C12C9">
              <w:rPr>
                <w:sz w:val="20"/>
              </w:rPr>
              <w:t>Treatment of wastewater on-site</w:t>
            </w:r>
          </w:p>
        </w:tc>
      </w:tr>
      <w:tr w:rsidR="00B37F6E" w:rsidRPr="004C12C9" w14:paraId="23A650E8" w14:textId="77777777" w:rsidTr="006152DA">
        <w:tc>
          <w:tcPr>
            <w:tcW w:w="5485" w:type="dxa"/>
            <w:vAlign w:val="center"/>
          </w:tcPr>
          <w:p w14:paraId="37C25988" w14:textId="6FB6A7C8" w:rsidR="00B37F6E" w:rsidRPr="004C12C9" w:rsidRDefault="00B37F6E" w:rsidP="006152DA">
            <w:pPr>
              <w:pStyle w:val="ICFTabletext"/>
              <w:rPr>
                <w:rStyle w:val="Hyperlink"/>
                <w:rFonts w:asciiTheme="minorHAnsi" w:hAnsiTheme="minorHAnsi" w:cstheme="minorHAnsi"/>
                <w:sz w:val="20"/>
                <w:szCs w:val="18"/>
              </w:rPr>
            </w:pPr>
            <w:r w:rsidRPr="004C12C9">
              <w:rPr>
                <w:rStyle w:val="Hyperlink"/>
                <w:rFonts w:asciiTheme="minorHAnsi" w:hAnsiTheme="minorHAnsi" w:cstheme="minorHAnsi"/>
                <w:sz w:val="20"/>
                <w:szCs w:val="18"/>
              </w:rPr>
              <w:t xml:space="preserve">EPA </w:t>
            </w:r>
            <w:hyperlink r:id="rId172" w:history="1">
              <w:r w:rsidRPr="004C12C9">
                <w:rPr>
                  <w:rStyle w:val="Hyperlink"/>
                  <w:rFonts w:asciiTheme="minorHAnsi" w:hAnsiTheme="minorHAnsi" w:cstheme="minorHAnsi"/>
                  <w:sz w:val="20"/>
                  <w:szCs w:val="18"/>
                </w:rPr>
                <w:t xml:space="preserve">Local Greenhouse Gas Inventory Tool </w:t>
              </w:r>
            </w:hyperlink>
          </w:p>
        </w:tc>
        <w:tc>
          <w:tcPr>
            <w:tcW w:w="4680" w:type="dxa"/>
          </w:tcPr>
          <w:p w14:paraId="13D9BFF8" w14:textId="4726415F" w:rsidR="00B37F6E" w:rsidRPr="004C12C9" w:rsidRDefault="00B37F6E" w:rsidP="00B37F6E">
            <w:pPr>
              <w:pStyle w:val="ICFTabletext"/>
              <w:rPr>
                <w:sz w:val="20"/>
              </w:rPr>
            </w:pPr>
            <w:r w:rsidRPr="004C12C9">
              <w:rPr>
                <w:sz w:val="20"/>
              </w:rPr>
              <w:t>Employee commuting</w:t>
            </w:r>
          </w:p>
        </w:tc>
      </w:tr>
      <w:tr w:rsidR="00B37F6E" w:rsidRPr="004C12C9" w14:paraId="131EDD16" w14:textId="440C0176" w:rsidTr="006152DA">
        <w:tc>
          <w:tcPr>
            <w:tcW w:w="5485" w:type="dxa"/>
            <w:vAlign w:val="center"/>
          </w:tcPr>
          <w:p w14:paraId="47B7D208" w14:textId="743B0D37" w:rsidR="00B37F6E" w:rsidRPr="004C12C9" w:rsidRDefault="00B37F6E" w:rsidP="006152DA">
            <w:pPr>
              <w:pStyle w:val="ICFTabletext"/>
              <w:rPr>
                <w:rStyle w:val="Hyperlink"/>
                <w:rFonts w:asciiTheme="minorHAnsi" w:hAnsiTheme="minorHAnsi" w:cstheme="minorHAnsi"/>
                <w:sz w:val="20"/>
              </w:rPr>
            </w:pPr>
            <w:hyperlink r:id="rId173" w:history="1">
              <w:r w:rsidRPr="004C12C9">
                <w:rPr>
                  <w:rStyle w:val="Hyperlink"/>
                  <w:rFonts w:asciiTheme="minorHAnsi" w:hAnsiTheme="minorHAnsi" w:cstheme="minorHAnsi"/>
                  <w:sz w:val="20"/>
                </w:rPr>
                <w:t xml:space="preserve">EIA </w:t>
              </w:r>
              <w:r w:rsidR="000105E0" w:rsidRPr="004C12C9">
                <w:rPr>
                  <w:rStyle w:val="Hyperlink"/>
                  <w:rFonts w:asciiTheme="minorHAnsi" w:hAnsiTheme="minorHAnsi" w:cstheme="minorHAnsi"/>
                  <w:sz w:val="20"/>
                </w:rPr>
                <w:t>Residential Energy Consumption Survey (RECS)</w:t>
              </w:r>
            </w:hyperlink>
          </w:p>
        </w:tc>
        <w:tc>
          <w:tcPr>
            <w:tcW w:w="4680" w:type="dxa"/>
          </w:tcPr>
          <w:p w14:paraId="6AE97BBA" w14:textId="5F532953" w:rsidR="00B37F6E" w:rsidRPr="004C12C9" w:rsidRDefault="000105E0" w:rsidP="00B37F6E">
            <w:pPr>
              <w:pStyle w:val="ICFTabletext"/>
              <w:rPr>
                <w:sz w:val="20"/>
              </w:rPr>
            </w:pPr>
            <w:r w:rsidRPr="004C12C9">
              <w:rPr>
                <w:sz w:val="20"/>
              </w:rPr>
              <w:t>Building energy consumption</w:t>
            </w:r>
          </w:p>
        </w:tc>
      </w:tr>
      <w:tr w:rsidR="000105E0" w:rsidRPr="004C12C9" w14:paraId="412C021D" w14:textId="77777777" w:rsidTr="006152DA">
        <w:tc>
          <w:tcPr>
            <w:tcW w:w="5485" w:type="dxa"/>
            <w:vAlign w:val="center"/>
          </w:tcPr>
          <w:p w14:paraId="31714B86" w14:textId="67CC9F40" w:rsidR="000105E0" w:rsidRPr="004C12C9" w:rsidRDefault="000105E0" w:rsidP="006152DA">
            <w:pPr>
              <w:pStyle w:val="ICFTabletext"/>
              <w:rPr>
                <w:rStyle w:val="Hyperlink"/>
                <w:rFonts w:asciiTheme="minorHAnsi" w:hAnsiTheme="minorHAnsi" w:cstheme="minorHAnsi"/>
                <w:sz w:val="20"/>
              </w:rPr>
            </w:pPr>
            <w:hyperlink r:id="rId174" w:history="1">
              <w:r w:rsidRPr="004C12C9">
                <w:rPr>
                  <w:rStyle w:val="Hyperlink"/>
                  <w:rFonts w:asciiTheme="minorHAnsi" w:hAnsiTheme="minorHAnsi" w:cstheme="minorHAnsi"/>
                  <w:sz w:val="20"/>
                </w:rPr>
                <w:t>EIA Commercial Buildings Energy Consumption Survey (CBECS)</w:t>
              </w:r>
            </w:hyperlink>
          </w:p>
        </w:tc>
        <w:tc>
          <w:tcPr>
            <w:tcW w:w="4680" w:type="dxa"/>
          </w:tcPr>
          <w:p w14:paraId="626B15B1" w14:textId="3FCCF02A" w:rsidR="000105E0" w:rsidRPr="004C12C9" w:rsidRDefault="000105E0" w:rsidP="00B37F6E">
            <w:pPr>
              <w:pStyle w:val="ICFTabletext"/>
              <w:rPr>
                <w:sz w:val="20"/>
              </w:rPr>
            </w:pPr>
            <w:r w:rsidRPr="004C12C9">
              <w:rPr>
                <w:sz w:val="20"/>
              </w:rPr>
              <w:t>Building energy consumption</w:t>
            </w:r>
          </w:p>
        </w:tc>
      </w:tr>
      <w:tr w:rsidR="000105E0" w:rsidRPr="004C12C9" w14:paraId="4FA11CE5" w14:textId="77777777" w:rsidTr="006152DA">
        <w:tc>
          <w:tcPr>
            <w:tcW w:w="5485" w:type="dxa"/>
            <w:vAlign w:val="center"/>
          </w:tcPr>
          <w:p w14:paraId="4B91F3CC" w14:textId="791DA31F" w:rsidR="000105E0" w:rsidRPr="004C12C9" w:rsidRDefault="000105E0" w:rsidP="006152DA">
            <w:pPr>
              <w:pStyle w:val="ICFTabletext"/>
              <w:rPr>
                <w:rStyle w:val="Hyperlink"/>
                <w:rFonts w:asciiTheme="minorHAnsi" w:hAnsiTheme="minorHAnsi" w:cstheme="minorHAnsi"/>
                <w:sz w:val="20"/>
              </w:rPr>
            </w:pPr>
            <w:hyperlink r:id="rId175" w:history="1">
              <w:r w:rsidRPr="004C12C9">
                <w:rPr>
                  <w:rStyle w:val="Hyperlink"/>
                  <w:rFonts w:asciiTheme="minorHAnsi" w:hAnsiTheme="minorHAnsi" w:cstheme="minorHAnsi"/>
                  <w:sz w:val="20"/>
                </w:rPr>
                <w:t xml:space="preserve">EIA </w:t>
              </w:r>
              <w:r w:rsidR="000A26E9" w:rsidRPr="004C12C9">
                <w:rPr>
                  <w:rStyle w:val="Hyperlink"/>
                  <w:rFonts w:asciiTheme="minorHAnsi" w:hAnsiTheme="minorHAnsi" w:cstheme="minorHAnsi"/>
                  <w:sz w:val="20"/>
                </w:rPr>
                <w:t>Manufacturing Energy Consumption Survey (MECS)</w:t>
              </w:r>
            </w:hyperlink>
          </w:p>
        </w:tc>
        <w:tc>
          <w:tcPr>
            <w:tcW w:w="4680" w:type="dxa"/>
          </w:tcPr>
          <w:p w14:paraId="3942B832" w14:textId="3426431D" w:rsidR="000105E0" w:rsidRPr="004C12C9" w:rsidRDefault="000105E0" w:rsidP="00B37F6E">
            <w:pPr>
              <w:pStyle w:val="ICFTabletext"/>
              <w:rPr>
                <w:sz w:val="20"/>
              </w:rPr>
            </w:pPr>
            <w:r w:rsidRPr="004C12C9">
              <w:rPr>
                <w:sz w:val="20"/>
              </w:rPr>
              <w:t>Building energy consumption</w:t>
            </w:r>
          </w:p>
        </w:tc>
      </w:tr>
      <w:tr w:rsidR="00B37F6E" w:rsidRPr="004C12C9" w14:paraId="0D22959C" w14:textId="77777777" w:rsidTr="006152DA">
        <w:tc>
          <w:tcPr>
            <w:tcW w:w="5485" w:type="dxa"/>
            <w:vAlign w:val="center"/>
          </w:tcPr>
          <w:p w14:paraId="48254067" w14:textId="6D35F938" w:rsidR="00B37F6E" w:rsidRPr="002D20AB" w:rsidRDefault="00B37F6E" w:rsidP="006152DA">
            <w:pPr>
              <w:pStyle w:val="ICFTabletext"/>
              <w:rPr>
                <w:lang w:val="fr-FR"/>
              </w:rPr>
            </w:pPr>
            <w:hyperlink r:id="rId176" w:history="1">
              <w:r w:rsidRPr="002D20AB">
                <w:rPr>
                  <w:rStyle w:val="Hyperlink"/>
                  <w:rFonts w:asciiTheme="minorHAnsi" w:hAnsiTheme="minorHAnsi" w:cstheme="minorHAnsi"/>
                  <w:sz w:val="20"/>
                  <w:szCs w:val="18"/>
                  <w:lang w:val="fr-FR"/>
                </w:rPr>
                <w:t>Minnesota Infrastructure Carbon Estimator (MICE)</w:t>
              </w:r>
            </w:hyperlink>
          </w:p>
        </w:tc>
        <w:tc>
          <w:tcPr>
            <w:tcW w:w="4680" w:type="dxa"/>
          </w:tcPr>
          <w:p w14:paraId="58248C2E" w14:textId="4AA6CF81" w:rsidR="00B37F6E" w:rsidRPr="004C12C9" w:rsidRDefault="00B37F6E" w:rsidP="00B37F6E">
            <w:pPr>
              <w:pStyle w:val="ICFTabletext"/>
              <w:rPr>
                <w:sz w:val="20"/>
              </w:rPr>
            </w:pPr>
            <w:r w:rsidRPr="004C12C9">
              <w:rPr>
                <w:sz w:val="20"/>
              </w:rPr>
              <w:t>On-road vehicles</w:t>
            </w:r>
          </w:p>
        </w:tc>
      </w:tr>
      <w:tr w:rsidR="00B37F6E" w:rsidRPr="004C12C9" w14:paraId="15C5C89D" w14:textId="77777777" w:rsidTr="006152DA">
        <w:tc>
          <w:tcPr>
            <w:tcW w:w="5485" w:type="dxa"/>
            <w:vAlign w:val="center"/>
          </w:tcPr>
          <w:p w14:paraId="72CB119C" w14:textId="26C822D4" w:rsidR="00B37F6E" w:rsidRPr="004C12C9" w:rsidRDefault="00B37F6E" w:rsidP="006152DA">
            <w:pPr>
              <w:pStyle w:val="ICFTabletext"/>
            </w:pPr>
            <w:hyperlink r:id="rId177" w:history="1">
              <w:r w:rsidRPr="004C12C9">
                <w:rPr>
                  <w:rStyle w:val="Hyperlink"/>
                  <w:rFonts w:asciiTheme="minorHAnsi" w:hAnsiTheme="minorHAnsi" w:cstheme="minorHAnsi"/>
                  <w:sz w:val="20"/>
                  <w:szCs w:val="18"/>
                </w:rPr>
                <w:t>U.S. Inventory of Greenhouse Gas Emissions</w:t>
              </w:r>
            </w:hyperlink>
          </w:p>
        </w:tc>
        <w:tc>
          <w:tcPr>
            <w:tcW w:w="4680" w:type="dxa"/>
          </w:tcPr>
          <w:p w14:paraId="736F7419" w14:textId="66ECF542" w:rsidR="00B37F6E" w:rsidRPr="004C12C9" w:rsidRDefault="00B37F6E" w:rsidP="00B37F6E">
            <w:pPr>
              <w:pStyle w:val="ICFTabletext"/>
              <w:rPr>
                <w:sz w:val="20"/>
              </w:rPr>
            </w:pPr>
            <w:r w:rsidRPr="004C12C9">
              <w:rPr>
                <w:sz w:val="20"/>
              </w:rPr>
              <w:t>Employee commuting; Enteric fermentation; Manure management</w:t>
            </w:r>
          </w:p>
        </w:tc>
      </w:tr>
    </w:tbl>
    <w:p w14:paraId="3CABA23C" w14:textId="2B269EDF" w:rsidR="00D55429" w:rsidRPr="004C12C9" w:rsidRDefault="00F334D6" w:rsidP="00D55429">
      <w:r w:rsidRPr="004C12C9">
        <w:t>Source d</w:t>
      </w:r>
      <w:r w:rsidR="00F368AE" w:rsidRPr="004C12C9">
        <w:t xml:space="preserve">ata </w:t>
      </w:r>
      <w:r w:rsidRPr="004C12C9">
        <w:t xml:space="preserve">are documented in the </w:t>
      </w:r>
      <w:r w:rsidR="00291153" w:rsidRPr="004C12C9">
        <w:t xml:space="preserve">calculator </w:t>
      </w:r>
      <w:r w:rsidR="00F368AE" w:rsidRPr="004C12C9">
        <w:t xml:space="preserve">in white hardcoded cells in the white </w:t>
      </w:r>
      <w:r w:rsidR="00A22F0D" w:rsidRPr="004C12C9">
        <w:t>supporting data</w:t>
      </w:r>
      <w:r w:rsidR="00F368AE" w:rsidRPr="004C12C9">
        <w:t xml:space="preserve"> tabs</w:t>
      </w:r>
      <w:r w:rsidR="00A22F0D" w:rsidRPr="004C12C9">
        <w:t>. Data in these tabs</w:t>
      </w:r>
      <w:r w:rsidR="00A2727B" w:rsidRPr="004C12C9">
        <w:t xml:space="preserve"> are used to derive the assumptions </w:t>
      </w:r>
      <w:r w:rsidR="003A7F50" w:rsidRPr="004C12C9">
        <w:t>that are</w:t>
      </w:r>
      <w:r w:rsidR="005A523B" w:rsidRPr="004C12C9">
        <w:t xml:space="preserve"> used in </w:t>
      </w:r>
      <w:r w:rsidR="00F368AE" w:rsidRPr="004C12C9">
        <w:t>the calculations. If</w:t>
      </w:r>
      <w:r w:rsidR="000530D9" w:rsidRPr="004C12C9">
        <w:t xml:space="preserve"> source</w:t>
      </w:r>
      <w:r w:rsidR="00F368AE" w:rsidRPr="004C12C9">
        <w:t xml:space="preserve"> data </w:t>
      </w:r>
      <w:r w:rsidR="00C558A1" w:rsidRPr="004C12C9">
        <w:t>are</w:t>
      </w:r>
      <w:r w:rsidR="00F368AE" w:rsidRPr="004C12C9">
        <w:t xml:space="preserve"> updated, </w:t>
      </w:r>
      <w:r w:rsidR="005A523B" w:rsidRPr="004C12C9">
        <w:t xml:space="preserve">update the hardcoded </w:t>
      </w:r>
      <w:r w:rsidR="00F368AE" w:rsidRPr="004C12C9">
        <w:t xml:space="preserve">cells </w:t>
      </w:r>
      <w:r w:rsidR="005A523B" w:rsidRPr="004C12C9">
        <w:t>in the white tabs</w:t>
      </w:r>
      <w:r w:rsidR="003C6744" w:rsidRPr="004C12C9">
        <w:t xml:space="preserve">. </w:t>
      </w:r>
      <w:r w:rsidR="00692CF9" w:rsidRPr="004C12C9">
        <w:t>T</w:t>
      </w:r>
      <w:r w:rsidR="00022855" w:rsidRPr="004C12C9">
        <w:t>race dependents</w:t>
      </w:r>
      <w:r w:rsidR="003B5785" w:rsidRPr="004C12C9">
        <w:t xml:space="preserve"> when updating data to ensure </w:t>
      </w:r>
      <w:r w:rsidR="00CE12CC" w:rsidRPr="004C12C9">
        <w:t xml:space="preserve">formulas flow through </w:t>
      </w:r>
      <w:r w:rsidR="00F1046C" w:rsidRPr="004C12C9">
        <w:t xml:space="preserve">correctly </w:t>
      </w:r>
      <w:r w:rsidR="00CE12CC" w:rsidRPr="004C12C9">
        <w:t xml:space="preserve">and </w:t>
      </w:r>
      <w:r w:rsidR="000E0E21" w:rsidRPr="004C12C9">
        <w:t>there are no impacts on</w:t>
      </w:r>
      <w:r w:rsidR="003B5785" w:rsidRPr="004C12C9">
        <w:t xml:space="preserve"> </w:t>
      </w:r>
      <w:r w:rsidR="00291153" w:rsidRPr="004C12C9">
        <w:t xml:space="preserve">calculator </w:t>
      </w:r>
      <w:r w:rsidR="003B5785" w:rsidRPr="004C12C9">
        <w:t xml:space="preserve">functionality. </w:t>
      </w:r>
      <w:r w:rsidR="005575E4" w:rsidRPr="004C12C9">
        <w:t>A</w:t>
      </w:r>
      <w:r w:rsidR="00D55429" w:rsidRPr="004C12C9">
        <w:t>dhere to best practices by documenting updates made</w:t>
      </w:r>
      <w:r w:rsidR="00921DEE" w:rsidRPr="004C12C9">
        <w:t xml:space="preserve"> by noting the source below data tables and updating the version number </w:t>
      </w:r>
      <w:r w:rsidR="006E388C" w:rsidRPr="004C12C9">
        <w:t xml:space="preserve">and date </w:t>
      </w:r>
      <w:r w:rsidR="00921DEE" w:rsidRPr="004C12C9">
        <w:t xml:space="preserve">of the </w:t>
      </w:r>
      <w:r w:rsidR="00291153" w:rsidRPr="004C12C9">
        <w:t>calculator</w:t>
      </w:r>
      <w:r w:rsidR="00D55429" w:rsidRPr="004C12C9">
        <w:t xml:space="preserve">. </w:t>
      </w:r>
      <w:r w:rsidR="006E388C" w:rsidRPr="004C12C9">
        <w:t>A revision history table may also be incorporated into the calculator to track changes over time.</w:t>
      </w:r>
    </w:p>
    <w:p w14:paraId="1000AC62" w14:textId="2724553D" w:rsidR="00F86AC2" w:rsidRDefault="007C256D" w:rsidP="00F86AC2">
      <w:r w:rsidRPr="004C12C9">
        <w:rPr>
          <w:b/>
        </w:rPr>
        <w:t>TIP:</w:t>
      </w:r>
      <w:r w:rsidRPr="004C12C9">
        <w:t xml:space="preserve"> </w:t>
      </w:r>
      <w:r w:rsidR="005D4ED6" w:rsidRPr="004C12C9">
        <w:t xml:space="preserve">Adding new rows or categories to </w:t>
      </w:r>
      <w:r w:rsidR="00702010" w:rsidRPr="004C12C9">
        <w:t>tables in</w:t>
      </w:r>
      <w:r w:rsidR="005060A5" w:rsidRPr="004C12C9">
        <w:t xml:space="preserve"> the </w:t>
      </w:r>
      <w:r w:rsidR="00291153" w:rsidRPr="004C12C9">
        <w:t xml:space="preserve">calculator </w:t>
      </w:r>
      <w:r w:rsidR="005060A5" w:rsidRPr="004C12C9">
        <w:t xml:space="preserve">could create </w:t>
      </w:r>
      <w:r w:rsidR="00702010" w:rsidRPr="004C12C9">
        <w:t>errors</w:t>
      </w:r>
      <w:r w:rsidR="005060A5" w:rsidRPr="004C12C9">
        <w:t xml:space="preserve"> with linking, formulas, </w:t>
      </w:r>
      <w:r w:rsidR="00702010" w:rsidRPr="004C12C9">
        <w:t>or</w:t>
      </w:r>
      <w:r w:rsidR="005060A5" w:rsidRPr="004C12C9">
        <w:t xml:space="preserve"> </w:t>
      </w:r>
      <w:r w:rsidR="0073667D" w:rsidRPr="004C12C9">
        <w:t xml:space="preserve">macros. </w:t>
      </w:r>
      <w:r w:rsidR="003C6744" w:rsidRPr="004C12C9">
        <w:t>T</w:t>
      </w:r>
      <w:r w:rsidR="0073667D" w:rsidRPr="004C12C9">
        <w:t xml:space="preserve">race formulas and check macros </w:t>
      </w:r>
      <w:r w:rsidR="0071020D" w:rsidRPr="004C12C9">
        <w:t>before</w:t>
      </w:r>
      <w:r w:rsidR="0073667D" w:rsidRPr="004C12C9">
        <w:t xml:space="preserve"> adding new information </w:t>
      </w:r>
      <w:r w:rsidR="003C6744" w:rsidRPr="004C12C9">
        <w:t>in</w:t>
      </w:r>
      <w:r w:rsidR="0073667D" w:rsidRPr="004C12C9">
        <w:t xml:space="preserve">to the </w:t>
      </w:r>
      <w:r w:rsidR="00291153" w:rsidRPr="004C12C9">
        <w:t>calculator</w:t>
      </w:r>
      <w:r w:rsidR="0073667D" w:rsidRPr="004C12C9">
        <w:t>.</w:t>
      </w:r>
    </w:p>
    <w:sectPr w:rsidR="00F86AC2" w:rsidSect="008A2C1A">
      <w:pgSz w:w="12240" w:h="15840" w:code="1"/>
      <w:pgMar w:top="1728"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75523" w14:textId="77777777" w:rsidR="0057067F" w:rsidRPr="004C12C9" w:rsidRDefault="0057067F" w:rsidP="00972CF9">
      <w:r w:rsidRPr="004C12C9">
        <w:separator/>
      </w:r>
    </w:p>
    <w:p w14:paraId="218A1834" w14:textId="77777777" w:rsidR="0057067F" w:rsidRPr="004C12C9" w:rsidRDefault="0057067F" w:rsidP="00972CF9"/>
  </w:endnote>
  <w:endnote w:type="continuationSeparator" w:id="0">
    <w:p w14:paraId="2DD880A6" w14:textId="77777777" w:rsidR="0057067F" w:rsidRPr="004C12C9" w:rsidRDefault="0057067F" w:rsidP="00972CF9">
      <w:r w:rsidRPr="004C12C9">
        <w:continuationSeparator/>
      </w:r>
    </w:p>
    <w:p w14:paraId="65CC2E4E" w14:textId="77777777" w:rsidR="0057067F" w:rsidRPr="004C12C9" w:rsidRDefault="0057067F" w:rsidP="00972CF9"/>
  </w:endnote>
  <w:endnote w:type="continuationNotice" w:id="1">
    <w:p w14:paraId="15412A34" w14:textId="77777777" w:rsidR="0057067F" w:rsidRPr="004C12C9" w:rsidRDefault="0057067F" w:rsidP="00972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DM Sans">
    <w:panose1 w:val="00000000000000000000"/>
    <w:charset w:val="00"/>
    <w:family w:val="auto"/>
    <w:pitch w:val="variable"/>
    <w:sig w:usb0="8000002F" w:usb1="4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9EF6" w14:textId="48286FFF" w:rsidR="00C94F13" w:rsidRPr="004C12C9" w:rsidRDefault="00000000" w:rsidP="00324E7E">
    <w:pPr>
      <w:pStyle w:val="Footer"/>
      <w:jc w:val="right"/>
    </w:pPr>
    <w:sdt>
      <w:sdtPr>
        <w:alias w:val="Title"/>
        <w:tag w:val=""/>
        <w:id w:val="439965042"/>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C94F13" w:rsidRPr="004C12C9">
      <w:tab/>
    </w:r>
    <w:r w:rsidR="00C94F13" w:rsidRPr="004C12C9">
      <w:fldChar w:fldCharType="begin"/>
    </w:r>
    <w:r w:rsidR="00C94F13" w:rsidRPr="004C12C9">
      <w:instrText xml:space="preserve"> PAGE   \* MERGEFORMAT </w:instrText>
    </w:r>
    <w:r w:rsidR="00C94F13" w:rsidRPr="004C12C9">
      <w:fldChar w:fldCharType="separate"/>
    </w:r>
    <w:r w:rsidR="00C94F13" w:rsidRPr="004C12C9">
      <w:t>4</w:t>
    </w:r>
    <w:r w:rsidR="00C94F13" w:rsidRPr="004C12C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067E" w14:textId="03A0EA40" w:rsidR="005A3390" w:rsidRPr="004C12C9" w:rsidRDefault="00000000" w:rsidP="0088447C">
    <w:pPr>
      <w:pStyle w:val="Footer"/>
      <w:pBdr>
        <w:top w:val="single" w:sz="4" w:space="1" w:color="BFBFBF" w:themeColor="background1" w:themeShade="BF"/>
      </w:pBdr>
    </w:pPr>
    <w:sdt>
      <w:sdtPr>
        <w:alias w:val="Title"/>
        <w:tag w:val=""/>
        <w:id w:val="1612325914"/>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324E7E" w:rsidRPr="004C12C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5E27" w14:textId="69A3E9AB" w:rsidR="00BA23A4" w:rsidRPr="004C12C9" w:rsidRDefault="00000000" w:rsidP="00F23E62">
    <w:pPr>
      <w:pStyle w:val="Footer"/>
      <w:pBdr>
        <w:top w:val="single" w:sz="4" w:space="1" w:color="BFBFBF" w:themeColor="background1" w:themeShade="BF"/>
      </w:pBdr>
    </w:pPr>
    <w:sdt>
      <w:sdtPr>
        <w:alias w:val="Title"/>
        <w:tag w:val=""/>
        <w:id w:val="76716324"/>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4CD7" w14:textId="50482EFE" w:rsidR="00B34E43" w:rsidRPr="004C12C9" w:rsidRDefault="00000000" w:rsidP="00847D42">
    <w:pPr>
      <w:pStyle w:val="Footer"/>
      <w:pBdr>
        <w:top w:val="single" w:sz="4" w:space="1" w:color="auto"/>
      </w:pBdr>
      <w:jc w:val="right"/>
    </w:pPr>
    <w:sdt>
      <w:sdtPr>
        <w:alias w:val="Title"/>
        <w:tag w:val=""/>
        <w:id w:val="747152592"/>
        <w:placeholder>
          <w:docPart w:val="F5E486957C2742148E0E20238416EB14"/>
        </w:placeholder>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1B6106" w:rsidRPr="004C12C9">
      <w:tab/>
    </w:r>
    <w:r w:rsidR="001B6106" w:rsidRPr="004C12C9">
      <w:fldChar w:fldCharType="begin"/>
    </w:r>
    <w:r w:rsidR="001B6106" w:rsidRPr="004C12C9">
      <w:instrText xml:space="preserve"> PAGE   \* MERGEFORMAT </w:instrText>
    </w:r>
    <w:r w:rsidR="001B6106" w:rsidRPr="004C12C9">
      <w:fldChar w:fldCharType="separate"/>
    </w:r>
    <w:r w:rsidR="001B6106" w:rsidRPr="004C12C9">
      <w:t>1</w:t>
    </w:r>
    <w:r w:rsidR="001B6106" w:rsidRPr="004C12C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10C8" w14:textId="7C3FB95C" w:rsidR="00AF3185" w:rsidRPr="004C12C9" w:rsidRDefault="00000000" w:rsidP="0016215B">
    <w:pPr>
      <w:pStyle w:val="Footer"/>
      <w:pBdr>
        <w:top w:val="single" w:sz="4" w:space="1" w:color="auto"/>
      </w:pBdr>
      <w:jc w:val="right"/>
    </w:pPr>
    <w:sdt>
      <w:sdtPr>
        <w:alias w:val="Title"/>
        <w:tag w:val=""/>
        <w:id w:val="776371573"/>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AF3185" w:rsidRPr="004C12C9">
      <w:tab/>
    </w:r>
    <w:r w:rsidR="00AF3185" w:rsidRPr="004C12C9">
      <w:fldChar w:fldCharType="begin"/>
    </w:r>
    <w:r w:rsidR="00AF3185" w:rsidRPr="004C12C9">
      <w:instrText xml:space="preserve"> PAGE   \* MERGEFORMAT </w:instrText>
    </w:r>
    <w:r w:rsidR="00AF3185" w:rsidRPr="004C12C9">
      <w:fldChar w:fldCharType="separate"/>
    </w:r>
    <w:r w:rsidR="00AF3185" w:rsidRPr="004C12C9">
      <w:t>4</w:t>
    </w:r>
    <w:r w:rsidR="00AF3185" w:rsidRPr="004C12C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DC62" w14:textId="33B6FEA0" w:rsidR="00AF3185" w:rsidRPr="004C12C9" w:rsidRDefault="00000000" w:rsidP="0016215B">
    <w:pPr>
      <w:pStyle w:val="Footer"/>
      <w:pBdr>
        <w:top w:val="single" w:sz="4" w:space="1" w:color="auto"/>
      </w:pBdr>
      <w:jc w:val="right"/>
    </w:pPr>
    <w:sdt>
      <w:sdtPr>
        <w:alias w:val="Title"/>
        <w:tag w:val=""/>
        <w:id w:val="571624085"/>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AF3185" w:rsidRPr="004C12C9">
      <w:tab/>
    </w:r>
    <w:r w:rsidR="00AF3185" w:rsidRPr="004C12C9">
      <w:fldChar w:fldCharType="begin"/>
    </w:r>
    <w:r w:rsidR="00AF3185" w:rsidRPr="004C12C9">
      <w:instrText xml:space="preserve"> PAGE   \* MERGEFORMAT </w:instrText>
    </w:r>
    <w:r w:rsidR="00AF3185" w:rsidRPr="004C12C9">
      <w:fldChar w:fldCharType="separate"/>
    </w:r>
    <w:r w:rsidR="00AF3185" w:rsidRPr="004C12C9">
      <w:t>4</w:t>
    </w:r>
    <w:r w:rsidR="00AF3185" w:rsidRPr="004C12C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9051" w14:textId="1BD39E9E" w:rsidR="00CB09C3" w:rsidRPr="004C12C9" w:rsidRDefault="00000000" w:rsidP="00A903B4">
    <w:pPr>
      <w:pStyle w:val="Footer"/>
      <w:pBdr>
        <w:top w:val="single" w:sz="4" w:space="1" w:color="auto"/>
      </w:pBdr>
      <w:jc w:val="right"/>
    </w:pPr>
    <w:sdt>
      <w:sdtPr>
        <w:alias w:val="Title"/>
        <w:tag w:val=""/>
        <w:id w:val="146254089"/>
        <w:placeholder>
          <w:docPart w:val="B90FC4E7326E43ED8B9D6B2C0C4922BF"/>
        </w:placeholder>
        <w:dataBinding w:prefixMappings="xmlns:ns0='http://purl.org/dc/elements/1.1/' xmlns:ns1='http://schemas.openxmlformats.org/package/2006/metadata/core-properties' " w:xpath="/ns1:coreProperties[1]/ns0:title[1]" w:storeItemID="{6C3C8BC8-F283-45AE-878A-BAB7291924A1}"/>
        <w:text/>
      </w:sdtPr>
      <w:sdtContent>
        <w:r w:rsidR="00324E7D">
          <w:t>Climate Calculator, Version 1.2</w:t>
        </w:r>
      </w:sdtContent>
    </w:sdt>
    <w:r w:rsidR="00A903B4" w:rsidRPr="004C12C9">
      <w:tab/>
    </w:r>
    <w:r w:rsidR="00A903B4" w:rsidRPr="004C12C9">
      <w:fldChar w:fldCharType="begin"/>
    </w:r>
    <w:r w:rsidR="00A903B4" w:rsidRPr="004C12C9">
      <w:instrText xml:space="preserve"> PAGE   \* MERGEFORMAT </w:instrText>
    </w:r>
    <w:r w:rsidR="00A903B4" w:rsidRPr="004C12C9">
      <w:fldChar w:fldCharType="separate"/>
    </w:r>
    <w:r w:rsidR="00A903B4" w:rsidRPr="004C12C9">
      <w:t>114</w:t>
    </w:r>
    <w:r w:rsidR="00A903B4" w:rsidRPr="004C12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A1914" w14:textId="77777777" w:rsidR="0057067F" w:rsidRPr="004C12C9" w:rsidRDefault="0057067F" w:rsidP="00972CF9">
      <w:r w:rsidRPr="004C12C9">
        <w:separator/>
      </w:r>
    </w:p>
  </w:footnote>
  <w:footnote w:type="continuationSeparator" w:id="0">
    <w:p w14:paraId="18C8C8CF" w14:textId="77777777" w:rsidR="0057067F" w:rsidRPr="004C12C9" w:rsidRDefault="0057067F" w:rsidP="00972CF9">
      <w:r w:rsidRPr="004C12C9">
        <w:continuationSeparator/>
      </w:r>
    </w:p>
    <w:p w14:paraId="69CC63BF" w14:textId="77777777" w:rsidR="0057067F" w:rsidRPr="004C12C9" w:rsidRDefault="0057067F" w:rsidP="00972CF9"/>
  </w:footnote>
  <w:footnote w:type="continuationNotice" w:id="1">
    <w:p w14:paraId="76062338" w14:textId="77777777" w:rsidR="0057067F" w:rsidRPr="004C12C9" w:rsidRDefault="0057067F" w:rsidP="00972CF9"/>
  </w:footnote>
  <w:footnote w:id="2">
    <w:p w14:paraId="486ACC71" w14:textId="25994DEC" w:rsidR="00F440F2" w:rsidRPr="004C12C9" w:rsidRDefault="00F440F2" w:rsidP="00F440F2">
      <w:pPr>
        <w:pStyle w:val="footnote"/>
      </w:pPr>
      <w:r w:rsidRPr="004C12C9">
        <w:footnoteRef/>
      </w:r>
      <w:r w:rsidRPr="004C12C9">
        <w:t xml:space="preserve"> Although the </w:t>
      </w:r>
      <w:r w:rsidR="00011354" w:rsidRPr="004C12C9">
        <w:t xml:space="preserve">calculator </w:t>
      </w:r>
      <w:r w:rsidRPr="004C12C9">
        <w:t xml:space="preserve">follows an LCA approach, it does not meet the ISO standard for an LCA. Additionally, the results of the </w:t>
      </w:r>
      <w:r w:rsidR="00011354" w:rsidRPr="004C12C9">
        <w:t xml:space="preserve">calculator </w:t>
      </w:r>
      <w:r w:rsidRPr="004C12C9">
        <w:t xml:space="preserve">are not comparable to a standard GHG inventory, which typically quantifies emissions that occur during a single calendar or fiscal year. </w:t>
      </w:r>
    </w:p>
  </w:footnote>
  <w:footnote w:id="3">
    <w:p w14:paraId="58B45849" w14:textId="054F1169" w:rsidR="000230C7" w:rsidRPr="004C12C9" w:rsidRDefault="000230C7" w:rsidP="000230C7">
      <w:pPr>
        <w:pStyle w:val="footnote"/>
      </w:pPr>
      <w:r w:rsidRPr="004C12C9">
        <w:rPr>
          <w:rStyle w:val="FootnoteReference"/>
        </w:rPr>
        <w:footnoteRef/>
      </w:r>
      <w:r w:rsidRPr="004C12C9">
        <w:t xml:space="preserve"> Emissions associated with project decommissioning may also be considered as part of an LCA but are not included in the </w:t>
      </w:r>
      <w:r w:rsidR="00011354" w:rsidRPr="004C12C9">
        <w:t xml:space="preserve">calculator </w:t>
      </w:r>
      <w:r w:rsidRPr="004C12C9">
        <w:t>at this time.</w:t>
      </w:r>
    </w:p>
  </w:footnote>
  <w:footnote w:id="4">
    <w:p w14:paraId="1F3163DF" w14:textId="610334FF" w:rsidR="0013041A" w:rsidRPr="004C12C9" w:rsidRDefault="0013041A" w:rsidP="000806B7">
      <w:pPr>
        <w:pStyle w:val="footnote"/>
      </w:pPr>
      <w:r w:rsidRPr="004C12C9">
        <w:rPr>
          <w:rStyle w:val="FootnoteReference"/>
        </w:rPr>
        <w:footnoteRef/>
      </w:r>
      <w:r w:rsidRPr="004C12C9">
        <w:t xml:space="preserve"> </w:t>
      </w:r>
      <w:r w:rsidR="00C84853" w:rsidRPr="004C12C9">
        <w:t>Building Transparency</w:t>
      </w:r>
      <w:r w:rsidR="00CB2E0C" w:rsidRPr="004C12C9">
        <w:t>.</w:t>
      </w:r>
      <w:r w:rsidRPr="004C12C9">
        <w:t xml:space="preserve"> </w:t>
      </w:r>
      <w:r w:rsidR="00BE3DE7" w:rsidRPr="004C12C9">
        <w:t xml:space="preserve">“Embodied </w:t>
      </w:r>
      <w:r w:rsidR="00BE3DE7" w:rsidRPr="004C12C9">
        <w:rPr>
          <w:rFonts w:asciiTheme="majorHAnsi" w:hAnsiTheme="majorHAnsi" w:cstheme="majorHAnsi"/>
        </w:rPr>
        <w:t>Carbon in Cons</w:t>
      </w:r>
      <w:r w:rsidR="00BE3DE7" w:rsidRPr="004C12C9">
        <w:rPr>
          <w:rStyle w:val="footnoteChar"/>
          <w:rFonts w:asciiTheme="majorHAnsi" w:hAnsiTheme="majorHAnsi" w:cstheme="majorHAnsi"/>
        </w:rPr>
        <w:t xml:space="preserve">truction </w:t>
      </w:r>
      <w:r w:rsidR="00BE3DE7" w:rsidRPr="004C12C9">
        <w:rPr>
          <w:rFonts w:asciiTheme="majorHAnsi" w:hAnsiTheme="majorHAnsi" w:cstheme="majorHAnsi"/>
        </w:rPr>
        <w:t>Calcul</w:t>
      </w:r>
      <w:r w:rsidR="00BE3DE7" w:rsidRPr="004C12C9">
        <w:rPr>
          <w:rStyle w:val="footnoteChar"/>
          <w:rFonts w:asciiTheme="majorHAnsi" w:hAnsiTheme="majorHAnsi" w:cstheme="majorHAnsi"/>
        </w:rPr>
        <w:t>ator (</w:t>
      </w:r>
      <w:r w:rsidR="00BE3DE7" w:rsidRPr="004C12C9">
        <w:rPr>
          <w:rFonts w:asciiTheme="majorHAnsi" w:hAnsiTheme="majorHAnsi" w:cstheme="majorHAnsi"/>
        </w:rPr>
        <w:t>EC3)</w:t>
      </w:r>
      <w:r w:rsidR="00BE3DE7" w:rsidRPr="004C12C9">
        <w:t xml:space="preserve"> Tool,” 2025. </w:t>
      </w:r>
      <w:hyperlink r:id="rId1" w:history="1">
        <w:r w:rsidR="00BA61A8" w:rsidRPr="004C12C9">
          <w:rPr>
            <w:rStyle w:val="Hyperlink"/>
          </w:rPr>
          <w:t>https://www.buildingtransparency.org</w:t>
        </w:r>
      </w:hyperlink>
      <w:r w:rsidR="00AB46A4" w:rsidRPr="004C12C9">
        <w:t xml:space="preserve">. </w:t>
      </w:r>
    </w:p>
  </w:footnote>
  <w:footnote w:id="5">
    <w:p w14:paraId="56DBB2E5" w14:textId="1F8B6475" w:rsidR="00F665C3" w:rsidRPr="004C12C9" w:rsidRDefault="00F665C3" w:rsidP="000806B7">
      <w:pPr>
        <w:pStyle w:val="footnote"/>
      </w:pPr>
      <w:r w:rsidRPr="004C12C9">
        <w:rPr>
          <w:rStyle w:val="FootnoteReference"/>
        </w:rPr>
        <w:footnoteRef/>
      </w:r>
      <w:r w:rsidRPr="004C12C9">
        <w:t xml:space="preserve"> The number of EPDs </w:t>
      </w:r>
      <w:r w:rsidRPr="004C12C9">
        <w:rPr>
          <w:rStyle w:val="footnoteChar"/>
        </w:rPr>
        <w:t>in EC3 vary over time as new EPDs are added</w:t>
      </w:r>
      <w:r w:rsidRPr="004C12C9">
        <w:t xml:space="preserve"> to the database and other EPDs expire.</w:t>
      </w:r>
    </w:p>
  </w:footnote>
  <w:footnote w:id="6">
    <w:p w14:paraId="54074928" w14:textId="624255DE" w:rsidR="00CA4761" w:rsidRPr="004C12C9" w:rsidRDefault="00CA4761" w:rsidP="0008081C">
      <w:pPr>
        <w:pStyle w:val="FootnoteText"/>
        <w:spacing w:after="0"/>
        <w:rPr>
          <w:sz w:val="20"/>
          <w:szCs w:val="20"/>
        </w:rPr>
      </w:pPr>
      <w:r w:rsidRPr="004C12C9">
        <w:rPr>
          <w:rStyle w:val="FootnoteReference"/>
          <w:sz w:val="20"/>
          <w:szCs w:val="20"/>
        </w:rPr>
        <w:footnoteRef/>
      </w:r>
      <w:r w:rsidRPr="004C12C9">
        <w:rPr>
          <w:sz w:val="20"/>
          <w:szCs w:val="20"/>
        </w:rPr>
        <w:t xml:space="preserve"> Global Efficiency Intelligence. “Carbon Voyage Tool: Embodied Carbon in Trade,” 2024. </w:t>
      </w:r>
      <w:hyperlink r:id="rId2" w:history="1">
        <w:r w:rsidRPr="004C12C9">
          <w:rPr>
            <w:rStyle w:val="Hyperlink"/>
            <w:sz w:val="20"/>
            <w:szCs w:val="20"/>
          </w:rPr>
          <w:t>https://www.carbonvoyagetool.com/</w:t>
        </w:r>
      </w:hyperlink>
      <w:r w:rsidRPr="004C12C9">
        <w:rPr>
          <w:sz w:val="20"/>
          <w:szCs w:val="20"/>
        </w:rPr>
        <w:t>.</w:t>
      </w:r>
    </w:p>
  </w:footnote>
  <w:footnote w:id="7">
    <w:p w14:paraId="017B527D" w14:textId="6F35D5DB" w:rsidR="0051379A" w:rsidRPr="004C12C9" w:rsidRDefault="0051379A" w:rsidP="005C42E6">
      <w:pPr>
        <w:pStyle w:val="FootnoteText"/>
        <w:spacing w:after="0"/>
        <w:rPr>
          <w:sz w:val="20"/>
          <w:szCs w:val="20"/>
        </w:rPr>
      </w:pPr>
      <w:r w:rsidRPr="004C12C9">
        <w:rPr>
          <w:rStyle w:val="FootnoteReference"/>
        </w:rPr>
        <w:footnoteRef/>
      </w:r>
      <w:r w:rsidRPr="004C12C9">
        <w:t xml:space="preserve"> </w:t>
      </w:r>
      <w:r w:rsidRPr="004C12C9">
        <w:rPr>
          <w:sz w:val="20"/>
          <w:szCs w:val="20"/>
        </w:rPr>
        <w:t>The Observatory of Economic Complexity. “Where Does United States Import Bricks from? (2022</w:t>
      </w:r>
      <w:r w:rsidR="00CF6A5A" w:rsidRPr="004C12C9">
        <w:rPr>
          <w:sz w:val="20"/>
          <w:szCs w:val="20"/>
        </w:rPr>
        <w:t>),”</w:t>
      </w:r>
      <w:r w:rsidRPr="004C12C9">
        <w:rPr>
          <w:sz w:val="20"/>
          <w:szCs w:val="20"/>
        </w:rPr>
        <w:t xml:space="preserve"> 2022. </w:t>
      </w:r>
      <w:hyperlink r:id="rId3" w:history="1">
        <w:r w:rsidRPr="004C12C9">
          <w:rPr>
            <w:rStyle w:val="Hyperlink"/>
            <w:sz w:val="20"/>
            <w:szCs w:val="20"/>
          </w:rPr>
          <w:t>https://oec.world/en/visualize/tree_map/hs92/import/usa/show/136901/2022</w:t>
        </w:r>
      </w:hyperlink>
      <w:r w:rsidRPr="004C12C9">
        <w:rPr>
          <w:sz w:val="20"/>
          <w:szCs w:val="20"/>
        </w:rPr>
        <w:t>.</w:t>
      </w:r>
    </w:p>
  </w:footnote>
  <w:footnote w:id="8">
    <w:p w14:paraId="68AA191C" w14:textId="187DDB21" w:rsidR="005C42E6" w:rsidRPr="004C12C9" w:rsidRDefault="005C42E6" w:rsidP="00AC7F1F">
      <w:pPr>
        <w:pStyle w:val="FootnoteText"/>
        <w:spacing w:after="0"/>
      </w:pPr>
      <w:r w:rsidRPr="004C12C9">
        <w:rPr>
          <w:rStyle w:val="FootnoteReference"/>
        </w:rPr>
        <w:footnoteRef/>
      </w:r>
      <w:r w:rsidRPr="004C12C9">
        <w:t xml:space="preserve"> </w:t>
      </w:r>
      <w:r w:rsidR="00D15884" w:rsidRPr="004C12C9">
        <w:rPr>
          <w:sz w:val="20"/>
          <w:szCs w:val="20"/>
        </w:rPr>
        <w:t xml:space="preserve">The Observatory of Economic Complexity. “Float Glass in United States,” 2023. </w:t>
      </w:r>
      <w:hyperlink r:id="rId4" w:history="1">
        <w:r w:rsidR="00D15884" w:rsidRPr="004C12C9">
          <w:rPr>
            <w:rStyle w:val="Hyperlink"/>
            <w:sz w:val="20"/>
            <w:szCs w:val="20"/>
          </w:rPr>
          <w:t>https://oec.world/en/profile/bilateral-product/float-glass/reporter/usa</w:t>
        </w:r>
      </w:hyperlink>
      <w:r w:rsidR="00D15884" w:rsidRPr="004C12C9">
        <w:rPr>
          <w:sz w:val="20"/>
          <w:szCs w:val="20"/>
        </w:rPr>
        <w:t>.</w:t>
      </w:r>
    </w:p>
  </w:footnote>
  <w:footnote w:id="9">
    <w:p w14:paraId="055E1308" w14:textId="5A9F034A" w:rsidR="00AC7F1F" w:rsidRPr="004C12C9" w:rsidRDefault="00AC7F1F" w:rsidP="00542AFF">
      <w:pPr>
        <w:pStyle w:val="FootnoteText"/>
        <w:spacing w:after="0"/>
      </w:pPr>
      <w:r w:rsidRPr="004C12C9">
        <w:rPr>
          <w:rStyle w:val="FootnoteReference"/>
        </w:rPr>
        <w:footnoteRef/>
      </w:r>
      <w:r w:rsidRPr="004C12C9">
        <w:t xml:space="preserve"> </w:t>
      </w:r>
      <w:r w:rsidRPr="004C12C9">
        <w:rPr>
          <w:sz w:val="20"/>
          <w:szCs w:val="20"/>
        </w:rPr>
        <w:t xml:space="preserve">Freedonia Group. “US Insulation,” 2022. </w:t>
      </w:r>
      <w:hyperlink r:id="rId5" w:history="1">
        <w:r w:rsidRPr="004C12C9">
          <w:rPr>
            <w:rStyle w:val="Hyperlink"/>
            <w:sz w:val="20"/>
            <w:szCs w:val="20"/>
          </w:rPr>
          <w:t>https://www.freedoniagroup.com/industry-study/insulation-4304.htm</w:t>
        </w:r>
      </w:hyperlink>
      <w:r w:rsidRPr="004C12C9">
        <w:rPr>
          <w:sz w:val="20"/>
          <w:szCs w:val="20"/>
        </w:rPr>
        <w:t>.</w:t>
      </w:r>
    </w:p>
  </w:footnote>
  <w:footnote w:id="10">
    <w:p w14:paraId="2E83CE19" w14:textId="67248C10" w:rsidR="00542AFF" w:rsidRPr="004C12C9" w:rsidRDefault="00542AFF" w:rsidP="00393D7A">
      <w:pPr>
        <w:pStyle w:val="FootnoteText"/>
        <w:spacing w:after="0"/>
      </w:pPr>
      <w:r w:rsidRPr="004C12C9">
        <w:rPr>
          <w:rStyle w:val="FootnoteReference"/>
        </w:rPr>
        <w:footnoteRef/>
      </w:r>
      <w:r w:rsidRPr="004C12C9">
        <w:t xml:space="preserve"> </w:t>
      </w:r>
      <w:r w:rsidRPr="004C12C9">
        <w:rPr>
          <w:sz w:val="20"/>
          <w:szCs w:val="20"/>
        </w:rPr>
        <w:t xml:space="preserve">International Trade Administration. “U.S. Steel Executive Summary,” 2024. </w:t>
      </w:r>
      <w:hyperlink r:id="rId6" w:history="1">
        <w:r w:rsidRPr="004C12C9">
          <w:rPr>
            <w:rStyle w:val="Hyperlink"/>
            <w:sz w:val="20"/>
            <w:szCs w:val="20"/>
          </w:rPr>
          <w:t>https://www.trade.gov/data-visualization/us-steel-executive-summary</w:t>
        </w:r>
      </w:hyperlink>
      <w:r w:rsidRPr="004C12C9">
        <w:rPr>
          <w:sz w:val="20"/>
          <w:szCs w:val="20"/>
        </w:rPr>
        <w:t>.</w:t>
      </w:r>
    </w:p>
  </w:footnote>
  <w:footnote w:id="11">
    <w:p w14:paraId="18D95437" w14:textId="6D3434AA" w:rsidR="00190FEF" w:rsidRPr="004C12C9" w:rsidRDefault="00190FEF" w:rsidP="00BC67E0">
      <w:pPr>
        <w:pStyle w:val="FootnoteText"/>
        <w:spacing w:after="0"/>
        <w:rPr>
          <w:sz w:val="20"/>
          <w:szCs w:val="20"/>
        </w:rPr>
      </w:pPr>
      <w:r w:rsidRPr="004C12C9">
        <w:rPr>
          <w:rStyle w:val="FootnoteReference"/>
          <w:sz w:val="20"/>
          <w:szCs w:val="20"/>
        </w:rPr>
        <w:footnoteRef/>
      </w:r>
      <w:r w:rsidRPr="004C12C9">
        <w:rPr>
          <w:sz w:val="20"/>
          <w:szCs w:val="20"/>
        </w:rPr>
        <w:t xml:space="preserve"> </w:t>
      </w:r>
      <w:r w:rsidR="00393D7A" w:rsidRPr="004C12C9">
        <w:rPr>
          <w:sz w:val="20"/>
          <w:szCs w:val="20"/>
        </w:rPr>
        <w:t>Scott</w:t>
      </w:r>
      <w:r w:rsidR="00EE5D93" w:rsidRPr="004C12C9">
        <w:rPr>
          <w:sz w:val="20"/>
          <w:szCs w:val="20"/>
        </w:rPr>
        <w:t>, Sarah</w:t>
      </w:r>
      <w:r w:rsidR="00393D7A" w:rsidRPr="004C12C9">
        <w:rPr>
          <w:sz w:val="20"/>
          <w:szCs w:val="20"/>
        </w:rPr>
        <w:t xml:space="preserve"> and Ireland</w:t>
      </w:r>
      <w:r w:rsidR="00EE5D93" w:rsidRPr="004C12C9">
        <w:rPr>
          <w:sz w:val="20"/>
          <w:szCs w:val="20"/>
        </w:rPr>
        <w:t>, Robert</w:t>
      </w:r>
      <w:r w:rsidR="00393D7A" w:rsidRPr="004C12C9">
        <w:rPr>
          <w:sz w:val="20"/>
          <w:szCs w:val="20"/>
        </w:rPr>
        <w:t xml:space="preserve">. “Forest Products.” United States International Trade Commission, 2017. </w:t>
      </w:r>
      <w:hyperlink r:id="rId7" w:history="1">
        <w:r w:rsidR="00393D7A" w:rsidRPr="004C12C9">
          <w:rPr>
            <w:rStyle w:val="Hyperlink"/>
            <w:sz w:val="20"/>
            <w:szCs w:val="20"/>
          </w:rPr>
          <w:t>https://www.usitc.gov/research_and_analysis/trade_shifts_2017/forestry.htm</w:t>
        </w:r>
      </w:hyperlink>
      <w:r w:rsidR="00393D7A" w:rsidRPr="004C12C9">
        <w:rPr>
          <w:sz w:val="20"/>
          <w:szCs w:val="20"/>
        </w:rPr>
        <w:t>.</w:t>
      </w:r>
    </w:p>
  </w:footnote>
  <w:footnote w:id="12">
    <w:p w14:paraId="3DFB4F8F" w14:textId="697289BC" w:rsidR="00D47208" w:rsidRPr="004C12C9" w:rsidRDefault="00D47208" w:rsidP="00220ADC">
      <w:pPr>
        <w:pStyle w:val="footnote"/>
      </w:pPr>
      <w:r w:rsidRPr="004C12C9">
        <w:rPr>
          <w:rStyle w:val="FootnoteReference"/>
        </w:rPr>
        <w:footnoteRef/>
      </w:r>
      <w:r w:rsidRPr="004C12C9">
        <w:t xml:space="preserve"> </w:t>
      </w:r>
      <w:r w:rsidR="000444ED" w:rsidRPr="004C12C9">
        <w:t xml:space="preserve">M.T. Copeland Technologies. “Wood Density Explained, Plus Wood Density Chart,” September 24, 2020. </w:t>
      </w:r>
      <w:hyperlink r:id="rId8" w:history="1">
        <w:r w:rsidR="000444ED" w:rsidRPr="004C12C9">
          <w:rPr>
            <w:rStyle w:val="Hyperlink"/>
          </w:rPr>
          <w:t>https://mtcopeland.com/blog/wood-density-explained-plus-wood-density-chart/</w:t>
        </w:r>
      </w:hyperlink>
      <w:r w:rsidR="000444ED" w:rsidRPr="004C12C9">
        <w:t>.</w:t>
      </w:r>
    </w:p>
  </w:footnote>
  <w:footnote w:id="13">
    <w:p w14:paraId="439B9679" w14:textId="75A7C2C8" w:rsidR="00804A2A" w:rsidRPr="004C12C9" w:rsidRDefault="00804A2A" w:rsidP="00220ADC">
      <w:pPr>
        <w:pStyle w:val="footnote"/>
      </w:pPr>
      <w:r w:rsidRPr="004C12C9">
        <w:rPr>
          <w:rStyle w:val="FootnoteReference"/>
        </w:rPr>
        <w:footnoteRef/>
      </w:r>
      <w:r w:rsidRPr="004C12C9">
        <w:t xml:space="preserve"> </w:t>
      </w:r>
      <w:r w:rsidR="00B241C9" w:rsidRPr="004C12C9">
        <w:t xml:space="preserve">The Athena Sustainable Materials Institute. “A Cradle-to-Gate Life Cycle Assessment of Ready-Mixed Concrete Manufactured by NRMCA Members,” July 2022. </w:t>
      </w:r>
      <w:hyperlink r:id="rId9" w:history="1">
        <w:r w:rsidR="00B241C9" w:rsidRPr="004C12C9">
          <w:rPr>
            <w:rStyle w:val="Hyperlink"/>
          </w:rPr>
          <w:t>https://www.nrmca.org/wp-content/uploads/2022/02/NRMCA_LCAReportV3-2_20220224.pdf</w:t>
        </w:r>
      </w:hyperlink>
      <w:r w:rsidR="00B241C9" w:rsidRPr="004C12C9">
        <w:t>.</w:t>
      </w:r>
    </w:p>
  </w:footnote>
  <w:footnote w:id="14">
    <w:p w14:paraId="64710003" w14:textId="6AB62C66" w:rsidR="00B15639" w:rsidRPr="004C12C9" w:rsidRDefault="00B15639" w:rsidP="00AC2955">
      <w:pPr>
        <w:pStyle w:val="footnote"/>
      </w:pPr>
      <w:r w:rsidRPr="004C12C9">
        <w:rPr>
          <w:rStyle w:val="FootnoteReference"/>
        </w:rPr>
        <w:footnoteRef/>
      </w:r>
      <w:r w:rsidRPr="004C12C9">
        <w:t xml:space="preserve"> </w:t>
      </w:r>
      <w:r w:rsidR="00102207" w:rsidRPr="004C12C9">
        <w:t xml:space="preserve">International Code Council. “2024 </w:t>
      </w:r>
      <w:r w:rsidR="003964A7" w:rsidRPr="004C12C9">
        <w:t>International Energy Conservation Code</w:t>
      </w:r>
      <w:r w:rsidR="00102207" w:rsidRPr="004C12C9">
        <w:t xml:space="preserve"> (IECC),” 2024. </w:t>
      </w:r>
      <w:hyperlink r:id="rId10" w:history="1">
        <w:r w:rsidR="00102207" w:rsidRPr="004C12C9">
          <w:rPr>
            <w:rStyle w:val="Hyperlink"/>
          </w:rPr>
          <w:t>https://codes.iccsafe.org/content/IECC2024P1/index</w:t>
        </w:r>
      </w:hyperlink>
      <w:r w:rsidR="00102207" w:rsidRPr="004C12C9">
        <w:t>.</w:t>
      </w:r>
    </w:p>
  </w:footnote>
  <w:footnote w:id="15">
    <w:p w14:paraId="5E1A5AA4" w14:textId="35827894" w:rsidR="00B15639" w:rsidRPr="004C12C9" w:rsidRDefault="00B15639" w:rsidP="00AC2955">
      <w:pPr>
        <w:pStyle w:val="footnote"/>
      </w:pPr>
      <w:r w:rsidRPr="004C12C9">
        <w:rPr>
          <w:rStyle w:val="FootnoteReference"/>
        </w:rPr>
        <w:footnoteRef/>
      </w:r>
      <w:r w:rsidRPr="004C12C9">
        <w:t xml:space="preserve"> The R-value is an imperial system unit of thermal resistance while RSI is a metric system unit of thermal resistance with a standard conversion factor. </w:t>
      </w:r>
      <w:r w:rsidR="00000280" w:rsidRPr="004C12C9">
        <w:t xml:space="preserve">See: CleanBC Better Homes. “What Is R (or RSI) Value of Insulation?,” </w:t>
      </w:r>
      <w:r w:rsidR="00014220" w:rsidRPr="004C12C9">
        <w:t>2022</w:t>
      </w:r>
      <w:r w:rsidR="00000280" w:rsidRPr="004C12C9">
        <w:t xml:space="preserve">. </w:t>
      </w:r>
      <w:hyperlink r:id="rId11" w:history="1">
        <w:r w:rsidR="00000280" w:rsidRPr="004C12C9">
          <w:rPr>
            <w:rStyle w:val="Hyperlink"/>
          </w:rPr>
          <w:t>https://www.betterhomesbc.ca/products/what-is-r-or-rsi-value/</w:t>
        </w:r>
      </w:hyperlink>
      <w:r w:rsidR="00000280" w:rsidRPr="004C12C9">
        <w:t>.</w:t>
      </w:r>
    </w:p>
  </w:footnote>
  <w:footnote w:id="16">
    <w:p w14:paraId="3EE51610" w14:textId="329F0A27" w:rsidR="003A1614" w:rsidRPr="004C12C9" w:rsidRDefault="003A1614" w:rsidP="00463307">
      <w:pPr>
        <w:pStyle w:val="FootnoteText"/>
        <w:spacing w:after="0"/>
        <w:rPr>
          <w:sz w:val="20"/>
          <w:szCs w:val="20"/>
        </w:rPr>
      </w:pPr>
      <w:r w:rsidRPr="004C12C9">
        <w:rPr>
          <w:rStyle w:val="FootnoteReference"/>
          <w:sz w:val="20"/>
          <w:szCs w:val="20"/>
        </w:rPr>
        <w:footnoteRef/>
      </w:r>
      <w:r w:rsidRPr="004C12C9">
        <w:rPr>
          <w:sz w:val="20"/>
          <w:szCs w:val="20"/>
        </w:rPr>
        <w:t xml:space="preserve"> </w:t>
      </w:r>
      <w:r w:rsidR="00463307" w:rsidRPr="004C12C9">
        <w:rPr>
          <w:sz w:val="20"/>
          <w:szCs w:val="20"/>
        </w:rPr>
        <w:t xml:space="preserve">North American Insulation Manufacturers Association. “Fiberglass Batts (Faced).” Smart EPD, 2023. </w:t>
      </w:r>
      <w:hyperlink r:id="rId12" w:history="1">
        <w:r w:rsidR="00463307" w:rsidRPr="004C12C9">
          <w:rPr>
            <w:rStyle w:val="Hyperlink"/>
            <w:sz w:val="20"/>
            <w:szCs w:val="20"/>
          </w:rPr>
          <w:t>https://smartepd.com/epd-library/64133a6cceeabedac05df74d#</w:t>
        </w:r>
      </w:hyperlink>
      <w:r w:rsidR="00463307" w:rsidRPr="004C12C9">
        <w:rPr>
          <w:sz w:val="20"/>
          <w:szCs w:val="20"/>
        </w:rPr>
        <w:t xml:space="preserve">. </w:t>
      </w:r>
    </w:p>
  </w:footnote>
  <w:footnote w:id="17">
    <w:p w14:paraId="41D2DA88" w14:textId="1A553763" w:rsidR="008A4323" w:rsidRPr="004C12C9" w:rsidRDefault="008A4323" w:rsidP="009C24CE">
      <w:pPr>
        <w:pStyle w:val="footnote"/>
      </w:pPr>
      <w:r w:rsidRPr="004C12C9">
        <w:rPr>
          <w:rStyle w:val="FootnoteReference"/>
        </w:rPr>
        <w:footnoteRef/>
      </w:r>
      <w:r w:rsidRPr="004C12C9">
        <w:t xml:space="preserve"> </w:t>
      </w:r>
      <w:r w:rsidR="007568D1" w:rsidRPr="004C12C9">
        <w:t xml:space="preserve">Statista. “U.S. Imports 1990-2022 as a Percentage of GDP,” 2024. </w:t>
      </w:r>
      <w:hyperlink r:id="rId13" w:history="1">
        <w:r w:rsidR="007568D1" w:rsidRPr="004C12C9">
          <w:rPr>
            <w:rStyle w:val="Hyperlink"/>
          </w:rPr>
          <w:t>https://www.statista.com/statistics/259096/us-imports-as-a-percentage-of-gdp/</w:t>
        </w:r>
      </w:hyperlink>
      <w:r w:rsidR="007568D1" w:rsidRPr="004C12C9">
        <w:t>.</w:t>
      </w:r>
    </w:p>
  </w:footnote>
  <w:footnote w:id="18">
    <w:p w14:paraId="5FB0EE01" w14:textId="48AE1160" w:rsidR="007341C5" w:rsidRPr="004C12C9" w:rsidRDefault="007341C5" w:rsidP="003C6FD1">
      <w:pPr>
        <w:pStyle w:val="footnote"/>
      </w:pPr>
      <w:r w:rsidRPr="004C12C9">
        <w:rPr>
          <w:rStyle w:val="FootnoteReference"/>
        </w:rPr>
        <w:footnoteRef/>
      </w:r>
      <w:r w:rsidRPr="004C12C9">
        <w:t xml:space="preserve"> The Aluminum Association. “Industry Statistics,” January 2020. </w:t>
      </w:r>
      <w:hyperlink r:id="rId14" w:history="1">
        <w:r w:rsidRPr="004C12C9">
          <w:rPr>
            <w:rStyle w:val="Hyperlink"/>
            <w:rFonts w:eastAsiaTheme="majorEastAsia"/>
          </w:rPr>
          <w:t>https://www.aluminum.org/sites/default/files/2021-11/FactSheet2018.pdf</w:t>
        </w:r>
      </w:hyperlink>
      <w:r w:rsidRPr="004C12C9">
        <w:t>.</w:t>
      </w:r>
    </w:p>
  </w:footnote>
  <w:footnote w:id="19">
    <w:p w14:paraId="6BECF000" w14:textId="4586629C" w:rsidR="001B5148" w:rsidRPr="004C12C9" w:rsidRDefault="001B5148" w:rsidP="00D34223">
      <w:pPr>
        <w:pStyle w:val="FootnoteText"/>
        <w:spacing w:after="0"/>
        <w:rPr>
          <w:sz w:val="20"/>
          <w:szCs w:val="20"/>
        </w:rPr>
      </w:pPr>
      <w:r w:rsidRPr="004C12C9">
        <w:rPr>
          <w:rStyle w:val="FootnoteReference"/>
          <w:sz w:val="20"/>
          <w:szCs w:val="20"/>
        </w:rPr>
        <w:footnoteRef/>
      </w:r>
      <w:r w:rsidRPr="004C12C9">
        <w:rPr>
          <w:sz w:val="20"/>
          <w:szCs w:val="20"/>
        </w:rPr>
        <w:t xml:space="preserve"> National Asphalt Pavement Association. “Imports &amp; The Asphalt Pavement Industry</w:t>
      </w:r>
      <w:r w:rsidR="007368A2" w:rsidRPr="004C12C9">
        <w:rPr>
          <w:sz w:val="20"/>
          <w:szCs w:val="20"/>
        </w:rPr>
        <w:t>,” n.d.</w:t>
      </w:r>
      <w:r w:rsidRPr="004C12C9">
        <w:rPr>
          <w:sz w:val="20"/>
          <w:szCs w:val="20"/>
        </w:rPr>
        <w:t xml:space="preserve"> </w:t>
      </w:r>
      <w:hyperlink r:id="rId15" w:history="1">
        <w:r w:rsidRPr="004C12C9">
          <w:rPr>
            <w:rStyle w:val="Hyperlink"/>
            <w:sz w:val="20"/>
            <w:szCs w:val="20"/>
          </w:rPr>
          <w:t>https://www.asphaltpavement.org/uploads/documents/Buy_America_Impacts_on_Asphalt.pdf</w:t>
        </w:r>
      </w:hyperlink>
      <w:r w:rsidRPr="004C12C9">
        <w:rPr>
          <w:sz w:val="20"/>
          <w:szCs w:val="20"/>
        </w:rPr>
        <w:t>.</w:t>
      </w:r>
    </w:p>
  </w:footnote>
  <w:footnote w:id="20">
    <w:p w14:paraId="6B187AAC" w14:textId="73F7C459" w:rsidR="00E42B30" w:rsidRPr="004C12C9" w:rsidRDefault="00E42B30" w:rsidP="009C4897">
      <w:pPr>
        <w:pStyle w:val="FootnoteText"/>
        <w:spacing w:after="0"/>
        <w:rPr>
          <w:sz w:val="20"/>
          <w:szCs w:val="20"/>
        </w:rPr>
      </w:pPr>
      <w:r w:rsidRPr="004C12C9">
        <w:rPr>
          <w:rStyle w:val="FootnoteReference"/>
          <w:sz w:val="20"/>
          <w:szCs w:val="20"/>
        </w:rPr>
        <w:footnoteRef/>
      </w:r>
      <w:r w:rsidRPr="004C12C9">
        <w:rPr>
          <w:sz w:val="20"/>
          <w:szCs w:val="20"/>
        </w:rPr>
        <w:t xml:space="preserve"> </w:t>
      </w:r>
      <w:r w:rsidR="00D34223" w:rsidRPr="004C12C9">
        <w:rPr>
          <w:sz w:val="20"/>
          <w:szCs w:val="20"/>
        </w:rPr>
        <w:t xml:space="preserve">National Glass Association and Norah Dick. “World of Glass 2022 Report.” Glass Magazine, 2023. </w:t>
      </w:r>
      <w:hyperlink r:id="rId16" w:history="1">
        <w:r w:rsidR="00D34223" w:rsidRPr="004C12C9">
          <w:rPr>
            <w:rStyle w:val="Hyperlink"/>
            <w:sz w:val="20"/>
            <w:szCs w:val="20"/>
          </w:rPr>
          <w:t>https://www.glassmagazine.com/article/world-glass-2022-report</w:t>
        </w:r>
      </w:hyperlink>
      <w:r w:rsidR="00D34223" w:rsidRPr="004C12C9">
        <w:rPr>
          <w:sz w:val="20"/>
          <w:szCs w:val="20"/>
        </w:rPr>
        <w:t xml:space="preserve">. </w:t>
      </w:r>
    </w:p>
  </w:footnote>
  <w:footnote w:id="21">
    <w:p w14:paraId="43E9A681" w14:textId="77777777" w:rsidR="009C4897" w:rsidRPr="004C12C9" w:rsidRDefault="009C4897" w:rsidP="009C4897">
      <w:pPr>
        <w:pStyle w:val="FootnoteText"/>
        <w:spacing w:after="0"/>
      </w:pPr>
      <w:r w:rsidRPr="004C12C9">
        <w:rPr>
          <w:rStyle w:val="FootnoteReference"/>
        </w:rPr>
        <w:footnoteRef/>
      </w:r>
      <w:r w:rsidRPr="004C12C9">
        <w:t xml:space="preserve"> </w:t>
      </w:r>
      <w:r w:rsidRPr="004C12C9">
        <w:rPr>
          <w:sz w:val="20"/>
          <w:szCs w:val="20"/>
        </w:rPr>
        <w:t xml:space="preserve">International Trade Administration. “U.S. Steel Executive Summary,” 2024. </w:t>
      </w:r>
      <w:hyperlink r:id="rId17" w:history="1">
        <w:r w:rsidRPr="004C12C9">
          <w:rPr>
            <w:rStyle w:val="Hyperlink"/>
            <w:sz w:val="20"/>
            <w:szCs w:val="20"/>
          </w:rPr>
          <w:t>https://www.trade.gov/data-visualization/us-steel-executive-summary</w:t>
        </w:r>
      </w:hyperlink>
      <w:r w:rsidRPr="004C12C9">
        <w:rPr>
          <w:sz w:val="20"/>
          <w:szCs w:val="20"/>
        </w:rPr>
        <w:t>.</w:t>
      </w:r>
    </w:p>
  </w:footnote>
  <w:footnote w:id="22">
    <w:p w14:paraId="62C9CA82" w14:textId="01158924" w:rsidR="00BE5B50" w:rsidRPr="004C12C9" w:rsidRDefault="00BE5B50" w:rsidP="00722EC1">
      <w:pPr>
        <w:pStyle w:val="footnote"/>
      </w:pPr>
      <w:r w:rsidRPr="004C12C9">
        <w:rPr>
          <w:rStyle w:val="FootnoteReference"/>
        </w:rPr>
        <w:footnoteRef/>
      </w:r>
      <w:r w:rsidRPr="004C12C9">
        <w:t xml:space="preserve"> </w:t>
      </w:r>
      <w:r w:rsidR="009B580E" w:rsidRPr="004C12C9">
        <w:t>United States Census Bureau. “2017 Commodity Flow Survey Datasets</w:t>
      </w:r>
      <w:r w:rsidR="003C50B4" w:rsidRPr="004C12C9">
        <w:t>,</w:t>
      </w:r>
      <w:r w:rsidR="009B580E" w:rsidRPr="004C12C9">
        <w:t xml:space="preserve">” 2017. </w:t>
      </w:r>
      <w:hyperlink r:id="rId18" w:history="1">
        <w:r w:rsidR="009B580E" w:rsidRPr="004C12C9">
          <w:rPr>
            <w:rStyle w:val="Hyperlink"/>
          </w:rPr>
          <w:t>https://www.census.gov/data/datasets/2017/econ/cfs/historical-datasets.html</w:t>
        </w:r>
      </w:hyperlink>
      <w:r w:rsidR="009B580E" w:rsidRPr="004C12C9">
        <w:t>.</w:t>
      </w:r>
    </w:p>
  </w:footnote>
  <w:footnote w:id="23">
    <w:p w14:paraId="726AD675" w14:textId="5F9A4CAB" w:rsidR="00BE5B50" w:rsidRPr="004C12C9" w:rsidRDefault="00BE5B50" w:rsidP="00057D1D">
      <w:pPr>
        <w:pStyle w:val="footnote"/>
      </w:pPr>
      <w:r w:rsidRPr="004C12C9">
        <w:rPr>
          <w:rStyle w:val="FootnoteReference"/>
        </w:rPr>
        <w:footnoteRef/>
      </w:r>
      <w:r w:rsidRPr="004C12C9">
        <w:t xml:space="preserve"> </w:t>
      </w:r>
      <w:r w:rsidR="004007A6" w:rsidRPr="004C12C9">
        <w:t xml:space="preserve">Luton Group. “How Far Can Asphalt Be Transported,” 2024. </w:t>
      </w:r>
      <w:hyperlink r:id="rId19" w:history="1">
        <w:r w:rsidR="004007A6" w:rsidRPr="004C12C9">
          <w:rPr>
            <w:rStyle w:val="Hyperlink"/>
          </w:rPr>
          <w:t>https://lutonmachinery.com/how-far-can-asphalt-be-transported/</w:t>
        </w:r>
      </w:hyperlink>
      <w:r w:rsidR="004007A6" w:rsidRPr="004C12C9">
        <w:t>.</w:t>
      </w:r>
    </w:p>
  </w:footnote>
  <w:footnote w:id="24">
    <w:p w14:paraId="1206C111" w14:textId="54812ADD" w:rsidR="0029327C" w:rsidRPr="004C12C9" w:rsidRDefault="0029327C" w:rsidP="00A2561C">
      <w:pPr>
        <w:pStyle w:val="footnote"/>
      </w:pPr>
      <w:r w:rsidRPr="004C12C9">
        <w:rPr>
          <w:rStyle w:val="FootnoteReference"/>
        </w:rPr>
        <w:footnoteRef/>
      </w:r>
      <w:r w:rsidRPr="004C12C9">
        <w:t xml:space="preserve"> </w:t>
      </w:r>
      <w:r w:rsidR="00CB5BBE" w:rsidRPr="004C12C9">
        <w:t xml:space="preserve">TravelMath. “Travelmath Trip Calculator,” 2025. </w:t>
      </w:r>
      <w:hyperlink r:id="rId20" w:history="1">
        <w:r w:rsidR="00CB5BBE" w:rsidRPr="004C12C9">
          <w:rPr>
            <w:rStyle w:val="Hyperlink"/>
          </w:rPr>
          <w:t>https://www.travelmath.com/</w:t>
        </w:r>
      </w:hyperlink>
      <w:r w:rsidR="00CB5BBE" w:rsidRPr="004C12C9">
        <w:t>.</w:t>
      </w:r>
    </w:p>
  </w:footnote>
  <w:footnote w:id="25">
    <w:p w14:paraId="61EF77B9" w14:textId="4129C049" w:rsidR="00847EBE" w:rsidRPr="004C12C9" w:rsidRDefault="00847EBE" w:rsidP="00847EBE">
      <w:pPr>
        <w:pStyle w:val="footnote"/>
      </w:pPr>
      <w:r w:rsidRPr="004C12C9">
        <w:rPr>
          <w:rStyle w:val="FootnoteReference"/>
        </w:rPr>
        <w:footnoteRef/>
      </w:r>
      <w:r w:rsidRPr="004C12C9">
        <w:t xml:space="preserve"> </w:t>
      </w:r>
      <w:r w:rsidR="009B5AB2" w:rsidRPr="004C12C9">
        <w:t xml:space="preserve">Argonne National Laboratory. “GREET 1 2024 Excel-based Fuel-Cycle Model,” 2025. </w:t>
      </w:r>
      <w:hyperlink r:id="rId21" w:history="1">
        <w:r w:rsidR="00DF1CAF" w:rsidRPr="00DD38FA">
          <w:rPr>
            <w:rStyle w:val="Hyperlink"/>
          </w:rPr>
          <w:t>https://greet.anl.gov/greet_excel_model.models</w:t>
        </w:r>
      </w:hyperlink>
      <w:r w:rsidR="009B5AB2" w:rsidRPr="004C12C9">
        <w:rPr>
          <w:rStyle w:val="footnoteChar"/>
        </w:rPr>
        <w:t>.</w:t>
      </w:r>
    </w:p>
  </w:footnote>
  <w:footnote w:id="26">
    <w:p w14:paraId="5560CF59" w14:textId="0F4BBDCF" w:rsidR="00D9121A" w:rsidRPr="004C12C9" w:rsidRDefault="00D9121A" w:rsidP="00B23431">
      <w:pPr>
        <w:pStyle w:val="footnote"/>
      </w:pPr>
      <w:r w:rsidRPr="004C12C9">
        <w:rPr>
          <w:rStyle w:val="FootnoteReference"/>
          <w:rFonts w:asciiTheme="majorHAnsi" w:hAnsiTheme="majorHAnsi" w:cstheme="majorHAnsi"/>
        </w:rPr>
        <w:footnoteRef/>
      </w:r>
      <w:r w:rsidRPr="004C12C9">
        <w:t xml:space="preserve"> Emissions may also result from employee commuting during project operation; however, these emissions are not currently included within the scope of the climate calculator. </w:t>
      </w:r>
    </w:p>
  </w:footnote>
  <w:footnote w:id="27">
    <w:p w14:paraId="486B4E36" w14:textId="760FEC17" w:rsidR="00EA3FAD" w:rsidRPr="004C12C9" w:rsidRDefault="00EA3FAD" w:rsidP="0045641E">
      <w:pPr>
        <w:pStyle w:val="footnote"/>
      </w:pPr>
      <w:r w:rsidRPr="004C12C9">
        <w:rPr>
          <w:rStyle w:val="FootnoteReference"/>
          <w:rFonts w:asciiTheme="majorHAnsi" w:hAnsiTheme="majorHAnsi" w:cstheme="majorHAnsi"/>
        </w:rPr>
        <w:footnoteRef/>
      </w:r>
      <w:r w:rsidRPr="004C12C9">
        <w:t xml:space="preserve"> </w:t>
      </w:r>
      <w:r w:rsidR="00F7155E" w:rsidRPr="004C12C9">
        <w:t xml:space="preserve">California Air Pollution Control Officers Association. </w:t>
      </w:r>
      <w:r w:rsidR="004148D8" w:rsidRPr="004C12C9">
        <w:t>“</w:t>
      </w:r>
      <w:r w:rsidR="00F7155E" w:rsidRPr="004C12C9">
        <w:t>CalEEMod,</w:t>
      </w:r>
      <w:r w:rsidR="004148D8" w:rsidRPr="004C12C9">
        <w:t>”</w:t>
      </w:r>
      <w:r w:rsidR="00F7155E" w:rsidRPr="004C12C9">
        <w:t xml:space="preserve"> 2022.</w:t>
      </w:r>
      <w:r w:rsidRPr="004C12C9">
        <w:t xml:space="preserve"> </w:t>
      </w:r>
      <w:hyperlink r:id="rId22" w:history="1">
        <w:r w:rsidR="00124098" w:rsidRPr="004C12C9">
          <w:rPr>
            <w:rStyle w:val="Hyperlink"/>
            <w:rFonts w:asciiTheme="majorHAnsi" w:hAnsiTheme="majorHAnsi" w:cstheme="majorHAnsi"/>
          </w:rPr>
          <w:t>https://www.caleemod.com/</w:t>
        </w:r>
      </w:hyperlink>
      <w:r w:rsidR="00F7155E" w:rsidRPr="004C12C9">
        <w:t>.</w:t>
      </w:r>
      <w:r w:rsidR="00124098" w:rsidRPr="004C12C9">
        <w:t xml:space="preserve"> </w:t>
      </w:r>
    </w:p>
  </w:footnote>
  <w:footnote w:id="28">
    <w:p w14:paraId="57A45491" w14:textId="77777777" w:rsidR="00EA3FAD" w:rsidRPr="004C12C9" w:rsidRDefault="00EA3FAD" w:rsidP="0045641E">
      <w:pPr>
        <w:pStyle w:val="footnote"/>
      </w:pPr>
      <w:r w:rsidRPr="004C12C9">
        <w:rPr>
          <w:rStyle w:val="FootnoteReference"/>
          <w:rFonts w:asciiTheme="majorHAnsi" w:hAnsiTheme="majorHAnsi" w:cstheme="majorHAnsi"/>
        </w:rPr>
        <w:footnoteRef/>
      </w:r>
      <w:r w:rsidRPr="004C12C9">
        <w:t xml:space="preserve"> The default data in CalEEMod was derived using results from the South Coast Air Quality Management District Construction Survey. The survey collected data from a set of construction projects in Southern California ranging from 0-30 acres in size. Survey results were extrapolated out to projects over 30 acres based on data trends. See Appendix D1 of the CalEEMod user guide for more information on the methodology and results of this survey data, </w:t>
      </w:r>
      <w:hyperlink r:id="rId23" w:history="1">
        <w:r w:rsidRPr="004C12C9">
          <w:rPr>
            <w:rStyle w:val="Hyperlink"/>
            <w:rFonts w:asciiTheme="majorHAnsi" w:hAnsiTheme="majorHAnsi" w:cstheme="majorHAnsi"/>
          </w:rPr>
          <w:t>https://www.caleemod.com/user-guide</w:t>
        </w:r>
      </w:hyperlink>
      <w:r w:rsidRPr="004C12C9">
        <w:rPr>
          <w:rStyle w:val="Hyperlink"/>
          <w:rFonts w:asciiTheme="majorHAnsi" w:hAnsiTheme="majorHAnsi" w:cstheme="majorHAnsi"/>
        </w:rPr>
        <w:t>.</w:t>
      </w:r>
      <w:r w:rsidRPr="004C12C9">
        <w:rPr>
          <w:rStyle w:val="Hyperlink"/>
        </w:rPr>
        <w:t xml:space="preserve"> </w:t>
      </w:r>
    </w:p>
  </w:footnote>
  <w:footnote w:id="29">
    <w:p w14:paraId="564D2E8B" w14:textId="4A9A73BA" w:rsidR="00EA3FAD" w:rsidRPr="004C12C9" w:rsidRDefault="00EA3FAD" w:rsidP="0045641E">
      <w:pPr>
        <w:pStyle w:val="footnote"/>
      </w:pPr>
      <w:r w:rsidRPr="004C12C9">
        <w:rPr>
          <w:rStyle w:val="FootnoteReference"/>
          <w:rFonts w:asciiTheme="majorHAnsi" w:hAnsiTheme="majorHAnsi" w:cstheme="majorHAnsi"/>
        </w:rPr>
        <w:footnoteRef/>
      </w:r>
      <w:r w:rsidRPr="004C12C9">
        <w:t xml:space="preserve"> The South Coast Air Quality Management District survey data </w:t>
      </w:r>
      <w:r w:rsidR="001249A4" w:rsidRPr="004C12C9">
        <w:t>are</w:t>
      </w:r>
      <w:r w:rsidRPr="004C12C9">
        <w:t xml:space="preserve"> from building construction projects only. Therefore, it is only appropriate to use this data to develop default assumptions for proposed building construction projects. For other project types that are considered non-building construction (e.g., pipelines, roads, recreational trails), it is recommended that user</w:t>
      </w:r>
      <w:r w:rsidR="002A2A79" w:rsidRPr="004C12C9">
        <w:t>s</w:t>
      </w:r>
      <w:r w:rsidRPr="004C12C9">
        <w:t xml:space="preserve"> manually input data on the number of construction days.</w:t>
      </w:r>
    </w:p>
  </w:footnote>
  <w:footnote w:id="30">
    <w:p w14:paraId="688251B5" w14:textId="0A973736" w:rsidR="00382528" w:rsidRPr="004C12C9" w:rsidRDefault="00382528" w:rsidP="00DC563D">
      <w:pPr>
        <w:pStyle w:val="footnote"/>
      </w:pPr>
      <w:r w:rsidRPr="004C12C9">
        <w:rPr>
          <w:rStyle w:val="FootnoteReference"/>
          <w:rFonts w:asciiTheme="majorHAnsi" w:hAnsiTheme="majorHAnsi" w:cstheme="majorHAnsi"/>
        </w:rPr>
        <w:footnoteRef/>
      </w:r>
      <w:r w:rsidRPr="004C12C9">
        <w:t xml:space="preserve"> EPA. </w:t>
      </w:r>
      <w:r w:rsidR="00E54F56" w:rsidRPr="004C12C9">
        <w:t>“</w:t>
      </w:r>
      <w:r w:rsidRPr="004C12C9">
        <w:t xml:space="preserve">Local </w:t>
      </w:r>
      <w:r w:rsidR="004625D2" w:rsidRPr="004C12C9">
        <w:t>GHG</w:t>
      </w:r>
      <w:r w:rsidRPr="004C12C9">
        <w:t xml:space="preserve"> Inventory Tool</w:t>
      </w:r>
      <w:r w:rsidR="00FD6944" w:rsidRPr="004C12C9">
        <w:t>,</w:t>
      </w:r>
      <w:r w:rsidR="00E54F56" w:rsidRPr="004C12C9">
        <w:t>”</w:t>
      </w:r>
      <w:r w:rsidR="00FD6944" w:rsidRPr="004C12C9">
        <w:t xml:space="preserve"> 2025</w:t>
      </w:r>
      <w:r w:rsidRPr="004C12C9">
        <w:t xml:space="preserve">. </w:t>
      </w:r>
      <w:hyperlink r:id="rId24" w:history="1">
        <w:r w:rsidRPr="004C12C9">
          <w:rPr>
            <w:rStyle w:val="Hyperlink"/>
            <w:rFonts w:asciiTheme="majorHAnsi" w:hAnsiTheme="majorHAnsi" w:cstheme="majorHAnsi"/>
          </w:rPr>
          <w:t>https://www.epa.gov/statelocalenergy/local-greenhouse-gas-inventory-tool</w:t>
        </w:r>
      </w:hyperlink>
      <w:r w:rsidR="00E54F56" w:rsidRPr="004C12C9">
        <w:t>.</w:t>
      </w:r>
    </w:p>
  </w:footnote>
  <w:footnote w:id="31">
    <w:p w14:paraId="5B155C2E" w14:textId="69D424DE" w:rsidR="00087616" w:rsidRPr="004C12C9" w:rsidRDefault="00087616" w:rsidP="00DC563D">
      <w:pPr>
        <w:pStyle w:val="footnote"/>
      </w:pPr>
      <w:r w:rsidRPr="004C12C9">
        <w:rPr>
          <w:rStyle w:val="FootnoteReference"/>
          <w:rFonts w:asciiTheme="majorHAnsi" w:hAnsiTheme="majorHAnsi" w:cstheme="majorHAnsi"/>
        </w:rPr>
        <w:footnoteRef/>
      </w:r>
      <w:r w:rsidRPr="004C12C9">
        <w:t xml:space="preserve"> </w:t>
      </w:r>
      <w:r w:rsidR="00FD6944" w:rsidRPr="004C12C9">
        <w:t xml:space="preserve">EPA. </w:t>
      </w:r>
      <w:r w:rsidR="00E54F56" w:rsidRPr="004C12C9">
        <w:t>“</w:t>
      </w:r>
      <w:r w:rsidR="00FD6944" w:rsidRPr="004C12C9">
        <w:t xml:space="preserve">Local </w:t>
      </w:r>
      <w:r w:rsidR="004625D2" w:rsidRPr="004C12C9">
        <w:t>GHG</w:t>
      </w:r>
      <w:r w:rsidR="00FD6944" w:rsidRPr="004C12C9">
        <w:t xml:space="preserve"> Inventory Tool,</w:t>
      </w:r>
      <w:r w:rsidR="00E54F56" w:rsidRPr="004C12C9">
        <w:t>”</w:t>
      </w:r>
      <w:r w:rsidR="00FD6944" w:rsidRPr="004C12C9">
        <w:t xml:space="preserve"> 2025.</w:t>
      </w:r>
      <w:r w:rsidRPr="004C12C9">
        <w:t xml:space="preserve"> </w:t>
      </w:r>
      <w:hyperlink r:id="rId25" w:history="1">
        <w:r w:rsidRPr="004C12C9">
          <w:rPr>
            <w:rStyle w:val="Hyperlink"/>
            <w:rFonts w:asciiTheme="majorHAnsi" w:hAnsiTheme="majorHAnsi" w:cstheme="majorHAnsi"/>
          </w:rPr>
          <w:t>https://www.epa.gov/statelocalenergy/local-greenhouse-gas-inventory-tool</w:t>
        </w:r>
      </w:hyperlink>
      <w:r w:rsidR="00E54F56" w:rsidRPr="004C12C9">
        <w:t>.</w:t>
      </w:r>
    </w:p>
  </w:footnote>
  <w:footnote w:id="32">
    <w:p w14:paraId="75367000" w14:textId="53BD90AD" w:rsidR="0076492B" w:rsidRPr="004C12C9" w:rsidRDefault="0076492B" w:rsidP="0076492B">
      <w:pPr>
        <w:pStyle w:val="footnote"/>
      </w:pPr>
      <w:r w:rsidRPr="004C12C9">
        <w:rPr>
          <w:rStyle w:val="FootnoteReference"/>
          <w:rFonts w:asciiTheme="majorHAnsi" w:hAnsiTheme="majorHAnsi" w:cstheme="majorHAnsi"/>
        </w:rPr>
        <w:footnoteRef/>
      </w:r>
      <w:r w:rsidRPr="004C12C9">
        <w:t xml:space="preserve"> </w:t>
      </w:r>
      <w:r w:rsidR="003D4CE1" w:rsidRPr="004C12C9">
        <w:t>Argonne National Laboratory</w:t>
      </w:r>
      <w:r w:rsidR="009B1C4B" w:rsidRPr="004C12C9">
        <w:t>.</w:t>
      </w:r>
      <w:r w:rsidR="003D4CE1" w:rsidRPr="004C12C9">
        <w:t xml:space="preserve"> </w:t>
      </w:r>
      <w:r w:rsidR="004142FF" w:rsidRPr="004C12C9">
        <w:t>“</w:t>
      </w:r>
      <w:r w:rsidR="003D4CE1" w:rsidRPr="004C12C9">
        <w:t>GREET 1 2024 Excel-based Fuel-Cycle Model,</w:t>
      </w:r>
      <w:r w:rsidR="004142FF" w:rsidRPr="004C12C9">
        <w:t>”</w:t>
      </w:r>
      <w:r w:rsidR="003D4CE1" w:rsidRPr="004C12C9">
        <w:t xml:space="preserve"> 2025. </w:t>
      </w:r>
      <w:hyperlink r:id="rId26" w:history="1">
        <w:r w:rsidR="003D4CE1" w:rsidRPr="004C12C9">
          <w:rPr>
            <w:rStyle w:val="Hyperlink"/>
          </w:rPr>
          <w:t>https://greet.anl.gov/greet_excel_model.models</w:t>
        </w:r>
      </w:hyperlink>
      <w:r w:rsidR="003D4CE1" w:rsidRPr="004C12C9">
        <w:rPr>
          <w:rStyle w:val="footnoteChar"/>
        </w:rPr>
        <w:t xml:space="preserve">. </w:t>
      </w:r>
    </w:p>
  </w:footnote>
  <w:footnote w:id="33">
    <w:p w14:paraId="20B02D2A" w14:textId="40C6CF92" w:rsidR="005C2A4C" w:rsidRPr="004C12C9" w:rsidRDefault="005C2A4C" w:rsidP="0076492B">
      <w:pPr>
        <w:pStyle w:val="footnote"/>
      </w:pPr>
      <w:r w:rsidRPr="004C12C9">
        <w:rPr>
          <w:rStyle w:val="FootnoteReference"/>
          <w:rFonts w:asciiTheme="majorHAnsi" w:hAnsiTheme="majorHAnsi" w:cstheme="majorHAnsi"/>
        </w:rPr>
        <w:footnoteRef/>
      </w:r>
      <w:r w:rsidRPr="004C12C9">
        <w:t xml:space="preserve"> </w:t>
      </w:r>
      <w:r w:rsidR="00FD6944" w:rsidRPr="004C12C9">
        <w:t xml:space="preserve">EPA. </w:t>
      </w:r>
      <w:r w:rsidR="009B1C4B" w:rsidRPr="004C12C9">
        <w:t>“</w:t>
      </w:r>
      <w:r w:rsidR="00FD6944" w:rsidRPr="004C12C9">
        <w:t xml:space="preserve">Local </w:t>
      </w:r>
      <w:r w:rsidR="004625D2" w:rsidRPr="004C12C9">
        <w:t>GHG</w:t>
      </w:r>
      <w:r w:rsidR="00FD6944" w:rsidRPr="004C12C9">
        <w:t xml:space="preserve"> Inventory Tool,</w:t>
      </w:r>
      <w:r w:rsidR="009B1C4B" w:rsidRPr="004C12C9">
        <w:t>”</w:t>
      </w:r>
      <w:r w:rsidR="00FD6944" w:rsidRPr="004C12C9">
        <w:t xml:space="preserve"> 2025.</w:t>
      </w:r>
      <w:r w:rsidRPr="004C12C9">
        <w:t xml:space="preserve"> </w:t>
      </w:r>
      <w:hyperlink r:id="rId27" w:history="1">
        <w:r w:rsidRPr="004C12C9">
          <w:rPr>
            <w:rStyle w:val="Hyperlink"/>
            <w:rFonts w:asciiTheme="majorHAnsi" w:hAnsiTheme="majorHAnsi" w:cstheme="majorHAnsi"/>
          </w:rPr>
          <w:t>https://www.epa.gov/statelocalenergy/local-greenhouse-gas-inventory-tool</w:t>
        </w:r>
      </w:hyperlink>
      <w:r w:rsidR="005368AB" w:rsidRPr="004C12C9">
        <w:t>.</w:t>
      </w:r>
    </w:p>
  </w:footnote>
  <w:footnote w:id="34">
    <w:p w14:paraId="69396849" w14:textId="3483D673" w:rsidR="00A650F3" w:rsidRPr="004C12C9" w:rsidRDefault="00A650F3" w:rsidP="00A650F3">
      <w:pPr>
        <w:pStyle w:val="footnote"/>
      </w:pPr>
      <w:r w:rsidRPr="004C12C9">
        <w:rPr>
          <w:rStyle w:val="FootnoteReference"/>
          <w:rFonts w:asciiTheme="majorHAnsi" w:hAnsiTheme="majorHAnsi" w:cstheme="majorHAnsi"/>
        </w:rPr>
        <w:footnoteRef/>
      </w:r>
      <w:r w:rsidRPr="004C12C9">
        <w:t xml:space="preserve"> EPA. “GHG Emission Factors Hub,” 2025. </w:t>
      </w:r>
      <w:hyperlink r:id="rId28" w:history="1">
        <w:r w:rsidRPr="004C12C9">
          <w:rPr>
            <w:rStyle w:val="Hyperlink"/>
            <w:rFonts w:asciiTheme="majorHAnsi" w:hAnsiTheme="majorHAnsi" w:cstheme="majorHAnsi"/>
          </w:rPr>
          <w:t>https://www.epa.gov/climateleadership/ghg-emission-factors-hub</w:t>
        </w:r>
      </w:hyperlink>
      <w:r w:rsidR="005368AB" w:rsidRPr="004C12C9">
        <w:t>.</w:t>
      </w:r>
    </w:p>
  </w:footnote>
  <w:footnote w:id="35">
    <w:p w14:paraId="38AF5C05" w14:textId="61A3CAF4" w:rsidR="003667CE" w:rsidRPr="004C12C9" w:rsidRDefault="003667CE" w:rsidP="003667CE">
      <w:pPr>
        <w:pStyle w:val="footnote"/>
      </w:pPr>
      <w:r w:rsidRPr="004C12C9">
        <w:rPr>
          <w:rStyle w:val="FootnoteReference"/>
          <w:rFonts w:asciiTheme="majorHAnsi" w:hAnsiTheme="majorHAnsi" w:cstheme="majorHAnsi"/>
        </w:rPr>
        <w:footnoteRef/>
      </w:r>
      <w:r w:rsidRPr="004C12C9">
        <w:t xml:space="preserve"> </w:t>
      </w:r>
      <w:r w:rsidR="00B075AC" w:rsidRPr="004C12C9">
        <w:t xml:space="preserve">EPA. “Local GHG Inventory Tool,” 2025. </w:t>
      </w:r>
      <w:hyperlink r:id="rId29" w:history="1">
        <w:r w:rsidR="00B075AC" w:rsidRPr="004C12C9">
          <w:rPr>
            <w:rStyle w:val="Hyperlink"/>
            <w:rFonts w:asciiTheme="majorHAnsi" w:hAnsiTheme="majorHAnsi" w:cstheme="majorHAnsi"/>
          </w:rPr>
          <w:t>https://www.epa.gov/statelocalenergy/local-greenhouse-gas-inventory-tool</w:t>
        </w:r>
      </w:hyperlink>
      <w:r w:rsidR="007852CD" w:rsidRPr="004C12C9">
        <w:t>.</w:t>
      </w:r>
    </w:p>
  </w:footnote>
  <w:footnote w:id="36">
    <w:p w14:paraId="083DC1C0" w14:textId="2A641D95" w:rsidR="006A457A" w:rsidRPr="004C12C9" w:rsidRDefault="006A457A" w:rsidP="006A457A">
      <w:pPr>
        <w:pStyle w:val="footnote"/>
      </w:pPr>
      <w:r w:rsidRPr="004C12C9">
        <w:rPr>
          <w:rStyle w:val="FootnoteReference"/>
        </w:rPr>
        <w:footnoteRef/>
      </w:r>
      <w:r w:rsidRPr="004C12C9">
        <w:t xml:space="preserve"> </w:t>
      </w:r>
      <w:r w:rsidR="00AB3BDA" w:rsidRPr="004C12C9">
        <w:t xml:space="preserve">Argonne National Laboratory. “GREET 1 2024 Excel-based Fuel-Cycle Model,” 2025. </w:t>
      </w:r>
      <w:hyperlink r:id="rId30" w:history="1">
        <w:r w:rsidR="00AB3BDA" w:rsidRPr="004C12C9">
          <w:rPr>
            <w:rStyle w:val="Hyperlink"/>
          </w:rPr>
          <w:t>https://greet.anl.gov/greet_excel_model.models</w:t>
        </w:r>
      </w:hyperlink>
      <w:r w:rsidR="00AB3BDA" w:rsidRPr="004C12C9">
        <w:rPr>
          <w:rStyle w:val="footnoteChar"/>
        </w:rPr>
        <w:t xml:space="preserve">. </w:t>
      </w:r>
    </w:p>
  </w:footnote>
  <w:footnote w:id="37">
    <w:p w14:paraId="27EDF436" w14:textId="5198A808" w:rsidR="006A457A" w:rsidRPr="004C12C9" w:rsidRDefault="006A457A" w:rsidP="006A457A">
      <w:pPr>
        <w:pStyle w:val="footnote"/>
      </w:pPr>
      <w:r w:rsidRPr="004C12C9">
        <w:rPr>
          <w:rStyle w:val="FootnoteReference"/>
        </w:rPr>
        <w:footnoteRef/>
      </w:r>
      <w:r w:rsidRPr="004C12C9">
        <w:t xml:space="preserve"> EPA. </w:t>
      </w:r>
      <w:r w:rsidR="00AB3BDA" w:rsidRPr="004C12C9">
        <w:t>“</w:t>
      </w:r>
      <w:r w:rsidRPr="004C12C9">
        <w:t>GHG Emission Factors Hub,</w:t>
      </w:r>
      <w:r w:rsidR="00AB3BDA" w:rsidRPr="004C12C9">
        <w:t>”</w:t>
      </w:r>
      <w:r w:rsidRPr="004C12C9">
        <w:t xml:space="preserve"> 2025. </w:t>
      </w:r>
      <w:hyperlink r:id="rId31" w:history="1">
        <w:r w:rsidRPr="004C12C9">
          <w:rPr>
            <w:rStyle w:val="Hyperlink"/>
            <w:rFonts w:asciiTheme="majorHAnsi" w:hAnsiTheme="majorHAnsi" w:cstheme="majorHAnsi"/>
          </w:rPr>
          <w:t>https://www.epa.gov/climateleadership/ghg-emission-factors-hub</w:t>
        </w:r>
      </w:hyperlink>
      <w:r w:rsidR="00015AE5" w:rsidRPr="004C12C9">
        <w:t>.</w:t>
      </w:r>
    </w:p>
  </w:footnote>
  <w:footnote w:id="38">
    <w:p w14:paraId="45F31905" w14:textId="41EB19A1" w:rsidR="004E7254" w:rsidRPr="004C12C9" w:rsidRDefault="004E7254" w:rsidP="00CA20F5">
      <w:pPr>
        <w:pStyle w:val="footnote"/>
      </w:pPr>
      <w:r w:rsidRPr="004C12C9">
        <w:rPr>
          <w:rStyle w:val="FootnoteReference"/>
        </w:rPr>
        <w:footnoteRef/>
      </w:r>
      <w:r w:rsidRPr="004C12C9">
        <w:t xml:space="preserve"> California Air Pollution Control Officers Association. </w:t>
      </w:r>
      <w:r w:rsidR="00AB3BDA" w:rsidRPr="004C12C9">
        <w:t>“</w:t>
      </w:r>
      <w:r w:rsidRPr="004C12C9">
        <w:t>CalEEMod,</w:t>
      </w:r>
      <w:r w:rsidR="00AB3BDA" w:rsidRPr="004C12C9">
        <w:t>”</w:t>
      </w:r>
      <w:r w:rsidRPr="004C12C9">
        <w:t xml:space="preserve"> 2022. </w:t>
      </w:r>
      <w:hyperlink r:id="rId32" w:history="1">
        <w:r w:rsidRPr="004C12C9">
          <w:rPr>
            <w:rStyle w:val="Hyperlink"/>
          </w:rPr>
          <w:t>https://www.caleemod.com/</w:t>
        </w:r>
      </w:hyperlink>
      <w:r w:rsidRPr="004C12C9">
        <w:t xml:space="preserve">. </w:t>
      </w:r>
    </w:p>
  </w:footnote>
  <w:footnote w:id="39">
    <w:p w14:paraId="00C40D56" w14:textId="0079C0C0" w:rsidR="004E7254" w:rsidRPr="004C12C9" w:rsidRDefault="004E7254" w:rsidP="00CA20F5">
      <w:pPr>
        <w:pStyle w:val="footnote"/>
      </w:pPr>
      <w:r w:rsidRPr="004C12C9">
        <w:rPr>
          <w:rStyle w:val="FootnoteReference"/>
        </w:rPr>
        <w:footnoteRef/>
      </w:r>
      <w:r w:rsidRPr="004C12C9">
        <w:t xml:space="preserve"> The South Coast Air Quality Management District survey data </w:t>
      </w:r>
      <w:r w:rsidR="001249A4" w:rsidRPr="004C12C9">
        <w:t>are</w:t>
      </w:r>
      <w:r w:rsidRPr="004C12C9">
        <w:t xml:space="preserve"> from building construction projects only. Therefore, it is only appropriate to use this data to develop default assumptions for proposed building construction projects. For other project types that are considered non-building construction (e.g., pipelines, roads, recreational trails), it is recommended that users manually input data on the number of construction days.</w:t>
      </w:r>
    </w:p>
  </w:footnote>
  <w:footnote w:id="40">
    <w:p w14:paraId="60DD2A52" w14:textId="600CAEE1" w:rsidR="000A2C4F" w:rsidRPr="004C12C9" w:rsidRDefault="000A2C4F" w:rsidP="00CA20F5">
      <w:pPr>
        <w:pStyle w:val="footnote"/>
      </w:pPr>
      <w:r w:rsidRPr="004C12C9">
        <w:rPr>
          <w:rStyle w:val="FootnoteReference"/>
        </w:rPr>
        <w:footnoteRef/>
      </w:r>
      <w:r w:rsidRPr="004C12C9">
        <w:t xml:space="preserve"> The default data in CalEEMod </w:t>
      </w:r>
      <w:r w:rsidR="0046143E" w:rsidRPr="004C12C9">
        <w:t>is</w:t>
      </w:r>
      <w:r w:rsidRPr="004C12C9">
        <w:t xml:space="preserve"> derived using results from a construction survey conducted by the South Coast Air Quality Management District. The survey collected data from a set of construction projects in Southern California ranging from 0-30 acres in size. Survey results were extrapolated out to projects over 30 acres based on data trends. See Appendix D1 of the CalEEMod user guide for more information on the methodology and survey data</w:t>
      </w:r>
      <w:r w:rsidR="003C11E6" w:rsidRPr="004C12C9">
        <w:t xml:space="preserve">: </w:t>
      </w:r>
      <w:r w:rsidR="00D670B1" w:rsidRPr="004C12C9">
        <w:t xml:space="preserve">California Air Pollution Control Officers Association. “User Guide for CalEEMod Version 2022.1,” 2022. </w:t>
      </w:r>
      <w:hyperlink r:id="rId33" w:history="1">
        <w:r w:rsidR="00D670B1" w:rsidRPr="004C12C9">
          <w:rPr>
            <w:rStyle w:val="Hyperlink"/>
          </w:rPr>
          <w:t>https://www.caleemod.com/user-guide</w:t>
        </w:r>
      </w:hyperlink>
      <w:r w:rsidR="00D670B1" w:rsidRPr="004C12C9">
        <w:t>.</w:t>
      </w:r>
    </w:p>
  </w:footnote>
  <w:footnote w:id="41">
    <w:p w14:paraId="1FAD852D" w14:textId="06BBF93B" w:rsidR="000A2C4F" w:rsidRPr="004C12C9" w:rsidRDefault="000A2C4F" w:rsidP="00CA20F5">
      <w:pPr>
        <w:pStyle w:val="footnote"/>
      </w:pPr>
      <w:r w:rsidRPr="004C12C9">
        <w:rPr>
          <w:rStyle w:val="FootnoteReference"/>
        </w:rPr>
        <w:footnoteRef/>
      </w:r>
      <w:r w:rsidRPr="004C12C9">
        <w:t xml:space="preserve"> The South Coast Air Quality Management District survey data </w:t>
      </w:r>
      <w:r w:rsidR="001249A4" w:rsidRPr="004C12C9">
        <w:t>are</w:t>
      </w:r>
      <w:r w:rsidRPr="004C12C9">
        <w:t xml:space="preserve"> from building construction projects only. Therefore, it is only appropriate to use this data to develop default assumptions for proposed building construction projects. For other project types that are considered non-building construction (e.g., pipelines, roads, recreational trails), it is recommended that the user be required to provide data on the total number of hours each equipment type is used per day by construction phase. </w:t>
      </w:r>
    </w:p>
  </w:footnote>
  <w:footnote w:id="42">
    <w:p w14:paraId="04937EF2" w14:textId="45CBF3A6" w:rsidR="00473AA2" w:rsidRPr="004C12C9" w:rsidRDefault="00473AA2" w:rsidP="00720596">
      <w:pPr>
        <w:pStyle w:val="footnote"/>
      </w:pPr>
      <w:r w:rsidRPr="004C12C9">
        <w:rPr>
          <w:rStyle w:val="FootnoteReference"/>
        </w:rPr>
        <w:footnoteRef/>
      </w:r>
      <w:r w:rsidRPr="004C12C9">
        <w:t xml:space="preserve"> </w:t>
      </w:r>
      <w:r w:rsidR="00327498" w:rsidRPr="004C12C9">
        <w:t xml:space="preserve">California Air Pollution Control Officers Association. </w:t>
      </w:r>
      <w:r w:rsidR="004549A2" w:rsidRPr="004C12C9">
        <w:t>“User Guide for CalEEMod Version 2022.1</w:t>
      </w:r>
      <w:r w:rsidR="007F3EEC" w:rsidRPr="004C12C9">
        <w:t xml:space="preserve"> Appendix G</w:t>
      </w:r>
      <w:r w:rsidR="004549A2" w:rsidRPr="004C12C9">
        <w:t xml:space="preserve">,” 2022. </w:t>
      </w:r>
      <w:hyperlink r:id="rId34" w:history="1">
        <w:r w:rsidR="004549A2" w:rsidRPr="004C12C9">
          <w:rPr>
            <w:rStyle w:val="Hyperlink"/>
          </w:rPr>
          <w:t>https://www.caleemod.com/user-guide</w:t>
        </w:r>
      </w:hyperlink>
      <w:r w:rsidR="004549A2" w:rsidRPr="004C12C9">
        <w:t>.</w:t>
      </w:r>
      <w:r w:rsidRPr="004C12C9">
        <w:t xml:space="preserve"> These horsepower and load factor values were obtained from the California Air Resources Board’s (CARB) OFFROAD2017 – ORION model, which is reflective of the California statewide fleet.</w:t>
      </w:r>
    </w:p>
  </w:footnote>
  <w:footnote w:id="43">
    <w:p w14:paraId="7F7FCA77" w14:textId="3C4F07BD" w:rsidR="00167175" w:rsidRPr="004C12C9" w:rsidRDefault="00167175" w:rsidP="006B306C">
      <w:pPr>
        <w:pStyle w:val="footnote"/>
      </w:pPr>
      <w:r w:rsidRPr="004C12C9">
        <w:rPr>
          <w:rStyle w:val="FootnoteReference"/>
        </w:rPr>
        <w:footnoteRef/>
      </w:r>
      <w:r w:rsidRPr="004C12C9">
        <w:t xml:space="preserve"> </w:t>
      </w:r>
      <w:r w:rsidR="00327498" w:rsidRPr="004C12C9">
        <w:t xml:space="preserve">California Air Pollution Control Officers Association. </w:t>
      </w:r>
      <w:r w:rsidRPr="004C12C9">
        <w:t>“User Guide for CalEEMod Version 2022.1</w:t>
      </w:r>
      <w:r w:rsidR="007F3EEC" w:rsidRPr="004C12C9">
        <w:t xml:space="preserve"> Appendix G</w:t>
      </w:r>
      <w:r w:rsidRPr="004C12C9">
        <w:t xml:space="preserve">,” 2022. </w:t>
      </w:r>
      <w:hyperlink r:id="rId35" w:history="1">
        <w:r w:rsidRPr="004C12C9">
          <w:rPr>
            <w:rStyle w:val="Hyperlink"/>
          </w:rPr>
          <w:t>https://www.caleemod.com/user-guide</w:t>
        </w:r>
      </w:hyperlink>
      <w:r w:rsidRPr="004C12C9">
        <w:t>.</w:t>
      </w:r>
    </w:p>
  </w:footnote>
  <w:footnote w:id="44">
    <w:p w14:paraId="350FD0A6" w14:textId="77777777" w:rsidR="00412F27" w:rsidRPr="004C12C9" w:rsidRDefault="00412F27" w:rsidP="0038278B">
      <w:pPr>
        <w:pStyle w:val="footnote"/>
      </w:pPr>
      <w:r w:rsidRPr="004C12C9">
        <w:rPr>
          <w:rStyle w:val="FootnoteReference"/>
        </w:rPr>
        <w:footnoteRef/>
      </w:r>
      <w:r w:rsidRPr="004C12C9">
        <w:t xml:space="preserve"> Due to the low variability in emission factors from 2010 to 2050, the emission factors for model year 2025 equipment are assumed to remain constant over time.</w:t>
      </w:r>
    </w:p>
  </w:footnote>
  <w:footnote w:id="45">
    <w:p w14:paraId="456126ED" w14:textId="77777777" w:rsidR="002B35BF" w:rsidRPr="004C12C9" w:rsidRDefault="002B35BF" w:rsidP="002B35BF">
      <w:pPr>
        <w:pStyle w:val="footnote"/>
      </w:pPr>
      <w:r w:rsidRPr="004C12C9">
        <w:rPr>
          <w:rStyle w:val="FootnoteReference"/>
        </w:rPr>
        <w:footnoteRef/>
      </w:r>
      <w:r w:rsidRPr="004C12C9">
        <w:t xml:space="preserve"> Based on the emissions factor for distillate fuel oil No. 2 from EPA’s GHG Emission Factors Hub. </w:t>
      </w:r>
    </w:p>
    <w:p w14:paraId="3B1F2A4A" w14:textId="0C57BB2B" w:rsidR="002B35BF" w:rsidRPr="004C12C9" w:rsidRDefault="002B35BF" w:rsidP="002B35BF">
      <w:pPr>
        <w:pStyle w:val="footnote"/>
      </w:pPr>
      <w:r w:rsidRPr="004C12C9">
        <w:t>EPA. “GHG Emission Factors Hub</w:t>
      </w:r>
      <w:r w:rsidR="00327498" w:rsidRPr="004C12C9">
        <w:t>,</w:t>
      </w:r>
      <w:r w:rsidRPr="004C12C9">
        <w:t xml:space="preserve">” 2025. </w:t>
      </w:r>
      <w:hyperlink r:id="rId36" w:history="1">
        <w:r w:rsidRPr="004C12C9">
          <w:rPr>
            <w:rStyle w:val="Hyperlink"/>
          </w:rPr>
          <w:t>https://www.epa.gov/climateleadership/ghg-emission-factors-hub</w:t>
        </w:r>
      </w:hyperlink>
      <w:r w:rsidRPr="004C12C9">
        <w:t>.</w:t>
      </w:r>
    </w:p>
  </w:footnote>
  <w:footnote w:id="46">
    <w:p w14:paraId="530C2327" w14:textId="77777777" w:rsidR="00260362" w:rsidRPr="004C12C9" w:rsidRDefault="00260362" w:rsidP="00260362">
      <w:pPr>
        <w:pStyle w:val="footnote"/>
      </w:pPr>
      <w:r w:rsidRPr="004C12C9">
        <w:rPr>
          <w:rStyle w:val="FootnoteReference"/>
        </w:rPr>
        <w:footnoteRef/>
      </w:r>
      <w:r w:rsidRPr="004C12C9">
        <w:t xml:space="preserve"> EPA. "GHG Emission Factors Hub," 2025. </w:t>
      </w:r>
      <w:hyperlink r:id="rId37" w:history="1">
        <w:r w:rsidRPr="004C12C9">
          <w:rPr>
            <w:rStyle w:val="Hyperlink"/>
          </w:rPr>
          <w:t>https://www.epa.gov/climateleadership/ghg-emission-factors-hub</w:t>
        </w:r>
      </w:hyperlink>
      <w:r w:rsidRPr="004C12C9">
        <w:t>.</w:t>
      </w:r>
    </w:p>
  </w:footnote>
  <w:footnote w:id="47">
    <w:p w14:paraId="38F0887A" w14:textId="77777777" w:rsidR="000C0541" w:rsidRPr="004C12C9" w:rsidRDefault="000C0541" w:rsidP="000C0541">
      <w:pPr>
        <w:pStyle w:val="footnote"/>
      </w:pPr>
      <w:r w:rsidRPr="004C12C9">
        <w:rPr>
          <w:rStyle w:val="FootnoteReference"/>
        </w:rPr>
        <w:footnoteRef/>
      </w:r>
      <w:r w:rsidRPr="004C12C9">
        <w:t xml:space="preserve"> EPA. "GHG Emission Factors Hub," 2025. </w:t>
      </w:r>
      <w:hyperlink r:id="rId38" w:history="1">
        <w:r w:rsidRPr="004C12C9">
          <w:rPr>
            <w:rStyle w:val="Hyperlink"/>
          </w:rPr>
          <w:t>https://www.epa.gov/climateleadership/ghg-emission-factors-hub</w:t>
        </w:r>
      </w:hyperlink>
      <w:r w:rsidRPr="004C12C9">
        <w:t>.</w:t>
      </w:r>
    </w:p>
  </w:footnote>
  <w:footnote w:id="48">
    <w:p w14:paraId="7EB08A15" w14:textId="77777777" w:rsidR="000C0541" w:rsidRPr="004C12C9" w:rsidRDefault="000C0541" w:rsidP="000C0541">
      <w:pPr>
        <w:pStyle w:val="footnote"/>
      </w:pPr>
      <w:r w:rsidRPr="004C12C9">
        <w:rPr>
          <w:rStyle w:val="FootnoteReference"/>
        </w:rPr>
        <w:footnoteRef/>
      </w:r>
      <w:r w:rsidRPr="004C12C9">
        <w:t xml:space="preserve"> Argonne National Laboratory. “GREET 1 2024 Excel-based Fuel-Cycle Model,” 2025. </w:t>
      </w:r>
      <w:hyperlink r:id="rId39" w:history="1">
        <w:r w:rsidRPr="004C12C9">
          <w:rPr>
            <w:rStyle w:val="Hyperlink"/>
          </w:rPr>
          <w:t>https://greet.anl.gov/greet_excel_model.models</w:t>
        </w:r>
      </w:hyperlink>
      <w:r w:rsidRPr="004C12C9">
        <w:t>. </w:t>
      </w:r>
    </w:p>
  </w:footnote>
  <w:footnote w:id="49">
    <w:p w14:paraId="44F02746" w14:textId="5AA4B270" w:rsidR="00AF7804" w:rsidRPr="004C12C9" w:rsidRDefault="00AF7804" w:rsidP="00AF7804">
      <w:pPr>
        <w:pStyle w:val="footnote"/>
      </w:pPr>
      <w:r w:rsidRPr="004C12C9">
        <w:rPr>
          <w:rStyle w:val="FootnoteReference"/>
        </w:rPr>
        <w:footnoteRef/>
      </w:r>
      <w:r w:rsidRPr="004C12C9">
        <w:t xml:space="preserve"> </w:t>
      </w:r>
      <w:r w:rsidR="00CD7F50" w:rsidRPr="004C12C9">
        <w:t xml:space="preserve">Argonne National Laboratory. “GREET 1 2024 Excel-based Fuel-Cycle Model,” 2025. </w:t>
      </w:r>
      <w:hyperlink r:id="rId40" w:history="1">
        <w:r w:rsidR="00CD7F50" w:rsidRPr="004C12C9">
          <w:rPr>
            <w:rStyle w:val="Hyperlink"/>
          </w:rPr>
          <w:t>https://greet.anl.gov/greet_excel_model.models</w:t>
        </w:r>
      </w:hyperlink>
      <w:r w:rsidR="00CD7F50" w:rsidRPr="004C12C9">
        <w:rPr>
          <w:rStyle w:val="footnoteChar"/>
        </w:rPr>
        <w:t>.</w:t>
      </w:r>
    </w:p>
  </w:footnote>
  <w:footnote w:id="50">
    <w:p w14:paraId="7C91C388" w14:textId="73FD326F" w:rsidR="00045BC2" w:rsidRPr="004C12C9" w:rsidRDefault="00045BC2" w:rsidP="007F222B">
      <w:pPr>
        <w:pStyle w:val="footnote"/>
      </w:pPr>
      <w:r w:rsidRPr="004C12C9">
        <w:rPr>
          <w:rStyle w:val="FootnoteReference"/>
        </w:rPr>
        <w:footnoteRef/>
      </w:r>
      <w:r w:rsidRPr="004C12C9">
        <w:t xml:space="preserve"> Exclud</w:t>
      </w:r>
      <w:r w:rsidR="00D536DC" w:rsidRPr="004C12C9">
        <w:t>ing</w:t>
      </w:r>
      <w:r w:rsidRPr="004C12C9">
        <w:t xml:space="preserve"> trees removed</w:t>
      </w:r>
      <w:r w:rsidR="007F222B" w:rsidRPr="004C12C9">
        <w:t xml:space="preserve"> </w:t>
      </w:r>
      <w:r w:rsidR="00B30395">
        <w:t>as part of converted</w:t>
      </w:r>
      <w:r w:rsidR="007F222B" w:rsidRPr="004C12C9">
        <w:t xml:space="preserve"> forest</w:t>
      </w:r>
      <w:r w:rsidR="00B30395">
        <w:t xml:space="preserve"> area</w:t>
      </w:r>
      <w:r w:rsidR="007F222B" w:rsidRPr="004C12C9">
        <w:t>.</w:t>
      </w:r>
    </w:p>
  </w:footnote>
  <w:footnote w:id="51">
    <w:p w14:paraId="187E34C7" w14:textId="2DDE9DBB" w:rsidR="009B5552" w:rsidRPr="004C12C9" w:rsidRDefault="009B5552" w:rsidP="007757E3">
      <w:pPr>
        <w:pStyle w:val="footnote"/>
      </w:pPr>
      <w:r w:rsidRPr="004C12C9">
        <w:rPr>
          <w:rStyle w:val="FootnoteReference"/>
        </w:rPr>
        <w:footnoteRef/>
      </w:r>
      <w:r w:rsidRPr="004C12C9">
        <w:t xml:space="preserve"> Excluding trees added</w:t>
      </w:r>
      <w:r w:rsidR="007757E3" w:rsidRPr="004C12C9">
        <w:t xml:space="preserve"> as part of reforestation.</w:t>
      </w:r>
    </w:p>
  </w:footnote>
  <w:footnote w:id="52">
    <w:p w14:paraId="7A17FD59" w14:textId="00BC75EB" w:rsidR="00817C4A" w:rsidRPr="004C12C9" w:rsidRDefault="00817C4A" w:rsidP="00817C4A">
      <w:pPr>
        <w:pStyle w:val="footnote"/>
      </w:pPr>
      <w:r w:rsidRPr="004C12C9">
        <w:rPr>
          <w:rStyle w:val="FootnoteReference"/>
        </w:rPr>
        <w:footnoteRef/>
      </w:r>
      <w:r w:rsidRPr="004C12C9">
        <w:t xml:space="preserve"> </w:t>
      </w:r>
      <w:bookmarkStart w:id="110" w:name="_Hlk197945864"/>
      <w:r w:rsidRPr="004C12C9">
        <w:t xml:space="preserve">Kolka et al. “Second State of the Carbon Cycle Report (SOCCR2): A Sustained Assessment Report, Chapter 13: Terrestrial wetlands,” U.S. Global Change Research Program, Washington, DC, USA, (2013) pp. 507-567: </w:t>
      </w:r>
      <w:bookmarkEnd w:id="110"/>
      <w:r w:rsidR="008832D3" w:rsidRPr="004C12C9">
        <w:fldChar w:fldCharType="begin"/>
      </w:r>
      <w:r w:rsidR="008832D3" w:rsidRPr="004C12C9">
        <w:instrText>HYPERLINK "https://carbon2018.globalchange.gov/chapter/13/"</w:instrText>
      </w:r>
      <w:r w:rsidR="008832D3" w:rsidRPr="004C12C9">
        <w:fldChar w:fldCharType="separate"/>
      </w:r>
      <w:r w:rsidR="008832D3" w:rsidRPr="004C12C9">
        <w:rPr>
          <w:rStyle w:val="Hyperlink"/>
        </w:rPr>
        <w:t>https://carbon2018.globalchange.gov/chapter/13/</w:t>
      </w:r>
      <w:r w:rsidR="008832D3" w:rsidRPr="004C12C9">
        <w:fldChar w:fldCharType="end"/>
      </w:r>
      <w:r w:rsidR="008832D3" w:rsidRPr="004C12C9">
        <w:t xml:space="preserve">. </w:t>
      </w:r>
    </w:p>
  </w:footnote>
  <w:footnote w:id="53">
    <w:p w14:paraId="1D38F452" w14:textId="5F22F88E" w:rsidR="00FC16E7" w:rsidRPr="004C12C9" w:rsidRDefault="00FC16E7" w:rsidP="004340E6">
      <w:pPr>
        <w:pStyle w:val="footnote"/>
      </w:pPr>
      <w:r w:rsidRPr="004C12C9">
        <w:rPr>
          <w:rStyle w:val="FootnoteReference"/>
        </w:rPr>
        <w:footnoteRef/>
      </w:r>
      <w:r w:rsidRPr="004C12C9">
        <w:t xml:space="preserve"> Anderson et al. </w:t>
      </w:r>
      <w:r w:rsidR="00EF1B64" w:rsidRPr="004C12C9">
        <w:t>“</w:t>
      </w:r>
      <w:r w:rsidRPr="004C12C9">
        <w:t>The Potential for Terrestrial Carbon Sequestration in Minnesota.</w:t>
      </w:r>
      <w:r w:rsidR="00EF1B64" w:rsidRPr="004C12C9">
        <w:t>”</w:t>
      </w:r>
      <w:r w:rsidRPr="004C12C9">
        <w:t xml:space="preserve"> University of Minnesota, St. Paul, MN</w:t>
      </w:r>
      <w:r w:rsidR="00EF1B64" w:rsidRPr="004C12C9">
        <w:t xml:space="preserve"> (2008)</w:t>
      </w:r>
      <w:r w:rsidRPr="004C12C9">
        <w:t xml:space="preserve">. </w:t>
      </w:r>
      <w:hyperlink r:id="rId41" w:history="1">
        <w:r w:rsidRPr="004C12C9">
          <w:rPr>
            <w:rStyle w:val="Hyperlink"/>
          </w:rPr>
          <w:t>https://files.dnr.state.mn.us/aboutdnr/reports/carbon2008.pdf</w:t>
        </w:r>
      </w:hyperlink>
      <w:r w:rsidRPr="004C12C9">
        <w:t xml:space="preserve">. </w:t>
      </w:r>
    </w:p>
  </w:footnote>
  <w:footnote w:id="54">
    <w:p w14:paraId="58B627A3" w14:textId="65ADF195" w:rsidR="009627EB" w:rsidRPr="004C12C9" w:rsidRDefault="009627EB" w:rsidP="009627EB">
      <w:pPr>
        <w:pStyle w:val="footnote"/>
      </w:pPr>
      <w:r w:rsidRPr="004C12C9">
        <w:rPr>
          <w:rStyle w:val="FootnoteReference"/>
        </w:rPr>
        <w:footnoteRef/>
      </w:r>
      <w:r w:rsidRPr="004C12C9">
        <w:t xml:space="preserve"> Verchot et al. </w:t>
      </w:r>
      <w:r w:rsidR="00EF1B64" w:rsidRPr="004C12C9">
        <w:t>“</w:t>
      </w:r>
      <w:r w:rsidRPr="004C12C9">
        <w:t>IPCC 2006 Guidelines for National Greenhouse Gas Inventories, Volume 4: Agriculture, Forestry, and Other Land Use</w:t>
      </w:r>
      <w:r w:rsidR="00EF1B64" w:rsidRPr="004C12C9">
        <w:t>” (2006)</w:t>
      </w:r>
      <w:r w:rsidRPr="004C12C9">
        <w:t xml:space="preserve">. </w:t>
      </w:r>
      <w:hyperlink r:id="rId42" w:history="1">
        <w:r w:rsidRPr="004C12C9">
          <w:rPr>
            <w:color w:val="0070CB" w:themeColor="text1" w:themeTint="BF"/>
            <w:u w:val="single"/>
          </w:rPr>
          <w:t>https://www.ipcc-nggip.iges.or.jp/public/2006gl/pdf/4_Volume4/V4_06_Ch6_Grassland.pdf</w:t>
        </w:r>
      </w:hyperlink>
      <w:r w:rsidR="001F4FB2" w:rsidRPr="004C12C9">
        <w:t>.</w:t>
      </w:r>
    </w:p>
  </w:footnote>
  <w:footnote w:id="55">
    <w:p w14:paraId="36ADB02C" w14:textId="4B78297E" w:rsidR="00FC16E7" w:rsidRPr="004C12C9" w:rsidRDefault="00FC16E7" w:rsidP="00C934B1">
      <w:pPr>
        <w:pStyle w:val="footnote"/>
      </w:pPr>
      <w:r w:rsidRPr="004C12C9">
        <w:rPr>
          <w:rStyle w:val="FootnoteReference"/>
        </w:rPr>
        <w:footnoteRef/>
      </w:r>
      <w:r w:rsidRPr="004C12C9">
        <w:t xml:space="preserve"> </w:t>
      </w:r>
      <w:r w:rsidR="00E74B8E" w:rsidRPr="004C12C9">
        <w:t xml:space="preserve">USDA. "Quantifying Greenhouse Gas Fluxes in Agriculture and Forestry: Methods for Entity-Scale Inventory." April 2024. </w:t>
      </w:r>
      <w:hyperlink r:id="rId43" w:history="1">
        <w:r w:rsidR="00E74B8E" w:rsidRPr="004C12C9">
          <w:rPr>
            <w:rStyle w:val="Hyperlink"/>
          </w:rPr>
          <w:t>https://www.usda.gov/about-usda/general-information/staff-offices/office-chief-economist/office-energy-and-environmental-policy/climate-change/greenhouse-gas-inventory-and-assessment-program/quantifying-greenhouse-gas-fluxes-methods-entity-scale-inventory</w:t>
        </w:r>
      </w:hyperlink>
      <w:r w:rsidR="00E74B8E" w:rsidRPr="004C12C9">
        <w:t xml:space="preserve">. </w:t>
      </w:r>
    </w:p>
  </w:footnote>
  <w:footnote w:id="56">
    <w:p w14:paraId="3E31464B" w14:textId="2430ABA1" w:rsidR="00C934B1" w:rsidRPr="004C12C9" w:rsidRDefault="00C934B1" w:rsidP="00C934B1">
      <w:pPr>
        <w:pStyle w:val="footnote"/>
      </w:pPr>
      <w:r w:rsidRPr="004C12C9">
        <w:rPr>
          <w:rStyle w:val="FootnoteReference"/>
        </w:rPr>
        <w:footnoteRef/>
      </w:r>
      <w:r w:rsidRPr="004C12C9">
        <w:t xml:space="preserve"> </w:t>
      </w:r>
      <w:r w:rsidR="00E74B8E" w:rsidRPr="004C12C9">
        <w:t>USDA. “</w:t>
      </w:r>
      <w:r w:rsidRPr="004C12C9">
        <w:rPr>
          <w:rStyle w:val="footnoteChar"/>
        </w:rPr>
        <w:t>Gridded Soil Survey Geographic (gSSURGO) Database</w:t>
      </w:r>
      <w:r w:rsidR="001E4F05" w:rsidRPr="004C12C9">
        <w:rPr>
          <w:rStyle w:val="footnoteChar"/>
        </w:rPr>
        <w:t>.</w:t>
      </w:r>
      <w:r w:rsidR="00E74B8E" w:rsidRPr="004C12C9">
        <w:rPr>
          <w:rStyle w:val="footnoteChar"/>
        </w:rPr>
        <w:t>”</w:t>
      </w:r>
      <w:r w:rsidR="00171658" w:rsidRPr="004C12C9">
        <w:rPr>
          <w:rStyle w:val="footnoteChar"/>
        </w:rPr>
        <w:t xml:space="preserve"> 2023. </w:t>
      </w:r>
      <w:hyperlink r:id="rId44" w:history="1">
        <w:r w:rsidRPr="004C12C9">
          <w:rPr>
            <w:rStyle w:val="Hyperlink"/>
          </w:rPr>
          <w:t>https://www.nrcs.usda.gov/resources/data-and-reports/gridded-soil-survey-geographic-gssurgo-database</w:t>
        </w:r>
      </w:hyperlink>
      <w:r w:rsidRPr="004C12C9">
        <w:rPr>
          <w:rStyle w:val="footnoteChar"/>
        </w:rPr>
        <w:t xml:space="preserve">. </w:t>
      </w:r>
    </w:p>
  </w:footnote>
  <w:footnote w:id="57">
    <w:p w14:paraId="372355FC" w14:textId="2B964026" w:rsidR="00772207" w:rsidRPr="004C12C9" w:rsidRDefault="00772207" w:rsidP="00772207">
      <w:pPr>
        <w:pStyle w:val="footnote"/>
      </w:pPr>
      <w:r w:rsidRPr="004C12C9">
        <w:rPr>
          <w:rStyle w:val="FootnoteReference"/>
        </w:rPr>
        <w:footnoteRef/>
      </w:r>
      <w:r w:rsidRPr="004C12C9">
        <w:t xml:space="preserve"> USDA. "Quantifying Greenhouse Gas Fluxes in Agriculture and Forestry: Methods for Entity-Scale Inventory." April 2024. </w:t>
      </w:r>
      <w:hyperlink r:id="rId45" w:history="1">
        <w:r w:rsidRPr="004C12C9">
          <w:rPr>
            <w:rStyle w:val="Hyperlink"/>
          </w:rPr>
          <w:t>https://www.usda.gov/about-usda/general-information/staff-offices/office-chief-economist/office-energy-and-environmental-policy/climate-change/greenhouse-gas-inventory-and-assessment-program/quantifying-greenhouse-gas-fluxes-methods-entity-scale-inventory</w:t>
        </w:r>
      </w:hyperlink>
      <w:r w:rsidRPr="004C12C9">
        <w:t>.</w:t>
      </w:r>
    </w:p>
  </w:footnote>
  <w:footnote w:id="58">
    <w:p w14:paraId="404C595B" w14:textId="1A31AAE1" w:rsidR="00FC16E7" w:rsidRPr="004C12C9" w:rsidRDefault="00FC16E7" w:rsidP="000A4F39">
      <w:pPr>
        <w:pStyle w:val="footnote"/>
      </w:pPr>
      <w:r w:rsidRPr="004C12C9">
        <w:rPr>
          <w:rStyle w:val="FootnoteReference"/>
        </w:rPr>
        <w:footnoteRef/>
      </w:r>
      <w:r w:rsidRPr="004C12C9">
        <w:t xml:space="preserve"> IPCC</w:t>
      </w:r>
      <w:r w:rsidR="00EF1B64" w:rsidRPr="004C12C9">
        <w:t>.</w:t>
      </w:r>
      <w:r w:rsidRPr="004C12C9">
        <w:t xml:space="preserve"> </w:t>
      </w:r>
      <w:r w:rsidR="00EF1B64" w:rsidRPr="004C12C9">
        <w:t>“</w:t>
      </w:r>
      <w:r w:rsidRPr="004C12C9">
        <w:t>2019 Refinement to the 2006 IPCC Guidelines for National Greenhouse Gas Inventories, Volume 4: Agriculture, Forestry, and Other Land Use. Chapter 5: Cropland</w:t>
      </w:r>
      <w:r w:rsidR="004D4F23" w:rsidRPr="004C12C9">
        <w:t xml:space="preserve"> (2019)</w:t>
      </w:r>
      <w:r w:rsidRPr="004C12C9">
        <w:t xml:space="preserve">. </w:t>
      </w:r>
      <w:hyperlink r:id="rId46" w:history="1">
        <w:r w:rsidRPr="004C12C9">
          <w:rPr>
            <w:rStyle w:val="Hyperlink"/>
          </w:rPr>
          <w:t>https://www.ipcc-nggip.iges.or.jp/public/2019rf/pdf/4_Volume4/19R_V4_Ch05_Cropland.pdf</w:t>
        </w:r>
      </w:hyperlink>
    </w:p>
  </w:footnote>
  <w:footnote w:id="59">
    <w:p w14:paraId="529C906C" w14:textId="77777777" w:rsidR="00C00BA9" w:rsidRPr="004C12C9" w:rsidRDefault="00C00BA9" w:rsidP="00C00BA9">
      <w:pPr>
        <w:pStyle w:val="footnote"/>
      </w:pPr>
      <w:r w:rsidRPr="004C12C9">
        <w:rPr>
          <w:rStyle w:val="FootnoteReference"/>
        </w:rPr>
        <w:footnoteRef/>
      </w:r>
      <w:r w:rsidRPr="004C12C9">
        <w:t xml:space="preserve"> USDA. "Quantifying Greenhouse Gas Fluxes in Agriculture and Forestry: Methods for Entity-Scale Inventory." April 2024. </w:t>
      </w:r>
      <w:hyperlink r:id="rId47" w:history="1">
        <w:r w:rsidRPr="004C12C9">
          <w:rPr>
            <w:rStyle w:val="Hyperlink"/>
          </w:rPr>
          <w:t>https://www.usda.gov/about-usda/general-information/staff-offices/office-chief-economist/office-energy-and-environmental-policy/climate-change/greenhouse-gas-inventory-and-assessment-program/quantifying-greenhouse-gas-fluxes-methods-entity-scale-inventory</w:t>
        </w:r>
      </w:hyperlink>
      <w:r w:rsidRPr="004C12C9">
        <w:t xml:space="preserve">. </w:t>
      </w:r>
    </w:p>
  </w:footnote>
  <w:footnote w:id="60">
    <w:p w14:paraId="5B5D5B52" w14:textId="77777777" w:rsidR="00C00BA9" w:rsidRPr="004C12C9" w:rsidRDefault="00C00BA9" w:rsidP="00C00BA9">
      <w:pPr>
        <w:pStyle w:val="footnote"/>
      </w:pPr>
      <w:r w:rsidRPr="004C12C9">
        <w:rPr>
          <w:rStyle w:val="FootnoteReference"/>
        </w:rPr>
        <w:footnoteRef/>
      </w:r>
      <w:r w:rsidRPr="004C12C9">
        <w:t xml:space="preserve"> USDA. “</w:t>
      </w:r>
      <w:r w:rsidRPr="004C12C9">
        <w:rPr>
          <w:rStyle w:val="footnoteChar"/>
        </w:rPr>
        <w:t xml:space="preserve">Gridded Soil Survey Geographic (gSSURGO) Database.” 2023. </w:t>
      </w:r>
      <w:hyperlink r:id="rId48" w:history="1">
        <w:r w:rsidRPr="004C12C9">
          <w:rPr>
            <w:rStyle w:val="Hyperlink"/>
          </w:rPr>
          <w:t>https://www.nrcs.usda.gov/resources/data-and-reports/gridded-soil-survey-geographic-gssurgo-database</w:t>
        </w:r>
      </w:hyperlink>
      <w:r w:rsidRPr="004C12C9">
        <w:rPr>
          <w:rStyle w:val="footnoteChar"/>
        </w:rPr>
        <w:t xml:space="preserve">. </w:t>
      </w:r>
    </w:p>
  </w:footnote>
  <w:footnote w:id="61">
    <w:p w14:paraId="245E64E6" w14:textId="74FD7D6F" w:rsidR="00FC16E7" w:rsidRPr="004C12C9" w:rsidRDefault="00FC16E7" w:rsidP="008352F0">
      <w:pPr>
        <w:pStyle w:val="footnote"/>
      </w:pPr>
      <w:r w:rsidRPr="004C12C9">
        <w:rPr>
          <w:rStyle w:val="FootnoteReference"/>
        </w:rPr>
        <w:footnoteRef/>
      </w:r>
      <w:r w:rsidRPr="004C12C9">
        <w:t xml:space="preserve"> Selhorst, A.</w:t>
      </w:r>
      <w:r w:rsidR="00C67A7F" w:rsidRPr="004C12C9">
        <w:t xml:space="preserve"> and</w:t>
      </w:r>
      <w:r w:rsidRPr="004C12C9">
        <w:t xml:space="preserve"> Lal, R. </w:t>
      </w:r>
      <w:r w:rsidR="00C67A7F" w:rsidRPr="004C12C9">
        <w:t>“</w:t>
      </w:r>
      <w:r w:rsidRPr="004C12C9">
        <w:t>Net Carbon Sequestration Potential and Emissions in Home Lawn Turfgrasses of the United States.</w:t>
      </w:r>
      <w:r w:rsidR="00C67A7F" w:rsidRPr="004C12C9">
        <w:t>”</w:t>
      </w:r>
      <w:r w:rsidRPr="004C12C9">
        <w:t xml:space="preserve"> Environmental Management 51, 198–208 (2013). </w:t>
      </w:r>
      <w:hyperlink r:id="rId49" w:history="1">
        <w:r w:rsidRPr="004C12C9">
          <w:rPr>
            <w:rStyle w:val="Hyperlink"/>
            <w:sz w:val="18"/>
            <w:szCs w:val="18"/>
          </w:rPr>
          <w:t>https://doi.org/10.1007/s00267-012-9967-6</w:t>
        </w:r>
      </w:hyperlink>
      <w:r w:rsidRPr="004C12C9">
        <w:t xml:space="preserve">. </w:t>
      </w:r>
    </w:p>
  </w:footnote>
  <w:footnote w:id="62">
    <w:p w14:paraId="545195CF" w14:textId="7EA852E9" w:rsidR="00FC16E7" w:rsidRPr="004C12C9" w:rsidRDefault="00FC16E7" w:rsidP="008352F0">
      <w:pPr>
        <w:pStyle w:val="footnote"/>
      </w:pPr>
      <w:r w:rsidRPr="004C12C9">
        <w:rPr>
          <w:rStyle w:val="FootnoteReference"/>
        </w:rPr>
        <w:footnoteRef/>
      </w:r>
      <w:r w:rsidRPr="004C12C9">
        <w:t xml:space="preserve"> Kong et al. </w:t>
      </w:r>
      <w:r w:rsidR="00C67A7F" w:rsidRPr="004C12C9">
        <w:t>“</w:t>
      </w:r>
      <w:r w:rsidRPr="004C12C9">
        <w:t xml:space="preserve">Carbon </w:t>
      </w:r>
      <w:r w:rsidR="00C67A7F" w:rsidRPr="004C12C9">
        <w:t>E</w:t>
      </w:r>
      <w:r w:rsidRPr="004C12C9">
        <w:t xml:space="preserve">mission and </w:t>
      </w:r>
      <w:r w:rsidR="00C67A7F" w:rsidRPr="004C12C9">
        <w:t>S</w:t>
      </w:r>
      <w:r w:rsidRPr="004C12C9">
        <w:t xml:space="preserve">equestration of </w:t>
      </w:r>
      <w:r w:rsidR="00C67A7F" w:rsidRPr="004C12C9">
        <w:t>U</w:t>
      </w:r>
      <w:r w:rsidRPr="004C12C9">
        <w:t xml:space="preserve">rban </w:t>
      </w:r>
      <w:r w:rsidR="00C67A7F" w:rsidRPr="004C12C9">
        <w:t>T</w:t>
      </w:r>
      <w:r w:rsidRPr="004C12C9">
        <w:t xml:space="preserve">urfgrass </w:t>
      </w:r>
      <w:r w:rsidR="00C67A7F" w:rsidRPr="004C12C9">
        <w:t>S</w:t>
      </w:r>
      <w:r w:rsidRPr="004C12C9">
        <w:t>ystems in Hong Kong</w:t>
      </w:r>
      <w:r w:rsidR="00C67A7F" w:rsidRPr="004C12C9">
        <w:t>.”</w:t>
      </w:r>
      <w:r w:rsidRPr="004C12C9">
        <w:t xml:space="preserve"> Science of The Total Environment, Volumes 473–474, Pages 132-138, ISSN 0048-9697</w:t>
      </w:r>
      <w:r w:rsidR="00C67A7F" w:rsidRPr="004C12C9">
        <w:t xml:space="preserve"> (2014)</w:t>
      </w:r>
      <w:r w:rsidRPr="004C12C9">
        <w:t xml:space="preserve">, </w:t>
      </w:r>
      <w:hyperlink r:id="rId50" w:history="1">
        <w:r w:rsidRPr="004C12C9">
          <w:rPr>
            <w:rStyle w:val="Hyperlink"/>
            <w:sz w:val="18"/>
            <w:szCs w:val="18"/>
          </w:rPr>
          <w:t>https://doi.org/10.1016/j.scitotenv.2013.12.012</w:t>
        </w:r>
      </w:hyperlink>
      <w:r w:rsidRPr="004C12C9">
        <w:t xml:space="preserve">. </w:t>
      </w:r>
    </w:p>
  </w:footnote>
  <w:footnote w:id="63">
    <w:p w14:paraId="58ED0043" w14:textId="3F19F276" w:rsidR="00FC16E7" w:rsidRPr="004C12C9" w:rsidRDefault="00FC16E7" w:rsidP="008352F0">
      <w:pPr>
        <w:pStyle w:val="footnote"/>
      </w:pPr>
      <w:r w:rsidRPr="004C12C9">
        <w:rPr>
          <w:rStyle w:val="FootnoteReference"/>
        </w:rPr>
        <w:footnoteRef/>
      </w:r>
      <w:r w:rsidRPr="004C12C9">
        <w:t xml:space="preserve"> Euliss et al. </w:t>
      </w:r>
      <w:r w:rsidR="00C67A7F" w:rsidRPr="004C12C9">
        <w:t>“</w:t>
      </w:r>
      <w:r w:rsidRPr="004C12C9">
        <w:t xml:space="preserve">North American </w:t>
      </w:r>
      <w:r w:rsidR="00C67A7F" w:rsidRPr="004C12C9">
        <w:t>P</w:t>
      </w:r>
      <w:r w:rsidRPr="004C12C9">
        <w:t xml:space="preserve">rairie </w:t>
      </w:r>
      <w:r w:rsidR="00C67A7F" w:rsidRPr="004C12C9">
        <w:t>W</w:t>
      </w:r>
      <w:r w:rsidRPr="004C12C9">
        <w:t xml:space="preserve">etlands </w:t>
      </w:r>
      <w:r w:rsidR="00C67A7F" w:rsidRPr="004C12C9">
        <w:t>A</w:t>
      </w:r>
      <w:r w:rsidRPr="004C12C9">
        <w:t xml:space="preserve">re </w:t>
      </w:r>
      <w:r w:rsidR="00C67A7F" w:rsidRPr="004C12C9">
        <w:t>I</w:t>
      </w:r>
      <w:r w:rsidRPr="004C12C9">
        <w:t xml:space="preserve">mportant </w:t>
      </w:r>
      <w:r w:rsidR="00C67A7F" w:rsidRPr="004C12C9">
        <w:t>N</w:t>
      </w:r>
      <w:r w:rsidRPr="004C12C9">
        <w:t xml:space="preserve">onforested </w:t>
      </w:r>
      <w:r w:rsidR="00C67A7F" w:rsidRPr="004C12C9">
        <w:t>L</w:t>
      </w:r>
      <w:r w:rsidRPr="004C12C9">
        <w:t xml:space="preserve">and-based </w:t>
      </w:r>
      <w:r w:rsidR="00C67A7F" w:rsidRPr="004C12C9">
        <w:t>C</w:t>
      </w:r>
      <w:r w:rsidRPr="004C12C9">
        <w:t xml:space="preserve">arbon </w:t>
      </w:r>
      <w:r w:rsidR="00C67A7F" w:rsidRPr="004C12C9">
        <w:t>S</w:t>
      </w:r>
      <w:r w:rsidRPr="004C12C9">
        <w:t xml:space="preserve">torage </w:t>
      </w:r>
      <w:r w:rsidR="00C67A7F" w:rsidRPr="004C12C9">
        <w:t>S</w:t>
      </w:r>
      <w:r w:rsidRPr="004C12C9">
        <w:t>ites.</w:t>
      </w:r>
      <w:r w:rsidR="00C67A7F" w:rsidRPr="004C12C9">
        <w:t>”</w:t>
      </w:r>
      <w:r w:rsidRPr="004C12C9">
        <w:t xml:space="preserve"> Science of the Total Environment 361</w:t>
      </w:r>
      <w:r w:rsidR="00C67A7F" w:rsidRPr="004C12C9">
        <w:t>,</w:t>
      </w:r>
      <w:r w:rsidRPr="004C12C9">
        <w:t xml:space="preserve"> p</w:t>
      </w:r>
      <w:r w:rsidR="00C67A7F" w:rsidRPr="004C12C9">
        <w:t>p</w:t>
      </w:r>
      <w:r w:rsidRPr="004C12C9">
        <w:t xml:space="preserve"> 179-188</w:t>
      </w:r>
      <w:r w:rsidR="00C67A7F" w:rsidRPr="004C12C9">
        <w:t xml:space="preserve"> (2005)</w:t>
      </w:r>
      <w:r w:rsidRPr="004C12C9">
        <w:t xml:space="preserve">. </w:t>
      </w:r>
      <w:hyperlink r:id="rId51" w:history="1">
        <w:r w:rsidRPr="004C12C9">
          <w:rPr>
            <w:rStyle w:val="Hyperlink"/>
            <w:sz w:val="18"/>
            <w:szCs w:val="18"/>
          </w:rPr>
          <w:t>doi:10.1016/j.scitotenv.2005.06.007</w:t>
        </w:r>
      </w:hyperlink>
    </w:p>
  </w:footnote>
  <w:footnote w:id="64">
    <w:p w14:paraId="172FF0EB" w14:textId="48FEB7A2" w:rsidR="00FC16E7" w:rsidRPr="004C12C9" w:rsidRDefault="00FC16E7" w:rsidP="008352F0">
      <w:pPr>
        <w:pStyle w:val="footnote"/>
      </w:pPr>
      <w:r w:rsidRPr="004C12C9">
        <w:rPr>
          <w:rStyle w:val="FootnoteReference"/>
        </w:rPr>
        <w:footnoteRef/>
      </w:r>
      <w:r w:rsidRPr="004C12C9">
        <w:t xml:space="preserve"> Gleason et al. "Potential of Restored Prairie Wetlands in the Glaciated North American Prairie to Sequester Atmospheric Carbon</w:t>
      </w:r>
      <w:r w:rsidR="00C67A7F" w:rsidRPr="004C12C9">
        <w:t>,</w:t>
      </w:r>
      <w:r w:rsidRPr="004C12C9">
        <w:t>" USGS Northern Prairie Wildlife Research Center</w:t>
      </w:r>
      <w:r w:rsidR="00C67A7F" w:rsidRPr="004C12C9">
        <w:t>, p</w:t>
      </w:r>
      <w:r w:rsidRPr="004C12C9">
        <w:t xml:space="preserve"> 92</w:t>
      </w:r>
      <w:r w:rsidR="00C67A7F" w:rsidRPr="004C12C9">
        <w:t xml:space="preserve"> (2005)</w:t>
      </w:r>
      <w:r w:rsidRPr="004C12C9">
        <w:t xml:space="preserve">. </w:t>
      </w:r>
      <w:hyperlink r:id="rId52" w:history="1">
        <w:r w:rsidRPr="004C12C9">
          <w:rPr>
            <w:rStyle w:val="Hyperlink"/>
            <w:sz w:val="18"/>
            <w:szCs w:val="18"/>
          </w:rPr>
          <w:t>https://digitalcommons.unl.edu/usgsnpwrc/92</w:t>
        </w:r>
      </w:hyperlink>
      <w:r w:rsidRPr="004C12C9">
        <w:t xml:space="preserve">. </w:t>
      </w:r>
    </w:p>
  </w:footnote>
  <w:footnote w:id="65">
    <w:p w14:paraId="253A3466" w14:textId="62DB37C3" w:rsidR="00FC16E7" w:rsidRPr="004C12C9" w:rsidRDefault="00FC16E7" w:rsidP="00A22F85">
      <w:pPr>
        <w:pStyle w:val="footnote"/>
      </w:pPr>
      <w:r w:rsidRPr="004C12C9">
        <w:rPr>
          <w:rStyle w:val="FootnoteReference"/>
        </w:rPr>
        <w:footnoteRef/>
      </w:r>
      <w:r w:rsidRPr="004C12C9">
        <w:t xml:space="preserve"> IPCC</w:t>
      </w:r>
      <w:r w:rsidR="00C67A7F" w:rsidRPr="004C12C9">
        <w:t>.</w:t>
      </w:r>
      <w:r w:rsidRPr="004C12C9">
        <w:t xml:space="preserve"> </w:t>
      </w:r>
      <w:r w:rsidR="00C67A7F" w:rsidRPr="004C12C9">
        <w:t>“</w:t>
      </w:r>
      <w:r w:rsidRPr="004C12C9">
        <w:t>2013 Supplement to the 2006 Guidelines for National Greenhouse Gas Inventories: Wetlands, Annex 3A.1, Table 4.9</w:t>
      </w:r>
      <w:r w:rsidR="00C67A7F" w:rsidRPr="004C12C9">
        <w:t xml:space="preserve"> (2013).</w:t>
      </w:r>
      <w:r w:rsidRPr="004C12C9">
        <w:t xml:space="preserve"> </w:t>
      </w:r>
      <w:hyperlink r:id="rId53" w:history="1">
        <w:r w:rsidRPr="004C12C9">
          <w:rPr>
            <w:rStyle w:val="Hyperlink"/>
            <w:sz w:val="18"/>
            <w:szCs w:val="18"/>
          </w:rPr>
          <w:t>https://www.ipcc.ch/site/assets/uploads/2018/03/Wetlands_Supplement_Entire_Report.pdf</w:t>
        </w:r>
      </w:hyperlink>
    </w:p>
  </w:footnote>
  <w:footnote w:id="66">
    <w:p w14:paraId="44F8FC67" w14:textId="6CA454BC" w:rsidR="00FC16E7" w:rsidRPr="004C12C9" w:rsidRDefault="00FC16E7" w:rsidP="00A22F85">
      <w:pPr>
        <w:pStyle w:val="footnote"/>
      </w:pPr>
      <w:r w:rsidRPr="004C12C9">
        <w:rPr>
          <w:rStyle w:val="FootnoteReference"/>
          <w:rFonts w:asciiTheme="majorHAnsi" w:hAnsiTheme="majorHAnsi" w:cstheme="majorHAnsi"/>
        </w:rPr>
        <w:footnoteRef/>
      </w:r>
      <w:r w:rsidRPr="004C12C9">
        <w:t xml:space="preserve"> EPA</w:t>
      </w:r>
      <w:r w:rsidR="00EC7ADE" w:rsidRPr="004C12C9">
        <w:t>.</w:t>
      </w:r>
      <w:r w:rsidRPr="004C12C9">
        <w:t xml:space="preserve"> </w:t>
      </w:r>
      <w:r w:rsidR="00C67A7F" w:rsidRPr="004C12C9">
        <w:t>“</w:t>
      </w:r>
      <w:r w:rsidRPr="004C12C9">
        <w:t>Greenhouse Gas Equivalencies Calculator – Calculations and References</w:t>
      </w:r>
      <w:r w:rsidR="00B908AA" w:rsidRPr="004C12C9">
        <w:t>,</w:t>
      </w:r>
      <w:r w:rsidR="00C67A7F" w:rsidRPr="004C12C9">
        <w:t>”</w:t>
      </w:r>
      <w:r w:rsidR="00B908AA" w:rsidRPr="004C12C9">
        <w:t xml:space="preserve"> 2024.</w:t>
      </w:r>
      <w:r w:rsidRPr="004C12C9">
        <w:t xml:space="preserve"> </w:t>
      </w:r>
      <w:hyperlink r:id="rId54" w:history="1">
        <w:r w:rsidRPr="004C12C9">
          <w:rPr>
            <w:rStyle w:val="Hyperlink"/>
            <w:rFonts w:asciiTheme="majorHAnsi" w:hAnsiTheme="majorHAnsi" w:cstheme="majorHAnsi"/>
          </w:rPr>
          <w:t>https://www.epa.gov/energy/greenhouse-gas-equivalencies-calculator-calculations-and-references</w:t>
        </w:r>
      </w:hyperlink>
      <w:r w:rsidRPr="004C12C9">
        <w:t xml:space="preserve"> </w:t>
      </w:r>
    </w:p>
  </w:footnote>
  <w:footnote w:id="67">
    <w:p w14:paraId="2D78DC82" w14:textId="4F859155" w:rsidR="000564FD" w:rsidRPr="004C12C9" w:rsidRDefault="000564FD" w:rsidP="00AD2D3A">
      <w:pPr>
        <w:pStyle w:val="footnote"/>
      </w:pPr>
      <w:r w:rsidRPr="004C12C9">
        <w:rPr>
          <w:rStyle w:val="FootnoteReference"/>
          <w:rFonts w:asciiTheme="majorHAnsi" w:hAnsiTheme="majorHAnsi" w:cstheme="majorHAnsi"/>
        </w:rPr>
        <w:footnoteRef/>
      </w:r>
      <w:r w:rsidRPr="004C12C9">
        <w:t xml:space="preserve"> EPA</w:t>
      </w:r>
      <w:r w:rsidR="00B908AA" w:rsidRPr="004C12C9">
        <w:t>.</w:t>
      </w:r>
      <w:r w:rsidRPr="004C12C9">
        <w:t xml:space="preserve"> </w:t>
      </w:r>
      <w:r w:rsidR="00C67A7F" w:rsidRPr="004C12C9">
        <w:t>“</w:t>
      </w:r>
      <w:r w:rsidRPr="004C12C9">
        <w:t>Construction and Demolition Debris Generation in the United States, 2015</w:t>
      </w:r>
      <w:r w:rsidR="00EE4ECB" w:rsidRPr="004C12C9">
        <w:t>.”</w:t>
      </w:r>
      <w:r w:rsidR="000E36A5" w:rsidRPr="004C12C9">
        <w:t xml:space="preserve"> 2018</w:t>
      </w:r>
      <w:r w:rsidRPr="004C12C9">
        <w:t xml:space="preserve">. </w:t>
      </w:r>
      <w:hyperlink r:id="rId55" w:history="1">
        <w:r w:rsidRPr="004C12C9">
          <w:rPr>
            <w:rStyle w:val="Hyperlink"/>
            <w:rFonts w:asciiTheme="majorHAnsi" w:hAnsiTheme="majorHAnsi" w:cstheme="majorHAnsi"/>
          </w:rPr>
          <w:t>https://www.epa.gov/sites/default/files/2018-09/documents/construction_and_demolition_debris_generation_in_the_united_states_2015_final.pdf</w:t>
        </w:r>
      </w:hyperlink>
      <w:r w:rsidRPr="004C12C9">
        <w:t xml:space="preserve">. </w:t>
      </w:r>
    </w:p>
  </w:footnote>
  <w:footnote w:id="68">
    <w:p w14:paraId="6FC92062" w14:textId="671E5D1A" w:rsidR="001C094A" w:rsidRPr="004C12C9" w:rsidRDefault="001C094A" w:rsidP="00AD2D3A">
      <w:pPr>
        <w:pStyle w:val="footnote"/>
      </w:pPr>
      <w:r w:rsidRPr="004C12C9">
        <w:rPr>
          <w:rStyle w:val="FootnoteReference"/>
          <w:rFonts w:asciiTheme="majorHAnsi" w:hAnsiTheme="majorHAnsi" w:cstheme="majorHAnsi"/>
        </w:rPr>
        <w:footnoteRef/>
      </w:r>
      <w:r w:rsidRPr="004C12C9">
        <w:t xml:space="preserve"> </w:t>
      </w:r>
      <w:r w:rsidR="002C6341" w:rsidRPr="004C12C9">
        <w:t>Minnesota Pollution Control Agency</w:t>
      </w:r>
      <w:r w:rsidR="002D22F5" w:rsidRPr="004C12C9">
        <w:t xml:space="preserve">. </w:t>
      </w:r>
      <w:r w:rsidR="0077560C" w:rsidRPr="004C12C9">
        <w:t>“</w:t>
      </w:r>
      <w:r w:rsidR="00CC7C38" w:rsidRPr="004C12C9">
        <w:t>Construction and Demolition Materials Composition Study,</w:t>
      </w:r>
      <w:r w:rsidR="0077560C" w:rsidRPr="004C12C9">
        <w:t>”</w:t>
      </w:r>
      <w:r w:rsidR="00CC7C38" w:rsidRPr="004C12C9">
        <w:t xml:space="preserve"> 2020. </w:t>
      </w:r>
      <w:hyperlink r:id="rId56" w:history="1">
        <w:r w:rsidR="002F1196" w:rsidRPr="004C12C9">
          <w:rPr>
            <w:rStyle w:val="Hyperlink"/>
            <w:rFonts w:asciiTheme="majorHAnsi" w:hAnsiTheme="majorHAnsi" w:cstheme="majorHAnsi"/>
          </w:rPr>
          <w:t>https://www.pca.state.mn.us/sites/default/files/w-sw5-55.pdf</w:t>
        </w:r>
      </w:hyperlink>
      <w:r w:rsidR="002F1196" w:rsidRPr="004C12C9">
        <w:t xml:space="preserve"> </w:t>
      </w:r>
    </w:p>
  </w:footnote>
  <w:footnote w:id="69">
    <w:p w14:paraId="702B26A5" w14:textId="3CDA8CEB" w:rsidR="00665EDD" w:rsidRPr="004C12C9" w:rsidRDefault="00665EDD" w:rsidP="00AD689F">
      <w:pPr>
        <w:pStyle w:val="footnote"/>
      </w:pPr>
      <w:r w:rsidRPr="004C12C9">
        <w:rPr>
          <w:rStyle w:val="FootnoteReference"/>
          <w:rFonts w:asciiTheme="majorHAnsi" w:hAnsiTheme="majorHAnsi" w:cstheme="majorHAnsi"/>
        </w:rPr>
        <w:footnoteRef/>
      </w:r>
      <w:r w:rsidRPr="004C12C9">
        <w:t xml:space="preserve"> EPA</w:t>
      </w:r>
      <w:r w:rsidR="002D22F5" w:rsidRPr="004C12C9">
        <w:t xml:space="preserve">. </w:t>
      </w:r>
      <w:r w:rsidR="0077560C" w:rsidRPr="004C12C9">
        <w:t>“</w:t>
      </w:r>
      <w:r w:rsidR="005247DE" w:rsidRPr="004C12C9">
        <w:t>GHG</w:t>
      </w:r>
      <w:r w:rsidRPr="004C12C9">
        <w:t xml:space="preserve"> Emission Factor Hub,</w:t>
      </w:r>
      <w:r w:rsidR="0077560C" w:rsidRPr="004C12C9">
        <w:t>”</w:t>
      </w:r>
      <w:r w:rsidRPr="004C12C9">
        <w:t xml:space="preserve"> </w:t>
      </w:r>
      <w:r w:rsidR="002D22F5" w:rsidRPr="004C12C9">
        <w:t>202</w:t>
      </w:r>
      <w:r w:rsidR="00FE56DF" w:rsidRPr="004C12C9">
        <w:t>5</w:t>
      </w:r>
      <w:r w:rsidR="002D22F5" w:rsidRPr="004C12C9">
        <w:t>.</w:t>
      </w:r>
      <w:r w:rsidRPr="004C12C9">
        <w:t xml:space="preserve"> </w:t>
      </w:r>
      <w:hyperlink r:id="rId57" w:history="1">
        <w:r w:rsidRPr="004C12C9">
          <w:rPr>
            <w:rStyle w:val="Hyperlink"/>
            <w:rFonts w:asciiTheme="majorHAnsi" w:hAnsiTheme="majorHAnsi" w:cstheme="majorHAnsi"/>
          </w:rPr>
          <w:t>https://www.epa.gov/climateleadership/ghg-emission-factors-hub</w:t>
        </w:r>
      </w:hyperlink>
      <w:r w:rsidRPr="004C12C9">
        <w:t xml:space="preserve">. </w:t>
      </w:r>
    </w:p>
  </w:footnote>
  <w:footnote w:id="70">
    <w:p w14:paraId="4FD0CA9D" w14:textId="63738C4D" w:rsidR="00427D11" w:rsidRPr="004C12C9" w:rsidRDefault="00427D11" w:rsidP="00427D11">
      <w:pPr>
        <w:pStyle w:val="footnote"/>
      </w:pPr>
      <w:r w:rsidRPr="004C12C9">
        <w:rPr>
          <w:rStyle w:val="FootnoteReference"/>
          <w:rFonts w:asciiTheme="majorHAnsi" w:hAnsiTheme="majorHAnsi" w:cstheme="majorHAnsi"/>
        </w:rPr>
        <w:footnoteRef/>
      </w:r>
      <w:r w:rsidRPr="004C12C9">
        <w:t xml:space="preserve"> The emission factors do not include avoided emissions associated with energy recovery or landfill carbon sequestration.</w:t>
      </w:r>
    </w:p>
  </w:footnote>
  <w:footnote w:id="71">
    <w:p w14:paraId="7FC80400" w14:textId="7CEC97E6" w:rsidR="007B7597" w:rsidRPr="004C12C9" w:rsidRDefault="007B7597" w:rsidP="007B7597">
      <w:pPr>
        <w:pStyle w:val="footnote"/>
      </w:pPr>
      <w:r w:rsidRPr="004C12C9">
        <w:rPr>
          <w:rStyle w:val="FootnoteReference"/>
        </w:rPr>
        <w:footnoteRef/>
      </w:r>
      <w:r w:rsidRPr="004C12C9">
        <w:t xml:space="preserve"> For electricity consumption, users have the option to specify the portion of electricity that they anticipate will be generated on-site via renewables or supplied through the purchase of renewable energy credits. This consumption is excluded from the emissions calculation. For natural gas consumption, users also have the ability to input the portion sourced from renewable natural gas.</w:t>
      </w:r>
    </w:p>
  </w:footnote>
  <w:footnote w:id="72">
    <w:p w14:paraId="1DED49E2" w14:textId="1DD46D2A" w:rsidR="00E607EA" w:rsidRPr="004C12C9" w:rsidRDefault="00E607EA" w:rsidP="00E607EA">
      <w:pPr>
        <w:pStyle w:val="footnote"/>
      </w:pPr>
      <w:r w:rsidRPr="004C12C9">
        <w:rPr>
          <w:rStyle w:val="FootnoteReference"/>
        </w:rPr>
        <w:footnoteRef/>
      </w:r>
      <w:r w:rsidRPr="004C12C9">
        <w:t xml:space="preserve"> Users are required to </w:t>
      </w:r>
      <w:r w:rsidR="006543CD" w:rsidRPr="004C12C9">
        <w:t>provide the energy intensity</w:t>
      </w:r>
      <w:r w:rsidR="009C70B2" w:rsidRPr="004C12C9">
        <w:t xml:space="preserve"> for </w:t>
      </w:r>
      <w:r w:rsidR="0041535C" w:rsidRPr="004C12C9">
        <w:t>“</w:t>
      </w:r>
      <w:r w:rsidR="009C70B2" w:rsidRPr="004C12C9">
        <w:t>Other</w:t>
      </w:r>
      <w:r w:rsidR="0041535C" w:rsidRPr="004C12C9">
        <w:t>”</w:t>
      </w:r>
      <w:r w:rsidR="009C70B2" w:rsidRPr="004C12C9">
        <w:t xml:space="preserve"> building </w:t>
      </w:r>
      <w:r w:rsidR="00AD5946" w:rsidRPr="004C12C9">
        <w:t>types.</w:t>
      </w:r>
    </w:p>
  </w:footnote>
  <w:footnote w:id="73">
    <w:p w14:paraId="3F5E34E0" w14:textId="38CE08D4" w:rsidR="00466EBA" w:rsidRPr="004C12C9" w:rsidRDefault="00466EBA" w:rsidP="00466EBA">
      <w:pPr>
        <w:pStyle w:val="footnote"/>
      </w:pPr>
      <w:r w:rsidRPr="004C12C9">
        <w:rPr>
          <w:rStyle w:val="FootnoteReference"/>
        </w:rPr>
        <w:footnoteRef/>
      </w:r>
      <w:r w:rsidRPr="004C12C9">
        <w:t xml:space="preserve"> </w:t>
      </w:r>
      <w:r w:rsidR="00454F46" w:rsidRPr="004C12C9">
        <w:t>EIA</w:t>
      </w:r>
      <w:r w:rsidR="001F142C" w:rsidRPr="004C12C9">
        <w:t xml:space="preserve">. </w:t>
      </w:r>
      <w:r w:rsidR="0077560C" w:rsidRPr="004C12C9">
        <w:t>“</w:t>
      </w:r>
      <w:r w:rsidR="001F142C" w:rsidRPr="004C12C9">
        <w:rPr>
          <w:rFonts w:eastAsiaTheme="majorEastAsia"/>
        </w:rPr>
        <w:t>2020 Residential Energy Consumption Survey (RECS)</w:t>
      </w:r>
      <w:r w:rsidR="00237639" w:rsidRPr="004C12C9">
        <w:rPr>
          <w:rFonts w:eastAsiaTheme="majorEastAsia"/>
        </w:rPr>
        <w:t>,</w:t>
      </w:r>
      <w:r w:rsidR="0077560C" w:rsidRPr="004C12C9">
        <w:rPr>
          <w:rFonts w:eastAsiaTheme="majorEastAsia"/>
        </w:rPr>
        <w:t>”</w:t>
      </w:r>
      <w:r w:rsidR="001F142C" w:rsidRPr="004C12C9">
        <w:t xml:space="preserve"> </w:t>
      </w:r>
      <w:r w:rsidR="00237639" w:rsidRPr="004C12C9">
        <w:t>a</w:t>
      </w:r>
      <w:r w:rsidR="001F142C" w:rsidRPr="004C12C9">
        <w:t xml:space="preserve">ccessed April 1, 2025. </w:t>
      </w:r>
      <w:hyperlink r:id="rId58" w:tgtFrame="_new" w:history="1">
        <w:r w:rsidR="001F142C" w:rsidRPr="004C12C9">
          <w:rPr>
            <w:rStyle w:val="Hyperlink"/>
          </w:rPr>
          <w:t>https://www.eia.gov/consumption/residential/data/2020/</w:t>
        </w:r>
      </w:hyperlink>
      <w:r w:rsidR="001F142C" w:rsidRPr="004C12C9">
        <w:t>.</w:t>
      </w:r>
    </w:p>
  </w:footnote>
  <w:footnote w:id="74">
    <w:p w14:paraId="45F98958" w14:textId="665FC993" w:rsidR="00555D90" w:rsidRPr="004C12C9" w:rsidRDefault="00555D90" w:rsidP="006F7085">
      <w:pPr>
        <w:pStyle w:val="footnote"/>
      </w:pPr>
      <w:r w:rsidRPr="004C12C9">
        <w:rPr>
          <w:rStyle w:val="FootnoteReference"/>
        </w:rPr>
        <w:footnoteRef/>
      </w:r>
      <w:r w:rsidRPr="004C12C9">
        <w:t xml:space="preserve"> </w:t>
      </w:r>
      <w:r w:rsidR="0046290F" w:rsidRPr="004C12C9">
        <w:t>EIA</w:t>
      </w:r>
      <w:r w:rsidR="001F142C" w:rsidRPr="004C12C9">
        <w:t xml:space="preserve">. </w:t>
      </w:r>
      <w:r w:rsidR="00237639" w:rsidRPr="004C12C9">
        <w:t>“</w:t>
      </w:r>
      <w:r w:rsidR="001F142C" w:rsidRPr="004C12C9">
        <w:rPr>
          <w:rFonts w:eastAsiaTheme="majorEastAsia"/>
        </w:rPr>
        <w:t>2020 Residential Energy Consumption Survey (RECS)</w:t>
      </w:r>
      <w:r w:rsidR="00237639" w:rsidRPr="004C12C9">
        <w:rPr>
          <w:rFonts w:eastAsiaTheme="majorEastAsia"/>
        </w:rPr>
        <w:t>,”</w:t>
      </w:r>
      <w:r w:rsidR="001F142C" w:rsidRPr="004C12C9">
        <w:t xml:space="preserve"> </w:t>
      </w:r>
      <w:r w:rsidR="00237639" w:rsidRPr="004C12C9">
        <w:t>a</w:t>
      </w:r>
      <w:r w:rsidR="001F142C" w:rsidRPr="004C12C9">
        <w:t xml:space="preserve">ccessed April 1, 2025. </w:t>
      </w:r>
      <w:hyperlink r:id="rId59" w:tgtFrame="_new" w:history="1">
        <w:r w:rsidR="001F142C" w:rsidRPr="004C12C9">
          <w:rPr>
            <w:rStyle w:val="Hyperlink"/>
          </w:rPr>
          <w:t>https://www.eia.gov/consumption/residential/data/2020/</w:t>
        </w:r>
      </w:hyperlink>
      <w:r w:rsidR="001F142C" w:rsidRPr="004C12C9">
        <w:t>.</w:t>
      </w:r>
    </w:p>
  </w:footnote>
  <w:footnote w:id="75">
    <w:p w14:paraId="78CA486D" w14:textId="24A993EF" w:rsidR="00447A14" w:rsidRPr="004C12C9" w:rsidRDefault="00447A14" w:rsidP="00C71B1E">
      <w:pPr>
        <w:pStyle w:val="footnote"/>
      </w:pPr>
      <w:r w:rsidRPr="004C12C9">
        <w:rPr>
          <w:rStyle w:val="FootnoteReference"/>
        </w:rPr>
        <w:footnoteRef/>
      </w:r>
      <w:r w:rsidRPr="004C12C9">
        <w:t xml:space="preserve"> </w:t>
      </w:r>
      <w:r w:rsidR="00C71B1E" w:rsidRPr="004C12C9">
        <w:t>Based on EIA’s definitions, commercial buildings include sewage treatment facilities.</w:t>
      </w:r>
    </w:p>
  </w:footnote>
  <w:footnote w:id="76">
    <w:p w14:paraId="75998A04" w14:textId="3358BD75" w:rsidR="00020211" w:rsidRPr="004C12C9" w:rsidRDefault="00020211" w:rsidP="003363E0">
      <w:pPr>
        <w:pStyle w:val="footnote"/>
      </w:pPr>
      <w:r w:rsidRPr="004C12C9">
        <w:rPr>
          <w:rStyle w:val="FootnoteReference"/>
        </w:rPr>
        <w:footnoteRef/>
      </w:r>
      <w:r w:rsidRPr="004C12C9">
        <w:t xml:space="preserve"> </w:t>
      </w:r>
      <w:r w:rsidR="00821E0B" w:rsidRPr="004C12C9">
        <w:t>EIA</w:t>
      </w:r>
      <w:r w:rsidR="00DB7D33" w:rsidRPr="004C12C9">
        <w:t xml:space="preserve">. </w:t>
      </w:r>
      <w:r w:rsidR="00237639" w:rsidRPr="004C12C9">
        <w:t>“</w:t>
      </w:r>
      <w:r w:rsidR="00DB7D33" w:rsidRPr="004C12C9">
        <w:rPr>
          <w:iCs/>
        </w:rPr>
        <w:t>2018 Commercial Buildings Energy Consumption Survey (CBECS)</w:t>
      </w:r>
      <w:r w:rsidR="00237639" w:rsidRPr="004C12C9">
        <w:rPr>
          <w:iCs/>
        </w:rPr>
        <w:t>,”</w:t>
      </w:r>
      <w:r w:rsidR="00DB7D33" w:rsidRPr="004C12C9">
        <w:t xml:space="preserve"> </w:t>
      </w:r>
      <w:r w:rsidR="00237639" w:rsidRPr="004C12C9">
        <w:t>a</w:t>
      </w:r>
      <w:r w:rsidR="00DB7D33" w:rsidRPr="004C12C9">
        <w:t xml:space="preserve">ccessed April 1, 2025. </w:t>
      </w:r>
      <w:hyperlink r:id="rId60" w:tgtFrame="_new" w:history="1">
        <w:r w:rsidR="00DB7D33" w:rsidRPr="004C12C9">
          <w:rPr>
            <w:rStyle w:val="Hyperlink"/>
          </w:rPr>
          <w:t>https://www.eia.gov/consumption/commercial/data/2018/</w:t>
        </w:r>
      </w:hyperlink>
      <w:r w:rsidR="00DB7D33" w:rsidRPr="004C12C9">
        <w:t>.</w:t>
      </w:r>
    </w:p>
  </w:footnote>
  <w:footnote w:id="77">
    <w:p w14:paraId="023CE2F3" w14:textId="7F3FD61B" w:rsidR="006E470A" w:rsidRPr="004C12C9" w:rsidRDefault="006E470A" w:rsidP="00EE60C0">
      <w:pPr>
        <w:pStyle w:val="footnote"/>
      </w:pPr>
      <w:r w:rsidRPr="004C12C9">
        <w:rPr>
          <w:rStyle w:val="FootnoteReference"/>
        </w:rPr>
        <w:footnoteRef/>
      </w:r>
      <w:r w:rsidRPr="004C12C9">
        <w:t xml:space="preserve"> </w:t>
      </w:r>
      <w:r w:rsidR="00237639" w:rsidRPr="004C12C9">
        <w:t>EIA. “Heat Content of Natural Gas Consumed,” Accessed April 1, 2025.</w:t>
      </w:r>
      <w:r w:rsidRPr="004C12C9">
        <w:t xml:space="preserve"> </w:t>
      </w:r>
      <w:hyperlink r:id="rId61" w:history="1">
        <w:r w:rsidRPr="004C12C9">
          <w:rPr>
            <w:rStyle w:val="Hyperlink"/>
          </w:rPr>
          <w:t>https://www.eia.gov/dnav/ng/ng_cons_heat_a_EPG0_VGTH_btucf_a.htm</w:t>
        </w:r>
      </w:hyperlink>
      <w:r w:rsidRPr="004C12C9">
        <w:t>. Value for Minnesota for 2018.</w:t>
      </w:r>
    </w:p>
  </w:footnote>
  <w:footnote w:id="78">
    <w:p w14:paraId="24E5F28E" w14:textId="14B54FF2" w:rsidR="003358A1" w:rsidRPr="004C12C9" w:rsidRDefault="003358A1" w:rsidP="00365ECB">
      <w:pPr>
        <w:pStyle w:val="footnote"/>
      </w:pPr>
      <w:r w:rsidRPr="004C12C9">
        <w:rPr>
          <w:rStyle w:val="FootnoteReference"/>
        </w:rPr>
        <w:footnoteRef/>
      </w:r>
      <w:r w:rsidRPr="004C12C9">
        <w:t xml:space="preserve"> </w:t>
      </w:r>
      <w:r w:rsidR="00237639" w:rsidRPr="004C12C9">
        <w:t>EIA. “</w:t>
      </w:r>
      <w:r w:rsidR="00237639" w:rsidRPr="004C12C9">
        <w:rPr>
          <w:iCs/>
        </w:rPr>
        <w:t>2018 Commercial Buildings Energy Consumption Survey (CBECS),”</w:t>
      </w:r>
      <w:r w:rsidR="00237639" w:rsidRPr="004C12C9">
        <w:t xml:space="preserve"> accessed April 1, 2025. </w:t>
      </w:r>
      <w:hyperlink r:id="rId62" w:tgtFrame="_new" w:history="1">
        <w:r w:rsidR="00237639" w:rsidRPr="004C12C9">
          <w:rPr>
            <w:rStyle w:val="Hyperlink"/>
          </w:rPr>
          <w:t>https://www.eia.gov/consumption/commercial/data/2018/</w:t>
        </w:r>
      </w:hyperlink>
      <w:r w:rsidR="00237639" w:rsidRPr="004C12C9">
        <w:t>.</w:t>
      </w:r>
    </w:p>
  </w:footnote>
  <w:footnote w:id="79">
    <w:p w14:paraId="74DB25B1" w14:textId="21A97EDB" w:rsidR="006E470A" w:rsidRPr="004C12C9" w:rsidRDefault="006E470A" w:rsidP="00EE60C0">
      <w:pPr>
        <w:pStyle w:val="footnote"/>
        <w:rPr>
          <w:color w:val="467886"/>
          <w:u w:val="single"/>
        </w:rPr>
      </w:pPr>
      <w:r w:rsidRPr="004C12C9">
        <w:rPr>
          <w:rStyle w:val="FootnoteReference"/>
        </w:rPr>
        <w:footnoteRef/>
      </w:r>
      <w:r w:rsidRPr="004C12C9">
        <w:t xml:space="preserve"> EIA</w:t>
      </w:r>
      <w:r w:rsidR="005933B2" w:rsidRPr="004C12C9">
        <w:t>. “</w:t>
      </w:r>
      <w:r w:rsidRPr="004C12C9">
        <w:t>Monthly Energy Review</w:t>
      </w:r>
      <w:r w:rsidR="005933B2" w:rsidRPr="004C12C9">
        <w:t>,” accessed</w:t>
      </w:r>
      <w:r w:rsidRPr="004C12C9">
        <w:t xml:space="preserve"> December </w:t>
      </w:r>
      <w:r w:rsidR="005933B2" w:rsidRPr="004C12C9">
        <w:t xml:space="preserve">20, </w:t>
      </w:r>
      <w:r w:rsidRPr="004C12C9">
        <w:t xml:space="preserve">2024. </w:t>
      </w:r>
      <w:hyperlink r:id="rId63" w:anchor="appendices" w:history="1">
        <w:r w:rsidRPr="004C12C9">
          <w:rPr>
            <w:rStyle w:val="Hyperlink"/>
          </w:rPr>
          <w:t>https://www.eia.gov/totalenergy/data/monthly/index.php#appendices</w:t>
        </w:r>
      </w:hyperlink>
      <w:r w:rsidRPr="004C12C9">
        <w:t>.</w:t>
      </w:r>
    </w:p>
  </w:footnote>
  <w:footnote w:id="80">
    <w:p w14:paraId="18C64246" w14:textId="019C79E9" w:rsidR="00677600" w:rsidRPr="004C12C9" w:rsidRDefault="00677600" w:rsidP="00365ECB">
      <w:pPr>
        <w:pStyle w:val="footnote"/>
      </w:pPr>
      <w:r w:rsidRPr="004C12C9">
        <w:rPr>
          <w:rStyle w:val="FootnoteReference"/>
        </w:rPr>
        <w:footnoteRef/>
      </w:r>
      <w:r w:rsidRPr="004C12C9">
        <w:t xml:space="preserve"> </w:t>
      </w:r>
      <w:r w:rsidR="00237639" w:rsidRPr="004C12C9">
        <w:t>EIA. “</w:t>
      </w:r>
      <w:r w:rsidR="00237639" w:rsidRPr="004C12C9">
        <w:rPr>
          <w:iCs/>
        </w:rPr>
        <w:t>2018 Commercial Buildings Energy Consumption Survey (CBECS),”</w:t>
      </w:r>
      <w:r w:rsidR="00237639" w:rsidRPr="004C12C9">
        <w:t xml:space="preserve"> accessed April 1, 2025. </w:t>
      </w:r>
      <w:hyperlink r:id="rId64" w:tgtFrame="_new" w:history="1">
        <w:r w:rsidR="00237639" w:rsidRPr="004C12C9">
          <w:rPr>
            <w:rStyle w:val="Hyperlink"/>
          </w:rPr>
          <w:t>https://www.eia.gov/consumption/commercial/data/2018/</w:t>
        </w:r>
      </w:hyperlink>
      <w:r w:rsidR="00237639" w:rsidRPr="004C12C9">
        <w:t>.</w:t>
      </w:r>
    </w:p>
  </w:footnote>
  <w:footnote w:id="81">
    <w:p w14:paraId="383656C0" w14:textId="5F97E8D8" w:rsidR="00365ECB" w:rsidRPr="004C12C9" w:rsidRDefault="00365ECB" w:rsidP="00365ECB">
      <w:pPr>
        <w:pStyle w:val="footnote"/>
      </w:pPr>
      <w:r w:rsidRPr="004C12C9">
        <w:rPr>
          <w:rStyle w:val="FootnoteReference"/>
        </w:rPr>
        <w:footnoteRef/>
      </w:r>
      <w:r w:rsidRPr="004C12C9">
        <w:t xml:space="preserve"> </w:t>
      </w:r>
      <w:r w:rsidR="00AE5BAE" w:rsidRPr="004C12C9">
        <w:t>EIA</w:t>
      </w:r>
      <w:r w:rsidR="00FC31EE" w:rsidRPr="004C12C9">
        <w:t xml:space="preserve">. </w:t>
      </w:r>
      <w:r w:rsidR="00AA38F7" w:rsidRPr="004C12C9">
        <w:t>“</w:t>
      </w:r>
      <w:r w:rsidR="00FC31EE" w:rsidRPr="004C12C9">
        <w:t>2018 Manufacturing Energy Consumption Survey (MECS)</w:t>
      </w:r>
      <w:r w:rsidR="00AA38F7" w:rsidRPr="004C12C9">
        <w:t>,”</w:t>
      </w:r>
      <w:r w:rsidR="00FC31EE" w:rsidRPr="004C12C9">
        <w:t xml:space="preserve"> </w:t>
      </w:r>
      <w:r w:rsidR="00AA38F7" w:rsidRPr="004C12C9">
        <w:t>a</w:t>
      </w:r>
      <w:r w:rsidR="00FC31EE" w:rsidRPr="004C12C9">
        <w:t xml:space="preserve">ccessed April 1, 2025. </w:t>
      </w:r>
      <w:hyperlink r:id="rId65" w:history="1">
        <w:r w:rsidR="00B2721A" w:rsidRPr="004C12C9">
          <w:rPr>
            <w:rStyle w:val="Hyperlink"/>
          </w:rPr>
          <w:t>https://www.eia.gov/consumption/manufacturing/data/2018/</w:t>
        </w:r>
      </w:hyperlink>
      <w:r w:rsidR="00B2721A" w:rsidRPr="004C12C9">
        <w:t xml:space="preserve">. </w:t>
      </w:r>
    </w:p>
  </w:footnote>
  <w:footnote w:id="82">
    <w:p w14:paraId="7023F74A" w14:textId="7742AD7A" w:rsidR="00365ECB" w:rsidRPr="004C12C9" w:rsidRDefault="00365ECB" w:rsidP="00365ECB">
      <w:pPr>
        <w:pStyle w:val="footnote"/>
      </w:pPr>
      <w:r w:rsidRPr="004C12C9">
        <w:rPr>
          <w:rStyle w:val="FootnoteReference"/>
        </w:rPr>
        <w:footnoteRef/>
      </w:r>
      <w:r w:rsidRPr="004C12C9">
        <w:t xml:space="preserve"> </w:t>
      </w:r>
      <w:r w:rsidR="00AA38F7" w:rsidRPr="004C12C9">
        <w:t xml:space="preserve">EIA. “2018 Manufacturing Energy Consumption Survey (MECS),” accessed April 1, 2025. </w:t>
      </w:r>
      <w:hyperlink r:id="rId66" w:history="1">
        <w:r w:rsidR="00AA38F7" w:rsidRPr="004C12C9">
          <w:rPr>
            <w:rStyle w:val="Hyperlink"/>
          </w:rPr>
          <w:t>https://www.eia.gov/consumption/manufacturing/data/2018/</w:t>
        </w:r>
      </w:hyperlink>
      <w:r w:rsidR="00AA38F7" w:rsidRPr="004C12C9">
        <w:t>.</w:t>
      </w:r>
    </w:p>
  </w:footnote>
  <w:footnote w:id="83">
    <w:p w14:paraId="1641F7F5" w14:textId="12D7E856" w:rsidR="006E470A" w:rsidRPr="004C12C9" w:rsidRDefault="006E470A" w:rsidP="006C4C9B">
      <w:pPr>
        <w:pStyle w:val="footnote"/>
      </w:pPr>
      <w:r w:rsidRPr="004C12C9">
        <w:rPr>
          <w:rStyle w:val="FootnoteReference"/>
        </w:rPr>
        <w:footnoteRef/>
      </w:r>
      <w:r w:rsidRPr="004C12C9">
        <w:t xml:space="preserve"> </w:t>
      </w:r>
      <w:r w:rsidR="00AE5BAE" w:rsidRPr="004C12C9">
        <w:t>EIA</w:t>
      </w:r>
      <w:r w:rsidR="00490CD2" w:rsidRPr="004C12C9">
        <w:t xml:space="preserve">. </w:t>
      </w:r>
      <w:r w:rsidR="00AA38F7" w:rsidRPr="004C12C9">
        <w:t>“</w:t>
      </w:r>
      <w:r w:rsidR="00490CD2" w:rsidRPr="004C12C9">
        <w:t>Monthly Energy Review</w:t>
      </w:r>
      <w:r w:rsidR="00AA38F7" w:rsidRPr="004C12C9">
        <w:t>,”</w:t>
      </w:r>
      <w:r w:rsidR="00490CD2" w:rsidRPr="004C12C9">
        <w:t xml:space="preserve"> </w:t>
      </w:r>
      <w:r w:rsidR="00AA38F7" w:rsidRPr="004C12C9">
        <w:t>a</w:t>
      </w:r>
      <w:r w:rsidR="00490CD2" w:rsidRPr="004C12C9">
        <w:t xml:space="preserve">ccessed December </w:t>
      </w:r>
      <w:r w:rsidR="005933B2" w:rsidRPr="004C12C9">
        <w:t xml:space="preserve">20, </w:t>
      </w:r>
      <w:r w:rsidR="00490CD2" w:rsidRPr="004C12C9">
        <w:t xml:space="preserve">2024. </w:t>
      </w:r>
      <w:hyperlink r:id="rId67" w:anchor="appendices" w:history="1">
        <w:r w:rsidR="006C4C9B" w:rsidRPr="004C12C9">
          <w:rPr>
            <w:rStyle w:val="Hyperlink"/>
          </w:rPr>
          <w:t>https://www.eia.gov/totalenergy/data/monthly/index.php#appendices</w:t>
        </w:r>
      </w:hyperlink>
      <w:r w:rsidR="00490CD2" w:rsidRPr="004C12C9">
        <w:t>.</w:t>
      </w:r>
      <w:r w:rsidR="006C4C9B" w:rsidRPr="004C12C9">
        <w:t xml:space="preserve"> </w:t>
      </w:r>
    </w:p>
  </w:footnote>
  <w:footnote w:id="84">
    <w:p w14:paraId="482F2AAB" w14:textId="29527E57" w:rsidR="009E0DE9" w:rsidRPr="004C12C9" w:rsidRDefault="009E0DE9" w:rsidP="00F20441">
      <w:pPr>
        <w:pStyle w:val="footnote"/>
      </w:pPr>
      <w:r w:rsidRPr="004C12C9">
        <w:rPr>
          <w:rStyle w:val="FootnoteReference"/>
        </w:rPr>
        <w:footnoteRef/>
      </w:r>
      <w:r w:rsidRPr="004C12C9">
        <w:t xml:space="preserve"> </w:t>
      </w:r>
      <w:r w:rsidR="009710A3" w:rsidRPr="004C12C9">
        <w:t>EIA</w:t>
      </w:r>
      <w:r w:rsidRPr="004C12C9">
        <w:t xml:space="preserve">. </w:t>
      </w:r>
      <w:r w:rsidR="005933B2" w:rsidRPr="004C12C9">
        <w:t>“</w:t>
      </w:r>
      <w:r w:rsidRPr="004C12C9">
        <w:rPr>
          <w:iCs/>
        </w:rPr>
        <w:t>2018 Commercial Buildings Energy Consumption Survey (CBECS)</w:t>
      </w:r>
      <w:r w:rsidR="005933B2" w:rsidRPr="004C12C9">
        <w:rPr>
          <w:iCs/>
        </w:rPr>
        <w:t>,” a</w:t>
      </w:r>
      <w:r w:rsidRPr="004C12C9">
        <w:t xml:space="preserve">ccessed April 1, 2025. </w:t>
      </w:r>
      <w:hyperlink r:id="rId68" w:tgtFrame="_new" w:history="1">
        <w:r w:rsidRPr="004C12C9">
          <w:rPr>
            <w:rStyle w:val="Hyperlink"/>
          </w:rPr>
          <w:t>https://www.eia.gov/consumption/commercial/data/2018/</w:t>
        </w:r>
      </w:hyperlink>
      <w:r w:rsidRPr="004C12C9">
        <w:t>.</w:t>
      </w:r>
    </w:p>
  </w:footnote>
  <w:footnote w:id="85">
    <w:p w14:paraId="3BB34038" w14:textId="25671312" w:rsidR="006E470A" w:rsidRPr="004C12C9" w:rsidRDefault="006E470A" w:rsidP="006C4C9B">
      <w:pPr>
        <w:pStyle w:val="footnote"/>
      </w:pPr>
      <w:r w:rsidRPr="004C12C9">
        <w:rPr>
          <w:rStyle w:val="FootnoteReference"/>
        </w:rPr>
        <w:footnoteRef/>
      </w:r>
      <w:r w:rsidRPr="004C12C9">
        <w:t xml:space="preserve"> </w:t>
      </w:r>
      <w:r w:rsidR="00057003" w:rsidRPr="004C12C9">
        <w:t>EPA</w:t>
      </w:r>
      <w:r w:rsidR="00A66CF2" w:rsidRPr="004C12C9">
        <w:t>. "GHG Emission Factors Hub</w:t>
      </w:r>
      <w:r w:rsidR="005933B2" w:rsidRPr="004C12C9">
        <w:t>,</w:t>
      </w:r>
      <w:r w:rsidR="00A66CF2" w:rsidRPr="004C12C9">
        <w:t xml:space="preserve">" </w:t>
      </w:r>
      <w:r w:rsidR="00553CB8" w:rsidRPr="004C12C9">
        <w:t>2025.</w:t>
      </w:r>
      <w:r w:rsidR="00A66CF2" w:rsidRPr="004C12C9">
        <w:t xml:space="preserve"> </w:t>
      </w:r>
      <w:hyperlink r:id="rId69" w:history="1">
        <w:r w:rsidR="00057003" w:rsidRPr="004C12C9">
          <w:rPr>
            <w:rStyle w:val="Hyperlink"/>
          </w:rPr>
          <w:t>https://www.epa.gov/climateleadership/ghg-emission-factors-hub</w:t>
        </w:r>
      </w:hyperlink>
      <w:r w:rsidR="00A66CF2" w:rsidRPr="004C12C9">
        <w:t>.</w:t>
      </w:r>
      <w:r w:rsidR="00057003" w:rsidRPr="004C12C9">
        <w:t xml:space="preserve"> </w:t>
      </w:r>
    </w:p>
  </w:footnote>
  <w:footnote w:id="86">
    <w:p w14:paraId="7540BB00" w14:textId="3CB7A086" w:rsidR="00705F8F" w:rsidRPr="004C12C9" w:rsidRDefault="00705F8F" w:rsidP="00BF494D">
      <w:pPr>
        <w:pStyle w:val="footnote"/>
      </w:pPr>
      <w:r w:rsidRPr="004C12C9">
        <w:rPr>
          <w:rStyle w:val="FootnoteReference"/>
        </w:rPr>
        <w:footnoteRef/>
      </w:r>
      <w:r w:rsidRPr="004C12C9">
        <w:t xml:space="preserve"> </w:t>
      </w:r>
      <w:r w:rsidR="004F6BE6" w:rsidRPr="004C12C9">
        <w:t xml:space="preserve">Argonne National Laboratory. “GREET 1 2024 Excel-based Fuel-Cycle Model,” 2025. </w:t>
      </w:r>
      <w:hyperlink r:id="rId70" w:history="1">
        <w:r w:rsidR="004F6BE6" w:rsidRPr="004C12C9">
          <w:rPr>
            <w:rStyle w:val="Hyperlink"/>
          </w:rPr>
          <w:t>https://greet.anl.gov/greet_excel_model.models</w:t>
        </w:r>
      </w:hyperlink>
      <w:r w:rsidR="004F6BE6" w:rsidRPr="004C12C9">
        <w:t>. </w:t>
      </w:r>
    </w:p>
  </w:footnote>
  <w:footnote w:id="87">
    <w:p w14:paraId="078A12A8" w14:textId="77777777" w:rsidR="00DC5E24" w:rsidRPr="004C12C9" w:rsidRDefault="00DC5E24" w:rsidP="00F56CDA">
      <w:pPr>
        <w:pStyle w:val="footnote"/>
      </w:pPr>
      <w:r w:rsidRPr="004C12C9">
        <w:rPr>
          <w:rStyle w:val="FootnoteReference"/>
        </w:rPr>
        <w:footnoteRef/>
      </w:r>
      <w:r w:rsidRPr="004C12C9">
        <w:t xml:space="preserve"> Some of the emissions tied to the intermediate steps from coal mining to the final coal product assumed for combustion, such as coal processing, are not included. Data were not readily available for the emissions tied to these intermediate steps and are likely to vary by coal type. </w:t>
      </w:r>
    </w:p>
  </w:footnote>
  <w:footnote w:id="88">
    <w:p w14:paraId="56FA7033" w14:textId="73890135" w:rsidR="00DC5E24" w:rsidRPr="004C12C9" w:rsidRDefault="00DC5E24" w:rsidP="00F56CDA">
      <w:pPr>
        <w:pStyle w:val="footnote"/>
      </w:pPr>
      <w:r w:rsidRPr="004C12C9">
        <w:rPr>
          <w:rStyle w:val="FootnoteReference"/>
        </w:rPr>
        <w:footnoteRef/>
      </w:r>
      <w:r w:rsidRPr="004C12C9">
        <w:t xml:space="preserve"> </w:t>
      </w:r>
      <w:r w:rsidR="00A76924" w:rsidRPr="004C12C9">
        <w:t xml:space="preserve">EPA. "GHG Emission Factors Hub," 2025. </w:t>
      </w:r>
      <w:hyperlink r:id="rId71" w:history="1">
        <w:r w:rsidR="00A76924" w:rsidRPr="004C12C9">
          <w:rPr>
            <w:rStyle w:val="Hyperlink"/>
          </w:rPr>
          <w:t>https://www.epa.gov/climateleadership/ghg-emission-factors-hub</w:t>
        </w:r>
      </w:hyperlink>
      <w:r w:rsidR="00A76924" w:rsidRPr="004C12C9">
        <w:t>.</w:t>
      </w:r>
    </w:p>
  </w:footnote>
  <w:footnote w:id="89">
    <w:p w14:paraId="60AF4511" w14:textId="13BD4F3D" w:rsidR="00DC5E24" w:rsidRPr="004C12C9" w:rsidRDefault="00DC5E24" w:rsidP="00F56CDA">
      <w:pPr>
        <w:pStyle w:val="footnote"/>
      </w:pPr>
      <w:r w:rsidRPr="004C12C9">
        <w:rPr>
          <w:rStyle w:val="FootnoteReference"/>
        </w:rPr>
        <w:footnoteRef/>
      </w:r>
      <w:r w:rsidRPr="004C12C9">
        <w:t xml:space="preserve"> </w:t>
      </w:r>
      <w:r w:rsidR="006D527E" w:rsidRPr="004C12C9">
        <w:t xml:space="preserve">EPA. "GHG Emission Factors Hub," 2025. </w:t>
      </w:r>
      <w:hyperlink r:id="rId72" w:history="1">
        <w:r w:rsidRPr="004C12C9">
          <w:rPr>
            <w:rStyle w:val="Hyperlink"/>
          </w:rPr>
          <w:t>https://www.epa.gov/climateleadership/ghg-emission-factors-hub</w:t>
        </w:r>
      </w:hyperlink>
      <w:r w:rsidR="006D527E" w:rsidRPr="004C12C9">
        <w:t>.</w:t>
      </w:r>
    </w:p>
  </w:footnote>
  <w:footnote w:id="90">
    <w:p w14:paraId="7FCBCB34" w14:textId="751708BD" w:rsidR="00872A7E" w:rsidRPr="004C12C9" w:rsidRDefault="00872A7E" w:rsidP="0037367C">
      <w:pPr>
        <w:pStyle w:val="footnote"/>
      </w:pPr>
      <w:r w:rsidRPr="004C12C9">
        <w:rPr>
          <w:rStyle w:val="FootnoteReference"/>
        </w:rPr>
        <w:footnoteRef/>
      </w:r>
      <w:r w:rsidRPr="004C12C9">
        <w:t xml:space="preserve"> </w:t>
      </w:r>
      <w:r w:rsidR="009A22E7" w:rsidRPr="004C12C9">
        <w:t xml:space="preserve">Argonne National Laboratory. “GREET 1 2024 Excel-based Fuel-Cycle Model,” </w:t>
      </w:r>
      <w:r w:rsidR="006D527E" w:rsidRPr="004C12C9">
        <w:t>2</w:t>
      </w:r>
      <w:r w:rsidR="009A22E7" w:rsidRPr="004C12C9">
        <w:t xml:space="preserve">025. </w:t>
      </w:r>
      <w:hyperlink r:id="rId73" w:history="1">
        <w:r w:rsidR="009A22E7" w:rsidRPr="004C12C9">
          <w:rPr>
            <w:rStyle w:val="Hyperlink"/>
          </w:rPr>
          <w:t>https://greet.anl.gov/greet_excel_model.models</w:t>
        </w:r>
      </w:hyperlink>
      <w:r w:rsidR="009A22E7" w:rsidRPr="004C12C9">
        <w:t>. </w:t>
      </w:r>
    </w:p>
  </w:footnote>
  <w:footnote w:id="91">
    <w:p w14:paraId="279145C9" w14:textId="5C2AD13E" w:rsidR="00170540" w:rsidRPr="004C12C9" w:rsidRDefault="00170540" w:rsidP="00170540">
      <w:pPr>
        <w:pStyle w:val="footnote"/>
      </w:pPr>
      <w:r w:rsidRPr="004C12C9">
        <w:rPr>
          <w:rStyle w:val="FootnoteReference"/>
        </w:rPr>
        <w:footnoteRef/>
      </w:r>
      <w:r w:rsidRPr="004C12C9">
        <w:t xml:space="preserve"> </w:t>
      </w:r>
      <w:r w:rsidR="00F265D1" w:rsidRPr="004C12C9">
        <w:t xml:space="preserve">EPA. "GHG Emission Factors Hub," 2025. </w:t>
      </w:r>
      <w:hyperlink r:id="rId74" w:history="1">
        <w:r w:rsidR="00F265D1" w:rsidRPr="004C12C9">
          <w:rPr>
            <w:rStyle w:val="Hyperlink"/>
          </w:rPr>
          <w:t>https://www.epa.gov/climateleadership/ghg-emission-factors-hub</w:t>
        </w:r>
      </w:hyperlink>
      <w:r w:rsidR="00F265D1" w:rsidRPr="004C12C9">
        <w:t>.</w:t>
      </w:r>
    </w:p>
  </w:footnote>
  <w:footnote w:id="92">
    <w:p w14:paraId="180E7D1B" w14:textId="1BE962BE" w:rsidR="00BA4764" w:rsidRPr="004C12C9" w:rsidRDefault="00BA4764" w:rsidP="00F070F2">
      <w:pPr>
        <w:pStyle w:val="footnote"/>
      </w:pPr>
      <w:r w:rsidRPr="004C12C9">
        <w:rPr>
          <w:rStyle w:val="FootnoteReference"/>
        </w:rPr>
        <w:footnoteRef/>
      </w:r>
      <w:r w:rsidRPr="004C12C9">
        <w:t xml:space="preserve"> </w:t>
      </w:r>
      <w:r w:rsidR="006D527E" w:rsidRPr="004C12C9">
        <w:t xml:space="preserve">EPA. "GHG Emission Factors Hub," 2025. </w:t>
      </w:r>
      <w:hyperlink r:id="rId75" w:history="1">
        <w:r w:rsidRPr="004C12C9">
          <w:rPr>
            <w:rStyle w:val="Hyperlink"/>
          </w:rPr>
          <w:t>https://www.epa.gov/climateleadership/ghg-emission-factors-hub</w:t>
        </w:r>
      </w:hyperlink>
      <w:r w:rsidR="006D527E" w:rsidRPr="004C12C9">
        <w:t>.</w:t>
      </w:r>
    </w:p>
  </w:footnote>
  <w:footnote w:id="93">
    <w:p w14:paraId="28497C19" w14:textId="0FB72A3B" w:rsidR="00D4355E" w:rsidRPr="004C12C9" w:rsidRDefault="00D4355E" w:rsidP="00D4355E">
      <w:pPr>
        <w:pStyle w:val="footnote"/>
      </w:pPr>
      <w:r w:rsidRPr="004C12C9">
        <w:rPr>
          <w:rStyle w:val="FootnoteReference"/>
        </w:rPr>
        <w:footnoteRef/>
      </w:r>
      <w:r w:rsidRPr="004C12C9">
        <w:t xml:space="preserve"> </w:t>
      </w:r>
      <w:r w:rsidR="00F265D1" w:rsidRPr="004C12C9">
        <w:t xml:space="preserve">Argonne National Laboratory. “GREET 1 2024 Excel-based Fuel-Cycle Model,” 2025. </w:t>
      </w:r>
      <w:hyperlink r:id="rId76" w:history="1">
        <w:r w:rsidR="00F265D1" w:rsidRPr="004C12C9">
          <w:rPr>
            <w:rStyle w:val="Hyperlink"/>
          </w:rPr>
          <w:t>https://greet.anl.gov/greet_excel_model.models</w:t>
        </w:r>
      </w:hyperlink>
      <w:r w:rsidR="00F265D1" w:rsidRPr="004C12C9">
        <w:t>. </w:t>
      </w:r>
    </w:p>
  </w:footnote>
  <w:footnote w:id="94">
    <w:p w14:paraId="4198F5E1" w14:textId="5804FA1B" w:rsidR="00625A69" w:rsidRPr="004C12C9" w:rsidRDefault="00625A69" w:rsidP="00625A69">
      <w:pPr>
        <w:pStyle w:val="footnote"/>
      </w:pPr>
      <w:r w:rsidRPr="004C12C9">
        <w:rPr>
          <w:rStyle w:val="FootnoteReference"/>
        </w:rPr>
        <w:footnoteRef/>
      </w:r>
      <w:r w:rsidRPr="004C12C9">
        <w:t xml:space="preserve"> The reduction percentage is capped at 75% to prevent the user from eliminating all methane leakage and venting emissions associated with natural gas systems. The 75% cap was derived according to a 2021 report from the International Energy Agency that states that 75% of methane emissions from oil and gas operations can be avoided with readily available technologies. </w:t>
      </w:r>
      <w:r w:rsidR="00750B59" w:rsidRPr="004C12C9">
        <w:t xml:space="preserve">See: IEA. “Curtailing Methane Emissions from Fossil Fuel Operations.” 2021. </w:t>
      </w:r>
      <w:hyperlink r:id="rId77" w:history="1">
        <w:r w:rsidR="00750B59" w:rsidRPr="004C12C9">
          <w:rPr>
            <w:rStyle w:val="Hyperlink"/>
            <w:sz w:val="18"/>
            <w:szCs w:val="18"/>
          </w:rPr>
          <w:t>https://www.iea.org/reports/curtailing-methane-emissions-from-fossil-fuel-operations</w:t>
        </w:r>
      </w:hyperlink>
      <w:r w:rsidRPr="004C12C9">
        <w:rPr>
          <w:rStyle w:val="Hyperlink"/>
          <w:sz w:val="18"/>
          <w:szCs w:val="18"/>
        </w:rPr>
        <w:t>.</w:t>
      </w:r>
      <w:r w:rsidRPr="004C12C9">
        <w:t xml:space="preserve"> </w:t>
      </w:r>
    </w:p>
  </w:footnote>
  <w:footnote w:id="95">
    <w:p w14:paraId="477AAFCF" w14:textId="1834F919" w:rsidR="00BA4764" w:rsidRPr="004C12C9" w:rsidRDefault="00BA4764" w:rsidP="00E15FC5">
      <w:pPr>
        <w:pStyle w:val="footnote"/>
      </w:pPr>
      <w:r w:rsidRPr="004C12C9">
        <w:rPr>
          <w:rStyle w:val="FootnoteReference"/>
        </w:rPr>
        <w:footnoteRef/>
      </w:r>
      <w:r w:rsidRPr="004C12C9">
        <w:t xml:space="preserve"> </w:t>
      </w:r>
      <w:r w:rsidR="00F265D1" w:rsidRPr="004C12C9">
        <w:t xml:space="preserve">EPA. "GHG Emission Factors Hub," 2025. </w:t>
      </w:r>
      <w:hyperlink r:id="rId78" w:history="1">
        <w:r w:rsidRPr="004C12C9">
          <w:rPr>
            <w:rStyle w:val="Hyperlink"/>
          </w:rPr>
          <w:t>https://www.epa.gov/climateleadership/ghg-emission-factors-hub</w:t>
        </w:r>
      </w:hyperlink>
      <w:r w:rsidR="00F265D1" w:rsidRPr="004C12C9">
        <w:t>.</w:t>
      </w:r>
    </w:p>
  </w:footnote>
  <w:footnote w:id="96">
    <w:p w14:paraId="48B77509" w14:textId="5D86EF00" w:rsidR="00BA4764" w:rsidRPr="004C12C9" w:rsidRDefault="00BA4764" w:rsidP="00B74D2F">
      <w:pPr>
        <w:pStyle w:val="footnote"/>
      </w:pPr>
      <w:r w:rsidRPr="004C12C9">
        <w:rPr>
          <w:rStyle w:val="FootnoteReference"/>
        </w:rPr>
        <w:footnoteRef/>
      </w:r>
      <w:r w:rsidRPr="004C12C9">
        <w:t xml:space="preserve"> </w:t>
      </w:r>
      <w:r w:rsidR="00F265D1" w:rsidRPr="004C12C9">
        <w:t xml:space="preserve">EPA. "GHG Emission Factors Hub," 2025. </w:t>
      </w:r>
      <w:hyperlink r:id="rId79" w:history="1">
        <w:r w:rsidRPr="004C12C9">
          <w:rPr>
            <w:rStyle w:val="Hyperlink"/>
          </w:rPr>
          <w:t>https://www.epa.gov/climateleadership/ghg-emission-factors-hub</w:t>
        </w:r>
      </w:hyperlink>
      <w:r w:rsidR="00F265D1" w:rsidRPr="004C12C9">
        <w:t>.</w:t>
      </w:r>
    </w:p>
  </w:footnote>
  <w:footnote w:id="97">
    <w:p w14:paraId="322D8C4C" w14:textId="693DE1F0" w:rsidR="00191D89" w:rsidRPr="004C12C9" w:rsidRDefault="00191D89" w:rsidP="00191D89">
      <w:pPr>
        <w:pStyle w:val="footnote"/>
      </w:pPr>
      <w:r w:rsidRPr="004C12C9">
        <w:rPr>
          <w:rStyle w:val="FootnoteReference"/>
        </w:rPr>
        <w:footnoteRef/>
      </w:r>
      <w:r w:rsidRPr="004C12C9">
        <w:t xml:space="preserve"> </w:t>
      </w:r>
      <w:r w:rsidR="00AD4526" w:rsidRPr="004C12C9">
        <w:t xml:space="preserve">Argonne National Laboratory. “GREET 1 2024 Excel-based Fuel-Cycle Model,” 2025. </w:t>
      </w:r>
      <w:hyperlink r:id="rId80" w:history="1">
        <w:r w:rsidR="00AD4526" w:rsidRPr="004C12C9">
          <w:rPr>
            <w:rStyle w:val="Hyperlink"/>
          </w:rPr>
          <w:t>https://greet.anl.gov/greet_excel_model.models</w:t>
        </w:r>
      </w:hyperlink>
      <w:r w:rsidR="00AD4526" w:rsidRPr="004C12C9">
        <w:t>.</w:t>
      </w:r>
    </w:p>
  </w:footnote>
  <w:footnote w:id="98">
    <w:p w14:paraId="563731AA" w14:textId="4B4D02FD" w:rsidR="007D1384" w:rsidRPr="004C12C9" w:rsidRDefault="007D1384" w:rsidP="0005680B">
      <w:pPr>
        <w:pStyle w:val="footnote"/>
      </w:pPr>
      <w:r w:rsidRPr="004C12C9">
        <w:rPr>
          <w:rStyle w:val="FootnoteReference"/>
        </w:rPr>
        <w:footnoteRef/>
      </w:r>
      <w:r w:rsidRPr="004C12C9">
        <w:t xml:space="preserve"> </w:t>
      </w:r>
      <w:r w:rsidR="00207EA5" w:rsidRPr="004C12C9">
        <w:t xml:space="preserve">EPA. "GHG Emission Factors Hub." 2025. </w:t>
      </w:r>
      <w:hyperlink r:id="rId81" w:tgtFrame="_new" w:history="1">
        <w:r w:rsidR="00207EA5" w:rsidRPr="004C12C9">
          <w:rPr>
            <w:rStyle w:val="Hyperlink"/>
          </w:rPr>
          <w:t>https://www.epa.gov/climateleadership/ghg-emission-factors-hub</w:t>
        </w:r>
      </w:hyperlink>
      <w:r w:rsidR="00207EA5" w:rsidRPr="004C12C9">
        <w:t>.</w:t>
      </w:r>
    </w:p>
  </w:footnote>
  <w:footnote w:id="99">
    <w:p w14:paraId="4111B622" w14:textId="64787415" w:rsidR="00BA4764" w:rsidRPr="004C12C9" w:rsidRDefault="00BA4764" w:rsidP="006935BF">
      <w:pPr>
        <w:pStyle w:val="footnote"/>
      </w:pPr>
      <w:r w:rsidRPr="004C12C9">
        <w:rPr>
          <w:rStyle w:val="FootnoteReference"/>
        </w:rPr>
        <w:footnoteRef/>
      </w:r>
      <w:r w:rsidR="00207EA5" w:rsidRPr="004C12C9">
        <w:t xml:space="preserve"> EPA</w:t>
      </w:r>
      <w:r w:rsidR="00BA3C7F" w:rsidRPr="004C12C9">
        <w:t xml:space="preserve">. "GHG Emission Factors Hub." 2025. </w:t>
      </w:r>
      <w:hyperlink r:id="rId82" w:tgtFrame="_new" w:history="1">
        <w:r w:rsidR="00BA3C7F" w:rsidRPr="004C12C9">
          <w:rPr>
            <w:rStyle w:val="Hyperlink"/>
          </w:rPr>
          <w:t>https://www.epa.gov/climateleadership/ghg-emission-factors-hub</w:t>
        </w:r>
      </w:hyperlink>
      <w:r w:rsidR="00BA3C7F" w:rsidRPr="004C12C9">
        <w:t>.</w:t>
      </w:r>
    </w:p>
  </w:footnote>
  <w:footnote w:id="100">
    <w:p w14:paraId="4ABBB122" w14:textId="0611A269" w:rsidR="0005680B" w:rsidRPr="004C12C9" w:rsidRDefault="0005680B" w:rsidP="00DB4C49">
      <w:pPr>
        <w:pStyle w:val="footnote"/>
      </w:pPr>
      <w:r w:rsidRPr="004C12C9">
        <w:rPr>
          <w:rStyle w:val="FootnoteReference"/>
        </w:rPr>
        <w:footnoteRef/>
      </w:r>
      <w:r w:rsidRPr="004C12C9">
        <w:t xml:space="preserve"> </w:t>
      </w:r>
      <w:r w:rsidR="00A631A9" w:rsidRPr="004C12C9">
        <w:t xml:space="preserve">Argonne National Laboratory. “GREET 1 2024 Excel-based Fuel-Cycle Model,” 2025. </w:t>
      </w:r>
      <w:hyperlink r:id="rId83" w:history="1">
        <w:r w:rsidR="00A631A9" w:rsidRPr="004C12C9">
          <w:rPr>
            <w:rStyle w:val="Hyperlink"/>
          </w:rPr>
          <w:t>https://greet.anl.gov/greet_excel_model.models</w:t>
        </w:r>
      </w:hyperlink>
      <w:r w:rsidR="00A631A9" w:rsidRPr="004C12C9">
        <w:t>. </w:t>
      </w:r>
    </w:p>
  </w:footnote>
  <w:footnote w:id="101">
    <w:p w14:paraId="106351F9" w14:textId="66D7F640" w:rsidR="009F56BA" w:rsidRPr="004C12C9" w:rsidRDefault="009F56BA" w:rsidP="006935BF">
      <w:pPr>
        <w:pStyle w:val="footnote"/>
      </w:pPr>
      <w:r w:rsidRPr="004C12C9">
        <w:rPr>
          <w:rStyle w:val="FootnoteReference"/>
        </w:rPr>
        <w:footnoteRef/>
      </w:r>
      <w:r w:rsidRPr="004C12C9">
        <w:t xml:space="preserve"> </w:t>
      </w:r>
      <w:r w:rsidRPr="004C12C9">
        <w:rPr>
          <w:rFonts w:eastAsiaTheme="minorEastAsia"/>
          <w:lang w:eastAsia="ja-JP"/>
        </w:rPr>
        <w:t>Additional industrial process emission sources were identified but excluded due to lack of data availability</w:t>
      </w:r>
      <w:r w:rsidR="00E03232" w:rsidRPr="004C12C9">
        <w:rPr>
          <w:rFonts w:eastAsiaTheme="minorEastAsia"/>
          <w:lang w:eastAsia="ja-JP"/>
        </w:rPr>
        <w:t xml:space="preserve"> (e.g.,</w:t>
      </w:r>
      <w:r w:rsidRPr="004C12C9">
        <w:rPr>
          <w:rFonts w:eastAsiaTheme="minorEastAsia"/>
          <w:lang w:eastAsia="ja-JP"/>
        </w:rPr>
        <w:t xml:space="preserve"> soda ash manufacture and consumption and semiconductor manufacture</w:t>
      </w:r>
      <w:r w:rsidR="00E03232" w:rsidRPr="004C12C9">
        <w:rPr>
          <w:rFonts w:eastAsiaTheme="minorEastAsia"/>
          <w:lang w:eastAsia="ja-JP"/>
        </w:rPr>
        <w:t>).</w:t>
      </w:r>
    </w:p>
  </w:footnote>
  <w:footnote w:id="102">
    <w:p w14:paraId="50FCE93C" w14:textId="6D905109" w:rsidR="009F56BA" w:rsidRPr="004C12C9" w:rsidRDefault="009F56BA" w:rsidP="00665681">
      <w:pPr>
        <w:pStyle w:val="footnote"/>
      </w:pPr>
      <w:r w:rsidRPr="004C12C9">
        <w:rPr>
          <w:rStyle w:val="FootnoteReference"/>
        </w:rPr>
        <w:footnoteRef/>
      </w:r>
      <w:r w:rsidRPr="004C12C9">
        <w:t xml:space="preserve"> </w:t>
      </w:r>
      <w:r w:rsidR="00A631A9" w:rsidRPr="004C12C9">
        <w:t xml:space="preserve">Argonne National Laboratory. “GREET 1 2024 Excel-based Fuel-Cycle Model,” 2025. </w:t>
      </w:r>
      <w:hyperlink r:id="rId84" w:history="1">
        <w:r w:rsidR="00A631A9" w:rsidRPr="004C12C9">
          <w:rPr>
            <w:rStyle w:val="Hyperlink"/>
          </w:rPr>
          <w:t>https://greet.anl.gov/greet_excel_model.models</w:t>
        </w:r>
      </w:hyperlink>
      <w:r w:rsidR="00A631A9" w:rsidRPr="004C12C9">
        <w:t>. </w:t>
      </w:r>
    </w:p>
  </w:footnote>
  <w:footnote w:id="103">
    <w:p w14:paraId="4C2B3DFB" w14:textId="1054B0F8" w:rsidR="6E47A7B3" w:rsidRPr="004C12C9" w:rsidRDefault="6E47A7B3" w:rsidP="00F01364">
      <w:pPr>
        <w:pStyle w:val="footnote"/>
      </w:pPr>
      <w:r w:rsidRPr="004C12C9">
        <w:rPr>
          <w:rStyle w:val="FootnoteReference"/>
        </w:rPr>
        <w:footnoteRef/>
      </w:r>
      <w:r w:rsidRPr="004C12C9">
        <w:t xml:space="preserve"> Argonne National Laboratory</w:t>
      </w:r>
      <w:r w:rsidR="00A631A9" w:rsidRPr="004C12C9">
        <w:t>.</w:t>
      </w:r>
      <w:r w:rsidRPr="004C12C9">
        <w:t xml:space="preserve"> </w:t>
      </w:r>
      <w:r w:rsidR="00A631A9" w:rsidRPr="004C12C9">
        <w:t>“</w:t>
      </w:r>
      <w:r w:rsidRPr="004C12C9">
        <w:t>GREET 2 2024 Excel-based Vehicle-Cycle Model,</w:t>
      </w:r>
      <w:r w:rsidR="00A631A9" w:rsidRPr="004C12C9">
        <w:t>”</w:t>
      </w:r>
      <w:r w:rsidRPr="004C12C9">
        <w:t xml:space="preserve"> 2025. </w:t>
      </w:r>
      <w:hyperlink r:id="rId85">
        <w:r w:rsidRPr="004C12C9">
          <w:rPr>
            <w:rStyle w:val="Hyperlink"/>
          </w:rPr>
          <w:t>https://greet.anl.gov/greet_excel_model.models</w:t>
        </w:r>
      </w:hyperlink>
      <w:r w:rsidRPr="004C12C9">
        <w:t xml:space="preserve">. </w:t>
      </w:r>
    </w:p>
  </w:footnote>
  <w:footnote w:id="104">
    <w:p w14:paraId="09A66637" w14:textId="074655F8" w:rsidR="009F56BA" w:rsidRPr="004C12C9" w:rsidRDefault="009F56BA" w:rsidP="00665681">
      <w:pPr>
        <w:pStyle w:val="footnote"/>
      </w:pPr>
      <w:r w:rsidRPr="004C12C9">
        <w:rPr>
          <w:rStyle w:val="FootnoteReference"/>
        </w:rPr>
        <w:footnoteRef/>
      </w:r>
      <w:r w:rsidRPr="004C12C9">
        <w:t xml:space="preserve"> </w:t>
      </w:r>
      <w:r w:rsidR="00E60682" w:rsidRPr="004C12C9">
        <w:t xml:space="preserve">Aluminum Association. </w:t>
      </w:r>
      <w:r w:rsidR="00A631A9" w:rsidRPr="004C12C9">
        <w:t>“</w:t>
      </w:r>
      <w:r w:rsidR="00E60682" w:rsidRPr="004C12C9">
        <w:t>Pathways to Decarbonization: A North American Aluminum Roadmap</w:t>
      </w:r>
      <w:r w:rsidR="00A631A9" w:rsidRPr="004C12C9">
        <w:t>,”</w:t>
      </w:r>
      <w:r w:rsidR="00E60682" w:rsidRPr="004C12C9">
        <w:t xml:space="preserve"> Arlington, VA: Aluminum Association, </w:t>
      </w:r>
      <w:r w:rsidR="00BB173A" w:rsidRPr="004C12C9">
        <w:t>May</w:t>
      </w:r>
      <w:r w:rsidR="00E60682" w:rsidRPr="004C12C9">
        <w:t xml:space="preserve"> 2024. </w:t>
      </w:r>
      <w:hyperlink r:id="rId86" w:tgtFrame="_new" w:history="1">
        <w:r w:rsidR="00E60682" w:rsidRPr="004C12C9">
          <w:rPr>
            <w:rStyle w:val="Hyperlink"/>
          </w:rPr>
          <w:t>https://www.aluminum.org/sites/default/files/2024-06/North-American-Decarbonization-Roadmap_6.11.24.pdf</w:t>
        </w:r>
      </w:hyperlink>
      <w:r w:rsidR="00E60682" w:rsidRPr="004C12C9">
        <w:t>.</w:t>
      </w:r>
    </w:p>
  </w:footnote>
  <w:footnote w:id="105">
    <w:p w14:paraId="4FABF723" w14:textId="56168AA2" w:rsidR="009F56BA" w:rsidRPr="004C12C9" w:rsidRDefault="009F56BA" w:rsidP="00665681">
      <w:pPr>
        <w:pStyle w:val="footnote"/>
      </w:pPr>
      <w:r w:rsidRPr="004C12C9">
        <w:rPr>
          <w:rStyle w:val="FootnoteReference"/>
        </w:rPr>
        <w:footnoteRef/>
      </w:r>
      <w:r w:rsidRPr="004C12C9">
        <w:t xml:space="preserve"> </w:t>
      </w:r>
      <w:r w:rsidR="00505991" w:rsidRPr="004C12C9">
        <w:t xml:space="preserve">Building Transparency. "Embodied Carbon in Construction Calculator (EC3)." Accessed April 1, 2025. </w:t>
      </w:r>
      <w:hyperlink r:id="rId87" w:history="1">
        <w:r w:rsidR="00505991" w:rsidRPr="004C12C9">
          <w:rPr>
            <w:rStyle w:val="Hyperlink"/>
          </w:rPr>
          <w:t>https://buildingtransparency.org/ec3</w:t>
        </w:r>
      </w:hyperlink>
      <w:r w:rsidR="00505991" w:rsidRPr="004C12C9">
        <w:t>.</w:t>
      </w:r>
      <w:r w:rsidRPr="004C12C9">
        <w:t xml:space="preserve"> </w:t>
      </w:r>
    </w:p>
  </w:footnote>
  <w:footnote w:id="106">
    <w:p w14:paraId="1334EB89" w14:textId="4F1D44A9" w:rsidR="009F56BA" w:rsidRPr="004C12C9" w:rsidRDefault="009F56BA" w:rsidP="00665681">
      <w:pPr>
        <w:pStyle w:val="footnote"/>
      </w:pPr>
      <w:r w:rsidRPr="004C12C9">
        <w:rPr>
          <w:rStyle w:val="FootnoteReference"/>
        </w:rPr>
        <w:footnoteRef/>
      </w:r>
      <w:r w:rsidRPr="004C12C9">
        <w:t xml:space="preserve"> The emission factors are cradle-to-gate and typically include raw material extraction, transportation to manufacturing site, and manufacturing emissions (including energy use, ancillary inputs and process emissions). </w:t>
      </w:r>
      <w:r w:rsidR="001C11F8" w:rsidRPr="004C12C9">
        <w:t xml:space="preserve">Users </w:t>
      </w:r>
      <w:r w:rsidR="00241A33" w:rsidRPr="004C12C9">
        <w:t xml:space="preserve">should </w:t>
      </w:r>
      <w:r w:rsidR="00DB2142" w:rsidRPr="004C12C9">
        <w:t xml:space="preserve">review the table to </w:t>
      </w:r>
      <w:r w:rsidR="00241A33" w:rsidRPr="004C12C9">
        <w:t xml:space="preserve">ensure </w:t>
      </w:r>
      <w:r w:rsidR="007A7C3F" w:rsidRPr="004C12C9">
        <w:t xml:space="preserve">that </w:t>
      </w:r>
      <w:r w:rsidR="00241A33" w:rsidRPr="004C12C9">
        <w:t xml:space="preserve">these emissions do not overlap with </w:t>
      </w:r>
      <w:r w:rsidR="00B37724" w:rsidRPr="004C12C9">
        <w:t xml:space="preserve">emissions quantified </w:t>
      </w:r>
      <w:r w:rsidR="007A7C3F" w:rsidRPr="004C12C9">
        <w:t xml:space="preserve">by </w:t>
      </w:r>
      <w:r w:rsidR="00B37724" w:rsidRPr="004C12C9">
        <w:t xml:space="preserve">other emission </w:t>
      </w:r>
      <w:r w:rsidR="007A7C3F" w:rsidRPr="004C12C9">
        <w:t>sources</w:t>
      </w:r>
      <w:r w:rsidR="00B37724" w:rsidRPr="004C12C9">
        <w:t xml:space="preserve">. </w:t>
      </w:r>
      <w:r w:rsidRPr="004C12C9">
        <w:t xml:space="preserve"> </w:t>
      </w:r>
    </w:p>
  </w:footnote>
  <w:footnote w:id="107">
    <w:p w14:paraId="5BBB7BBE" w14:textId="1C15C7A7" w:rsidR="007D3356" w:rsidRPr="004C12C9" w:rsidRDefault="007D3356" w:rsidP="00850F7A">
      <w:pPr>
        <w:pStyle w:val="footnote"/>
      </w:pPr>
      <w:r w:rsidRPr="004C12C9">
        <w:rPr>
          <w:rStyle w:val="FootnoteReference"/>
        </w:rPr>
        <w:footnoteRef/>
      </w:r>
      <w:r w:rsidRPr="004C12C9">
        <w:t xml:space="preserve"> EPA</w:t>
      </w:r>
      <w:r w:rsidR="00FE56DF" w:rsidRPr="004C12C9">
        <w:t xml:space="preserve">. </w:t>
      </w:r>
      <w:r w:rsidR="00A631A9" w:rsidRPr="004C12C9">
        <w:t>“</w:t>
      </w:r>
      <w:r w:rsidRPr="004C12C9">
        <w:t>Accounting Tool to Support Federal Reporting of Hydrofluorocarbon Emissions</w:t>
      </w:r>
      <w:r w:rsidR="00FE56DF" w:rsidRPr="004C12C9">
        <w:t>,</w:t>
      </w:r>
      <w:r w:rsidR="00A631A9" w:rsidRPr="004C12C9">
        <w:t>”</w:t>
      </w:r>
      <w:r w:rsidR="00FE56DF" w:rsidRPr="004C12C9">
        <w:t xml:space="preserve"> 2016</w:t>
      </w:r>
      <w:r w:rsidRPr="004C12C9">
        <w:t xml:space="preserve">. </w:t>
      </w:r>
      <w:hyperlink r:id="rId88" w:history="1">
        <w:r w:rsidRPr="004C12C9">
          <w:rPr>
            <w:rStyle w:val="Hyperlink"/>
          </w:rPr>
          <w:t>https://www.epa.gov/sites/default/files/2015-09/documents/hfc_emissions_accounting_tool_supporting_documentation.pdf</w:t>
        </w:r>
      </w:hyperlink>
      <w:r w:rsidRPr="004C12C9">
        <w:t xml:space="preserve">. </w:t>
      </w:r>
    </w:p>
  </w:footnote>
  <w:footnote w:id="108">
    <w:p w14:paraId="35F37A43" w14:textId="7EDEB027" w:rsidR="003E67F6" w:rsidRDefault="003E67F6">
      <w:pPr>
        <w:pStyle w:val="FootnoteText"/>
      </w:pPr>
      <w:r>
        <w:rPr>
          <w:rStyle w:val="FootnoteReference"/>
        </w:rPr>
        <w:footnoteRef/>
      </w:r>
      <w:r>
        <w:t xml:space="preserve"> </w:t>
      </w:r>
      <w:r w:rsidRPr="00AF0E6C">
        <w:rPr>
          <w:rFonts w:asciiTheme="minorHAnsi" w:hAnsiTheme="minorHAnsi" w:cstheme="minorHAnsi"/>
          <w:sz w:val="20"/>
          <w:szCs w:val="20"/>
        </w:rPr>
        <w:t xml:space="preserve">ACHRNews. </w:t>
      </w:r>
      <w:r>
        <w:rPr>
          <w:rFonts w:asciiTheme="minorHAnsi" w:hAnsiTheme="minorHAnsi" w:cstheme="minorHAnsi"/>
          <w:sz w:val="20"/>
          <w:szCs w:val="20"/>
        </w:rPr>
        <w:t>“</w:t>
      </w:r>
      <w:r w:rsidRPr="00AF0E6C">
        <w:rPr>
          <w:rFonts w:asciiTheme="minorHAnsi" w:hAnsiTheme="minorHAnsi" w:cstheme="minorHAnsi"/>
          <w:sz w:val="20"/>
          <w:szCs w:val="20"/>
        </w:rPr>
        <w:t>Equipment Prices Keep Rising, as R-410A Inventory Decreases</w:t>
      </w:r>
      <w:r w:rsidR="00555D56">
        <w:rPr>
          <w:rFonts w:asciiTheme="minorHAnsi" w:hAnsiTheme="minorHAnsi" w:cstheme="minorHAnsi"/>
          <w:sz w:val="20"/>
          <w:szCs w:val="20"/>
        </w:rPr>
        <w:t>,” 2024.</w:t>
      </w:r>
      <w:r w:rsidRPr="00AF0E6C">
        <w:rPr>
          <w:rFonts w:asciiTheme="minorHAnsi" w:hAnsiTheme="minorHAnsi" w:cstheme="minorHAnsi"/>
          <w:sz w:val="20"/>
          <w:szCs w:val="20"/>
        </w:rPr>
        <w:t xml:space="preserve"> </w:t>
      </w:r>
      <w:hyperlink r:id="rId89" w:history="1">
        <w:r w:rsidR="00555D56" w:rsidRPr="00AF0E6C">
          <w:rPr>
            <w:rStyle w:val="Hyperlink"/>
            <w:rFonts w:asciiTheme="minorHAnsi" w:hAnsiTheme="minorHAnsi" w:cstheme="minorHAnsi"/>
            <w:sz w:val="20"/>
            <w:szCs w:val="20"/>
          </w:rPr>
          <w:t>https://www.achrnews.com/articles/163729-equipment-prices-keep-rising-as-r-410a-inventory-decrease</w:t>
        </w:r>
        <w:r w:rsidR="00555D56" w:rsidRPr="0083672D">
          <w:rPr>
            <w:rStyle w:val="Hyperlink"/>
            <w:rFonts w:asciiTheme="minorHAnsi" w:hAnsiTheme="minorHAnsi" w:cstheme="minorHAnsi"/>
            <w:sz w:val="20"/>
            <w:szCs w:val="20"/>
          </w:rPr>
          <w:t>s</w:t>
        </w:r>
      </w:hyperlink>
      <w:r w:rsidR="00555D56">
        <w:rPr>
          <w:rFonts w:asciiTheme="minorHAnsi" w:hAnsiTheme="minorHAnsi" w:cstheme="minorHAnsi"/>
          <w:sz w:val="20"/>
          <w:szCs w:val="20"/>
        </w:rPr>
        <w:t xml:space="preserve">. </w:t>
      </w:r>
    </w:p>
  </w:footnote>
  <w:footnote w:id="109">
    <w:p w14:paraId="376CD3A4" w14:textId="1DF2024F" w:rsidR="00A91ED8" w:rsidRPr="004C12C9" w:rsidRDefault="00A91ED8" w:rsidP="00850F7A">
      <w:pPr>
        <w:pStyle w:val="footnote"/>
      </w:pPr>
      <w:r w:rsidRPr="004C12C9">
        <w:rPr>
          <w:rStyle w:val="FootnoteReference"/>
        </w:rPr>
        <w:footnoteRef/>
      </w:r>
      <w:r w:rsidRPr="004C12C9">
        <w:t xml:space="preserve"> EPA. </w:t>
      </w:r>
      <w:r w:rsidR="00A631A9" w:rsidRPr="004C12C9">
        <w:t>“</w:t>
      </w:r>
      <w:r w:rsidRPr="004C12C9">
        <w:t>Accounting Tool to Support Federal Reporting of Hydrofluorocarbon Emissions</w:t>
      </w:r>
      <w:r w:rsidR="00FE56DF" w:rsidRPr="004C12C9">
        <w:t>,</w:t>
      </w:r>
      <w:r w:rsidR="00A631A9" w:rsidRPr="004C12C9">
        <w:t>”</w:t>
      </w:r>
      <w:r w:rsidR="00FE56DF" w:rsidRPr="004C12C9">
        <w:t xml:space="preserve"> 2016</w:t>
      </w:r>
      <w:r w:rsidRPr="004C12C9">
        <w:t xml:space="preserve">. </w:t>
      </w:r>
      <w:hyperlink r:id="rId90" w:history="1">
        <w:r w:rsidRPr="004C12C9">
          <w:rPr>
            <w:rStyle w:val="Hyperlink"/>
          </w:rPr>
          <w:t>https://www.epa.gov/sites/default/files/2015-09/documents/hfc_emissions_accounting_tool_supporting_documentation.pdf</w:t>
        </w:r>
      </w:hyperlink>
    </w:p>
  </w:footnote>
  <w:footnote w:id="110">
    <w:p w14:paraId="36A12B26" w14:textId="411BC5CE" w:rsidR="4F658ABA" w:rsidRPr="004C12C9" w:rsidRDefault="4F658ABA" w:rsidP="00960DA0">
      <w:pPr>
        <w:pStyle w:val="footnote"/>
      </w:pPr>
      <w:r w:rsidRPr="004C12C9">
        <w:rPr>
          <w:rStyle w:val="FootnoteReference"/>
        </w:rPr>
        <w:footnoteRef/>
      </w:r>
      <w:r w:rsidR="63CCE331" w:rsidRPr="004C12C9">
        <w:t xml:space="preserve"> Minnesota Department of Transportation. </w:t>
      </w:r>
      <w:r w:rsidR="0095431B" w:rsidRPr="004C12C9">
        <w:t>“</w:t>
      </w:r>
      <w:r w:rsidR="63CCE331" w:rsidRPr="004C12C9">
        <w:t>Minnesota Infrastructure Carbon Estimator (MICE) Tool</w:t>
      </w:r>
      <w:r w:rsidR="00CF6EDC" w:rsidRPr="004C12C9">
        <w:t>, version</w:t>
      </w:r>
      <w:r w:rsidR="0076757D" w:rsidRPr="004C12C9">
        <w:t xml:space="preserve"> 3.0</w:t>
      </w:r>
      <w:r w:rsidR="00581B79" w:rsidRPr="004C12C9">
        <w:t>,</w:t>
      </w:r>
      <w:r w:rsidR="0095431B" w:rsidRPr="004C12C9">
        <w:t>”</w:t>
      </w:r>
      <w:r w:rsidR="63CCE331" w:rsidRPr="004C12C9">
        <w:t xml:space="preserve"> </w:t>
      </w:r>
      <w:r w:rsidR="00581B79" w:rsidRPr="004C12C9">
        <w:t xml:space="preserve">2025. </w:t>
      </w:r>
      <w:r w:rsidR="001A006C" w:rsidRPr="004C12C9">
        <w:t xml:space="preserve">(unpublished). </w:t>
      </w:r>
      <w:hyperlink r:id="rId91">
        <w:r w:rsidR="63CCE331" w:rsidRPr="004C12C9">
          <w:rPr>
            <w:rStyle w:val="Hyperlink"/>
          </w:rPr>
          <w:t>https://www.dot.state.mn.us/project-development/subject-guidance/greenhouse-gas-analysis/process.html</w:t>
        </w:r>
      </w:hyperlink>
      <w:r w:rsidR="63CCE331" w:rsidRPr="004C12C9">
        <w:t xml:space="preserve"> </w:t>
      </w:r>
    </w:p>
  </w:footnote>
  <w:footnote w:id="111">
    <w:p w14:paraId="5BC7771F" w14:textId="19B898C4" w:rsidR="445CBD9E" w:rsidRPr="004C12C9" w:rsidRDefault="445CBD9E" w:rsidP="00960DA0">
      <w:pPr>
        <w:pStyle w:val="footnote"/>
      </w:pPr>
      <w:r w:rsidRPr="004C12C9">
        <w:rPr>
          <w:rStyle w:val="FootnoteReference"/>
        </w:rPr>
        <w:footnoteRef/>
      </w:r>
      <w:r w:rsidR="290CA688" w:rsidRPr="004C12C9">
        <w:t xml:space="preserve"> EPA. </w:t>
      </w:r>
      <w:r w:rsidR="091E8303" w:rsidRPr="004C12C9">
        <w:t>“MOVES5: Latest</w:t>
      </w:r>
      <w:r w:rsidR="290CA688" w:rsidRPr="004C12C9">
        <w:t xml:space="preserve"> Version of MOtor Vehicle Emission Simulator (MOVES)</w:t>
      </w:r>
      <w:r w:rsidR="00A00451" w:rsidRPr="004C12C9">
        <w:t>,” 2025.</w:t>
      </w:r>
      <w:r w:rsidR="290CA688" w:rsidRPr="004C12C9">
        <w:t xml:space="preserve"> Available </w:t>
      </w:r>
      <w:r w:rsidR="00960DA0" w:rsidRPr="004C12C9">
        <w:t xml:space="preserve">at </w:t>
      </w:r>
      <w:r w:rsidR="290CA688" w:rsidRPr="004C12C9">
        <w:rPr>
          <w:rStyle w:val="Hyperlink"/>
        </w:rPr>
        <w:t>https://www.epa.gov/moves/latest-version-motor-vehicle-emission-simulator-moves</w:t>
      </w:r>
      <w:r w:rsidR="290CA688" w:rsidRPr="004C12C9">
        <w:t xml:space="preserve"> </w:t>
      </w:r>
    </w:p>
  </w:footnote>
  <w:footnote w:id="112">
    <w:p w14:paraId="58414286" w14:textId="7835A6C6" w:rsidR="00AE7E46" w:rsidRPr="004C12C9" w:rsidRDefault="00AE7E46" w:rsidP="00F746F6">
      <w:pPr>
        <w:pStyle w:val="footnote"/>
      </w:pPr>
      <w:r w:rsidRPr="004C12C9">
        <w:rPr>
          <w:rStyle w:val="FootnoteReference"/>
        </w:rPr>
        <w:footnoteRef/>
      </w:r>
      <w:r w:rsidRPr="004C12C9">
        <w:t xml:space="preserve"> </w:t>
      </w:r>
      <w:r w:rsidRPr="004C12C9">
        <w:rPr>
          <w:rStyle w:val="footnoteChar"/>
        </w:rPr>
        <w:t>EPA</w:t>
      </w:r>
      <w:r w:rsidR="00FE56DF" w:rsidRPr="004C12C9">
        <w:rPr>
          <w:rStyle w:val="footnoteChar"/>
        </w:rPr>
        <w:t xml:space="preserve">. </w:t>
      </w:r>
      <w:r w:rsidR="00A00451" w:rsidRPr="004C12C9">
        <w:rPr>
          <w:rStyle w:val="footnoteChar"/>
        </w:rPr>
        <w:t>“</w:t>
      </w:r>
      <w:r w:rsidR="00A232FF" w:rsidRPr="004C12C9">
        <w:rPr>
          <w:rStyle w:val="footnoteChar"/>
        </w:rPr>
        <w:t>GHG</w:t>
      </w:r>
      <w:r w:rsidRPr="004C12C9">
        <w:rPr>
          <w:rStyle w:val="footnoteChar"/>
        </w:rPr>
        <w:t xml:space="preserve"> Emission Factor Hub</w:t>
      </w:r>
      <w:r w:rsidRPr="004C12C9">
        <w:t>,</w:t>
      </w:r>
      <w:r w:rsidR="00A00451" w:rsidRPr="004C12C9">
        <w:t>”</w:t>
      </w:r>
      <w:r w:rsidRPr="004C12C9">
        <w:t xml:space="preserve"> </w:t>
      </w:r>
      <w:r w:rsidR="00FE56DF" w:rsidRPr="004C12C9">
        <w:t>2025.</w:t>
      </w:r>
      <w:r w:rsidRPr="004C12C9">
        <w:t xml:space="preserve"> </w:t>
      </w:r>
      <w:hyperlink r:id="rId92" w:history="1">
        <w:r w:rsidRPr="004C12C9">
          <w:rPr>
            <w:rStyle w:val="Hyperlink"/>
          </w:rPr>
          <w:t>https://www.epa.gov/climateleadership/ghg-emission-factors-hub</w:t>
        </w:r>
      </w:hyperlink>
      <w:r w:rsidRPr="004C12C9">
        <w:t xml:space="preserve">. </w:t>
      </w:r>
    </w:p>
  </w:footnote>
  <w:footnote w:id="113">
    <w:p w14:paraId="7D1E75C4" w14:textId="2C39855E" w:rsidR="00CE1B72" w:rsidRPr="004C12C9" w:rsidRDefault="00CE1B72" w:rsidP="00B60213">
      <w:pPr>
        <w:pStyle w:val="footnote"/>
      </w:pPr>
      <w:r w:rsidRPr="004C12C9">
        <w:rPr>
          <w:rStyle w:val="FootnoteReference"/>
        </w:rPr>
        <w:footnoteRef/>
      </w:r>
      <w:r w:rsidRPr="004C12C9">
        <w:t xml:space="preserve"> The emission factors do not include avoided emissions associated with displaced electric utility generation, landfill carbon sequestration, soil carbon storage, or avoided fertilizer application.</w:t>
      </w:r>
    </w:p>
  </w:footnote>
  <w:footnote w:id="114">
    <w:p w14:paraId="16151EF5" w14:textId="4C3D5769" w:rsidR="00523579" w:rsidRPr="004C12C9" w:rsidRDefault="00523579" w:rsidP="005266DF">
      <w:pPr>
        <w:pStyle w:val="footnote"/>
      </w:pPr>
      <w:r w:rsidRPr="004C12C9">
        <w:rPr>
          <w:rStyle w:val="FootnoteReference"/>
        </w:rPr>
        <w:footnoteRef/>
      </w:r>
      <w:r w:rsidRPr="004C12C9">
        <w:t xml:space="preserve"> EPA</w:t>
      </w:r>
      <w:r w:rsidR="00684CAF" w:rsidRPr="004C12C9">
        <w:t>.</w:t>
      </w:r>
      <w:r w:rsidRPr="004C12C9">
        <w:t xml:space="preserve"> </w:t>
      </w:r>
      <w:r w:rsidR="00A00451" w:rsidRPr="004C12C9">
        <w:t>“</w:t>
      </w:r>
      <w:r w:rsidRPr="004C12C9">
        <w:t>State Inventory Tool,</w:t>
      </w:r>
      <w:r w:rsidR="00A00451" w:rsidRPr="004C12C9">
        <w:t>”</w:t>
      </w:r>
      <w:r w:rsidRPr="004C12C9">
        <w:t xml:space="preserve"> </w:t>
      </w:r>
      <w:r w:rsidR="000D4F6C" w:rsidRPr="004C12C9">
        <w:t xml:space="preserve">2025. </w:t>
      </w:r>
      <w:hyperlink r:id="rId93" w:history="1">
        <w:r w:rsidR="000D6A06" w:rsidRPr="004C12C9">
          <w:rPr>
            <w:rStyle w:val="Hyperlink"/>
          </w:rPr>
          <w:t>https://www.epa.gov/statelocalenergy/state-inventory-and-projection-tool</w:t>
        </w:r>
      </w:hyperlink>
      <w:r w:rsidR="000D6A06" w:rsidRPr="004C12C9">
        <w:t xml:space="preserve">. </w:t>
      </w:r>
    </w:p>
  </w:footnote>
  <w:footnote w:id="115">
    <w:p w14:paraId="5A6A7152" w14:textId="77777777" w:rsidR="000504F0" w:rsidRPr="004C12C9" w:rsidRDefault="000504F0" w:rsidP="000504F0">
      <w:pPr>
        <w:pStyle w:val="footnote"/>
      </w:pPr>
      <w:r w:rsidRPr="004C12C9">
        <w:rPr>
          <w:rStyle w:val="FootnoteReference"/>
        </w:rPr>
        <w:footnoteRef/>
      </w:r>
      <w:r w:rsidRPr="004C12C9">
        <w:t xml:space="preserve"> EPA. “Inventory of U.S. Greenhouse Gas Emissions and Sinks: 1990–2022,” 2024. </w:t>
      </w:r>
      <w:hyperlink r:id="rId94" w:history="1">
        <w:r w:rsidRPr="004C12C9">
          <w:rPr>
            <w:rStyle w:val="Hyperlink"/>
          </w:rPr>
          <w:t>https://www.epa.gov/ghgemissions/inventory-us-greenhouse-gas-emissions-and-sinks</w:t>
        </w:r>
      </w:hyperlink>
      <w:r w:rsidRPr="004C12C9">
        <w:t xml:space="preserve">. </w:t>
      </w:r>
    </w:p>
  </w:footnote>
  <w:footnote w:id="116">
    <w:p w14:paraId="76167E23" w14:textId="4D31D5C0" w:rsidR="00CE1438" w:rsidRPr="004C12C9" w:rsidRDefault="00CE1438" w:rsidP="00CE1438">
      <w:pPr>
        <w:pStyle w:val="footnote"/>
      </w:pPr>
      <w:r w:rsidRPr="004C12C9">
        <w:rPr>
          <w:rStyle w:val="FootnoteReference"/>
        </w:rPr>
        <w:footnoteRef/>
      </w:r>
      <w:r w:rsidRPr="004C12C9">
        <w:t xml:space="preserve"> IPCC. “2019 Refinement to the 2006 IPCC Guidelines for National Greenhouse Gas Inventories</w:t>
      </w:r>
      <w:r w:rsidR="00590487">
        <w:t>,”</w:t>
      </w:r>
      <w:r w:rsidRPr="004C12C9">
        <w:t xml:space="preserve"> 2019. </w:t>
      </w:r>
      <w:hyperlink r:id="rId95" w:history="1">
        <w:r w:rsidR="0088197F" w:rsidRPr="00EE1AD7">
          <w:rPr>
            <w:rStyle w:val="Hyperlink"/>
          </w:rPr>
          <w:t>https://www.ipcc-nggip.iges.or.jp/public/2019rf/pdf/5_Volume5/19R_V5_6_Ch06_Wastewater.pdf</w:t>
        </w:r>
      </w:hyperlink>
      <w:r w:rsidR="0088197F">
        <w:t xml:space="preserve">. </w:t>
      </w:r>
    </w:p>
  </w:footnote>
  <w:footnote w:id="117">
    <w:p w14:paraId="79C9D508" w14:textId="22435BE8" w:rsidR="00377524" w:rsidRPr="004C12C9" w:rsidRDefault="00377524" w:rsidP="00886E65">
      <w:pPr>
        <w:pStyle w:val="footnote"/>
      </w:pPr>
      <w:r w:rsidRPr="004C12C9">
        <w:rPr>
          <w:rStyle w:val="FootnoteReference"/>
        </w:rPr>
        <w:footnoteRef/>
      </w:r>
      <w:r w:rsidRPr="004C12C9">
        <w:t xml:space="preserve"> EPA</w:t>
      </w:r>
      <w:r w:rsidR="000D4F6C" w:rsidRPr="004C12C9">
        <w:t>.</w:t>
      </w:r>
      <w:r w:rsidRPr="004C12C9">
        <w:t xml:space="preserve"> </w:t>
      </w:r>
      <w:r w:rsidR="00A00451" w:rsidRPr="004C12C9">
        <w:t>“</w:t>
      </w:r>
      <w:r w:rsidRPr="004C12C9">
        <w:t>State Inventory Tool,</w:t>
      </w:r>
      <w:r w:rsidR="00A00451" w:rsidRPr="004C12C9">
        <w:t>”</w:t>
      </w:r>
      <w:r w:rsidRPr="004C12C9">
        <w:t xml:space="preserve"> </w:t>
      </w:r>
      <w:r w:rsidR="000D4F6C" w:rsidRPr="004C12C9">
        <w:t xml:space="preserve">2025. </w:t>
      </w:r>
      <w:hyperlink r:id="rId96" w:history="1">
        <w:r w:rsidR="00C439E8" w:rsidRPr="004C12C9">
          <w:rPr>
            <w:rStyle w:val="Hyperlink"/>
          </w:rPr>
          <w:t>https://www.epa.gov/statelocalenergy/state-inventory-and-projection-tool</w:t>
        </w:r>
      </w:hyperlink>
      <w:r w:rsidR="00C439E8" w:rsidRPr="004C12C9">
        <w:t xml:space="preserve">. </w:t>
      </w:r>
    </w:p>
  </w:footnote>
  <w:footnote w:id="118">
    <w:p w14:paraId="779F9ECA" w14:textId="3376DF89" w:rsidR="00E806AD" w:rsidRPr="004C12C9" w:rsidRDefault="00E806AD" w:rsidP="00E806AD">
      <w:pPr>
        <w:pStyle w:val="footnote"/>
      </w:pPr>
      <w:r w:rsidRPr="004C12C9">
        <w:rPr>
          <w:rStyle w:val="FootnoteReference"/>
        </w:rPr>
        <w:footnoteRef/>
      </w:r>
      <w:r w:rsidR="00A35EBA" w:rsidRPr="004C12C9">
        <w:t xml:space="preserve"> </w:t>
      </w:r>
      <w:r w:rsidRPr="004C12C9">
        <w:t xml:space="preserve">MSW Consultants. </w:t>
      </w:r>
      <w:r w:rsidR="00A00451" w:rsidRPr="004C12C9">
        <w:t>“</w:t>
      </w:r>
      <w:r w:rsidRPr="004C12C9">
        <w:t>Residential Waste Characterization &amp; Capture Rate Study,</w:t>
      </w:r>
      <w:r w:rsidR="00A00451" w:rsidRPr="004C12C9">
        <w:t>”</w:t>
      </w:r>
      <w:r w:rsidRPr="004C12C9">
        <w:t xml:space="preserve"> 2022. </w:t>
      </w:r>
      <w:hyperlink r:id="rId97" w:history="1">
        <w:r w:rsidRPr="004C12C9">
          <w:rPr>
            <w:rStyle w:val="Hyperlink"/>
          </w:rPr>
          <w:t>lims.minneapolismn.gov/Download/RCAV2/30166/Minneapolis 2022 Final Sort Report.pdf</w:t>
        </w:r>
      </w:hyperlink>
      <w:r w:rsidR="00A00451" w:rsidRPr="004C12C9">
        <w:t>.</w:t>
      </w:r>
    </w:p>
  </w:footnote>
  <w:footnote w:id="119">
    <w:p w14:paraId="7DD1BBD9" w14:textId="2313B71D" w:rsidR="00B205AB" w:rsidRPr="004C12C9" w:rsidRDefault="00B205AB" w:rsidP="00E806AD">
      <w:pPr>
        <w:pStyle w:val="footnote"/>
      </w:pPr>
      <w:r w:rsidRPr="004C12C9">
        <w:rPr>
          <w:rStyle w:val="FootnoteReference"/>
        </w:rPr>
        <w:footnoteRef/>
      </w:r>
      <w:r w:rsidRPr="004C12C9">
        <w:t xml:space="preserve"> CalRecycle. </w:t>
      </w:r>
      <w:r w:rsidR="00A00451" w:rsidRPr="004C12C9">
        <w:t>“</w:t>
      </w:r>
      <w:r w:rsidRPr="004C12C9">
        <w:t>Estimated Solid Waste Generation Rates</w:t>
      </w:r>
      <w:r w:rsidR="00FD79C8" w:rsidRPr="004C12C9">
        <w:t>,</w:t>
      </w:r>
      <w:r w:rsidR="00A00451" w:rsidRPr="004C12C9">
        <w:t>”</w:t>
      </w:r>
      <w:r w:rsidR="00FD79C8" w:rsidRPr="004C12C9">
        <w:t xml:space="preserve"> 2025</w:t>
      </w:r>
      <w:r w:rsidRPr="004C12C9">
        <w:t xml:space="preserve">. </w:t>
      </w:r>
      <w:hyperlink r:id="rId98" w:history="1">
        <w:r w:rsidRPr="004C12C9">
          <w:rPr>
            <w:rStyle w:val="Hyperlink"/>
          </w:rPr>
          <w:t>https://www2.calrecycle.ca.gov/wastecharacterization/general/rates</w:t>
        </w:r>
      </w:hyperlink>
      <w:r w:rsidR="00A00451" w:rsidRPr="004C12C9">
        <w:t>.</w:t>
      </w:r>
    </w:p>
  </w:footnote>
  <w:footnote w:id="120">
    <w:p w14:paraId="722072AF" w14:textId="6DA79ABF" w:rsidR="00B205AB" w:rsidRPr="004C12C9" w:rsidRDefault="00B205AB" w:rsidP="00E806AD">
      <w:pPr>
        <w:pStyle w:val="footnote"/>
      </w:pPr>
      <w:r w:rsidRPr="004C12C9">
        <w:rPr>
          <w:rStyle w:val="FootnoteReference"/>
        </w:rPr>
        <w:footnoteRef/>
      </w:r>
      <w:r w:rsidRPr="004C12C9">
        <w:t xml:space="preserve"> Cascadia Consulting Group. </w:t>
      </w:r>
      <w:r w:rsidR="003B35D7" w:rsidRPr="004C12C9">
        <w:t>“</w:t>
      </w:r>
      <w:r w:rsidRPr="004C12C9">
        <w:t>Targeted Statewide Waste Characterization Study: Waste Disposal and Diversion Findings for Selected Industry Groups</w:t>
      </w:r>
      <w:r w:rsidR="00972EFA" w:rsidRPr="004C12C9">
        <w:t>,</w:t>
      </w:r>
      <w:r w:rsidR="003B35D7" w:rsidRPr="004C12C9">
        <w:t>”</w:t>
      </w:r>
      <w:r w:rsidR="00972EFA" w:rsidRPr="004C12C9">
        <w:t xml:space="preserve"> 2006</w:t>
      </w:r>
      <w:r w:rsidRPr="004C12C9">
        <w:t xml:space="preserve">. </w:t>
      </w:r>
      <w:hyperlink r:id="rId99" w:history="1">
        <w:r w:rsidRPr="004C12C9">
          <w:rPr>
            <w:rStyle w:val="Hyperlink"/>
          </w:rPr>
          <w:t>https://www2.calrecycle.ca.gov/Publications/Details/1184</w:t>
        </w:r>
      </w:hyperlink>
      <w:r w:rsidR="003B35D7" w:rsidRPr="004C12C9">
        <w:t>.</w:t>
      </w:r>
    </w:p>
  </w:footnote>
  <w:footnote w:id="121">
    <w:p w14:paraId="0E3BDD2C" w14:textId="48AADBBB" w:rsidR="0091153C" w:rsidRPr="004C12C9" w:rsidRDefault="0091153C" w:rsidP="007A091C">
      <w:pPr>
        <w:pStyle w:val="footnote"/>
      </w:pPr>
      <w:r w:rsidRPr="004C12C9">
        <w:rPr>
          <w:rStyle w:val="FootnoteReference"/>
        </w:rPr>
        <w:footnoteRef/>
      </w:r>
      <w:r w:rsidRPr="004C12C9">
        <w:t xml:space="preserve"> MPCA</w:t>
      </w:r>
      <w:r w:rsidR="00AF6103" w:rsidRPr="004C12C9">
        <w:t>.</w:t>
      </w:r>
      <w:r w:rsidRPr="004C12C9">
        <w:t xml:space="preserve"> </w:t>
      </w:r>
      <w:r w:rsidR="003B35D7" w:rsidRPr="004C12C9">
        <w:t>“</w:t>
      </w:r>
      <w:r w:rsidRPr="004C12C9">
        <w:t>Select Committee on Recycling and the Environment (SCORE),</w:t>
      </w:r>
      <w:r w:rsidR="003B35D7" w:rsidRPr="004C12C9">
        <w:t>”</w:t>
      </w:r>
      <w:r w:rsidRPr="004C12C9">
        <w:t xml:space="preserve"> </w:t>
      </w:r>
      <w:r w:rsidR="00AF6103" w:rsidRPr="004C12C9">
        <w:t>2022.</w:t>
      </w:r>
      <w:r w:rsidRPr="004C12C9">
        <w:t xml:space="preserve"> </w:t>
      </w:r>
      <w:hyperlink r:id="rId100" w:history="1">
        <w:r w:rsidRPr="004C12C9">
          <w:rPr>
            <w:rStyle w:val="Hyperlink"/>
          </w:rPr>
          <w:t>https://data.pca.state.mn.us/views/SCOREreport2022/2022SCOREreport?%3Aembed=y&amp;%3AisGuestRedirectFromVizportal=y</w:t>
        </w:r>
      </w:hyperlink>
      <w:r w:rsidR="003B35D7" w:rsidRPr="004C12C9">
        <w:t>.</w:t>
      </w:r>
    </w:p>
  </w:footnote>
  <w:footnote w:id="122">
    <w:p w14:paraId="61F30DAB" w14:textId="4165F736" w:rsidR="00132A71" w:rsidRPr="004C12C9" w:rsidRDefault="00132A71" w:rsidP="00D8199B">
      <w:pPr>
        <w:pStyle w:val="footnote"/>
      </w:pPr>
      <w:r w:rsidRPr="004C12C9">
        <w:rPr>
          <w:rStyle w:val="FootnoteReference"/>
        </w:rPr>
        <w:footnoteRef/>
      </w:r>
      <w:r w:rsidRPr="004C12C9">
        <w:t xml:space="preserve"> EPA</w:t>
      </w:r>
      <w:r w:rsidR="00AF6103" w:rsidRPr="004C12C9">
        <w:t xml:space="preserve">. </w:t>
      </w:r>
      <w:r w:rsidR="003B35D7" w:rsidRPr="004C12C9">
        <w:t>“</w:t>
      </w:r>
      <w:r w:rsidR="00A539F2" w:rsidRPr="004C12C9">
        <w:t>GHG</w:t>
      </w:r>
      <w:r w:rsidRPr="004C12C9">
        <w:t xml:space="preserve"> Emission Factor Hub,</w:t>
      </w:r>
      <w:r w:rsidR="003B35D7" w:rsidRPr="004C12C9">
        <w:t>”</w:t>
      </w:r>
      <w:r w:rsidRPr="004C12C9">
        <w:t xml:space="preserve"> </w:t>
      </w:r>
      <w:r w:rsidR="00AF6103" w:rsidRPr="004C12C9">
        <w:t xml:space="preserve">2025. </w:t>
      </w:r>
      <w:hyperlink r:id="rId101" w:history="1">
        <w:r w:rsidRPr="004C12C9">
          <w:rPr>
            <w:rStyle w:val="Hyperlink"/>
          </w:rPr>
          <w:t>https://www.epa.gov/climateleadership/ghg-emission-factors-hub</w:t>
        </w:r>
      </w:hyperlink>
    </w:p>
  </w:footnote>
  <w:footnote w:id="123">
    <w:p w14:paraId="1F20A179" w14:textId="780751DD" w:rsidR="002D51AE" w:rsidRPr="004C12C9" w:rsidRDefault="002D51AE" w:rsidP="002D51AE">
      <w:pPr>
        <w:pStyle w:val="footnote"/>
      </w:pPr>
      <w:r w:rsidRPr="004C12C9">
        <w:rPr>
          <w:rStyle w:val="FootnoteReference"/>
        </w:rPr>
        <w:footnoteRef/>
      </w:r>
      <w:r w:rsidRPr="004C12C9">
        <w:t xml:space="preserve"> The emission factors do not include avoided emissions associated with displaced electric utility generation, landfill carbon sequestration, soil carbon storage, or avoided fertilizer application.</w:t>
      </w:r>
    </w:p>
  </w:footnote>
  <w:footnote w:id="124">
    <w:p w14:paraId="0E015D00" w14:textId="0A043EC1" w:rsidR="00611B1E" w:rsidRPr="004C12C9" w:rsidRDefault="00611B1E" w:rsidP="00611B1E">
      <w:pPr>
        <w:pStyle w:val="footnote"/>
      </w:pPr>
      <w:r w:rsidRPr="004C12C9">
        <w:rPr>
          <w:rStyle w:val="FootnoteReference"/>
        </w:rPr>
        <w:footnoteRef/>
      </w:r>
      <w:r w:rsidRPr="004C12C9">
        <w:t xml:space="preserve"> Weight classes for swine differ from those reported in the U.S. GHG Inventory; the classes used in the </w:t>
      </w:r>
      <w:r w:rsidR="00DD3564" w:rsidRPr="004C12C9">
        <w:t>calculator</w:t>
      </w:r>
      <w:r w:rsidRPr="004C12C9">
        <w:t xml:space="preserve"> are consistent with </w:t>
      </w:r>
      <w:hyperlink r:id="rId102" w:history="1">
        <w:r w:rsidRPr="004C12C9">
          <w:rPr>
            <w:rStyle w:val="Hyperlink"/>
          </w:rPr>
          <w:t>Minnesota Administrative Rule 7020.03000 subpart 5c</w:t>
        </w:r>
      </w:hyperlink>
      <w:r w:rsidRPr="004C12C9">
        <w:t>.</w:t>
      </w:r>
    </w:p>
  </w:footnote>
  <w:footnote w:id="125">
    <w:p w14:paraId="627FE1CC" w14:textId="02973DF3" w:rsidR="00046ABF" w:rsidRPr="004C12C9" w:rsidRDefault="00046ABF" w:rsidP="006D145D">
      <w:pPr>
        <w:pStyle w:val="footnote"/>
      </w:pPr>
      <w:r w:rsidRPr="004C12C9">
        <w:rPr>
          <w:rStyle w:val="FootnoteReference"/>
        </w:rPr>
        <w:footnoteRef/>
      </w:r>
      <w:r w:rsidRPr="004C12C9">
        <w:t xml:space="preserve"> EPA. </w:t>
      </w:r>
      <w:r w:rsidR="003B35D7" w:rsidRPr="004C12C9">
        <w:t>“</w:t>
      </w:r>
      <w:r w:rsidRPr="004C12C9">
        <w:t>Inventory of U.S. Greenhouse Gas Emissions and Sinks: 1990–2022</w:t>
      </w:r>
      <w:r w:rsidR="003B35D7" w:rsidRPr="004C12C9">
        <w:t xml:space="preserve">,” 2024. </w:t>
      </w:r>
      <w:hyperlink r:id="rId103" w:history="1">
        <w:r w:rsidRPr="004C12C9">
          <w:rPr>
            <w:rStyle w:val="Hyperlink"/>
          </w:rPr>
          <w:t>https://www.epa.gov/ghgemissions/inventory-us-greenhouse-gas-emissions-and-sinks</w:t>
        </w:r>
      </w:hyperlink>
      <w:r w:rsidRPr="004C12C9">
        <w:t xml:space="preserve">. </w:t>
      </w:r>
    </w:p>
  </w:footnote>
  <w:footnote w:id="126">
    <w:p w14:paraId="3BDEE80F" w14:textId="6D7725C7" w:rsidR="00611B1E" w:rsidRPr="004C12C9" w:rsidRDefault="00611B1E" w:rsidP="00611B1E">
      <w:pPr>
        <w:pStyle w:val="footnote"/>
      </w:pPr>
      <w:r w:rsidRPr="004C12C9">
        <w:rPr>
          <w:rStyle w:val="FootnoteReference"/>
        </w:rPr>
        <w:footnoteRef/>
      </w:r>
      <w:r w:rsidRPr="004C12C9">
        <w:t xml:space="preserve"> Weight classes for swine differ from those reported in the U.S. GHG Inventory; the classes used in the </w:t>
      </w:r>
      <w:r w:rsidR="00875484" w:rsidRPr="004C12C9">
        <w:t xml:space="preserve">calculator </w:t>
      </w:r>
      <w:r w:rsidRPr="004C12C9">
        <w:t xml:space="preserve">are consistent with </w:t>
      </w:r>
      <w:hyperlink r:id="rId104" w:history="1">
        <w:r w:rsidRPr="004C12C9">
          <w:rPr>
            <w:rStyle w:val="Hyperlink"/>
          </w:rPr>
          <w:t>Minnesota Administrative Rule 7020.03000 subpart 5c</w:t>
        </w:r>
      </w:hyperlink>
      <w:r w:rsidRPr="004C12C9">
        <w:t>.</w:t>
      </w:r>
    </w:p>
  </w:footnote>
  <w:footnote w:id="127">
    <w:p w14:paraId="5FFD4C21" w14:textId="04A35896" w:rsidR="004F1E4D" w:rsidRPr="004C12C9" w:rsidRDefault="004F1E4D" w:rsidP="009A6500">
      <w:pPr>
        <w:pStyle w:val="footnote"/>
      </w:pPr>
      <w:r w:rsidRPr="004C12C9">
        <w:rPr>
          <w:rStyle w:val="FootnoteReference"/>
        </w:rPr>
        <w:footnoteRef/>
      </w:r>
      <w:r w:rsidRPr="004C12C9">
        <w:t xml:space="preserve"> </w:t>
      </w:r>
      <w:r w:rsidR="00413037" w:rsidRPr="004C12C9">
        <w:t xml:space="preserve">EPA. </w:t>
      </w:r>
      <w:r w:rsidR="003B35D7" w:rsidRPr="004C12C9">
        <w:t>“</w:t>
      </w:r>
      <w:r w:rsidR="00413037" w:rsidRPr="004C12C9">
        <w:t>Inventory of U.S. Greenhouse Gas Emissions and Sinks: 1990–2022</w:t>
      </w:r>
      <w:r w:rsidR="003B35D7" w:rsidRPr="004C12C9">
        <w:t>,” 2024.</w:t>
      </w:r>
      <w:r w:rsidR="00413037" w:rsidRPr="004C12C9">
        <w:t xml:space="preserve"> </w:t>
      </w:r>
      <w:hyperlink r:id="rId105" w:history="1">
        <w:r w:rsidR="00413037" w:rsidRPr="004C12C9">
          <w:rPr>
            <w:rStyle w:val="Hyperlink"/>
          </w:rPr>
          <w:t>https://www.epa.gov/ghgemissions/inventory-us-greenhouse-gas-emissions-and-sinks</w:t>
        </w:r>
      </w:hyperlink>
      <w:r w:rsidR="00413037" w:rsidRPr="004C12C9">
        <w:t xml:space="preserve">. </w:t>
      </w:r>
    </w:p>
  </w:footnote>
  <w:footnote w:id="128">
    <w:p w14:paraId="08334250" w14:textId="6854FB56" w:rsidR="00AF1215" w:rsidRPr="004C12C9" w:rsidRDefault="00AF1215" w:rsidP="00AF1215">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06" w:history="1">
        <w:r w:rsidR="00B859C5" w:rsidRPr="004C12C9">
          <w:rPr>
            <w:rStyle w:val="Hyperlink"/>
          </w:rPr>
          <w:t>https://www.epa.gov/ghgemissions/inventory-us-greenhouse-gas-emissions-and-sinks</w:t>
        </w:r>
      </w:hyperlink>
      <w:r w:rsidR="00B859C5" w:rsidRPr="004C12C9">
        <w:t>.</w:t>
      </w:r>
    </w:p>
  </w:footnote>
  <w:footnote w:id="129">
    <w:p w14:paraId="5789C4A1" w14:textId="67755C73" w:rsidR="00CE096D" w:rsidRPr="004C12C9" w:rsidRDefault="00CE096D"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07" w:history="1">
        <w:r w:rsidR="00B859C5" w:rsidRPr="004C12C9">
          <w:rPr>
            <w:rStyle w:val="Hyperlink"/>
          </w:rPr>
          <w:t>https://www.epa.gov/ghgemissions/inventory-us-greenhouse-gas-emissions-and-sinks</w:t>
        </w:r>
      </w:hyperlink>
      <w:r w:rsidR="00B859C5" w:rsidRPr="004C12C9">
        <w:t>.</w:t>
      </w:r>
    </w:p>
  </w:footnote>
  <w:footnote w:id="130">
    <w:p w14:paraId="559EAA1E" w14:textId="0A94C22D" w:rsidR="00CE096D" w:rsidRPr="004C12C9" w:rsidRDefault="00CE096D"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08" w:history="1">
        <w:r w:rsidR="00B859C5" w:rsidRPr="004C12C9">
          <w:rPr>
            <w:rStyle w:val="Hyperlink"/>
          </w:rPr>
          <w:t>https://www.epa.gov/ghgemissions/inventory-us-greenhouse-gas-emissions-and-sinks</w:t>
        </w:r>
      </w:hyperlink>
      <w:r w:rsidR="00B859C5" w:rsidRPr="004C12C9">
        <w:t>.</w:t>
      </w:r>
      <w:r w:rsidR="007F6E4B" w:rsidRPr="004C12C9">
        <w:t xml:space="preserve"> </w:t>
      </w:r>
    </w:p>
  </w:footnote>
  <w:footnote w:id="131">
    <w:p w14:paraId="502DD847" w14:textId="4B4E43B8" w:rsidR="006D401D" w:rsidRPr="004C12C9" w:rsidRDefault="006D401D" w:rsidP="006D401D">
      <w:pPr>
        <w:pStyle w:val="footnote"/>
      </w:pPr>
      <w:r w:rsidRPr="004C12C9">
        <w:rPr>
          <w:rStyle w:val="FootnoteReference"/>
        </w:rPr>
        <w:footnoteRef/>
      </w:r>
      <w:r w:rsidRPr="004C12C9">
        <w:t xml:space="preserve"> IPCC. “2019 Refinement to the 2006 IPCC Guidelines for National Greenhouse Gas Inventories, Volume 4: Agriculture, Forestry, and Other Land Use. Chapter 10: </w:t>
      </w:r>
      <w:r w:rsidR="000A72BC" w:rsidRPr="004C12C9">
        <w:t xml:space="preserve">Emissions from Livestock and Manure Management </w:t>
      </w:r>
      <w:r w:rsidRPr="004C12C9">
        <w:t xml:space="preserve">(2019). </w:t>
      </w:r>
      <w:hyperlink r:id="rId109" w:history="1">
        <w:r w:rsidR="00492480" w:rsidRPr="004C12C9">
          <w:rPr>
            <w:rStyle w:val="Hyperlink"/>
          </w:rPr>
          <w:t>https://www.ipcc-nggip.iges.or.jp/public/2019rf/pdf/4_Volume4/19R_V4_Ch10_Livestock.pdf</w:t>
        </w:r>
      </w:hyperlink>
      <w:r w:rsidR="00492480" w:rsidRPr="004C12C9">
        <w:t xml:space="preserve">. </w:t>
      </w:r>
    </w:p>
  </w:footnote>
  <w:footnote w:id="132">
    <w:p w14:paraId="0A3F386D" w14:textId="325F6277" w:rsidR="001C29CF" w:rsidRPr="004C12C9" w:rsidRDefault="001C29CF"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10" w:history="1">
        <w:r w:rsidR="00B859C5" w:rsidRPr="004C12C9">
          <w:rPr>
            <w:rStyle w:val="Hyperlink"/>
          </w:rPr>
          <w:t>https://www.epa.gov/ghgemissions/inventory-us-greenhouse-gas-emissions-and-sinks</w:t>
        </w:r>
      </w:hyperlink>
      <w:r w:rsidR="00B859C5" w:rsidRPr="004C12C9">
        <w:t>.</w:t>
      </w:r>
    </w:p>
  </w:footnote>
  <w:footnote w:id="133">
    <w:p w14:paraId="568612B8" w14:textId="7B658D30" w:rsidR="001C29CF" w:rsidRPr="004C12C9" w:rsidRDefault="001C29CF"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11" w:history="1">
        <w:r w:rsidR="00B859C5" w:rsidRPr="004C12C9">
          <w:rPr>
            <w:rStyle w:val="Hyperlink"/>
          </w:rPr>
          <w:t>https://www.epa.gov/ghgemissions/inventory-us-greenhouse-gas-emissions-and-sinks</w:t>
        </w:r>
      </w:hyperlink>
      <w:r w:rsidR="00B859C5" w:rsidRPr="004C12C9">
        <w:t>.</w:t>
      </w:r>
    </w:p>
  </w:footnote>
  <w:footnote w:id="134">
    <w:p w14:paraId="69C6ED00" w14:textId="1DE10D50" w:rsidR="001C29CF" w:rsidRPr="004C12C9" w:rsidRDefault="001C29CF"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12" w:history="1">
        <w:r w:rsidR="00B859C5" w:rsidRPr="004C12C9">
          <w:rPr>
            <w:rStyle w:val="Hyperlink"/>
          </w:rPr>
          <w:t>https://www.epa.gov/ghgemissions/inventory-us-greenhouse-gas-emissions-and-sinks</w:t>
        </w:r>
      </w:hyperlink>
      <w:r w:rsidR="00B859C5" w:rsidRPr="004C12C9">
        <w:t>.</w:t>
      </w:r>
    </w:p>
  </w:footnote>
  <w:footnote w:id="135">
    <w:p w14:paraId="1067F994" w14:textId="5AD46EF2" w:rsidR="00842261" w:rsidRPr="004C12C9" w:rsidRDefault="00842261" w:rsidP="00DF026D">
      <w:pPr>
        <w:pStyle w:val="footnote"/>
      </w:pPr>
      <w:r w:rsidRPr="004C12C9">
        <w:rPr>
          <w:rStyle w:val="FootnoteReference"/>
        </w:rPr>
        <w:footnoteRef/>
      </w:r>
      <w:r w:rsidRPr="004C12C9">
        <w:t xml:space="preserve"> IPCC. “2019 Refinement to the 2006 IPCC Guidelines for National Greenhouse Gas Inventories, Volume 4: Agriculture, Forestry, and Other Land Use. Chapter 1</w:t>
      </w:r>
      <w:r w:rsidR="00DF026D" w:rsidRPr="004C12C9">
        <w:t>1</w:t>
      </w:r>
      <w:r w:rsidRPr="004C12C9">
        <w:t>:</w:t>
      </w:r>
      <w:r w:rsidR="00DF026D" w:rsidRPr="004C12C9">
        <w:t xml:space="preserve"> N</w:t>
      </w:r>
      <w:r w:rsidR="00DF026D" w:rsidRPr="004C12C9">
        <w:rPr>
          <w:vertAlign w:val="subscript"/>
        </w:rPr>
        <w:t>2</w:t>
      </w:r>
      <w:r w:rsidR="00DF026D" w:rsidRPr="004C12C9">
        <w:t>O Emissions from Managed Soils, and CO</w:t>
      </w:r>
      <w:r w:rsidR="00DF026D" w:rsidRPr="004C12C9">
        <w:rPr>
          <w:vertAlign w:val="subscript"/>
        </w:rPr>
        <w:t>2</w:t>
      </w:r>
      <w:r w:rsidR="00DF026D" w:rsidRPr="004C12C9">
        <w:t xml:space="preserve"> Emissions from Lime and Urea Application </w:t>
      </w:r>
      <w:r w:rsidRPr="004C12C9">
        <w:t xml:space="preserve">(2019). </w:t>
      </w:r>
      <w:hyperlink r:id="rId113" w:history="1">
        <w:r w:rsidR="00055F1C" w:rsidRPr="004C12C9">
          <w:rPr>
            <w:rStyle w:val="Hyperlink"/>
          </w:rPr>
          <w:t>https://www.ipcc-nggip.iges.or.jp/public/2019rf/pdf/4_Volume4/19R_V4_Ch11_Soils_N2O_CO2.pdf</w:t>
        </w:r>
      </w:hyperlink>
      <w:r w:rsidRPr="004C12C9">
        <w:t xml:space="preserve">. </w:t>
      </w:r>
    </w:p>
  </w:footnote>
  <w:footnote w:id="136">
    <w:p w14:paraId="27413A01" w14:textId="7DFF8897" w:rsidR="001C29CF" w:rsidRPr="004C12C9" w:rsidRDefault="001C29CF"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14" w:history="1">
        <w:r w:rsidR="00B859C5" w:rsidRPr="004C12C9">
          <w:rPr>
            <w:rStyle w:val="Hyperlink"/>
          </w:rPr>
          <w:t>https://www.epa.gov/ghgemissions/inventory-us-greenhouse-gas-emissions-and-sinks</w:t>
        </w:r>
      </w:hyperlink>
      <w:r w:rsidR="00B859C5" w:rsidRPr="004C12C9">
        <w:t xml:space="preserve">. </w:t>
      </w:r>
    </w:p>
  </w:footnote>
  <w:footnote w:id="137">
    <w:p w14:paraId="4EA96E35" w14:textId="77777777" w:rsidR="00E02023" w:rsidRPr="004C12C9" w:rsidRDefault="00E02023" w:rsidP="00E02023">
      <w:pPr>
        <w:pStyle w:val="footnote"/>
      </w:pPr>
      <w:r w:rsidRPr="004C12C9">
        <w:rPr>
          <w:rStyle w:val="FootnoteReference"/>
        </w:rPr>
        <w:footnoteRef/>
      </w:r>
      <w:r w:rsidRPr="004C12C9">
        <w:t xml:space="preserve"> IPCC. “2019 Refinement to the 2006 IPCC Guidelines for National Greenhouse Gas Inventories, Volume 4: Agriculture, Forestry, and Other Land Use. Chapter 11: N</w:t>
      </w:r>
      <w:r w:rsidRPr="004C12C9">
        <w:rPr>
          <w:vertAlign w:val="subscript"/>
        </w:rPr>
        <w:t>2</w:t>
      </w:r>
      <w:r w:rsidRPr="004C12C9">
        <w:t>O Emissions from Managed Soils, and CO</w:t>
      </w:r>
      <w:r w:rsidRPr="004C12C9">
        <w:rPr>
          <w:vertAlign w:val="subscript"/>
        </w:rPr>
        <w:t>2</w:t>
      </w:r>
      <w:r w:rsidRPr="004C12C9">
        <w:t xml:space="preserve"> Emissions from Lime and Urea Application (2019). </w:t>
      </w:r>
      <w:hyperlink r:id="rId115" w:history="1">
        <w:r w:rsidRPr="004C12C9">
          <w:rPr>
            <w:rStyle w:val="Hyperlink"/>
          </w:rPr>
          <w:t>https://www.ipcc-nggip.iges.or.jp/public/2019rf/pdf/4_Volume4/19R_V4_Ch11_Soils_N2O_CO2.pdf</w:t>
        </w:r>
      </w:hyperlink>
      <w:r w:rsidRPr="004C12C9">
        <w:t xml:space="preserve">. </w:t>
      </w:r>
    </w:p>
  </w:footnote>
  <w:footnote w:id="138">
    <w:p w14:paraId="3398A5DC" w14:textId="721A14DB" w:rsidR="001C29CF" w:rsidRPr="004C12C9" w:rsidRDefault="001C29CF" w:rsidP="001C29CF">
      <w:pPr>
        <w:pStyle w:val="footnote"/>
      </w:pPr>
      <w:r w:rsidRPr="004C12C9">
        <w:rPr>
          <w:rStyle w:val="FootnoteReference"/>
        </w:rPr>
        <w:footnoteRef/>
      </w:r>
      <w:r w:rsidRPr="004C12C9">
        <w:t xml:space="preserve"> </w:t>
      </w:r>
      <w:r w:rsidR="00B859C5" w:rsidRPr="004C12C9">
        <w:t xml:space="preserve">EPA. “Inventory of U.S. Greenhouse Gas Emissions and Sinks: 1990–2022,” 2024. </w:t>
      </w:r>
      <w:hyperlink r:id="rId116" w:history="1">
        <w:r w:rsidR="00B859C5" w:rsidRPr="004C12C9">
          <w:rPr>
            <w:rStyle w:val="Hyperlink"/>
          </w:rPr>
          <w:t>https://www.epa.gov/ghgemissions/inventory-us-greenhouse-gas-emissions-and-sinks</w:t>
        </w:r>
      </w:hyperlink>
      <w:r w:rsidR="00B859C5" w:rsidRPr="004C12C9">
        <w:t>.</w:t>
      </w:r>
    </w:p>
  </w:footnote>
  <w:footnote w:id="139">
    <w:p w14:paraId="74C3BA61" w14:textId="77777777" w:rsidR="009C250E" w:rsidRPr="004C12C9" w:rsidRDefault="009C250E" w:rsidP="009C250E">
      <w:pPr>
        <w:pStyle w:val="footnote"/>
      </w:pPr>
      <w:r w:rsidRPr="004C12C9">
        <w:rPr>
          <w:rStyle w:val="FootnoteReference"/>
        </w:rPr>
        <w:footnoteRef/>
      </w:r>
      <w:r w:rsidRPr="004C12C9">
        <w:t xml:space="preserve"> IPCC. “2019 Refinement to the 2006 IPCC Guidelines for National Greenhouse Gas Inventories, Volume 4: Agriculture, Forestry, and Other Land Use. Chapter 11: N</w:t>
      </w:r>
      <w:r w:rsidRPr="004C12C9">
        <w:rPr>
          <w:vertAlign w:val="subscript"/>
        </w:rPr>
        <w:t>2</w:t>
      </w:r>
      <w:r w:rsidRPr="004C12C9">
        <w:t>O Emissions from Managed Soils, and CO</w:t>
      </w:r>
      <w:r w:rsidRPr="004C12C9">
        <w:rPr>
          <w:vertAlign w:val="subscript"/>
        </w:rPr>
        <w:t>2</w:t>
      </w:r>
      <w:r w:rsidRPr="004C12C9">
        <w:t xml:space="preserve"> Emissions from Lime and Urea Application (2019). </w:t>
      </w:r>
      <w:hyperlink r:id="rId117" w:history="1">
        <w:r w:rsidRPr="004C12C9">
          <w:rPr>
            <w:rStyle w:val="Hyperlink"/>
          </w:rPr>
          <w:t>https://www.ipcc-nggip.iges.or.jp/public/2019rf/pdf/4_Volume4/19R_V4_Ch11_Soils_N2O_CO2.pdf</w:t>
        </w:r>
      </w:hyperlink>
      <w:r w:rsidRPr="004C12C9">
        <w:t xml:space="preserve">. </w:t>
      </w:r>
    </w:p>
  </w:footnote>
  <w:footnote w:id="140">
    <w:p w14:paraId="4514C80C" w14:textId="77777777" w:rsidR="00953D8A" w:rsidRPr="004C12C9" w:rsidRDefault="00953D8A" w:rsidP="00953D8A">
      <w:pPr>
        <w:pStyle w:val="footnote"/>
      </w:pPr>
      <w:r w:rsidRPr="004C12C9">
        <w:rPr>
          <w:rStyle w:val="FootnoteReference"/>
        </w:rPr>
        <w:footnoteRef/>
      </w:r>
      <w:r w:rsidRPr="004C12C9">
        <w:t xml:space="preserve"> Minnesota Pollution Control Agency. “Animal Feedlot GHG Calculator,” February 2025. </w:t>
      </w:r>
      <w:hyperlink r:id="rId118" w:history="1">
        <w:r w:rsidRPr="004C12C9">
          <w:rPr>
            <w:rStyle w:val="Hyperlink"/>
          </w:rPr>
          <w:t>https://www.pca.state.mn.us/business-with-us/environmental-review</w:t>
        </w:r>
      </w:hyperlink>
      <w:r w:rsidRPr="004C12C9">
        <w:t xml:space="preserve">. </w:t>
      </w:r>
    </w:p>
  </w:footnote>
  <w:footnote w:id="141">
    <w:p w14:paraId="53125581" w14:textId="7683BD57" w:rsidR="001919CE" w:rsidRPr="004C12C9" w:rsidRDefault="001919CE" w:rsidP="00D733F9">
      <w:pPr>
        <w:pStyle w:val="footnote"/>
      </w:pPr>
      <w:r w:rsidRPr="004C12C9">
        <w:rPr>
          <w:rStyle w:val="FootnoteReference"/>
        </w:rPr>
        <w:footnoteRef/>
      </w:r>
      <w:r w:rsidRPr="004C12C9">
        <w:t xml:space="preserve"> </w:t>
      </w:r>
      <w:r w:rsidR="002C2207" w:rsidRPr="004C12C9">
        <w:t xml:space="preserve">Minnesota Department of Natural Resources. “Climate Trends.” Accessed </w:t>
      </w:r>
      <w:r w:rsidR="00D733F9" w:rsidRPr="004C12C9">
        <w:t xml:space="preserve">April 21, 2025. </w:t>
      </w:r>
      <w:hyperlink r:id="rId119" w:history="1">
        <w:r w:rsidR="00D733F9" w:rsidRPr="004C12C9">
          <w:rPr>
            <w:rStyle w:val="Hyperlink"/>
          </w:rPr>
          <w:t>https://www.dnr.state.mn.us/climate/climate_change_info/climate-trends.html</w:t>
        </w:r>
      </w:hyperlink>
      <w:r w:rsidR="00D733F9" w:rsidRPr="004C12C9">
        <w:t xml:space="preserve">. </w:t>
      </w:r>
    </w:p>
  </w:footnote>
  <w:footnote w:id="142">
    <w:p w14:paraId="3FC24BA6" w14:textId="46A933E5" w:rsidR="00CE29E2" w:rsidRPr="004C12C9" w:rsidRDefault="00CE29E2" w:rsidP="00AD0AFE">
      <w:pPr>
        <w:pStyle w:val="footnote"/>
      </w:pPr>
      <w:r w:rsidRPr="004C12C9">
        <w:rPr>
          <w:rStyle w:val="FootnoteReference"/>
        </w:rPr>
        <w:footnoteRef/>
      </w:r>
      <w:r w:rsidRPr="004C12C9">
        <w:t xml:space="preserve"> </w:t>
      </w:r>
      <w:r w:rsidR="00AD0AFE" w:rsidRPr="004C12C9">
        <w:t>Minnesota E</w:t>
      </w:r>
      <w:r w:rsidR="00EB5351" w:rsidRPr="004C12C9">
        <w:t>nvironmental Quality Board</w:t>
      </w:r>
      <w:r w:rsidR="00AD0AFE" w:rsidRPr="004C12C9">
        <w:t>. “Environmental assessment worksheet guidance</w:t>
      </w:r>
      <w:r w:rsidR="00B859C5" w:rsidRPr="004C12C9">
        <w:t>,</w:t>
      </w:r>
      <w:r w:rsidR="00AD0AFE" w:rsidRPr="004C12C9">
        <w:t xml:space="preserve">” </w:t>
      </w:r>
      <w:r w:rsidR="00EB5351" w:rsidRPr="004C12C9">
        <w:t xml:space="preserve">2024. </w:t>
      </w:r>
      <w:hyperlink r:id="rId120" w:history="1">
        <w:r w:rsidR="00EB5351" w:rsidRPr="004C12C9">
          <w:rPr>
            <w:rStyle w:val="Hyperlink"/>
          </w:rPr>
          <w:t>https://www.eqb.state.mn.us/sites/eqb/files/2024_eaw_climate_guidance_2.pdf</w:t>
        </w:r>
      </w:hyperlink>
      <w:r w:rsidR="00EB5351" w:rsidRPr="004C12C9">
        <w:t xml:space="preserve">. </w:t>
      </w:r>
    </w:p>
  </w:footnote>
  <w:footnote w:id="143">
    <w:p w14:paraId="36F0C1D2" w14:textId="13822145" w:rsidR="006334F0" w:rsidRPr="004C12C9" w:rsidRDefault="006334F0" w:rsidP="00D77695">
      <w:pPr>
        <w:pStyle w:val="footnote"/>
      </w:pPr>
      <w:r w:rsidRPr="004C12C9">
        <w:rPr>
          <w:rStyle w:val="FootnoteReference"/>
        </w:rPr>
        <w:footnoteRef/>
      </w:r>
      <w:r w:rsidRPr="004C12C9">
        <w:t xml:space="preserve"> </w:t>
      </w:r>
      <w:r w:rsidR="007E6CDC" w:rsidRPr="004C12C9">
        <w:t xml:space="preserve">Minnesota Department of Transportation. “Minnesota Infrastructure Carbon Estimator (MICE) Tool,” 2025. </w:t>
      </w:r>
      <w:hyperlink r:id="rId121">
        <w:r w:rsidR="007E6CDC" w:rsidRPr="004C12C9">
          <w:rPr>
            <w:rStyle w:val="Hyperlink"/>
          </w:rPr>
          <w:t>https://www.dot.state.mn.us/project-development/subject-guidance/greenhouse-gas-analysis/process.html</w:t>
        </w:r>
      </w:hyperlink>
      <w:r w:rsidR="001931AC" w:rsidRPr="004C12C9">
        <w:t>.</w:t>
      </w:r>
    </w:p>
  </w:footnote>
  <w:footnote w:id="144">
    <w:p w14:paraId="3EB6C1BE" w14:textId="04F50C65" w:rsidR="00D676DE" w:rsidRPr="004C12C9" w:rsidRDefault="00D676DE" w:rsidP="00D676DE">
      <w:pPr>
        <w:pStyle w:val="footnote"/>
      </w:pPr>
      <w:r w:rsidRPr="004C12C9">
        <w:rPr>
          <w:rStyle w:val="FootnoteReference"/>
        </w:rPr>
        <w:footnoteRef/>
      </w:r>
      <w:r w:rsidRPr="004C12C9">
        <w:t xml:space="preserve"> Minnesota Pollution Control Agency. “Animal Feedlot GHG Calculator</w:t>
      </w:r>
      <w:r w:rsidR="009667E5" w:rsidRPr="004C12C9">
        <w:t>,”</w:t>
      </w:r>
      <w:r w:rsidRPr="004C12C9">
        <w:t xml:space="preserve"> February 2025. </w:t>
      </w:r>
      <w:hyperlink r:id="rId122" w:history="1">
        <w:r w:rsidRPr="004C12C9">
          <w:rPr>
            <w:rStyle w:val="Hyperlink"/>
          </w:rPr>
          <w:t>https://www.pca.state.mn.us/business-with-us/environmental-review</w:t>
        </w:r>
      </w:hyperlink>
      <w:r w:rsidRPr="004C12C9">
        <w:t xml:space="preserve">. </w:t>
      </w:r>
    </w:p>
  </w:footnote>
  <w:footnote w:id="145">
    <w:p w14:paraId="08A6769A" w14:textId="2E0D9AB4" w:rsidR="00555F36" w:rsidRPr="004C12C9" w:rsidRDefault="00555F36" w:rsidP="00553031">
      <w:pPr>
        <w:pStyle w:val="footnote"/>
      </w:pPr>
      <w:r w:rsidRPr="004C12C9">
        <w:rPr>
          <w:rStyle w:val="FootnoteReference"/>
        </w:rPr>
        <w:footnoteRef/>
      </w:r>
      <w:r w:rsidRPr="004C12C9">
        <w:t xml:space="preserve"> </w:t>
      </w:r>
      <w:r w:rsidR="00833ABE" w:rsidRPr="004C12C9">
        <w:t>EPA</w:t>
      </w:r>
      <w:r w:rsidR="000C7734" w:rsidRPr="004C12C9">
        <w:t xml:space="preserve">. </w:t>
      </w:r>
      <w:r w:rsidR="001C69DB" w:rsidRPr="004C12C9">
        <w:t>“</w:t>
      </w:r>
      <w:r w:rsidR="000C7734" w:rsidRPr="004C12C9">
        <w:t>Emissions &amp; Generation Resource Integrated Database (eGRID).</w:t>
      </w:r>
      <w:r w:rsidR="001C69DB" w:rsidRPr="004C12C9">
        <w:t>”</w:t>
      </w:r>
      <w:r w:rsidR="000C7734" w:rsidRPr="004C12C9">
        <w:t xml:space="preserve"> 2025. </w:t>
      </w:r>
      <w:hyperlink r:id="rId123" w:tgtFrame="_new" w:history="1">
        <w:r w:rsidR="000C7734" w:rsidRPr="004C12C9">
          <w:rPr>
            <w:rStyle w:val="Hyperlink"/>
          </w:rPr>
          <w:t>https://www.epa.gov/egrid</w:t>
        </w:r>
      </w:hyperlink>
      <w:r w:rsidR="000C7734" w:rsidRPr="004C12C9">
        <w:t>.</w:t>
      </w:r>
    </w:p>
  </w:footnote>
  <w:footnote w:id="146">
    <w:p w14:paraId="0E094126" w14:textId="4D32F7BC" w:rsidR="00555F36" w:rsidRPr="004C12C9" w:rsidRDefault="00555F36" w:rsidP="00553031">
      <w:pPr>
        <w:pStyle w:val="footnote"/>
      </w:pPr>
      <w:r w:rsidRPr="004C12C9">
        <w:rPr>
          <w:rStyle w:val="FootnoteReference"/>
        </w:rPr>
        <w:footnoteRef/>
      </w:r>
      <w:r w:rsidRPr="004C12C9">
        <w:t xml:space="preserve"> </w:t>
      </w:r>
      <w:r w:rsidR="001C69DB" w:rsidRPr="004C12C9">
        <w:t xml:space="preserve">Argonne National Laboratory. “GREET 1 2024 Excel-based Fuel-Cycle Model,” 2025. </w:t>
      </w:r>
      <w:hyperlink r:id="rId124" w:history="1">
        <w:r w:rsidR="001C69DB" w:rsidRPr="004C12C9">
          <w:rPr>
            <w:rStyle w:val="Hyperlink"/>
          </w:rPr>
          <w:t>https://greet.anl.gov/greet_excel_model.models</w:t>
        </w:r>
      </w:hyperlink>
      <w:r w:rsidR="001C69DB" w:rsidRPr="004C12C9">
        <w:t>. </w:t>
      </w:r>
    </w:p>
  </w:footnote>
  <w:footnote w:id="147">
    <w:p w14:paraId="7B5E71A4" w14:textId="164AC9DE" w:rsidR="00C758FE" w:rsidRPr="004C12C9" w:rsidRDefault="00C758FE" w:rsidP="00553031">
      <w:pPr>
        <w:pStyle w:val="footnote"/>
      </w:pPr>
      <w:r w:rsidRPr="004C12C9">
        <w:rPr>
          <w:rStyle w:val="FootnoteReference"/>
        </w:rPr>
        <w:footnoteRef/>
      </w:r>
      <w:r w:rsidRPr="004C12C9">
        <w:t xml:space="preserve"> </w:t>
      </w:r>
      <w:r w:rsidR="008B7403" w:rsidRPr="004C12C9">
        <w:t>The projections are based on the AEO 2023 reference case scenario, using 202</w:t>
      </w:r>
      <w:r w:rsidR="00CB4110" w:rsidRPr="004C12C9">
        <w:t>3</w:t>
      </w:r>
      <w:r w:rsidR="008B7403" w:rsidRPr="004C12C9">
        <w:t xml:space="preserve"> data as the baseline. The projected generation mix for 2025 that is used in this analysis, therefore, may differ from the actual generation mix reported by MISO.</w:t>
      </w:r>
    </w:p>
  </w:footnote>
  <w:footnote w:id="148">
    <w:p w14:paraId="5190D5F5" w14:textId="77777777" w:rsidR="006A7F6D" w:rsidRPr="004C12C9" w:rsidRDefault="006A7F6D" w:rsidP="006A7F6D">
      <w:pPr>
        <w:pStyle w:val="footnote"/>
      </w:pPr>
      <w:r w:rsidRPr="004C12C9">
        <w:rPr>
          <w:rStyle w:val="FootnoteReference"/>
        </w:rPr>
        <w:footnoteRef/>
      </w:r>
      <w:r w:rsidRPr="004C12C9">
        <w:t xml:space="preserve"> Argonne National Laboratory. “GREET 1 2024 Excel-based Fuel-Cycle Model,” 2025. </w:t>
      </w:r>
      <w:hyperlink r:id="rId125" w:history="1">
        <w:r w:rsidRPr="004C12C9">
          <w:rPr>
            <w:rStyle w:val="Hyperlink"/>
          </w:rPr>
          <w:t>https://greet.anl.gov/greet_excel_model.models</w:t>
        </w:r>
      </w:hyperlink>
      <w:r w:rsidRPr="004C12C9">
        <w:t>. </w:t>
      </w:r>
    </w:p>
  </w:footnote>
  <w:footnote w:id="149">
    <w:p w14:paraId="6F6487D4" w14:textId="157E75ED" w:rsidR="00647F10" w:rsidRPr="004C12C9" w:rsidRDefault="00647F10" w:rsidP="000C727A">
      <w:pPr>
        <w:pStyle w:val="footnote"/>
      </w:pPr>
      <w:r w:rsidRPr="004C12C9">
        <w:rPr>
          <w:rStyle w:val="FootnoteReference"/>
        </w:rPr>
        <w:footnoteRef/>
      </w:r>
      <w:r w:rsidRPr="004C12C9">
        <w:t xml:space="preserve"> </w:t>
      </w:r>
      <w:r w:rsidR="00890999" w:rsidRPr="004C12C9">
        <w:t xml:space="preserve">Minnesota Legislature. </w:t>
      </w:r>
      <w:r w:rsidR="00D207F8" w:rsidRPr="004C12C9">
        <w:t>“</w:t>
      </w:r>
      <w:r w:rsidR="00890999" w:rsidRPr="004C12C9">
        <w:t>Minnesota Statutes, Section 216B.1691 – Renewable Energy Objectives.</w:t>
      </w:r>
      <w:r w:rsidR="00D207F8" w:rsidRPr="004C12C9">
        <w:t>”</w:t>
      </w:r>
      <w:r w:rsidR="00890999" w:rsidRPr="004C12C9">
        <w:t xml:space="preserve"> 202</w:t>
      </w:r>
      <w:r w:rsidR="00D207F8" w:rsidRPr="004C12C9">
        <w:t>4</w:t>
      </w:r>
      <w:r w:rsidR="00890999" w:rsidRPr="004C12C9">
        <w:t xml:space="preserve">. </w:t>
      </w:r>
      <w:hyperlink r:id="rId126" w:tgtFrame="_new" w:history="1">
        <w:r w:rsidR="00890999" w:rsidRPr="004C12C9">
          <w:rPr>
            <w:rStyle w:val="Hyperlink"/>
          </w:rPr>
          <w:t>https://www.revisor.mn.gov/statutes/cite/216b.1691</w:t>
        </w:r>
      </w:hyperlink>
      <w:r w:rsidR="00890999" w:rsidRPr="004C12C9">
        <w:t>.</w:t>
      </w:r>
    </w:p>
  </w:footnote>
  <w:footnote w:id="150">
    <w:p w14:paraId="1E043383" w14:textId="2E9A4592" w:rsidR="00726319" w:rsidRPr="004C12C9" w:rsidRDefault="00726319" w:rsidP="00726319">
      <w:pPr>
        <w:pStyle w:val="footnote"/>
      </w:pPr>
      <w:r w:rsidRPr="004C12C9">
        <w:rPr>
          <w:rStyle w:val="FootnoteReference"/>
        </w:rPr>
        <w:footnoteRef/>
      </w:r>
      <w:r w:rsidRPr="004C12C9">
        <w:t xml:space="preserve"> Xcel Energy. “Upper Midwest Integrated Resource Plan for 2024-2040.”</w:t>
      </w:r>
      <w:r w:rsidR="0034150E" w:rsidRPr="004C12C9">
        <w:t xml:space="preserve"> </w:t>
      </w:r>
      <w:r w:rsidR="009D4E7A" w:rsidRPr="004C12C9">
        <w:t>2025</w:t>
      </w:r>
      <w:r w:rsidR="002157A2" w:rsidRPr="004C12C9">
        <w:t>.</w:t>
      </w:r>
      <w:r w:rsidR="0034150E" w:rsidRPr="004C12C9">
        <w:t xml:space="preserve"> </w:t>
      </w:r>
      <w:hyperlink r:id="rId127" w:history="1">
        <w:r w:rsidR="004A2BB2" w:rsidRPr="004C12C9">
          <w:rPr>
            <w:rStyle w:val="Hyperlink"/>
          </w:rPr>
          <w:t>Xcel Energy IRP 2024 / Public Utilities Commission</w:t>
        </w:r>
      </w:hyperlink>
    </w:p>
  </w:footnote>
  <w:footnote w:id="151">
    <w:p w14:paraId="6EB0B6B4" w14:textId="77777777" w:rsidR="00F31291" w:rsidRPr="004C12C9" w:rsidRDefault="00F31291" w:rsidP="00F31291">
      <w:pPr>
        <w:pStyle w:val="footnote"/>
      </w:pPr>
      <w:r w:rsidRPr="004C12C9">
        <w:rPr>
          <w:rStyle w:val="FootnoteReference"/>
        </w:rPr>
        <w:footnoteRef/>
      </w:r>
      <w:r w:rsidRPr="004C12C9">
        <w:t xml:space="preserve"> Argonne National Laboratory. “GREET 1 2024 Excel-based Fuel-Cycle Model,” 2025. </w:t>
      </w:r>
      <w:hyperlink r:id="rId128" w:history="1">
        <w:r w:rsidRPr="004C12C9">
          <w:rPr>
            <w:rStyle w:val="Hyperlink"/>
          </w:rPr>
          <w:t>https://greet.anl.gov/greet_excel_model.models</w:t>
        </w:r>
      </w:hyperlink>
      <w:r w:rsidRPr="004C12C9">
        <w:t>. </w:t>
      </w:r>
    </w:p>
  </w:footnote>
  <w:footnote w:id="152">
    <w:p w14:paraId="0B3B1735" w14:textId="28C8F31C" w:rsidR="00732CE1" w:rsidRPr="004C12C9" w:rsidRDefault="00732CE1" w:rsidP="006959F3">
      <w:pPr>
        <w:pStyle w:val="footnote"/>
      </w:pPr>
      <w:r w:rsidRPr="004C12C9">
        <w:rPr>
          <w:rStyle w:val="FootnoteReference"/>
        </w:rPr>
        <w:footnoteRef/>
      </w:r>
      <w:r w:rsidRPr="004C12C9">
        <w:t xml:space="preserve"> </w:t>
      </w:r>
      <w:r w:rsidR="004B3757" w:rsidRPr="004C12C9">
        <w:t>Minnesota Public Utilities Commission.</w:t>
      </w:r>
      <w:r w:rsidR="00150220" w:rsidRPr="004C12C9">
        <w:t> </w:t>
      </w:r>
      <w:r w:rsidR="004C69EE" w:rsidRPr="004C12C9">
        <w:t>“</w:t>
      </w:r>
      <w:r w:rsidR="004B3757" w:rsidRPr="004C12C9">
        <w:t>2025</w:t>
      </w:r>
      <w:r w:rsidR="00150220" w:rsidRPr="004C12C9">
        <w:t>-2039 Integrated Resource Plan.</w:t>
      </w:r>
      <w:r w:rsidR="004C69EE" w:rsidRPr="004C12C9">
        <w:t>”</w:t>
      </w:r>
      <w:r w:rsidR="00150220" w:rsidRPr="004C12C9">
        <w:t xml:space="preserve"> </w:t>
      </w:r>
      <w:r w:rsidR="004B3757" w:rsidRPr="004C12C9">
        <w:t xml:space="preserve">2025. </w:t>
      </w:r>
      <w:hyperlink r:id="rId129" w:tgtFrame="_new" w:history="1">
        <w:r w:rsidR="004B3757" w:rsidRPr="004C12C9">
          <w:rPr>
            <w:rStyle w:val="Hyperlink"/>
          </w:rPr>
          <w:t>https://www.edockets.state.mn.us/documents/%7BA0446195-0000-C339-B88F-8CE00FEBADAA%7D/download</w:t>
        </w:r>
      </w:hyperlink>
      <w:r w:rsidR="003E5456" w:rsidRPr="004C12C9">
        <w:t>.</w:t>
      </w:r>
    </w:p>
  </w:footnote>
  <w:footnote w:id="153">
    <w:p w14:paraId="00971012" w14:textId="77777777" w:rsidR="0095278A" w:rsidRPr="004C12C9" w:rsidRDefault="0095278A" w:rsidP="0095278A">
      <w:pPr>
        <w:pStyle w:val="footnote"/>
      </w:pPr>
      <w:r w:rsidRPr="004C12C9">
        <w:rPr>
          <w:rStyle w:val="FootnoteReference"/>
        </w:rPr>
        <w:footnoteRef/>
      </w:r>
      <w:r w:rsidRPr="004C12C9">
        <w:t xml:space="preserve"> Argonne National Laboratory. “GREET 1 2024 Excel-based Fuel-Cycle Model,” 2025. </w:t>
      </w:r>
      <w:hyperlink r:id="rId130" w:history="1">
        <w:r w:rsidRPr="004C12C9">
          <w:rPr>
            <w:rStyle w:val="Hyperlink"/>
          </w:rPr>
          <w:t>https://greet.anl.gov/greet_excel_model.models</w:t>
        </w:r>
      </w:hyperlink>
      <w:r w:rsidRPr="004C12C9">
        <w:t>. </w:t>
      </w:r>
    </w:p>
  </w:footnote>
  <w:footnote w:id="154">
    <w:p w14:paraId="560C41EA" w14:textId="7E458AEA" w:rsidR="00D30838" w:rsidRPr="004C12C9" w:rsidRDefault="00D30838" w:rsidP="00D30838">
      <w:pPr>
        <w:pStyle w:val="footnote"/>
      </w:pPr>
      <w:r w:rsidRPr="004C12C9">
        <w:rPr>
          <w:rStyle w:val="FootnoteReference"/>
        </w:rPr>
        <w:footnoteRef/>
      </w:r>
      <w:r w:rsidRPr="004C12C9">
        <w:t xml:space="preserve"> Great River Energy. "Electricity Sources." 2025. </w:t>
      </w:r>
      <w:hyperlink r:id="rId131" w:tgtFrame="_new" w:history="1">
        <w:r w:rsidRPr="004C12C9">
          <w:rPr>
            <w:rStyle w:val="Hyperlink"/>
          </w:rPr>
          <w:t>https://greatriverenergy.com/electricity-sources/</w:t>
        </w:r>
      </w:hyperlink>
      <w:r w:rsidRPr="004C12C9">
        <w:t xml:space="preserve">. </w:t>
      </w:r>
    </w:p>
  </w:footnote>
  <w:footnote w:id="155">
    <w:p w14:paraId="55BEF717" w14:textId="6FF0770C" w:rsidR="00732CE1" w:rsidRPr="004C12C9" w:rsidRDefault="00732CE1" w:rsidP="006959F3">
      <w:pPr>
        <w:pStyle w:val="footnote"/>
      </w:pPr>
      <w:r w:rsidRPr="004C12C9">
        <w:rPr>
          <w:rStyle w:val="FootnoteReference"/>
        </w:rPr>
        <w:footnoteRef/>
      </w:r>
      <w:r w:rsidRPr="004C12C9">
        <w:t xml:space="preserve"> </w:t>
      </w:r>
      <w:r w:rsidR="001672ED" w:rsidRPr="004C12C9">
        <w:t xml:space="preserve">Great River Energy. </w:t>
      </w:r>
      <w:r w:rsidR="00720B1C" w:rsidRPr="004C12C9">
        <w:t>“</w:t>
      </w:r>
      <w:r w:rsidR="00A03599" w:rsidRPr="004C12C9">
        <w:t>2023–2037 Integrated Resource Plan One-Pager.</w:t>
      </w:r>
      <w:r w:rsidR="00720B1C" w:rsidRPr="004C12C9">
        <w:t>”</w:t>
      </w:r>
      <w:r w:rsidR="00A03599" w:rsidRPr="004C12C9">
        <w:t xml:space="preserve"> </w:t>
      </w:r>
      <w:r w:rsidR="00BD22D9" w:rsidRPr="004C12C9">
        <w:t>2023.</w:t>
      </w:r>
      <w:r w:rsidR="00A03599" w:rsidRPr="004C12C9">
        <w:t xml:space="preserve"> </w:t>
      </w:r>
      <w:hyperlink r:id="rId132" w:tgtFrame="_new" w:history="1">
        <w:r w:rsidR="00A03599" w:rsidRPr="004C12C9">
          <w:rPr>
            <w:rStyle w:val="Hyperlink"/>
          </w:rPr>
          <w:t>https://greatriverenergy.com/wp-content/uploads/2023/04/2023-37-IRP-One-pager-FINAL.pdf</w:t>
        </w:r>
      </w:hyperlink>
      <w:r w:rsidR="00A03599" w:rsidRPr="004C12C9">
        <w:t>.</w:t>
      </w:r>
    </w:p>
  </w:footnote>
  <w:footnote w:id="156">
    <w:p w14:paraId="6819C77A" w14:textId="77777777" w:rsidR="0095278A" w:rsidRPr="004C12C9" w:rsidRDefault="0095278A" w:rsidP="0095278A">
      <w:pPr>
        <w:pStyle w:val="footnote"/>
      </w:pPr>
      <w:r w:rsidRPr="004C12C9">
        <w:rPr>
          <w:rStyle w:val="FootnoteReference"/>
        </w:rPr>
        <w:footnoteRef/>
      </w:r>
      <w:r w:rsidRPr="004C12C9">
        <w:t xml:space="preserve"> Argonne National Laboratory. “GREET 1 2024 Excel-based Fuel-Cycle Model,” 2025. </w:t>
      </w:r>
      <w:hyperlink r:id="rId133" w:history="1">
        <w:r w:rsidRPr="004C12C9">
          <w:rPr>
            <w:rStyle w:val="Hyperlink"/>
          </w:rPr>
          <w:t>https://greet.anl.gov/greet_excel_model.models</w:t>
        </w:r>
      </w:hyperlink>
      <w:r w:rsidRPr="004C12C9">
        <w:t>. </w:t>
      </w:r>
    </w:p>
  </w:footnote>
  <w:footnote w:id="157">
    <w:p w14:paraId="14D65D6E" w14:textId="100DCA79" w:rsidR="0099087E" w:rsidRPr="004C12C9" w:rsidRDefault="0099087E" w:rsidP="006959F3">
      <w:pPr>
        <w:pStyle w:val="footnote"/>
      </w:pPr>
      <w:r w:rsidRPr="004C12C9">
        <w:rPr>
          <w:rStyle w:val="FootnoteReference"/>
        </w:rPr>
        <w:footnoteRef/>
      </w:r>
      <w:r w:rsidRPr="004C12C9">
        <w:t xml:space="preserve"> </w:t>
      </w:r>
      <w:r w:rsidR="0010218F" w:rsidRPr="004C12C9">
        <w:t xml:space="preserve">Otter Tail Power Company. </w:t>
      </w:r>
      <w:r w:rsidR="00720B1C" w:rsidRPr="004C12C9">
        <w:t>“</w:t>
      </w:r>
      <w:r w:rsidR="0010218F" w:rsidRPr="004C12C9">
        <w:t>Environmental, Social, and Governance (ESG) Report 2023</w:t>
      </w:r>
      <w:r w:rsidR="0010218F" w:rsidRPr="004C12C9">
        <w:rPr>
          <w:i/>
          <w:iCs/>
        </w:rPr>
        <w:t>.</w:t>
      </w:r>
      <w:r w:rsidR="00720B1C" w:rsidRPr="004C12C9">
        <w:rPr>
          <w:i/>
          <w:iCs/>
        </w:rPr>
        <w:t>”</w:t>
      </w:r>
      <w:r w:rsidR="0010218F" w:rsidRPr="004C12C9">
        <w:t xml:space="preserve"> 202</w:t>
      </w:r>
      <w:r w:rsidR="00FD517E" w:rsidRPr="004C12C9">
        <w:t>4</w:t>
      </w:r>
      <w:r w:rsidR="0010218F" w:rsidRPr="004C12C9">
        <w:t xml:space="preserve">. </w:t>
      </w:r>
      <w:hyperlink r:id="rId134" w:tgtFrame="_new" w:history="1">
        <w:r w:rsidR="0010218F" w:rsidRPr="004C12C9">
          <w:rPr>
            <w:rStyle w:val="Hyperlink"/>
          </w:rPr>
          <w:t>https://www.otpsustainability.com/media/edfeocny/2023-esg-report.pdf</w:t>
        </w:r>
      </w:hyperlink>
      <w:r w:rsidR="00F94466" w:rsidRPr="004C12C9">
        <w:t>.</w:t>
      </w:r>
    </w:p>
  </w:footnote>
  <w:footnote w:id="158">
    <w:p w14:paraId="1C791844" w14:textId="77777777" w:rsidR="0095278A" w:rsidRPr="004C12C9" w:rsidRDefault="0095278A" w:rsidP="0095278A">
      <w:pPr>
        <w:pStyle w:val="footnote"/>
      </w:pPr>
      <w:r w:rsidRPr="004C12C9">
        <w:rPr>
          <w:rStyle w:val="FootnoteReference"/>
        </w:rPr>
        <w:footnoteRef/>
      </w:r>
      <w:r w:rsidRPr="004C12C9">
        <w:t xml:space="preserve"> Argonne National Laboratory. “GREET 1 2024 Excel-based Fuel-Cycle Model,” 2025. </w:t>
      </w:r>
      <w:hyperlink r:id="rId135" w:history="1">
        <w:r w:rsidRPr="004C12C9">
          <w:rPr>
            <w:rStyle w:val="Hyperlink"/>
          </w:rPr>
          <w:t>https://greet.anl.gov/greet_excel_model.models</w:t>
        </w:r>
      </w:hyperlink>
      <w:r w:rsidRPr="004C12C9">
        <w:t>. </w:t>
      </w:r>
    </w:p>
  </w:footnote>
  <w:footnote w:id="159">
    <w:p w14:paraId="7059260D" w14:textId="43026BC4" w:rsidR="004B6ADC" w:rsidRDefault="004B6ADC" w:rsidP="004B6ADC">
      <w:pPr>
        <w:pStyle w:val="footnote"/>
      </w:pPr>
      <w:r w:rsidRPr="004C12C9">
        <w:rPr>
          <w:rStyle w:val="FootnoteReference"/>
        </w:rPr>
        <w:footnoteRef/>
      </w:r>
      <w:r w:rsidRPr="004C12C9">
        <w:t xml:space="preserve"> EPA. “Greenhouse Gas Equivalencies Calculator – Calculations and References,” 2024. </w:t>
      </w:r>
      <w:hyperlink r:id="rId136" w:history="1">
        <w:r w:rsidRPr="004C12C9">
          <w:rPr>
            <w:rStyle w:val="Hyperlink"/>
          </w:rPr>
          <w:t>https://www.epa.gov/energy/greenhouse-gas-equivalencies-calculator-calculations-and-references</w:t>
        </w:r>
      </w:hyperlink>
      <w:r w:rsidRPr="004C12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2D27" w14:textId="77777777" w:rsidR="00CB09C3" w:rsidRPr="004C12C9" w:rsidRDefault="00CB09C3" w:rsidP="00972CF9">
    <w:pPr>
      <w:pStyle w:val="Header"/>
    </w:pPr>
  </w:p>
  <w:p w14:paraId="1F48EE9D" w14:textId="77777777" w:rsidR="00CB09C3" w:rsidRPr="004C12C9" w:rsidRDefault="00CB09C3" w:rsidP="0097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EAD4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6EF4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FBED2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9E32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126F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526E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FE6B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087C9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420EF6"/>
    <w:lvl w:ilvl="0">
      <w:start w:val="1"/>
      <w:numFmt w:val="bullet"/>
      <w:pStyle w:val="ListBullet"/>
      <w:lvlText w:val=""/>
      <w:lvlJc w:val="left"/>
      <w:pPr>
        <w:tabs>
          <w:tab w:val="num" w:pos="360"/>
        </w:tabs>
        <w:ind w:left="360" w:hanging="360"/>
      </w:pPr>
      <w:rPr>
        <w:rFonts w:ascii="Symbol" w:hAnsi="Symbol" w:hint="default"/>
        <w:b w:val="0"/>
        <w:i w:val="0"/>
        <w:color w:val="auto"/>
        <w:sz w:val="24"/>
        <w:szCs w:val="24"/>
        <w:u w:val="none"/>
      </w:rPr>
    </w:lvl>
  </w:abstractNum>
  <w:abstractNum w:abstractNumId="10" w15:restartNumberingAfterBreak="0">
    <w:nsid w:val="010F4471"/>
    <w:multiLevelType w:val="hybridMultilevel"/>
    <w:tmpl w:val="EAF2D42A"/>
    <w:lvl w:ilvl="0" w:tplc="FD7E6AC2">
      <w:start w:val="1"/>
      <w:numFmt w:val="decimal"/>
      <w:lvlText w:val="%1."/>
      <w:lvlJc w:val="left"/>
      <w:pPr>
        <w:ind w:left="1020" w:hanging="360"/>
      </w:pPr>
    </w:lvl>
    <w:lvl w:ilvl="1" w:tplc="F8AC9DAC">
      <w:start w:val="1"/>
      <w:numFmt w:val="decimal"/>
      <w:lvlText w:val="%2."/>
      <w:lvlJc w:val="left"/>
      <w:pPr>
        <w:ind w:left="1020" w:hanging="360"/>
      </w:pPr>
    </w:lvl>
    <w:lvl w:ilvl="2" w:tplc="37F639D8">
      <w:start w:val="1"/>
      <w:numFmt w:val="decimal"/>
      <w:lvlText w:val="%3."/>
      <w:lvlJc w:val="left"/>
      <w:pPr>
        <w:ind w:left="1020" w:hanging="360"/>
      </w:pPr>
    </w:lvl>
    <w:lvl w:ilvl="3" w:tplc="69BCC3DE">
      <w:start w:val="1"/>
      <w:numFmt w:val="decimal"/>
      <w:lvlText w:val="%4."/>
      <w:lvlJc w:val="left"/>
      <w:pPr>
        <w:ind w:left="1020" w:hanging="360"/>
      </w:pPr>
    </w:lvl>
    <w:lvl w:ilvl="4" w:tplc="A4968B38">
      <w:start w:val="1"/>
      <w:numFmt w:val="decimal"/>
      <w:lvlText w:val="%5."/>
      <w:lvlJc w:val="left"/>
      <w:pPr>
        <w:ind w:left="1020" w:hanging="360"/>
      </w:pPr>
    </w:lvl>
    <w:lvl w:ilvl="5" w:tplc="567E7204">
      <w:start w:val="1"/>
      <w:numFmt w:val="decimal"/>
      <w:lvlText w:val="%6."/>
      <w:lvlJc w:val="left"/>
      <w:pPr>
        <w:ind w:left="1020" w:hanging="360"/>
      </w:pPr>
    </w:lvl>
    <w:lvl w:ilvl="6" w:tplc="9D764A6E">
      <w:start w:val="1"/>
      <w:numFmt w:val="decimal"/>
      <w:lvlText w:val="%7."/>
      <w:lvlJc w:val="left"/>
      <w:pPr>
        <w:ind w:left="1020" w:hanging="360"/>
      </w:pPr>
    </w:lvl>
    <w:lvl w:ilvl="7" w:tplc="BAC81DC2">
      <w:start w:val="1"/>
      <w:numFmt w:val="decimal"/>
      <w:lvlText w:val="%8."/>
      <w:lvlJc w:val="left"/>
      <w:pPr>
        <w:ind w:left="1020" w:hanging="360"/>
      </w:pPr>
    </w:lvl>
    <w:lvl w:ilvl="8" w:tplc="E3D4D812">
      <w:start w:val="1"/>
      <w:numFmt w:val="decimal"/>
      <w:lvlText w:val="%9."/>
      <w:lvlJc w:val="left"/>
      <w:pPr>
        <w:ind w:left="1020" w:hanging="360"/>
      </w:pPr>
    </w:lvl>
  </w:abstractNum>
  <w:abstractNum w:abstractNumId="11" w15:restartNumberingAfterBreak="0">
    <w:nsid w:val="016C4216"/>
    <w:multiLevelType w:val="hybridMultilevel"/>
    <w:tmpl w:val="2686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300C6B"/>
    <w:multiLevelType w:val="hybridMultilevel"/>
    <w:tmpl w:val="28EC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E9505E"/>
    <w:multiLevelType w:val="multilevel"/>
    <w:tmpl w:val="1548B936"/>
    <w:lvl w:ilvl="0">
      <w:start w:val="1"/>
      <w:numFmt w:val="decimal"/>
      <w:lvlText w:val="%1."/>
      <w:lvlJc w:val="left"/>
      <w:pPr>
        <w:tabs>
          <w:tab w:val="num" w:pos="720"/>
        </w:tabs>
        <w:ind w:left="720" w:hanging="360"/>
      </w:pPr>
      <w:rPr>
        <w:rFonts w:hint="default"/>
        <w:b/>
        <w:bCs/>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05517E"/>
    <w:multiLevelType w:val="hybridMultilevel"/>
    <w:tmpl w:val="2AD45C66"/>
    <w:lvl w:ilvl="0" w:tplc="4D2625D0">
      <w:start w:val="1"/>
      <w:numFmt w:val="decimal"/>
      <w:lvlText w:val="%1."/>
      <w:lvlJc w:val="left"/>
      <w:pPr>
        <w:ind w:left="1020" w:hanging="360"/>
      </w:pPr>
    </w:lvl>
    <w:lvl w:ilvl="1" w:tplc="F19CAB04">
      <w:start w:val="1"/>
      <w:numFmt w:val="decimal"/>
      <w:lvlText w:val="%2."/>
      <w:lvlJc w:val="left"/>
      <w:pPr>
        <w:ind w:left="1020" w:hanging="360"/>
      </w:pPr>
    </w:lvl>
    <w:lvl w:ilvl="2" w:tplc="47028AAA">
      <w:start w:val="1"/>
      <w:numFmt w:val="decimal"/>
      <w:lvlText w:val="%3."/>
      <w:lvlJc w:val="left"/>
      <w:pPr>
        <w:ind w:left="1020" w:hanging="360"/>
      </w:pPr>
    </w:lvl>
    <w:lvl w:ilvl="3" w:tplc="46E04AF4">
      <w:start w:val="1"/>
      <w:numFmt w:val="decimal"/>
      <w:lvlText w:val="%4."/>
      <w:lvlJc w:val="left"/>
      <w:pPr>
        <w:ind w:left="1020" w:hanging="360"/>
      </w:pPr>
    </w:lvl>
    <w:lvl w:ilvl="4" w:tplc="EF74E8BE">
      <w:start w:val="1"/>
      <w:numFmt w:val="decimal"/>
      <w:lvlText w:val="%5."/>
      <w:lvlJc w:val="left"/>
      <w:pPr>
        <w:ind w:left="1020" w:hanging="360"/>
      </w:pPr>
    </w:lvl>
    <w:lvl w:ilvl="5" w:tplc="5B50963A">
      <w:start w:val="1"/>
      <w:numFmt w:val="decimal"/>
      <w:lvlText w:val="%6."/>
      <w:lvlJc w:val="left"/>
      <w:pPr>
        <w:ind w:left="1020" w:hanging="360"/>
      </w:pPr>
    </w:lvl>
    <w:lvl w:ilvl="6" w:tplc="DCB2524A">
      <w:start w:val="1"/>
      <w:numFmt w:val="decimal"/>
      <w:lvlText w:val="%7."/>
      <w:lvlJc w:val="left"/>
      <w:pPr>
        <w:ind w:left="1020" w:hanging="360"/>
      </w:pPr>
    </w:lvl>
    <w:lvl w:ilvl="7" w:tplc="52944BE4">
      <w:start w:val="1"/>
      <w:numFmt w:val="decimal"/>
      <w:lvlText w:val="%8."/>
      <w:lvlJc w:val="left"/>
      <w:pPr>
        <w:ind w:left="1020" w:hanging="360"/>
      </w:pPr>
    </w:lvl>
    <w:lvl w:ilvl="8" w:tplc="DCECFBC8">
      <w:start w:val="1"/>
      <w:numFmt w:val="decimal"/>
      <w:lvlText w:val="%9."/>
      <w:lvlJc w:val="left"/>
      <w:pPr>
        <w:ind w:left="1020" w:hanging="360"/>
      </w:pPr>
    </w:lvl>
  </w:abstractNum>
  <w:abstractNum w:abstractNumId="15" w15:restartNumberingAfterBreak="0">
    <w:nsid w:val="046F5585"/>
    <w:multiLevelType w:val="hybridMultilevel"/>
    <w:tmpl w:val="8506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06158"/>
    <w:multiLevelType w:val="hybridMultilevel"/>
    <w:tmpl w:val="54D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14BE0"/>
    <w:multiLevelType w:val="hybridMultilevel"/>
    <w:tmpl w:val="EB32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076DDC"/>
    <w:multiLevelType w:val="hybridMultilevel"/>
    <w:tmpl w:val="A4B2A9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0F380EF2"/>
    <w:multiLevelType w:val="hybridMultilevel"/>
    <w:tmpl w:val="F4E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85FE5"/>
    <w:multiLevelType w:val="hybridMultilevel"/>
    <w:tmpl w:val="191E17B8"/>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A6AFF"/>
    <w:multiLevelType w:val="hybridMultilevel"/>
    <w:tmpl w:val="2BA81ED8"/>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B124C"/>
    <w:multiLevelType w:val="hybridMultilevel"/>
    <w:tmpl w:val="4038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CE3052"/>
    <w:multiLevelType w:val="hybridMultilevel"/>
    <w:tmpl w:val="EC6C9A2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C117F3"/>
    <w:multiLevelType w:val="hybridMultilevel"/>
    <w:tmpl w:val="DA522262"/>
    <w:lvl w:ilvl="0" w:tplc="7E0AE39E">
      <w:start w:val="1"/>
      <w:numFmt w:val="decimal"/>
      <w:lvlText w:val="%1."/>
      <w:lvlJc w:val="left"/>
      <w:pPr>
        <w:ind w:left="1020" w:hanging="360"/>
      </w:pPr>
    </w:lvl>
    <w:lvl w:ilvl="1" w:tplc="E54A0888">
      <w:start w:val="1"/>
      <w:numFmt w:val="decimal"/>
      <w:lvlText w:val="%2."/>
      <w:lvlJc w:val="left"/>
      <w:pPr>
        <w:ind w:left="1020" w:hanging="360"/>
      </w:pPr>
    </w:lvl>
    <w:lvl w:ilvl="2" w:tplc="8E0E30BE">
      <w:start w:val="1"/>
      <w:numFmt w:val="decimal"/>
      <w:lvlText w:val="%3."/>
      <w:lvlJc w:val="left"/>
      <w:pPr>
        <w:ind w:left="1020" w:hanging="360"/>
      </w:pPr>
    </w:lvl>
    <w:lvl w:ilvl="3" w:tplc="7444E888">
      <w:start w:val="1"/>
      <w:numFmt w:val="decimal"/>
      <w:lvlText w:val="%4."/>
      <w:lvlJc w:val="left"/>
      <w:pPr>
        <w:ind w:left="1020" w:hanging="360"/>
      </w:pPr>
    </w:lvl>
    <w:lvl w:ilvl="4" w:tplc="47A4D824">
      <w:start w:val="1"/>
      <w:numFmt w:val="decimal"/>
      <w:lvlText w:val="%5."/>
      <w:lvlJc w:val="left"/>
      <w:pPr>
        <w:ind w:left="1020" w:hanging="360"/>
      </w:pPr>
    </w:lvl>
    <w:lvl w:ilvl="5" w:tplc="9D9048CE">
      <w:start w:val="1"/>
      <w:numFmt w:val="decimal"/>
      <w:lvlText w:val="%6."/>
      <w:lvlJc w:val="left"/>
      <w:pPr>
        <w:ind w:left="1020" w:hanging="360"/>
      </w:pPr>
    </w:lvl>
    <w:lvl w:ilvl="6" w:tplc="8CEA96CC">
      <w:start w:val="1"/>
      <w:numFmt w:val="decimal"/>
      <w:lvlText w:val="%7."/>
      <w:lvlJc w:val="left"/>
      <w:pPr>
        <w:ind w:left="1020" w:hanging="360"/>
      </w:pPr>
    </w:lvl>
    <w:lvl w:ilvl="7" w:tplc="9C3AFDBC">
      <w:start w:val="1"/>
      <w:numFmt w:val="decimal"/>
      <w:lvlText w:val="%8."/>
      <w:lvlJc w:val="left"/>
      <w:pPr>
        <w:ind w:left="1020" w:hanging="360"/>
      </w:pPr>
    </w:lvl>
    <w:lvl w:ilvl="8" w:tplc="DBC846FA">
      <w:start w:val="1"/>
      <w:numFmt w:val="decimal"/>
      <w:lvlText w:val="%9."/>
      <w:lvlJc w:val="left"/>
      <w:pPr>
        <w:ind w:left="1020" w:hanging="360"/>
      </w:pPr>
    </w:lvl>
  </w:abstractNum>
  <w:abstractNum w:abstractNumId="25" w15:restartNumberingAfterBreak="0">
    <w:nsid w:val="1C8847FA"/>
    <w:multiLevelType w:val="hybridMultilevel"/>
    <w:tmpl w:val="E914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06A88"/>
    <w:multiLevelType w:val="hybridMultilevel"/>
    <w:tmpl w:val="CD8A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7D2093"/>
    <w:multiLevelType w:val="hybridMultilevel"/>
    <w:tmpl w:val="DBCA4CB6"/>
    <w:lvl w:ilvl="0" w:tplc="3B0EFCDE">
      <w:start w:val="1"/>
      <w:numFmt w:val="decimal"/>
      <w:lvlText w:val="%1."/>
      <w:lvlJc w:val="left"/>
      <w:pPr>
        <w:ind w:left="1020" w:hanging="360"/>
      </w:pPr>
    </w:lvl>
    <w:lvl w:ilvl="1" w:tplc="8C3442AA">
      <w:start w:val="1"/>
      <w:numFmt w:val="decimal"/>
      <w:lvlText w:val="%2."/>
      <w:lvlJc w:val="left"/>
      <w:pPr>
        <w:ind w:left="1020" w:hanging="360"/>
      </w:pPr>
    </w:lvl>
    <w:lvl w:ilvl="2" w:tplc="C68C6146">
      <w:start w:val="1"/>
      <w:numFmt w:val="decimal"/>
      <w:lvlText w:val="%3."/>
      <w:lvlJc w:val="left"/>
      <w:pPr>
        <w:ind w:left="1020" w:hanging="360"/>
      </w:pPr>
    </w:lvl>
    <w:lvl w:ilvl="3" w:tplc="34E80A9C">
      <w:start w:val="1"/>
      <w:numFmt w:val="decimal"/>
      <w:lvlText w:val="%4."/>
      <w:lvlJc w:val="left"/>
      <w:pPr>
        <w:ind w:left="1020" w:hanging="360"/>
      </w:pPr>
    </w:lvl>
    <w:lvl w:ilvl="4" w:tplc="3F0E877E">
      <w:start w:val="1"/>
      <w:numFmt w:val="decimal"/>
      <w:lvlText w:val="%5."/>
      <w:lvlJc w:val="left"/>
      <w:pPr>
        <w:ind w:left="1020" w:hanging="360"/>
      </w:pPr>
    </w:lvl>
    <w:lvl w:ilvl="5" w:tplc="78B06A9C">
      <w:start w:val="1"/>
      <w:numFmt w:val="decimal"/>
      <w:lvlText w:val="%6."/>
      <w:lvlJc w:val="left"/>
      <w:pPr>
        <w:ind w:left="1020" w:hanging="360"/>
      </w:pPr>
    </w:lvl>
    <w:lvl w:ilvl="6" w:tplc="5596BFDC">
      <w:start w:val="1"/>
      <w:numFmt w:val="decimal"/>
      <w:lvlText w:val="%7."/>
      <w:lvlJc w:val="left"/>
      <w:pPr>
        <w:ind w:left="1020" w:hanging="360"/>
      </w:pPr>
    </w:lvl>
    <w:lvl w:ilvl="7" w:tplc="E188B122">
      <w:start w:val="1"/>
      <w:numFmt w:val="decimal"/>
      <w:lvlText w:val="%8."/>
      <w:lvlJc w:val="left"/>
      <w:pPr>
        <w:ind w:left="1020" w:hanging="360"/>
      </w:pPr>
    </w:lvl>
    <w:lvl w:ilvl="8" w:tplc="1040A3E4">
      <w:start w:val="1"/>
      <w:numFmt w:val="decimal"/>
      <w:lvlText w:val="%9."/>
      <w:lvlJc w:val="left"/>
      <w:pPr>
        <w:ind w:left="1020" w:hanging="360"/>
      </w:pPr>
    </w:lvl>
  </w:abstractNum>
  <w:abstractNum w:abstractNumId="28" w15:restartNumberingAfterBreak="0">
    <w:nsid w:val="23BD406B"/>
    <w:multiLevelType w:val="hybridMultilevel"/>
    <w:tmpl w:val="1C54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6247B7"/>
    <w:multiLevelType w:val="hybridMultilevel"/>
    <w:tmpl w:val="4F0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E02D11"/>
    <w:multiLevelType w:val="hybridMultilevel"/>
    <w:tmpl w:val="5D366E3E"/>
    <w:lvl w:ilvl="0" w:tplc="C55E64B8">
      <w:start w:val="1"/>
      <w:numFmt w:val="decimal"/>
      <w:lvlText w:val="%1."/>
      <w:lvlJc w:val="left"/>
      <w:pPr>
        <w:ind w:left="1020" w:hanging="360"/>
      </w:pPr>
    </w:lvl>
    <w:lvl w:ilvl="1" w:tplc="73E80642">
      <w:start w:val="1"/>
      <w:numFmt w:val="decimal"/>
      <w:lvlText w:val="%2."/>
      <w:lvlJc w:val="left"/>
      <w:pPr>
        <w:ind w:left="1020" w:hanging="360"/>
      </w:pPr>
    </w:lvl>
    <w:lvl w:ilvl="2" w:tplc="78C22516">
      <w:start w:val="1"/>
      <w:numFmt w:val="decimal"/>
      <w:lvlText w:val="%3."/>
      <w:lvlJc w:val="left"/>
      <w:pPr>
        <w:ind w:left="1020" w:hanging="360"/>
      </w:pPr>
    </w:lvl>
    <w:lvl w:ilvl="3" w:tplc="2E281A48">
      <w:start w:val="1"/>
      <w:numFmt w:val="decimal"/>
      <w:lvlText w:val="%4."/>
      <w:lvlJc w:val="left"/>
      <w:pPr>
        <w:ind w:left="1020" w:hanging="360"/>
      </w:pPr>
    </w:lvl>
    <w:lvl w:ilvl="4" w:tplc="AD0C1A5C">
      <w:start w:val="1"/>
      <w:numFmt w:val="decimal"/>
      <w:lvlText w:val="%5."/>
      <w:lvlJc w:val="left"/>
      <w:pPr>
        <w:ind w:left="1020" w:hanging="360"/>
      </w:pPr>
    </w:lvl>
    <w:lvl w:ilvl="5" w:tplc="9E42B916">
      <w:start w:val="1"/>
      <w:numFmt w:val="decimal"/>
      <w:lvlText w:val="%6."/>
      <w:lvlJc w:val="left"/>
      <w:pPr>
        <w:ind w:left="1020" w:hanging="360"/>
      </w:pPr>
    </w:lvl>
    <w:lvl w:ilvl="6" w:tplc="2C90DA2A">
      <w:start w:val="1"/>
      <w:numFmt w:val="decimal"/>
      <w:lvlText w:val="%7."/>
      <w:lvlJc w:val="left"/>
      <w:pPr>
        <w:ind w:left="1020" w:hanging="360"/>
      </w:pPr>
    </w:lvl>
    <w:lvl w:ilvl="7" w:tplc="07F83950">
      <w:start w:val="1"/>
      <w:numFmt w:val="decimal"/>
      <w:lvlText w:val="%8."/>
      <w:lvlJc w:val="left"/>
      <w:pPr>
        <w:ind w:left="1020" w:hanging="360"/>
      </w:pPr>
    </w:lvl>
    <w:lvl w:ilvl="8" w:tplc="3AC04986">
      <w:start w:val="1"/>
      <w:numFmt w:val="decimal"/>
      <w:lvlText w:val="%9."/>
      <w:lvlJc w:val="left"/>
      <w:pPr>
        <w:ind w:left="1020" w:hanging="360"/>
      </w:pPr>
    </w:lvl>
  </w:abstractNum>
  <w:abstractNum w:abstractNumId="31" w15:restartNumberingAfterBreak="0">
    <w:nsid w:val="286612FA"/>
    <w:multiLevelType w:val="hybridMultilevel"/>
    <w:tmpl w:val="8C46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881574"/>
    <w:multiLevelType w:val="hybridMultilevel"/>
    <w:tmpl w:val="9026A50E"/>
    <w:lvl w:ilvl="0" w:tplc="993AC74A">
      <w:start w:val="1"/>
      <w:numFmt w:val="decimal"/>
      <w:lvlText w:val="%1."/>
      <w:lvlJc w:val="left"/>
      <w:pPr>
        <w:ind w:left="1020" w:hanging="360"/>
      </w:pPr>
    </w:lvl>
    <w:lvl w:ilvl="1" w:tplc="14FC58F4">
      <w:start w:val="1"/>
      <w:numFmt w:val="decimal"/>
      <w:lvlText w:val="%2."/>
      <w:lvlJc w:val="left"/>
      <w:pPr>
        <w:ind w:left="1020" w:hanging="360"/>
      </w:pPr>
    </w:lvl>
    <w:lvl w:ilvl="2" w:tplc="F452AE46">
      <w:start w:val="1"/>
      <w:numFmt w:val="decimal"/>
      <w:lvlText w:val="%3."/>
      <w:lvlJc w:val="left"/>
      <w:pPr>
        <w:ind w:left="1020" w:hanging="360"/>
      </w:pPr>
    </w:lvl>
    <w:lvl w:ilvl="3" w:tplc="362A5F5A">
      <w:start w:val="1"/>
      <w:numFmt w:val="decimal"/>
      <w:lvlText w:val="%4."/>
      <w:lvlJc w:val="left"/>
      <w:pPr>
        <w:ind w:left="1020" w:hanging="360"/>
      </w:pPr>
    </w:lvl>
    <w:lvl w:ilvl="4" w:tplc="79B4778A">
      <w:start w:val="1"/>
      <w:numFmt w:val="decimal"/>
      <w:lvlText w:val="%5."/>
      <w:lvlJc w:val="left"/>
      <w:pPr>
        <w:ind w:left="1020" w:hanging="360"/>
      </w:pPr>
    </w:lvl>
    <w:lvl w:ilvl="5" w:tplc="76F28C86">
      <w:start w:val="1"/>
      <w:numFmt w:val="decimal"/>
      <w:lvlText w:val="%6."/>
      <w:lvlJc w:val="left"/>
      <w:pPr>
        <w:ind w:left="1020" w:hanging="360"/>
      </w:pPr>
    </w:lvl>
    <w:lvl w:ilvl="6" w:tplc="81787122">
      <w:start w:val="1"/>
      <w:numFmt w:val="decimal"/>
      <w:lvlText w:val="%7."/>
      <w:lvlJc w:val="left"/>
      <w:pPr>
        <w:ind w:left="1020" w:hanging="360"/>
      </w:pPr>
    </w:lvl>
    <w:lvl w:ilvl="7" w:tplc="BEC66B68">
      <w:start w:val="1"/>
      <w:numFmt w:val="decimal"/>
      <w:lvlText w:val="%8."/>
      <w:lvlJc w:val="left"/>
      <w:pPr>
        <w:ind w:left="1020" w:hanging="360"/>
      </w:pPr>
    </w:lvl>
    <w:lvl w:ilvl="8" w:tplc="FDA89BCE">
      <w:start w:val="1"/>
      <w:numFmt w:val="decimal"/>
      <w:lvlText w:val="%9."/>
      <w:lvlJc w:val="left"/>
      <w:pPr>
        <w:ind w:left="1020" w:hanging="360"/>
      </w:pPr>
    </w:lvl>
  </w:abstractNum>
  <w:abstractNum w:abstractNumId="33" w15:restartNumberingAfterBreak="0">
    <w:nsid w:val="2FA216C1"/>
    <w:multiLevelType w:val="hybridMultilevel"/>
    <w:tmpl w:val="3E6658D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8675F"/>
    <w:multiLevelType w:val="hybridMultilevel"/>
    <w:tmpl w:val="0ACC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CC1D46"/>
    <w:multiLevelType w:val="hybridMultilevel"/>
    <w:tmpl w:val="96F2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5E3513"/>
    <w:multiLevelType w:val="hybridMultilevel"/>
    <w:tmpl w:val="A55C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CA1584"/>
    <w:multiLevelType w:val="hybridMultilevel"/>
    <w:tmpl w:val="553C5F40"/>
    <w:lvl w:ilvl="0" w:tplc="8A7404B4">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464730"/>
    <w:multiLevelType w:val="hybridMultilevel"/>
    <w:tmpl w:val="8EE6B346"/>
    <w:lvl w:ilvl="0" w:tplc="03E83162">
      <w:start w:val="1"/>
      <w:numFmt w:val="decimal"/>
      <w:lvlText w:val="%1."/>
      <w:lvlJc w:val="left"/>
      <w:pPr>
        <w:ind w:left="1020" w:hanging="360"/>
      </w:pPr>
    </w:lvl>
    <w:lvl w:ilvl="1" w:tplc="E9EEE120">
      <w:start w:val="1"/>
      <w:numFmt w:val="decimal"/>
      <w:lvlText w:val="%2."/>
      <w:lvlJc w:val="left"/>
      <w:pPr>
        <w:ind w:left="1020" w:hanging="360"/>
      </w:pPr>
    </w:lvl>
    <w:lvl w:ilvl="2" w:tplc="41AE2994">
      <w:start w:val="1"/>
      <w:numFmt w:val="decimal"/>
      <w:lvlText w:val="%3."/>
      <w:lvlJc w:val="left"/>
      <w:pPr>
        <w:ind w:left="1020" w:hanging="360"/>
      </w:pPr>
    </w:lvl>
    <w:lvl w:ilvl="3" w:tplc="930219CC">
      <w:start w:val="1"/>
      <w:numFmt w:val="decimal"/>
      <w:lvlText w:val="%4."/>
      <w:lvlJc w:val="left"/>
      <w:pPr>
        <w:ind w:left="1020" w:hanging="360"/>
      </w:pPr>
    </w:lvl>
    <w:lvl w:ilvl="4" w:tplc="271A73C2">
      <w:start w:val="1"/>
      <w:numFmt w:val="decimal"/>
      <w:lvlText w:val="%5."/>
      <w:lvlJc w:val="left"/>
      <w:pPr>
        <w:ind w:left="1020" w:hanging="360"/>
      </w:pPr>
    </w:lvl>
    <w:lvl w:ilvl="5" w:tplc="5CD6DD44">
      <w:start w:val="1"/>
      <w:numFmt w:val="decimal"/>
      <w:lvlText w:val="%6."/>
      <w:lvlJc w:val="left"/>
      <w:pPr>
        <w:ind w:left="1020" w:hanging="360"/>
      </w:pPr>
    </w:lvl>
    <w:lvl w:ilvl="6" w:tplc="F7C85E18">
      <w:start w:val="1"/>
      <w:numFmt w:val="decimal"/>
      <w:lvlText w:val="%7."/>
      <w:lvlJc w:val="left"/>
      <w:pPr>
        <w:ind w:left="1020" w:hanging="360"/>
      </w:pPr>
    </w:lvl>
    <w:lvl w:ilvl="7" w:tplc="30582116">
      <w:start w:val="1"/>
      <w:numFmt w:val="decimal"/>
      <w:lvlText w:val="%8."/>
      <w:lvlJc w:val="left"/>
      <w:pPr>
        <w:ind w:left="1020" w:hanging="360"/>
      </w:pPr>
    </w:lvl>
    <w:lvl w:ilvl="8" w:tplc="AA96D2AA">
      <w:start w:val="1"/>
      <w:numFmt w:val="decimal"/>
      <w:lvlText w:val="%9."/>
      <w:lvlJc w:val="left"/>
      <w:pPr>
        <w:ind w:left="1020" w:hanging="360"/>
      </w:pPr>
    </w:lvl>
  </w:abstractNum>
  <w:abstractNum w:abstractNumId="39" w15:restartNumberingAfterBreak="0">
    <w:nsid w:val="39C913BA"/>
    <w:multiLevelType w:val="hybridMultilevel"/>
    <w:tmpl w:val="EBEC6C3E"/>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A84C2A"/>
    <w:multiLevelType w:val="hybridMultilevel"/>
    <w:tmpl w:val="F1FA94BA"/>
    <w:lvl w:ilvl="0" w:tplc="74324794">
      <w:start w:val="1"/>
      <w:numFmt w:val="bullet"/>
      <w:pStyle w:val="ICFBullet1"/>
      <w:lvlText w:val=""/>
      <w:lvlJc w:val="left"/>
      <w:pPr>
        <w:ind w:left="720" w:hanging="360"/>
      </w:pPr>
      <w:rPr>
        <w:rFonts w:ascii="Symbol" w:hAnsi="Symbol" w:hint="default"/>
      </w:rPr>
    </w:lvl>
    <w:lvl w:ilvl="1" w:tplc="4906F6C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28108F"/>
    <w:multiLevelType w:val="hybridMultilevel"/>
    <w:tmpl w:val="FC62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845951"/>
    <w:multiLevelType w:val="hybridMultilevel"/>
    <w:tmpl w:val="689E0D10"/>
    <w:lvl w:ilvl="0" w:tplc="9C108D8E">
      <w:start w:val="1"/>
      <w:numFmt w:val="decimal"/>
      <w:lvlText w:val="%1."/>
      <w:lvlJc w:val="left"/>
      <w:pPr>
        <w:ind w:left="1020" w:hanging="360"/>
      </w:pPr>
    </w:lvl>
    <w:lvl w:ilvl="1" w:tplc="E9121A32">
      <w:start w:val="1"/>
      <w:numFmt w:val="decimal"/>
      <w:lvlText w:val="%2."/>
      <w:lvlJc w:val="left"/>
      <w:pPr>
        <w:ind w:left="1020" w:hanging="360"/>
      </w:pPr>
    </w:lvl>
    <w:lvl w:ilvl="2" w:tplc="4D2C1260">
      <w:start w:val="1"/>
      <w:numFmt w:val="decimal"/>
      <w:lvlText w:val="%3."/>
      <w:lvlJc w:val="left"/>
      <w:pPr>
        <w:ind w:left="1020" w:hanging="360"/>
      </w:pPr>
    </w:lvl>
    <w:lvl w:ilvl="3" w:tplc="6CD0D04A">
      <w:start w:val="1"/>
      <w:numFmt w:val="decimal"/>
      <w:lvlText w:val="%4."/>
      <w:lvlJc w:val="left"/>
      <w:pPr>
        <w:ind w:left="1020" w:hanging="360"/>
      </w:pPr>
    </w:lvl>
    <w:lvl w:ilvl="4" w:tplc="43F4551E">
      <w:start w:val="1"/>
      <w:numFmt w:val="decimal"/>
      <w:lvlText w:val="%5."/>
      <w:lvlJc w:val="left"/>
      <w:pPr>
        <w:ind w:left="1020" w:hanging="360"/>
      </w:pPr>
    </w:lvl>
    <w:lvl w:ilvl="5" w:tplc="CF72D230">
      <w:start w:val="1"/>
      <w:numFmt w:val="decimal"/>
      <w:lvlText w:val="%6."/>
      <w:lvlJc w:val="left"/>
      <w:pPr>
        <w:ind w:left="1020" w:hanging="360"/>
      </w:pPr>
    </w:lvl>
    <w:lvl w:ilvl="6" w:tplc="1070F0C8">
      <w:start w:val="1"/>
      <w:numFmt w:val="decimal"/>
      <w:lvlText w:val="%7."/>
      <w:lvlJc w:val="left"/>
      <w:pPr>
        <w:ind w:left="1020" w:hanging="360"/>
      </w:pPr>
    </w:lvl>
    <w:lvl w:ilvl="7" w:tplc="DFDECC98">
      <w:start w:val="1"/>
      <w:numFmt w:val="decimal"/>
      <w:lvlText w:val="%8."/>
      <w:lvlJc w:val="left"/>
      <w:pPr>
        <w:ind w:left="1020" w:hanging="360"/>
      </w:pPr>
    </w:lvl>
    <w:lvl w:ilvl="8" w:tplc="7C58DCC2">
      <w:start w:val="1"/>
      <w:numFmt w:val="decimal"/>
      <w:lvlText w:val="%9."/>
      <w:lvlJc w:val="left"/>
      <w:pPr>
        <w:ind w:left="1020" w:hanging="360"/>
      </w:pPr>
    </w:lvl>
  </w:abstractNum>
  <w:abstractNum w:abstractNumId="43" w15:restartNumberingAfterBreak="0">
    <w:nsid w:val="410051AB"/>
    <w:multiLevelType w:val="hybridMultilevel"/>
    <w:tmpl w:val="6E8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246D9F"/>
    <w:multiLevelType w:val="hybridMultilevel"/>
    <w:tmpl w:val="7F46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701F0B"/>
    <w:multiLevelType w:val="hybridMultilevel"/>
    <w:tmpl w:val="2C2C187C"/>
    <w:lvl w:ilvl="0" w:tplc="AF7A4B28">
      <w:start w:val="1"/>
      <w:numFmt w:val="decimal"/>
      <w:lvlText w:val="%1."/>
      <w:lvlJc w:val="left"/>
      <w:pPr>
        <w:ind w:left="1020" w:hanging="360"/>
      </w:pPr>
    </w:lvl>
    <w:lvl w:ilvl="1" w:tplc="CB34491E">
      <w:start w:val="1"/>
      <w:numFmt w:val="decimal"/>
      <w:lvlText w:val="%2."/>
      <w:lvlJc w:val="left"/>
      <w:pPr>
        <w:ind w:left="1020" w:hanging="360"/>
      </w:pPr>
    </w:lvl>
    <w:lvl w:ilvl="2" w:tplc="715C420C">
      <w:start w:val="1"/>
      <w:numFmt w:val="decimal"/>
      <w:lvlText w:val="%3."/>
      <w:lvlJc w:val="left"/>
      <w:pPr>
        <w:ind w:left="1020" w:hanging="360"/>
      </w:pPr>
    </w:lvl>
    <w:lvl w:ilvl="3" w:tplc="2CDE9B92">
      <w:start w:val="1"/>
      <w:numFmt w:val="decimal"/>
      <w:lvlText w:val="%4."/>
      <w:lvlJc w:val="left"/>
      <w:pPr>
        <w:ind w:left="1020" w:hanging="360"/>
      </w:pPr>
    </w:lvl>
    <w:lvl w:ilvl="4" w:tplc="AA9CA228">
      <w:start w:val="1"/>
      <w:numFmt w:val="decimal"/>
      <w:lvlText w:val="%5."/>
      <w:lvlJc w:val="left"/>
      <w:pPr>
        <w:ind w:left="1020" w:hanging="360"/>
      </w:pPr>
    </w:lvl>
    <w:lvl w:ilvl="5" w:tplc="7EF29182">
      <w:start w:val="1"/>
      <w:numFmt w:val="decimal"/>
      <w:lvlText w:val="%6."/>
      <w:lvlJc w:val="left"/>
      <w:pPr>
        <w:ind w:left="1020" w:hanging="360"/>
      </w:pPr>
    </w:lvl>
    <w:lvl w:ilvl="6" w:tplc="978C7C9E">
      <w:start w:val="1"/>
      <w:numFmt w:val="decimal"/>
      <w:lvlText w:val="%7."/>
      <w:lvlJc w:val="left"/>
      <w:pPr>
        <w:ind w:left="1020" w:hanging="360"/>
      </w:pPr>
    </w:lvl>
    <w:lvl w:ilvl="7" w:tplc="16ECC1AA">
      <w:start w:val="1"/>
      <w:numFmt w:val="decimal"/>
      <w:lvlText w:val="%8."/>
      <w:lvlJc w:val="left"/>
      <w:pPr>
        <w:ind w:left="1020" w:hanging="360"/>
      </w:pPr>
    </w:lvl>
    <w:lvl w:ilvl="8" w:tplc="42F6537C">
      <w:start w:val="1"/>
      <w:numFmt w:val="decimal"/>
      <w:lvlText w:val="%9."/>
      <w:lvlJc w:val="left"/>
      <w:pPr>
        <w:ind w:left="1020" w:hanging="360"/>
      </w:pPr>
    </w:lvl>
  </w:abstractNum>
  <w:abstractNum w:abstractNumId="46" w15:restartNumberingAfterBreak="0">
    <w:nsid w:val="49A9276E"/>
    <w:multiLevelType w:val="hybridMultilevel"/>
    <w:tmpl w:val="DC52C86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15:restartNumberingAfterBreak="0">
    <w:nsid w:val="4B4E2CEB"/>
    <w:multiLevelType w:val="hybridMultilevel"/>
    <w:tmpl w:val="FBC6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A16F9A"/>
    <w:multiLevelType w:val="hybridMultilevel"/>
    <w:tmpl w:val="6194C754"/>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3775F"/>
    <w:multiLevelType w:val="hybridMultilevel"/>
    <w:tmpl w:val="2C7E5CEC"/>
    <w:lvl w:ilvl="0" w:tplc="65E8E5B8">
      <w:start w:val="1"/>
      <w:numFmt w:val="decimal"/>
      <w:pStyle w:val="Appendix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8F459FD"/>
    <w:multiLevelType w:val="multilevel"/>
    <w:tmpl w:val="EFB6E0C4"/>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120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C33632F"/>
    <w:multiLevelType w:val="hybridMultilevel"/>
    <w:tmpl w:val="5B181E90"/>
    <w:lvl w:ilvl="0" w:tplc="00B47AF0">
      <w:start w:val="1"/>
      <w:numFmt w:val="upperLetter"/>
      <w:pStyle w:val="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FF43DE"/>
    <w:multiLevelType w:val="hybridMultilevel"/>
    <w:tmpl w:val="C776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65ACA"/>
    <w:multiLevelType w:val="hybridMultilevel"/>
    <w:tmpl w:val="8CD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217496"/>
    <w:multiLevelType w:val="hybridMultilevel"/>
    <w:tmpl w:val="BA84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4E4584"/>
    <w:multiLevelType w:val="hybridMultilevel"/>
    <w:tmpl w:val="6C22B20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8C05C39"/>
    <w:multiLevelType w:val="hybridMultilevel"/>
    <w:tmpl w:val="906AD4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7" w15:restartNumberingAfterBreak="0">
    <w:nsid w:val="6CFD7E32"/>
    <w:multiLevelType w:val="hybridMultilevel"/>
    <w:tmpl w:val="0E5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8E3B29"/>
    <w:multiLevelType w:val="hybridMultilevel"/>
    <w:tmpl w:val="B376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6F3434"/>
    <w:multiLevelType w:val="hybridMultilevel"/>
    <w:tmpl w:val="C832D6FA"/>
    <w:lvl w:ilvl="0" w:tplc="D18A4214">
      <w:start w:val="1"/>
      <w:numFmt w:val="decimal"/>
      <w:lvlText w:val="%1."/>
      <w:lvlJc w:val="left"/>
      <w:pPr>
        <w:ind w:left="1020" w:hanging="360"/>
      </w:pPr>
    </w:lvl>
    <w:lvl w:ilvl="1" w:tplc="5F666282">
      <w:start w:val="1"/>
      <w:numFmt w:val="decimal"/>
      <w:lvlText w:val="%2."/>
      <w:lvlJc w:val="left"/>
      <w:pPr>
        <w:ind w:left="1020" w:hanging="360"/>
      </w:pPr>
    </w:lvl>
    <w:lvl w:ilvl="2" w:tplc="7D489298">
      <w:start w:val="1"/>
      <w:numFmt w:val="decimal"/>
      <w:lvlText w:val="%3."/>
      <w:lvlJc w:val="left"/>
      <w:pPr>
        <w:ind w:left="1020" w:hanging="360"/>
      </w:pPr>
    </w:lvl>
    <w:lvl w:ilvl="3" w:tplc="57666C42">
      <w:start w:val="1"/>
      <w:numFmt w:val="decimal"/>
      <w:lvlText w:val="%4."/>
      <w:lvlJc w:val="left"/>
      <w:pPr>
        <w:ind w:left="1020" w:hanging="360"/>
      </w:pPr>
    </w:lvl>
    <w:lvl w:ilvl="4" w:tplc="77C06674">
      <w:start w:val="1"/>
      <w:numFmt w:val="decimal"/>
      <w:lvlText w:val="%5."/>
      <w:lvlJc w:val="left"/>
      <w:pPr>
        <w:ind w:left="1020" w:hanging="360"/>
      </w:pPr>
    </w:lvl>
    <w:lvl w:ilvl="5" w:tplc="0FE40D38">
      <w:start w:val="1"/>
      <w:numFmt w:val="decimal"/>
      <w:lvlText w:val="%6."/>
      <w:lvlJc w:val="left"/>
      <w:pPr>
        <w:ind w:left="1020" w:hanging="360"/>
      </w:pPr>
    </w:lvl>
    <w:lvl w:ilvl="6" w:tplc="6B90FD88">
      <w:start w:val="1"/>
      <w:numFmt w:val="decimal"/>
      <w:lvlText w:val="%7."/>
      <w:lvlJc w:val="left"/>
      <w:pPr>
        <w:ind w:left="1020" w:hanging="360"/>
      </w:pPr>
    </w:lvl>
    <w:lvl w:ilvl="7" w:tplc="15F264A0">
      <w:start w:val="1"/>
      <w:numFmt w:val="decimal"/>
      <w:lvlText w:val="%8."/>
      <w:lvlJc w:val="left"/>
      <w:pPr>
        <w:ind w:left="1020" w:hanging="360"/>
      </w:pPr>
    </w:lvl>
    <w:lvl w:ilvl="8" w:tplc="E3AA7E2A">
      <w:start w:val="1"/>
      <w:numFmt w:val="decimal"/>
      <w:lvlText w:val="%9."/>
      <w:lvlJc w:val="left"/>
      <w:pPr>
        <w:ind w:left="1020" w:hanging="360"/>
      </w:pPr>
    </w:lvl>
  </w:abstractNum>
  <w:abstractNum w:abstractNumId="60" w15:restartNumberingAfterBreak="0">
    <w:nsid w:val="7B3D28B4"/>
    <w:multiLevelType w:val="hybridMultilevel"/>
    <w:tmpl w:val="6C22B20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C522186"/>
    <w:multiLevelType w:val="hybridMultilevel"/>
    <w:tmpl w:val="8888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3C290C"/>
    <w:multiLevelType w:val="hybridMultilevel"/>
    <w:tmpl w:val="D28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10089C"/>
    <w:multiLevelType w:val="hybridMultilevel"/>
    <w:tmpl w:val="D466E0B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CB5BDD"/>
    <w:multiLevelType w:val="hybridMultilevel"/>
    <w:tmpl w:val="EA6018AC"/>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4649052">
    <w:abstractNumId w:val="8"/>
  </w:num>
  <w:num w:numId="2" w16cid:durableId="1264537070">
    <w:abstractNumId w:val="50"/>
  </w:num>
  <w:num w:numId="3" w16cid:durableId="124473334">
    <w:abstractNumId w:val="51"/>
  </w:num>
  <w:num w:numId="4" w16cid:durableId="841702454">
    <w:abstractNumId w:val="52"/>
  </w:num>
  <w:num w:numId="5" w16cid:durableId="1823963554">
    <w:abstractNumId w:val="61"/>
  </w:num>
  <w:num w:numId="6" w16cid:durableId="424613999">
    <w:abstractNumId w:val="19"/>
  </w:num>
  <w:num w:numId="7" w16cid:durableId="2136172368">
    <w:abstractNumId w:val="41"/>
  </w:num>
  <w:num w:numId="8" w16cid:durableId="125782731">
    <w:abstractNumId w:val="9"/>
  </w:num>
  <w:num w:numId="9" w16cid:durableId="260989191">
    <w:abstractNumId w:val="40"/>
  </w:num>
  <w:num w:numId="10" w16cid:durableId="1995526769">
    <w:abstractNumId w:val="57"/>
  </w:num>
  <w:num w:numId="11" w16cid:durableId="601453622">
    <w:abstractNumId w:val="25"/>
  </w:num>
  <w:num w:numId="12" w16cid:durableId="31005090">
    <w:abstractNumId w:val="12"/>
  </w:num>
  <w:num w:numId="13" w16cid:durableId="738215881">
    <w:abstractNumId w:val="55"/>
  </w:num>
  <w:num w:numId="14" w16cid:durableId="266695651">
    <w:abstractNumId w:val="31"/>
  </w:num>
  <w:num w:numId="15" w16cid:durableId="584190592">
    <w:abstractNumId w:val="11"/>
  </w:num>
  <w:num w:numId="16" w16cid:durableId="2004115171">
    <w:abstractNumId w:val="62"/>
  </w:num>
  <w:num w:numId="17" w16cid:durableId="62488537">
    <w:abstractNumId w:val="15"/>
  </w:num>
  <w:num w:numId="18" w16cid:durableId="147402612">
    <w:abstractNumId w:val="34"/>
  </w:num>
  <w:num w:numId="19" w16cid:durableId="1076395548">
    <w:abstractNumId w:val="60"/>
  </w:num>
  <w:num w:numId="20" w16cid:durableId="32118669">
    <w:abstractNumId w:val="43"/>
  </w:num>
  <w:num w:numId="21" w16cid:durableId="699549164">
    <w:abstractNumId w:val="28"/>
  </w:num>
  <w:num w:numId="22" w16cid:durableId="1234316925">
    <w:abstractNumId w:val="35"/>
  </w:num>
  <w:num w:numId="23" w16cid:durableId="2054891101">
    <w:abstractNumId w:val="16"/>
  </w:num>
  <w:num w:numId="24" w16cid:durableId="1900744618">
    <w:abstractNumId w:val="20"/>
  </w:num>
  <w:num w:numId="25" w16cid:durableId="1099255889">
    <w:abstractNumId w:val="64"/>
  </w:num>
  <w:num w:numId="26" w16cid:durableId="578245935">
    <w:abstractNumId w:val="39"/>
  </w:num>
  <w:num w:numId="27" w16cid:durableId="448354467">
    <w:abstractNumId w:val="37"/>
  </w:num>
  <w:num w:numId="28" w16cid:durableId="1905993755">
    <w:abstractNumId w:val="48"/>
  </w:num>
  <w:num w:numId="29" w16cid:durableId="2098094089">
    <w:abstractNumId w:val="63"/>
  </w:num>
  <w:num w:numId="30" w16cid:durableId="1559055629">
    <w:abstractNumId w:val="33"/>
  </w:num>
  <w:num w:numId="31" w16cid:durableId="946304288">
    <w:abstractNumId w:val="23"/>
  </w:num>
  <w:num w:numId="32" w16cid:durableId="444350268">
    <w:abstractNumId w:val="21"/>
  </w:num>
  <w:num w:numId="33" w16cid:durableId="1213154196">
    <w:abstractNumId w:val="13"/>
  </w:num>
  <w:num w:numId="34" w16cid:durableId="99181910">
    <w:abstractNumId w:val="58"/>
  </w:num>
  <w:num w:numId="35" w16cid:durableId="1464732758">
    <w:abstractNumId w:val="51"/>
    <w:lvlOverride w:ilvl="0">
      <w:startOverride w:val="1"/>
    </w:lvlOverride>
  </w:num>
  <w:num w:numId="36" w16cid:durableId="229121933">
    <w:abstractNumId w:val="22"/>
  </w:num>
  <w:num w:numId="37" w16cid:durableId="779688175">
    <w:abstractNumId w:val="47"/>
  </w:num>
  <w:num w:numId="38" w16cid:durableId="676269288">
    <w:abstractNumId w:val="49"/>
  </w:num>
  <w:num w:numId="39" w16cid:durableId="1965769231">
    <w:abstractNumId w:val="17"/>
  </w:num>
  <w:num w:numId="40" w16cid:durableId="1529493056">
    <w:abstractNumId w:val="56"/>
  </w:num>
  <w:num w:numId="41" w16cid:durableId="2074740234">
    <w:abstractNumId w:val="54"/>
  </w:num>
  <w:num w:numId="42" w16cid:durableId="105540839">
    <w:abstractNumId w:val="36"/>
  </w:num>
  <w:num w:numId="43" w16cid:durableId="1129935056">
    <w:abstractNumId w:val="26"/>
  </w:num>
  <w:num w:numId="44" w16cid:durableId="1686206560">
    <w:abstractNumId w:val="44"/>
  </w:num>
  <w:num w:numId="45" w16cid:durableId="2072994766">
    <w:abstractNumId w:val="29"/>
  </w:num>
  <w:num w:numId="46" w16cid:durableId="1424257094">
    <w:abstractNumId w:val="18"/>
  </w:num>
  <w:num w:numId="47" w16cid:durableId="1132675017">
    <w:abstractNumId w:val="7"/>
  </w:num>
  <w:num w:numId="48" w16cid:durableId="281152508">
    <w:abstractNumId w:val="6"/>
  </w:num>
  <w:num w:numId="49" w16cid:durableId="904804276">
    <w:abstractNumId w:val="5"/>
  </w:num>
  <w:num w:numId="50" w16cid:durableId="1488283826">
    <w:abstractNumId w:val="4"/>
  </w:num>
  <w:num w:numId="51" w16cid:durableId="127480176">
    <w:abstractNumId w:val="3"/>
  </w:num>
  <w:num w:numId="52" w16cid:durableId="974406250">
    <w:abstractNumId w:val="2"/>
  </w:num>
  <w:num w:numId="53" w16cid:durableId="2023773345">
    <w:abstractNumId w:val="1"/>
  </w:num>
  <w:num w:numId="54" w16cid:durableId="1391001963">
    <w:abstractNumId w:val="0"/>
  </w:num>
  <w:num w:numId="55" w16cid:durableId="13190946">
    <w:abstractNumId w:val="30"/>
  </w:num>
  <w:num w:numId="56" w16cid:durableId="930115844">
    <w:abstractNumId w:val="59"/>
  </w:num>
  <w:num w:numId="57" w16cid:durableId="1388450943">
    <w:abstractNumId w:val="42"/>
  </w:num>
  <w:num w:numId="58" w16cid:durableId="890073912">
    <w:abstractNumId w:val="24"/>
  </w:num>
  <w:num w:numId="59" w16cid:durableId="1386175870">
    <w:abstractNumId w:val="10"/>
  </w:num>
  <w:num w:numId="60" w16cid:durableId="714937490">
    <w:abstractNumId w:val="45"/>
  </w:num>
  <w:num w:numId="61" w16cid:durableId="1256746506">
    <w:abstractNumId w:val="32"/>
  </w:num>
  <w:num w:numId="62" w16cid:durableId="1812284032">
    <w:abstractNumId w:val="27"/>
  </w:num>
  <w:num w:numId="63" w16cid:durableId="1738358222">
    <w:abstractNumId w:val="14"/>
  </w:num>
  <w:num w:numId="64" w16cid:durableId="968971906">
    <w:abstractNumId w:val="38"/>
  </w:num>
  <w:num w:numId="65" w16cid:durableId="74400513">
    <w:abstractNumId w:val="46"/>
  </w:num>
  <w:num w:numId="66" w16cid:durableId="1891109393">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7BA"/>
    <w:rsid w:val="00000280"/>
    <w:rsid w:val="000002AA"/>
    <w:rsid w:val="000006E4"/>
    <w:rsid w:val="00000E87"/>
    <w:rsid w:val="000010A0"/>
    <w:rsid w:val="00001235"/>
    <w:rsid w:val="000013EB"/>
    <w:rsid w:val="0000165A"/>
    <w:rsid w:val="000017B7"/>
    <w:rsid w:val="00001C38"/>
    <w:rsid w:val="00001E22"/>
    <w:rsid w:val="00001E2A"/>
    <w:rsid w:val="000024B7"/>
    <w:rsid w:val="000024C4"/>
    <w:rsid w:val="000024D5"/>
    <w:rsid w:val="000025C4"/>
    <w:rsid w:val="00002890"/>
    <w:rsid w:val="000028A1"/>
    <w:rsid w:val="00002BE3"/>
    <w:rsid w:val="00002DEC"/>
    <w:rsid w:val="00002F28"/>
    <w:rsid w:val="00003025"/>
    <w:rsid w:val="0000326D"/>
    <w:rsid w:val="0000332E"/>
    <w:rsid w:val="000033AB"/>
    <w:rsid w:val="000033F6"/>
    <w:rsid w:val="0000345B"/>
    <w:rsid w:val="00003BDF"/>
    <w:rsid w:val="00003CBF"/>
    <w:rsid w:val="00004473"/>
    <w:rsid w:val="000046AB"/>
    <w:rsid w:val="0000493A"/>
    <w:rsid w:val="00004A8F"/>
    <w:rsid w:val="00004EA9"/>
    <w:rsid w:val="00004F2D"/>
    <w:rsid w:val="000052E2"/>
    <w:rsid w:val="000057C6"/>
    <w:rsid w:val="00005893"/>
    <w:rsid w:val="00005A18"/>
    <w:rsid w:val="00005CDE"/>
    <w:rsid w:val="00005D4A"/>
    <w:rsid w:val="0000600F"/>
    <w:rsid w:val="000060E3"/>
    <w:rsid w:val="00006106"/>
    <w:rsid w:val="00006179"/>
    <w:rsid w:val="00006195"/>
    <w:rsid w:val="00006443"/>
    <w:rsid w:val="000065AC"/>
    <w:rsid w:val="00006787"/>
    <w:rsid w:val="0000686B"/>
    <w:rsid w:val="0000699D"/>
    <w:rsid w:val="000069BA"/>
    <w:rsid w:val="00006A0A"/>
    <w:rsid w:val="00006C3C"/>
    <w:rsid w:val="00006E29"/>
    <w:rsid w:val="000070CF"/>
    <w:rsid w:val="00007213"/>
    <w:rsid w:val="0000724F"/>
    <w:rsid w:val="000072E8"/>
    <w:rsid w:val="00007397"/>
    <w:rsid w:val="00007454"/>
    <w:rsid w:val="000074AF"/>
    <w:rsid w:val="000079B7"/>
    <w:rsid w:val="00007B56"/>
    <w:rsid w:val="00007BAF"/>
    <w:rsid w:val="00010044"/>
    <w:rsid w:val="000103F2"/>
    <w:rsid w:val="000104A6"/>
    <w:rsid w:val="000104DC"/>
    <w:rsid w:val="000105E0"/>
    <w:rsid w:val="00010683"/>
    <w:rsid w:val="000107F2"/>
    <w:rsid w:val="00010861"/>
    <w:rsid w:val="00010BDF"/>
    <w:rsid w:val="00010FFC"/>
    <w:rsid w:val="00011023"/>
    <w:rsid w:val="00011105"/>
    <w:rsid w:val="0001112D"/>
    <w:rsid w:val="0001127D"/>
    <w:rsid w:val="000112BD"/>
    <w:rsid w:val="000112E1"/>
    <w:rsid w:val="00011354"/>
    <w:rsid w:val="00011464"/>
    <w:rsid w:val="000114D9"/>
    <w:rsid w:val="00011AAC"/>
    <w:rsid w:val="00011B8E"/>
    <w:rsid w:val="00011C5D"/>
    <w:rsid w:val="00011DCF"/>
    <w:rsid w:val="00011F00"/>
    <w:rsid w:val="00012029"/>
    <w:rsid w:val="00012215"/>
    <w:rsid w:val="00012229"/>
    <w:rsid w:val="0001286A"/>
    <w:rsid w:val="00012951"/>
    <w:rsid w:val="00012AA3"/>
    <w:rsid w:val="00012D6C"/>
    <w:rsid w:val="00012D77"/>
    <w:rsid w:val="00012F89"/>
    <w:rsid w:val="00013029"/>
    <w:rsid w:val="000130ED"/>
    <w:rsid w:val="00013416"/>
    <w:rsid w:val="000134DC"/>
    <w:rsid w:val="000135D3"/>
    <w:rsid w:val="000135E8"/>
    <w:rsid w:val="00013B5C"/>
    <w:rsid w:val="00013C45"/>
    <w:rsid w:val="00013D8C"/>
    <w:rsid w:val="00014220"/>
    <w:rsid w:val="00014354"/>
    <w:rsid w:val="00014460"/>
    <w:rsid w:val="000145C6"/>
    <w:rsid w:val="00014614"/>
    <w:rsid w:val="00014777"/>
    <w:rsid w:val="00014826"/>
    <w:rsid w:val="000148B6"/>
    <w:rsid w:val="00014923"/>
    <w:rsid w:val="00014D6C"/>
    <w:rsid w:val="00014ED6"/>
    <w:rsid w:val="0001507C"/>
    <w:rsid w:val="0001508A"/>
    <w:rsid w:val="0001511B"/>
    <w:rsid w:val="00015542"/>
    <w:rsid w:val="000155E7"/>
    <w:rsid w:val="00015603"/>
    <w:rsid w:val="00015612"/>
    <w:rsid w:val="000158A7"/>
    <w:rsid w:val="00015908"/>
    <w:rsid w:val="00015A55"/>
    <w:rsid w:val="00015AE5"/>
    <w:rsid w:val="00015C71"/>
    <w:rsid w:val="00015CD4"/>
    <w:rsid w:val="00015E2D"/>
    <w:rsid w:val="000165E0"/>
    <w:rsid w:val="0001674D"/>
    <w:rsid w:val="000169BE"/>
    <w:rsid w:val="00016A60"/>
    <w:rsid w:val="00016A9E"/>
    <w:rsid w:val="00016C41"/>
    <w:rsid w:val="00016E0C"/>
    <w:rsid w:val="00016E2B"/>
    <w:rsid w:val="00016F5D"/>
    <w:rsid w:val="00017100"/>
    <w:rsid w:val="00017336"/>
    <w:rsid w:val="00017566"/>
    <w:rsid w:val="00017649"/>
    <w:rsid w:val="00017EE3"/>
    <w:rsid w:val="00020211"/>
    <w:rsid w:val="00020437"/>
    <w:rsid w:val="00020550"/>
    <w:rsid w:val="0002086D"/>
    <w:rsid w:val="00020A6B"/>
    <w:rsid w:val="00020ABF"/>
    <w:rsid w:val="00020B9F"/>
    <w:rsid w:val="00020D43"/>
    <w:rsid w:val="000212F4"/>
    <w:rsid w:val="000215B5"/>
    <w:rsid w:val="000217A2"/>
    <w:rsid w:val="000218E0"/>
    <w:rsid w:val="00021A2B"/>
    <w:rsid w:val="00021B54"/>
    <w:rsid w:val="00021C9F"/>
    <w:rsid w:val="00021D3C"/>
    <w:rsid w:val="00021E52"/>
    <w:rsid w:val="00021F36"/>
    <w:rsid w:val="000220A7"/>
    <w:rsid w:val="00022127"/>
    <w:rsid w:val="000223EB"/>
    <w:rsid w:val="000224F4"/>
    <w:rsid w:val="000224F9"/>
    <w:rsid w:val="0002265B"/>
    <w:rsid w:val="000226AD"/>
    <w:rsid w:val="000227BA"/>
    <w:rsid w:val="00022855"/>
    <w:rsid w:val="0002292E"/>
    <w:rsid w:val="00022DB4"/>
    <w:rsid w:val="000230C7"/>
    <w:rsid w:val="00023154"/>
    <w:rsid w:val="000232B9"/>
    <w:rsid w:val="000233AE"/>
    <w:rsid w:val="00023BA8"/>
    <w:rsid w:val="00023CBB"/>
    <w:rsid w:val="00023FFA"/>
    <w:rsid w:val="00024342"/>
    <w:rsid w:val="000244D2"/>
    <w:rsid w:val="0002482D"/>
    <w:rsid w:val="0002494F"/>
    <w:rsid w:val="0002561B"/>
    <w:rsid w:val="0002569B"/>
    <w:rsid w:val="000257DE"/>
    <w:rsid w:val="00025A4A"/>
    <w:rsid w:val="00025B62"/>
    <w:rsid w:val="00025CE3"/>
    <w:rsid w:val="000261E8"/>
    <w:rsid w:val="00026492"/>
    <w:rsid w:val="000266EB"/>
    <w:rsid w:val="00026723"/>
    <w:rsid w:val="00026905"/>
    <w:rsid w:val="00026926"/>
    <w:rsid w:val="0002694D"/>
    <w:rsid w:val="0002695E"/>
    <w:rsid w:val="00026983"/>
    <w:rsid w:val="00026CD7"/>
    <w:rsid w:val="00026EB1"/>
    <w:rsid w:val="0002710B"/>
    <w:rsid w:val="00027402"/>
    <w:rsid w:val="00027532"/>
    <w:rsid w:val="00027628"/>
    <w:rsid w:val="00027881"/>
    <w:rsid w:val="000278AE"/>
    <w:rsid w:val="00027B94"/>
    <w:rsid w:val="00027C7D"/>
    <w:rsid w:val="00027CAC"/>
    <w:rsid w:val="00027CC0"/>
    <w:rsid w:val="00027EE7"/>
    <w:rsid w:val="00030082"/>
    <w:rsid w:val="00030177"/>
    <w:rsid w:val="000304AF"/>
    <w:rsid w:val="000304D9"/>
    <w:rsid w:val="00030517"/>
    <w:rsid w:val="00030774"/>
    <w:rsid w:val="000307F3"/>
    <w:rsid w:val="0003082B"/>
    <w:rsid w:val="00030ACB"/>
    <w:rsid w:val="00030AF2"/>
    <w:rsid w:val="00030AF3"/>
    <w:rsid w:val="00030C7C"/>
    <w:rsid w:val="00030DAB"/>
    <w:rsid w:val="00030E4B"/>
    <w:rsid w:val="0003136A"/>
    <w:rsid w:val="000313AD"/>
    <w:rsid w:val="000318A9"/>
    <w:rsid w:val="00031B10"/>
    <w:rsid w:val="00031FE5"/>
    <w:rsid w:val="0003231F"/>
    <w:rsid w:val="00032B2D"/>
    <w:rsid w:val="00032D03"/>
    <w:rsid w:val="00032DF2"/>
    <w:rsid w:val="00032E61"/>
    <w:rsid w:val="00032E79"/>
    <w:rsid w:val="00032ECA"/>
    <w:rsid w:val="00032FC2"/>
    <w:rsid w:val="00033060"/>
    <w:rsid w:val="0003322F"/>
    <w:rsid w:val="000334B5"/>
    <w:rsid w:val="000335AF"/>
    <w:rsid w:val="000336F0"/>
    <w:rsid w:val="00033735"/>
    <w:rsid w:val="00033872"/>
    <w:rsid w:val="00033BA4"/>
    <w:rsid w:val="00033CCA"/>
    <w:rsid w:val="000340F0"/>
    <w:rsid w:val="00034279"/>
    <w:rsid w:val="00034492"/>
    <w:rsid w:val="00034722"/>
    <w:rsid w:val="0003496D"/>
    <w:rsid w:val="000349F7"/>
    <w:rsid w:val="00034D56"/>
    <w:rsid w:val="0003507A"/>
    <w:rsid w:val="000352C4"/>
    <w:rsid w:val="00035960"/>
    <w:rsid w:val="00035B1D"/>
    <w:rsid w:val="00035C8B"/>
    <w:rsid w:val="00035D63"/>
    <w:rsid w:val="00035E26"/>
    <w:rsid w:val="0003614E"/>
    <w:rsid w:val="000361A8"/>
    <w:rsid w:val="00036355"/>
    <w:rsid w:val="00036639"/>
    <w:rsid w:val="00036A75"/>
    <w:rsid w:val="00036BAE"/>
    <w:rsid w:val="00036BE5"/>
    <w:rsid w:val="00036CB7"/>
    <w:rsid w:val="00036DFB"/>
    <w:rsid w:val="0003731C"/>
    <w:rsid w:val="00037343"/>
    <w:rsid w:val="000373C0"/>
    <w:rsid w:val="00037C51"/>
    <w:rsid w:val="00037CC2"/>
    <w:rsid w:val="00037D12"/>
    <w:rsid w:val="000400D8"/>
    <w:rsid w:val="00040257"/>
    <w:rsid w:val="00040286"/>
    <w:rsid w:val="000403D6"/>
    <w:rsid w:val="000403E7"/>
    <w:rsid w:val="000403F5"/>
    <w:rsid w:val="0004045E"/>
    <w:rsid w:val="000404D9"/>
    <w:rsid w:val="00040628"/>
    <w:rsid w:val="00040A27"/>
    <w:rsid w:val="00040C76"/>
    <w:rsid w:val="00040CD6"/>
    <w:rsid w:val="00041451"/>
    <w:rsid w:val="00041514"/>
    <w:rsid w:val="000416D4"/>
    <w:rsid w:val="000419AB"/>
    <w:rsid w:val="000419D2"/>
    <w:rsid w:val="00041AAB"/>
    <w:rsid w:val="00041C87"/>
    <w:rsid w:val="00041ED6"/>
    <w:rsid w:val="00042338"/>
    <w:rsid w:val="0004250F"/>
    <w:rsid w:val="0004269B"/>
    <w:rsid w:val="000428C7"/>
    <w:rsid w:val="00042C96"/>
    <w:rsid w:val="00042C9E"/>
    <w:rsid w:val="00042D5A"/>
    <w:rsid w:val="00042D72"/>
    <w:rsid w:val="00043189"/>
    <w:rsid w:val="000434EA"/>
    <w:rsid w:val="00043588"/>
    <w:rsid w:val="0004373B"/>
    <w:rsid w:val="000437F4"/>
    <w:rsid w:val="00043AF5"/>
    <w:rsid w:val="00043C92"/>
    <w:rsid w:val="00043E04"/>
    <w:rsid w:val="0004403F"/>
    <w:rsid w:val="00044417"/>
    <w:rsid w:val="000444ED"/>
    <w:rsid w:val="00044509"/>
    <w:rsid w:val="0004473E"/>
    <w:rsid w:val="00044DEF"/>
    <w:rsid w:val="00044E16"/>
    <w:rsid w:val="00044E36"/>
    <w:rsid w:val="00044EFD"/>
    <w:rsid w:val="00044F1E"/>
    <w:rsid w:val="0004506D"/>
    <w:rsid w:val="00045297"/>
    <w:rsid w:val="000453EA"/>
    <w:rsid w:val="00045604"/>
    <w:rsid w:val="00045621"/>
    <w:rsid w:val="00045934"/>
    <w:rsid w:val="00045B6A"/>
    <w:rsid w:val="00045BC2"/>
    <w:rsid w:val="00045E4C"/>
    <w:rsid w:val="00046167"/>
    <w:rsid w:val="00046770"/>
    <w:rsid w:val="000468E6"/>
    <w:rsid w:val="00046ABF"/>
    <w:rsid w:val="00046F07"/>
    <w:rsid w:val="00046F27"/>
    <w:rsid w:val="00047028"/>
    <w:rsid w:val="00047095"/>
    <w:rsid w:val="000470FA"/>
    <w:rsid w:val="00047174"/>
    <w:rsid w:val="00047241"/>
    <w:rsid w:val="0004735A"/>
    <w:rsid w:val="0004753D"/>
    <w:rsid w:val="0004756A"/>
    <w:rsid w:val="00047647"/>
    <w:rsid w:val="0004771C"/>
    <w:rsid w:val="000477DA"/>
    <w:rsid w:val="00047922"/>
    <w:rsid w:val="00047A14"/>
    <w:rsid w:val="00047B54"/>
    <w:rsid w:val="00047C2B"/>
    <w:rsid w:val="00047E68"/>
    <w:rsid w:val="00047FD2"/>
    <w:rsid w:val="0005012B"/>
    <w:rsid w:val="000504F0"/>
    <w:rsid w:val="00050698"/>
    <w:rsid w:val="000507B1"/>
    <w:rsid w:val="0005081D"/>
    <w:rsid w:val="0005084B"/>
    <w:rsid w:val="00050A06"/>
    <w:rsid w:val="00050A49"/>
    <w:rsid w:val="00050C9A"/>
    <w:rsid w:val="00050F83"/>
    <w:rsid w:val="00051133"/>
    <w:rsid w:val="00051142"/>
    <w:rsid w:val="00051427"/>
    <w:rsid w:val="00051604"/>
    <w:rsid w:val="000517AF"/>
    <w:rsid w:val="00051AFA"/>
    <w:rsid w:val="00051D07"/>
    <w:rsid w:val="00051F39"/>
    <w:rsid w:val="00052420"/>
    <w:rsid w:val="00052471"/>
    <w:rsid w:val="00052581"/>
    <w:rsid w:val="00052937"/>
    <w:rsid w:val="00052D84"/>
    <w:rsid w:val="00052EB1"/>
    <w:rsid w:val="00052F40"/>
    <w:rsid w:val="000530D9"/>
    <w:rsid w:val="0005332D"/>
    <w:rsid w:val="00053911"/>
    <w:rsid w:val="000539B0"/>
    <w:rsid w:val="00053B6D"/>
    <w:rsid w:val="00053C5C"/>
    <w:rsid w:val="00053E25"/>
    <w:rsid w:val="00053E84"/>
    <w:rsid w:val="00053F9C"/>
    <w:rsid w:val="00054A34"/>
    <w:rsid w:val="00054B54"/>
    <w:rsid w:val="00054D7E"/>
    <w:rsid w:val="00055016"/>
    <w:rsid w:val="00055198"/>
    <w:rsid w:val="00055571"/>
    <w:rsid w:val="000555CF"/>
    <w:rsid w:val="000555D0"/>
    <w:rsid w:val="00055816"/>
    <w:rsid w:val="00055CD8"/>
    <w:rsid w:val="00055E27"/>
    <w:rsid w:val="00055E44"/>
    <w:rsid w:val="00055E54"/>
    <w:rsid w:val="00055EF0"/>
    <w:rsid w:val="00055F1C"/>
    <w:rsid w:val="00055F27"/>
    <w:rsid w:val="00055F90"/>
    <w:rsid w:val="000560DF"/>
    <w:rsid w:val="000563A3"/>
    <w:rsid w:val="000564FD"/>
    <w:rsid w:val="0005657F"/>
    <w:rsid w:val="0005669F"/>
    <w:rsid w:val="000567AC"/>
    <w:rsid w:val="0005680B"/>
    <w:rsid w:val="00056986"/>
    <w:rsid w:val="00056B57"/>
    <w:rsid w:val="00057003"/>
    <w:rsid w:val="000571C8"/>
    <w:rsid w:val="000571CC"/>
    <w:rsid w:val="0005745C"/>
    <w:rsid w:val="00057779"/>
    <w:rsid w:val="00057ADB"/>
    <w:rsid w:val="00057B2E"/>
    <w:rsid w:val="00057D1D"/>
    <w:rsid w:val="00057D45"/>
    <w:rsid w:val="000600F4"/>
    <w:rsid w:val="000601D3"/>
    <w:rsid w:val="000604CE"/>
    <w:rsid w:val="000608DA"/>
    <w:rsid w:val="00060DB9"/>
    <w:rsid w:val="000613EE"/>
    <w:rsid w:val="000615EC"/>
    <w:rsid w:val="0006174A"/>
    <w:rsid w:val="000618FD"/>
    <w:rsid w:val="00061969"/>
    <w:rsid w:val="000619F1"/>
    <w:rsid w:val="00062370"/>
    <w:rsid w:val="000627CA"/>
    <w:rsid w:val="00062893"/>
    <w:rsid w:val="00062B43"/>
    <w:rsid w:val="00062BC5"/>
    <w:rsid w:val="00062D27"/>
    <w:rsid w:val="000634E8"/>
    <w:rsid w:val="00063626"/>
    <w:rsid w:val="00063690"/>
    <w:rsid w:val="00063A1A"/>
    <w:rsid w:val="00063A6A"/>
    <w:rsid w:val="00063C0F"/>
    <w:rsid w:val="00063C48"/>
    <w:rsid w:val="00064255"/>
    <w:rsid w:val="00064278"/>
    <w:rsid w:val="000642BB"/>
    <w:rsid w:val="00064337"/>
    <w:rsid w:val="00064340"/>
    <w:rsid w:val="00064388"/>
    <w:rsid w:val="000643F5"/>
    <w:rsid w:val="00064697"/>
    <w:rsid w:val="00064909"/>
    <w:rsid w:val="00064A5A"/>
    <w:rsid w:val="00064B90"/>
    <w:rsid w:val="00064CDD"/>
    <w:rsid w:val="00064D3B"/>
    <w:rsid w:val="00065266"/>
    <w:rsid w:val="00065349"/>
    <w:rsid w:val="00065396"/>
    <w:rsid w:val="0006549B"/>
    <w:rsid w:val="000657F6"/>
    <w:rsid w:val="00065A2D"/>
    <w:rsid w:val="00065BA2"/>
    <w:rsid w:val="00065C17"/>
    <w:rsid w:val="00065C28"/>
    <w:rsid w:val="00065C36"/>
    <w:rsid w:val="00065C91"/>
    <w:rsid w:val="00065DA4"/>
    <w:rsid w:val="00065DEA"/>
    <w:rsid w:val="00065E1A"/>
    <w:rsid w:val="00065FD0"/>
    <w:rsid w:val="000660B0"/>
    <w:rsid w:val="000660C0"/>
    <w:rsid w:val="00066190"/>
    <w:rsid w:val="0006634B"/>
    <w:rsid w:val="00066379"/>
    <w:rsid w:val="000663F1"/>
    <w:rsid w:val="000665E0"/>
    <w:rsid w:val="00066812"/>
    <w:rsid w:val="0006691E"/>
    <w:rsid w:val="00066976"/>
    <w:rsid w:val="00066A9F"/>
    <w:rsid w:val="00066DA8"/>
    <w:rsid w:val="0006722B"/>
    <w:rsid w:val="000674F5"/>
    <w:rsid w:val="0006751C"/>
    <w:rsid w:val="000675A3"/>
    <w:rsid w:val="000676E0"/>
    <w:rsid w:val="000677D0"/>
    <w:rsid w:val="00067EC1"/>
    <w:rsid w:val="000709DE"/>
    <w:rsid w:val="00070C76"/>
    <w:rsid w:val="00070D44"/>
    <w:rsid w:val="00071426"/>
    <w:rsid w:val="000717A7"/>
    <w:rsid w:val="00071943"/>
    <w:rsid w:val="00071A42"/>
    <w:rsid w:val="00071B9D"/>
    <w:rsid w:val="00071DCF"/>
    <w:rsid w:val="00071E6D"/>
    <w:rsid w:val="00071F22"/>
    <w:rsid w:val="00071F3B"/>
    <w:rsid w:val="00071F5B"/>
    <w:rsid w:val="00072411"/>
    <w:rsid w:val="00072488"/>
    <w:rsid w:val="000724C4"/>
    <w:rsid w:val="000724D7"/>
    <w:rsid w:val="0007254E"/>
    <w:rsid w:val="000725C5"/>
    <w:rsid w:val="000727CF"/>
    <w:rsid w:val="0007280B"/>
    <w:rsid w:val="00072A13"/>
    <w:rsid w:val="00072A83"/>
    <w:rsid w:val="00072FEC"/>
    <w:rsid w:val="0007304D"/>
    <w:rsid w:val="0007314E"/>
    <w:rsid w:val="0007323E"/>
    <w:rsid w:val="00073561"/>
    <w:rsid w:val="00073670"/>
    <w:rsid w:val="00073685"/>
    <w:rsid w:val="000736F1"/>
    <w:rsid w:val="0007374A"/>
    <w:rsid w:val="000737D5"/>
    <w:rsid w:val="0007404E"/>
    <w:rsid w:val="00074234"/>
    <w:rsid w:val="000742BC"/>
    <w:rsid w:val="00074531"/>
    <w:rsid w:val="000746D0"/>
    <w:rsid w:val="000748F8"/>
    <w:rsid w:val="00074A30"/>
    <w:rsid w:val="00074AC9"/>
    <w:rsid w:val="00074D49"/>
    <w:rsid w:val="00074DA2"/>
    <w:rsid w:val="00074FDC"/>
    <w:rsid w:val="0007505F"/>
    <w:rsid w:val="0007512E"/>
    <w:rsid w:val="000752BA"/>
    <w:rsid w:val="0007577B"/>
    <w:rsid w:val="000757E3"/>
    <w:rsid w:val="000758A8"/>
    <w:rsid w:val="000758BE"/>
    <w:rsid w:val="00075C5E"/>
    <w:rsid w:val="00075F57"/>
    <w:rsid w:val="00076099"/>
    <w:rsid w:val="00076107"/>
    <w:rsid w:val="0007610E"/>
    <w:rsid w:val="0007616C"/>
    <w:rsid w:val="0007656B"/>
    <w:rsid w:val="000766BB"/>
    <w:rsid w:val="00076803"/>
    <w:rsid w:val="00076A4A"/>
    <w:rsid w:val="00076B65"/>
    <w:rsid w:val="00076DAE"/>
    <w:rsid w:val="00077478"/>
    <w:rsid w:val="00077837"/>
    <w:rsid w:val="00077A6C"/>
    <w:rsid w:val="00077B35"/>
    <w:rsid w:val="00077BB9"/>
    <w:rsid w:val="00077BD6"/>
    <w:rsid w:val="00077E41"/>
    <w:rsid w:val="00080404"/>
    <w:rsid w:val="000806B7"/>
    <w:rsid w:val="0008081C"/>
    <w:rsid w:val="00080BEA"/>
    <w:rsid w:val="00081149"/>
    <w:rsid w:val="000811F6"/>
    <w:rsid w:val="00081265"/>
    <w:rsid w:val="000812E3"/>
    <w:rsid w:val="000815AF"/>
    <w:rsid w:val="000815F7"/>
    <w:rsid w:val="0008161F"/>
    <w:rsid w:val="0008196D"/>
    <w:rsid w:val="00081A98"/>
    <w:rsid w:val="00081DB1"/>
    <w:rsid w:val="0008203B"/>
    <w:rsid w:val="00082092"/>
    <w:rsid w:val="00082373"/>
    <w:rsid w:val="0008280D"/>
    <w:rsid w:val="00082902"/>
    <w:rsid w:val="000829FC"/>
    <w:rsid w:val="00082AB1"/>
    <w:rsid w:val="00082B36"/>
    <w:rsid w:val="00082C6A"/>
    <w:rsid w:val="00082E88"/>
    <w:rsid w:val="00082ED7"/>
    <w:rsid w:val="00083340"/>
    <w:rsid w:val="000838C2"/>
    <w:rsid w:val="00083933"/>
    <w:rsid w:val="00083A36"/>
    <w:rsid w:val="00083FBB"/>
    <w:rsid w:val="000841D3"/>
    <w:rsid w:val="000841EF"/>
    <w:rsid w:val="000843A7"/>
    <w:rsid w:val="000845BC"/>
    <w:rsid w:val="00084742"/>
    <w:rsid w:val="000848F9"/>
    <w:rsid w:val="0008495F"/>
    <w:rsid w:val="000849E4"/>
    <w:rsid w:val="00084B90"/>
    <w:rsid w:val="00084C10"/>
    <w:rsid w:val="0008517F"/>
    <w:rsid w:val="000851E1"/>
    <w:rsid w:val="00085213"/>
    <w:rsid w:val="00085394"/>
    <w:rsid w:val="000853F4"/>
    <w:rsid w:val="000856AC"/>
    <w:rsid w:val="000859AE"/>
    <w:rsid w:val="00085AFD"/>
    <w:rsid w:val="00085AFE"/>
    <w:rsid w:val="00085B05"/>
    <w:rsid w:val="00085B89"/>
    <w:rsid w:val="00085D4F"/>
    <w:rsid w:val="00085D8D"/>
    <w:rsid w:val="00085F5F"/>
    <w:rsid w:val="000860C0"/>
    <w:rsid w:val="000860EB"/>
    <w:rsid w:val="000861D5"/>
    <w:rsid w:val="000863E9"/>
    <w:rsid w:val="00086526"/>
    <w:rsid w:val="000865BA"/>
    <w:rsid w:val="0008674A"/>
    <w:rsid w:val="0008690C"/>
    <w:rsid w:val="0008698B"/>
    <w:rsid w:val="00086A39"/>
    <w:rsid w:val="00086BFB"/>
    <w:rsid w:val="00086DA3"/>
    <w:rsid w:val="00086EED"/>
    <w:rsid w:val="00086F7B"/>
    <w:rsid w:val="000873E7"/>
    <w:rsid w:val="00087406"/>
    <w:rsid w:val="00087616"/>
    <w:rsid w:val="00087633"/>
    <w:rsid w:val="000879EF"/>
    <w:rsid w:val="00087B02"/>
    <w:rsid w:val="00087C44"/>
    <w:rsid w:val="00087D53"/>
    <w:rsid w:val="00087F33"/>
    <w:rsid w:val="000902A6"/>
    <w:rsid w:val="00090369"/>
    <w:rsid w:val="000903D7"/>
    <w:rsid w:val="0009046E"/>
    <w:rsid w:val="000905B8"/>
    <w:rsid w:val="000908AB"/>
    <w:rsid w:val="00090A5D"/>
    <w:rsid w:val="00090A7A"/>
    <w:rsid w:val="00090A85"/>
    <w:rsid w:val="00090A89"/>
    <w:rsid w:val="00090D63"/>
    <w:rsid w:val="00090E11"/>
    <w:rsid w:val="00090E5B"/>
    <w:rsid w:val="000917C7"/>
    <w:rsid w:val="000918E9"/>
    <w:rsid w:val="00091984"/>
    <w:rsid w:val="00091A2D"/>
    <w:rsid w:val="00091D3B"/>
    <w:rsid w:val="00091F2B"/>
    <w:rsid w:val="00091F70"/>
    <w:rsid w:val="00092154"/>
    <w:rsid w:val="0009226A"/>
    <w:rsid w:val="00092330"/>
    <w:rsid w:val="0009235A"/>
    <w:rsid w:val="000926C3"/>
    <w:rsid w:val="000927CB"/>
    <w:rsid w:val="0009280D"/>
    <w:rsid w:val="00092A34"/>
    <w:rsid w:val="00092EAE"/>
    <w:rsid w:val="0009301B"/>
    <w:rsid w:val="00093069"/>
    <w:rsid w:val="0009348D"/>
    <w:rsid w:val="00093DD9"/>
    <w:rsid w:val="00094088"/>
    <w:rsid w:val="000941BF"/>
    <w:rsid w:val="0009437D"/>
    <w:rsid w:val="0009473B"/>
    <w:rsid w:val="00094A73"/>
    <w:rsid w:val="00094B11"/>
    <w:rsid w:val="00094DC1"/>
    <w:rsid w:val="00094EA9"/>
    <w:rsid w:val="00095105"/>
    <w:rsid w:val="0009517E"/>
    <w:rsid w:val="000954A6"/>
    <w:rsid w:val="00095656"/>
    <w:rsid w:val="00095714"/>
    <w:rsid w:val="00095752"/>
    <w:rsid w:val="00095874"/>
    <w:rsid w:val="00095985"/>
    <w:rsid w:val="00095A10"/>
    <w:rsid w:val="000964CF"/>
    <w:rsid w:val="00096A07"/>
    <w:rsid w:val="00096B56"/>
    <w:rsid w:val="00096C3C"/>
    <w:rsid w:val="00097548"/>
    <w:rsid w:val="00097696"/>
    <w:rsid w:val="00097749"/>
    <w:rsid w:val="000977A9"/>
    <w:rsid w:val="000979F3"/>
    <w:rsid w:val="00097A01"/>
    <w:rsid w:val="00097C38"/>
    <w:rsid w:val="00097E90"/>
    <w:rsid w:val="000A004F"/>
    <w:rsid w:val="000A0337"/>
    <w:rsid w:val="000A036B"/>
    <w:rsid w:val="000A03C4"/>
    <w:rsid w:val="000A053B"/>
    <w:rsid w:val="000A0807"/>
    <w:rsid w:val="000A0ADC"/>
    <w:rsid w:val="000A0BB9"/>
    <w:rsid w:val="000A0CBF"/>
    <w:rsid w:val="000A0E97"/>
    <w:rsid w:val="000A1038"/>
    <w:rsid w:val="000A111C"/>
    <w:rsid w:val="000A125A"/>
    <w:rsid w:val="000A13D2"/>
    <w:rsid w:val="000A1B99"/>
    <w:rsid w:val="000A204D"/>
    <w:rsid w:val="000A222F"/>
    <w:rsid w:val="000A22C6"/>
    <w:rsid w:val="000A252F"/>
    <w:rsid w:val="000A25A0"/>
    <w:rsid w:val="000A26E9"/>
    <w:rsid w:val="000A29FC"/>
    <w:rsid w:val="000A2B85"/>
    <w:rsid w:val="000A2C4F"/>
    <w:rsid w:val="000A3621"/>
    <w:rsid w:val="000A3913"/>
    <w:rsid w:val="000A3B1C"/>
    <w:rsid w:val="000A3B5B"/>
    <w:rsid w:val="000A3C05"/>
    <w:rsid w:val="000A3FF1"/>
    <w:rsid w:val="000A41C4"/>
    <w:rsid w:val="000A42C6"/>
    <w:rsid w:val="000A4391"/>
    <w:rsid w:val="000A44A8"/>
    <w:rsid w:val="000A466E"/>
    <w:rsid w:val="000A4A8E"/>
    <w:rsid w:val="000A4B3D"/>
    <w:rsid w:val="000A4DC5"/>
    <w:rsid w:val="000A4F39"/>
    <w:rsid w:val="000A4FCA"/>
    <w:rsid w:val="000A508A"/>
    <w:rsid w:val="000A5563"/>
    <w:rsid w:val="000A56E8"/>
    <w:rsid w:val="000A575A"/>
    <w:rsid w:val="000A5946"/>
    <w:rsid w:val="000A5A35"/>
    <w:rsid w:val="000A5C93"/>
    <w:rsid w:val="000A5F46"/>
    <w:rsid w:val="000A5F4B"/>
    <w:rsid w:val="000A6092"/>
    <w:rsid w:val="000A6456"/>
    <w:rsid w:val="000A645F"/>
    <w:rsid w:val="000A6500"/>
    <w:rsid w:val="000A652A"/>
    <w:rsid w:val="000A69BE"/>
    <w:rsid w:val="000A6EE5"/>
    <w:rsid w:val="000A700D"/>
    <w:rsid w:val="000A72BC"/>
    <w:rsid w:val="000A7350"/>
    <w:rsid w:val="000A7602"/>
    <w:rsid w:val="000A7760"/>
    <w:rsid w:val="000A77A7"/>
    <w:rsid w:val="000A78A0"/>
    <w:rsid w:val="000A7959"/>
    <w:rsid w:val="000A7A51"/>
    <w:rsid w:val="000A7B4B"/>
    <w:rsid w:val="000A7D46"/>
    <w:rsid w:val="000B0062"/>
    <w:rsid w:val="000B010F"/>
    <w:rsid w:val="000B0293"/>
    <w:rsid w:val="000B02B6"/>
    <w:rsid w:val="000B05B0"/>
    <w:rsid w:val="000B05C6"/>
    <w:rsid w:val="000B078D"/>
    <w:rsid w:val="000B0827"/>
    <w:rsid w:val="000B08EC"/>
    <w:rsid w:val="000B09E8"/>
    <w:rsid w:val="000B0A61"/>
    <w:rsid w:val="000B0BCA"/>
    <w:rsid w:val="000B0D24"/>
    <w:rsid w:val="000B10EC"/>
    <w:rsid w:val="000B14BA"/>
    <w:rsid w:val="000B15A5"/>
    <w:rsid w:val="000B1881"/>
    <w:rsid w:val="000B1963"/>
    <w:rsid w:val="000B1A71"/>
    <w:rsid w:val="000B1B66"/>
    <w:rsid w:val="000B1BDA"/>
    <w:rsid w:val="000B1DBB"/>
    <w:rsid w:val="000B1DC6"/>
    <w:rsid w:val="000B20E6"/>
    <w:rsid w:val="000B21B9"/>
    <w:rsid w:val="000B2383"/>
    <w:rsid w:val="000B2E68"/>
    <w:rsid w:val="000B2EE6"/>
    <w:rsid w:val="000B314C"/>
    <w:rsid w:val="000B3742"/>
    <w:rsid w:val="000B37C1"/>
    <w:rsid w:val="000B3C26"/>
    <w:rsid w:val="000B3D02"/>
    <w:rsid w:val="000B3F11"/>
    <w:rsid w:val="000B411E"/>
    <w:rsid w:val="000B4286"/>
    <w:rsid w:val="000B4405"/>
    <w:rsid w:val="000B4455"/>
    <w:rsid w:val="000B47A5"/>
    <w:rsid w:val="000B489D"/>
    <w:rsid w:val="000B4CEA"/>
    <w:rsid w:val="000B5257"/>
    <w:rsid w:val="000B54E9"/>
    <w:rsid w:val="000B55FF"/>
    <w:rsid w:val="000B56CC"/>
    <w:rsid w:val="000B583C"/>
    <w:rsid w:val="000B598C"/>
    <w:rsid w:val="000B59D4"/>
    <w:rsid w:val="000B5A23"/>
    <w:rsid w:val="000B5A7E"/>
    <w:rsid w:val="000B5B6B"/>
    <w:rsid w:val="000B5B73"/>
    <w:rsid w:val="000B5D46"/>
    <w:rsid w:val="000B5D5B"/>
    <w:rsid w:val="000B60B7"/>
    <w:rsid w:val="000B62B2"/>
    <w:rsid w:val="000B64EE"/>
    <w:rsid w:val="000B6572"/>
    <w:rsid w:val="000B67E9"/>
    <w:rsid w:val="000B68A9"/>
    <w:rsid w:val="000B6999"/>
    <w:rsid w:val="000B6B0B"/>
    <w:rsid w:val="000B6BB0"/>
    <w:rsid w:val="000B6CEA"/>
    <w:rsid w:val="000B6FED"/>
    <w:rsid w:val="000B7B89"/>
    <w:rsid w:val="000B7E47"/>
    <w:rsid w:val="000B7F72"/>
    <w:rsid w:val="000C031E"/>
    <w:rsid w:val="000C0541"/>
    <w:rsid w:val="000C0653"/>
    <w:rsid w:val="000C073A"/>
    <w:rsid w:val="000C0A2F"/>
    <w:rsid w:val="000C0CEA"/>
    <w:rsid w:val="000C0D2E"/>
    <w:rsid w:val="000C0D8F"/>
    <w:rsid w:val="000C0ECC"/>
    <w:rsid w:val="000C14CB"/>
    <w:rsid w:val="000C1557"/>
    <w:rsid w:val="000C15B5"/>
    <w:rsid w:val="000C176D"/>
    <w:rsid w:val="000C1816"/>
    <w:rsid w:val="000C1B1E"/>
    <w:rsid w:val="000C1C25"/>
    <w:rsid w:val="000C1C28"/>
    <w:rsid w:val="000C1D87"/>
    <w:rsid w:val="000C1DFA"/>
    <w:rsid w:val="000C2006"/>
    <w:rsid w:val="000C2198"/>
    <w:rsid w:val="000C2227"/>
    <w:rsid w:val="000C2355"/>
    <w:rsid w:val="000C23DD"/>
    <w:rsid w:val="000C2506"/>
    <w:rsid w:val="000C25A2"/>
    <w:rsid w:val="000C27A6"/>
    <w:rsid w:val="000C2A29"/>
    <w:rsid w:val="000C2A9A"/>
    <w:rsid w:val="000C2BDE"/>
    <w:rsid w:val="000C2CF6"/>
    <w:rsid w:val="000C2D92"/>
    <w:rsid w:val="000C2DCB"/>
    <w:rsid w:val="000C3046"/>
    <w:rsid w:val="000C31F4"/>
    <w:rsid w:val="000C32E0"/>
    <w:rsid w:val="000C3315"/>
    <w:rsid w:val="000C3480"/>
    <w:rsid w:val="000C34DE"/>
    <w:rsid w:val="000C3536"/>
    <w:rsid w:val="000C36A0"/>
    <w:rsid w:val="000C3708"/>
    <w:rsid w:val="000C3761"/>
    <w:rsid w:val="000C3B4F"/>
    <w:rsid w:val="000C3DB4"/>
    <w:rsid w:val="000C3E9C"/>
    <w:rsid w:val="000C3FF5"/>
    <w:rsid w:val="000C41D4"/>
    <w:rsid w:val="000C42A0"/>
    <w:rsid w:val="000C431A"/>
    <w:rsid w:val="000C4325"/>
    <w:rsid w:val="000C4708"/>
    <w:rsid w:val="000C48A6"/>
    <w:rsid w:val="000C4C66"/>
    <w:rsid w:val="000C4E80"/>
    <w:rsid w:val="000C4F39"/>
    <w:rsid w:val="000C521E"/>
    <w:rsid w:val="000C5457"/>
    <w:rsid w:val="000C554B"/>
    <w:rsid w:val="000C5552"/>
    <w:rsid w:val="000C58A8"/>
    <w:rsid w:val="000C58B8"/>
    <w:rsid w:val="000C59FC"/>
    <w:rsid w:val="000C5A84"/>
    <w:rsid w:val="000C5ED4"/>
    <w:rsid w:val="000C5F96"/>
    <w:rsid w:val="000C6038"/>
    <w:rsid w:val="000C6117"/>
    <w:rsid w:val="000C615D"/>
    <w:rsid w:val="000C679E"/>
    <w:rsid w:val="000C6BC3"/>
    <w:rsid w:val="000C6D06"/>
    <w:rsid w:val="000C6D0A"/>
    <w:rsid w:val="000C7121"/>
    <w:rsid w:val="000C7235"/>
    <w:rsid w:val="000C7263"/>
    <w:rsid w:val="000C727A"/>
    <w:rsid w:val="000C7290"/>
    <w:rsid w:val="000C72A9"/>
    <w:rsid w:val="000C7373"/>
    <w:rsid w:val="000C7408"/>
    <w:rsid w:val="000C7475"/>
    <w:rsid w:val="000C7734"/>
    <w:rsid w:val="000C77B7"/>
    <w:rsid w:val="000C7867"/>
    <w:rsid w:val="000C7882"/>
    <w:rsid w:val="000D0071"/>
    <w:rsid w:val="000D00D6"/>
    <w:rsid w:val="000D044E"/>
    <w:rsid w:val="000D05FF"/>
    <w:rsid w:val="000D0658"/>
    <w:rsid w:val="000D0834"/>
    <w:rsid w:val="000D08AC"/>
    <w:rsid w:val="000D0C5E"/>
    <w:rsid w:val="000D0CAC"/>
    <w:rsid w:val="000D0D04"/>
    <w:rsid w:val="000D0E66"/>
    <w:rsid w:val="000D101D"/>
    <w:rsid w:val="000D112E"/>
    <w:rsid w:val="000D11E2"/>
    <w:rsid w:val="000D17F7"/>
    <w:rsid w:val="000D194C"/>
    <w:rsid w:val="000D1E9B"/>
    <w:rsid w:val="000D1F83"/>
    <w:rsid w:val="000D2013"/>
    <w:rsid w:val="000D20F8"/>
    <w:rsid w:val="000D221B"/>
    <w:rsid w:val="000D2894"/>
    <w:rsid w:val="000D29B0"/>
    <w:rsid w:val="000D29CC"/>
    <w:rsid w:val="000D303F"/>
    <w:rsid w:val="000D32EA"/>
    <w:rsid w:val="000D3839"/>
    <w:rsid w:val="000D3964"/>
    <w:rsid w:val="000D3B34"/>
    <w:rsid w:val="000D3C7E"/>
    <w:rsid w:val="000D3CDA"/>
    <w:rsid w:val="000D3E07"/>
    <w:rsid w:val="000D3FE8"/>
    <w:rsid w:val="000D4077"/>
    <w:rsid w:val="000D41AE"/>
    <w:rsid w:val="000D4590"/>
    <w:rsid w:val="000D4626"/>
    <w:rsid w:val="000D470F"/>
    <w:rsid w:val="000D488E"/>
    <w:rsid w:val="000D488F"/>
    <w:rsid w:val="000D4D41"/>
    <w:rsid w:val="000D4E2D"/>
    <w:rsid w:val="000D4F0A"/>
    <w:rsid w:val="000D4F6C"/>
    <w:rsid w:val="000D5251"/>
    <w:rsid w:val="000D53D8"/>
    <w:rsid w:val="000D5484"/>
    <w:rsid w:val="000D54A4"/>
    <w:rsid w:val="000D576D"/>
    <w:rsid w:val="000D5964"/>
    <w:rsid w:val="000D5A83"/>
    <w:rsid w:val="000D5C55"/>
    <w:rsid w:val="000D5C91"/>
    <w:rsid w:val="000D6007"/>
    <w:rsid w:val="000D6268"/>
    <w:rsid w:val="000D6300"/>
    <w:rsid w:val="000D632B"/>
    <w:rsid w:val="000D647A"/>
    <w:rsid w:val="000D66BE"/>
    <w:rsid w:val="000D6802"/>
    <w:rsid w:val="000D6A06"/>
    <w:rsid w:val="000D6B3E"/>
    <w:rsid w:val="000D6BDB"/>
    <w:rsid w:val="000D6C95"/>
    <w:rsid w:val="000D7008"/>
    <w:rsid w:val="000D73BB"/>
    <w:rsid w:val="000D7610"/>
    <w:rsid w:val="000D77EA"/>
    <w:rsid w:val="000D786C"/>
    <w:rsid w:val="000D7917"/>
    <w:rsid w:val="000D7B3F"/>
    <w:rsid w:val="000D7BAF"/>
    <w:rsid w:val="000D7D3A"/>
    <w:rsid w:val="000D7FAF"/>
    <w:rsid w:val="000E01AE"/>
    <w:rsid w:val="000E0232"/>
    <w:rsid w:val="000E03B9"/>
    <w:rsid w:val="000E0749"/>
    <w:rsid w:val="000E09AD"/>
    <w:rsid w:val="000E0C95"/>
    <w:rsid w:val="000E0D26"/>
    <w:rsid w:val="000E0E21"/>
    <w:rsid w:val="000E1114"/>
    <w:rsid w:val="000E11D4"/>
    <w:rsid w:val="000E12AD"/>
    <w:rsid w:val="000E131A"/>
    <w:rsid w:val="000E1329"/>
    <w:rsid w:val="000E1586"/>
    <w:rsid w:val="000E182E"/>
    <w:rsid w:val="000E1A0B"/>
    <w:rsid w:val="000E1A52"/>
    <w:rsid w:val="000E1FDD"/>
    <w:rsid w:val="000E1FF1"/>
    <w:rsid w:val="000E22CD"/>
    <w:rsid w:val="000E2580"/>
    <w:rsid w:val="000E28A7"/>
    <w:rsid w:val="000E2FE6"/>
    <w:rsid w:val="000E30A4"/>
    <w:rsid w:val="000E313B"/>
    <w:rsid w:val="000E3357"/>
    <w:rsid w:val="000E34B3"/>
    <w:rsid w:val="000E36A5"/>
    <w:rsid w:val="000E36EB"/>
    <w:rsid w:val="000E3773"/>
    <w:rsid w:val="000E37E0"/>
    <w:rsid w:val="000E37E3"/>
    <w:rsid w:val="000E387D"/>
    <w:rsid w:val="000E3922"/>
    <w:rsid w:val="000E3A28"/>
    <w:rsid w:val="000E3B80"/>
    <w:rsid w:val="000E3E9D"/>
    <w:rsid w:val="000E4057"/>
    <w:rsid w:val="000E42B4"/>
    <w:rsid w:val="000E43AC"/>
    <w:rsid w:val="000E4639"/>
    <w:rsid w:val="000E4651"/>
    <w:rsid w:val="000E4661"/>
    <w:rsid w:val="000E4A0A"/>
    <w:rsid w:val="000E4D1D"/>
    <w:rsid w:val="000E4DDD"/>
    <w:rsid w:val="000E4F3E"/>
    <w:rsid w:val="000E4F87"/>
    <w:rsid w:val="000E5052"/>
    <w:rsid w:val="000E520A"/>
    <w:rsid w:val="000E534C"/>
    <w:rsid w:val="000E5429"/>
    <w:rsid w:val="000E567A"/>
    <w:rsid w:val="000E57B6"/>
    <w:rsid w:val="000E58AA"/>
    <w:rsid w:val="000E5A9D"/>
    <w:rsid w:val="000E5B79"/>
    <w:rsid w:val="000E5C2A"/>
    <w:rsid w:val="000E5E12"/>
    <w:rsid w:val="000E62ED"/>
    <w:rsid w:val="000E68E2"/>
    <w:rsid w:val="000E6F94"/>
    <w:rsid w:val="000E7541"/>
    <w:rsid w:val="000E7574"/>
    <w:rsid w:val="000E75F2"/>
    <w:rsid w:val="000E7813"/>
    <w:rsid w:val="000E7B64"/>
    <w:rsid w:val="000E7F96"/>
    <w:rsid w:val="000E7FEA"/>
    <w:rsid w:val="000F02DF"/>
    <w:rsid w:val="000F0503"/>
    <w:rsid w:val="000F06A4"/>
    <w:rsid w:val="000F0C3B"/>
    <w:rsid w:val="000F0CC9"/>
    <w:rsid w:val="000F0CF9"/>
    <w:rsid w:val="000F0E0A"/>
    <w:rsid w:val="000F0E8B"/>
    <w:rsid w:val="000F10D3"/>
    <w:rsid w:val="000F1133"/>
    <w:rsid w:val="000F1203"/>
    <w:rsid w:val="000F12EC"/>
    <w:rsid w:val="000F1907"/>
    <w:rsid w:val="000F1922"/>
    <w:rsid w:val="000F1A03"/>
    <w:rsid w:val="000F1A51"/>
    <w:rsid w:val="000F1BEA"/>
    <w:rsid w:val="000F2483"/>
    <w:rsid w:val="000F24DA"/>
    <w:rsid w:val="000F2702"/>
    <w:rsid w:val="000F279A"/>
    <w:rsid w:val="000F2B5D"/>
    <w:rsid w:val="000F2B68"/>
    <w:rsid w:val="000F2D2B"/>
    <w:rsid w:val="000F3058"/>
    <w:rsid w:val="000F30A4"/>
    <w:rsid w:val="000F30FE"/>
    <w:rsid w:val="000F3206"/>
    <w:rsid w:val="000F32C8"/>
    <w:rsid w:val="000F34FA"/>
    <w:rsid w:val="000F3720"/>
    <w:rsid w:val="000F37FF"/>
    <w:rsid w:val="000F38E4"/>
    <w:rsid w:val="000F396E"/>
    <w:rsid w:val="000F39B2"/>
    <w:rsid w:val="000F3D55"/>
    <w:rsid w:val="000F3F8C"/>
    <w:rsid w:val="000F4197"/>
    <w:rsid w:val="000F4228"/>
    <w:rsid w:val="000F43FF"/>
    <w:rsid w:val="000F440A"/>
    <w:rsid w:val="000F488B"/>
    <w:rsid w:val="000F48A3"/>
    <w:rsid w:val="000F4A2D"/>
    <w:rsid w:val="000F4BB1"/>
    <w:rsid w:val="000F4C2D"/>
    <w:rsid w:val="000F4E04"/>
    <w:rsid w:val="000F5058"/>
    <w:rsid w:val="000F5431"/>
    <w:rsid w:val="000F56CE"/>
    <w:rsid w:val="000F59A8"/>
    <w:rsid w:val="000F5A98"/>
    <w:rsid w:val="000F5BCC"/>
    <w:rsid w:val="000F5C2B"/>
    <w:rsid w:val="000F5C2E"/>
    <w:rsid w:val="000F5DDB"/>
    <w:rsid w:val="000F5E83"/>
    <w:rsid w:val="000F5EBF"/>
    <w:rsid w:val="000F60D0"/>
    <w:rsid w:val="000F611E"/>
    <w:rsid w:val="000F620B"/>
    <w:rsid w:val="000F6327"/>
    <w:rsid w:val="000F67AE"/>
    <w:rsid w:val="000F69F1"/>
    <w:rsid w:val="000F6A2D"/>
    <w:rsid w:val="000F6D33"/>
    <w:rsid w:val="000F6D95"/>
    <w:rsid w:val="000F6E92"/>
    <w:rsid w:val="000F7236"/>
    <w:rsid w:val="000F7347"/>
    <w:rsid w:val="000F74C9"/>
    <w:rsid w:val="000F76C7"/>
    <w:rsid w:val="000F7B66"/>
    <w:rsid w:val="000F7D2E"/>
    <w:rsid w:val="0010013C"/>
    <w:rsid w:val="00100180"/>
    <w:rsid w:val="001004B4"/>
    <w:rsid w:val="00100774"/>
    <w:rsid w:val="001008D3"/>
    <w:rsid w:val="00100974"/>
    <w:rsid w:val="00100A28"/>
    <w:rsid w:val="00100C6E"/>
    <w:rsid w:val="00100C83"/>
    <w:rsid w:val="001011D5"/>
    <w:rsid w:val="001011E1"/>
    <w:rsid w:val="00101246"/>
    <w:rsid w:val="001012D6"/>
    <w:rsid w:val="00101361"/>
    <w:rsid w:val="00101421"/>
    <w:rsid w:val="00101605"/>
    <w:rsid w:val="001017ED"/>
    <w:rsid w:val="00101D07"/>
    <w:rsid w:val="001020A3"/>
    <w:rsid w:val="0010212A"/>
    <w:rsid w:val="0010218F"/>
    <w:rsid w:val="00102207"/>
    <w:rsid w:val="00102253"/>
    <w:rsid w:val="001022FD"/>
    <w:rsid w:val="00102742"/>
    <w:rsid w:val="00102CC7"/>
    <w:rsid w:val="00102EF9"/>
    <w:rsid w:val="0010319D"/>
    <w:rsid w:val="00103662"/>
    <w:rsid w:val="00103830"/>
    <w:rsid w:val="00103A4B"/>
    <w:rsid w:val="00103BE2"/>
    <w:rsid w:val="00103D79"/>
    <w:rsid w:val="00103DD1"/>
    <w:rsid w:val="00104166"/>
    <w:rsid w:val="00104272"/>
    <w:rsid w:val="0010445C"/>
    <w:rsid w:val="001047E1"/>
    <w:rsid w:val="001048C9"/>
    <w:rsid w:val="00104E42"/>
    <w:rsid w:val="00104F8B"/>
    <w:rsid w:val="0010531E"/>
    <w:rsid w:val="001055D9"/>
    <w:rsid w:val="00105686"/>
    <w:rsid w:val="00105835"/>
    <w:rsid w:val="00105951"/>
    <w:rsid w:val="00105ACD"/>
    <w:rsid w:val="00105B12"/>
    <w:rsid w:val="00105BCB"/>
    <w:rsid w:val="00106333"/>
    <w:rsid w:val="00106348"/>
    <w:rsid w:val="0010644D"/>
    <w:rsid w:val="00106594"/>
    <w:rsid w:val="001065D2"/>
    <w:rsid w:val="00106685"/>
    <w:rsid w:val="00106692"/>
    <w:rsid w:val="001066C6"/>
    <w:rsid w:val="00106791"/>
    <w:rsid w:val="00106B6F"/>
    <w:rsid w:val="00106E14"/>
    <w:rsid w:val="00106F34"/>
    <w:rsid w:val="00107343"/>
    <w:rsid w:val="001074FB"/>
    <w:rsid w:val="0010760B"/>
    <w:rsid w:val="0010764B"/>
    <w:rsid w:val="00107869"/>
    <w:rsid w:val="00107A74"/>
    <w:rsid w:val="00110117"/>
    <w:rsid w:val="00110194"/>
    <w:rsid w:val="00110603"/>
    <w:rsid w:val="001108E2"/>
    <w:rsid w:val="00110951"/>
    <w:rsid w:val="00110FD6"/>
    <w:rsid w:val="00111201"/>
    <w:rsid w:val="001115D2"/>
    <w:rsid w:val="001116C0"/>
    <w:rsid w:val="00111797"/>
    <w:rsid w:val="00111811"/>
    <w:rsid w:val="0011191F"/>
    <w:rsid w:val="00111B8C"/>
    <w:rsid w:val="00111B98"/>
    <w:rsid w:val="00111C0A"/>
    <w:rsid w:val="00111CC1"/>
    <w:rsid w:val="00112169"/>
    <w:rsid w:val="001124F9"/>
    <w:rsid w:val="00112678"/>
    <w:rsid w:val="00112696"/>
    <w:rsid w:val="00112A57"/>
    <w:rsid w:val="00112D83"/>
    <w:rsid w:val="0011303B"/>
    <w:rsid w:val="001132EA"/>
    <w:rsid w:val="0011352D"/>
    <w:rsid w:val="00113666"/>
    <w:rsid w:val="00113A0A"/>
    <w:rsid w:val="00113EE9"/>
    <w:rsid w:val="001142DA"/>
    <w:rsid w:val="00114336"/>
    <w:rsid w:val="00114348"/>
    <w:rsid w:val="001146D1"/>
    <w:rsid w:val="001147D8"/>
    <w:rsid w:val="00114861"/>
    <w:rsid w:val="00114ABD"/>
    <w:rsid w:val="00114B2E"/>
    <w:rsid w:val="00114D19"/>
    <w:rsid w:val="00114D88"/>
    <w:rsid w:val="00114F1B"/>
    <w:rsid w:val="00115125"/>
    <w:rsid w:val="0011553A"/>
    <w:rsid w:val="00115966"/>
    <w:rsid w:val="00115C44"/>
    <w:rsid w:val="00115C7D"/>
    <w:rsid w:val="00115E45"/>
    <w:rsid w:val="00115F10"/>
    <w:rsid w:val="00115F8D"/>
    <w:rsid w:val="00115FAC"/>
    <w:rsid w:val="0011614F"/>
    <w:rsid w:val="00116738"/>
    <w:rsid w:val="001167B1"/>
    <w:rsid w:val="0011687D"/>
    <w:rsid w:val="001169C1"/>
    <w:rsid w:val="00116D7A"/>
    <w:rsid w:val="00116E0F"/>
    <w:rsid w:val="00116E2A"/>
    <w:rsid w:val="00116F44"/>
    <w:rsid w:val="00116FE4"/>
    <w:rsid w:val="001170AA"/>
    <w:rsid w:val="00117480"/>
    <w:rsid w:val="001174C8"/>
    <w:rsid w:val="00117DFC"/>
    <w:rsid w:val="00117EB3"/>
    <w:rsid w:val="00117F2E"/>
    <w:rsid w:val="00120070"/>
    <w:rsid w:val="0012038C"/>
    <w:rsid w:val="00120550"/>
    <w:rsid w:val="00120B64"/>
    <w:rsid w:val="00120F55"/>
    <w:rsid w:val="001213C2"/>
    <w:rsid w:val="0012176C"/>
    <w:rsid w:val="001219ED"/>
    <w:rsid w:val="00121A16"/>
    <w:rsid w:val="00121BB0"/>
    <w:rsid w:val="00121DCC"/>
    <w:rsid w:val="00121E91"/>
    <w:rsid w:val="001220DA"/>
    <w:rsid w:val="00122821"/>
    <w:rsid w:val="00122887"/>
    <w:rsid w:val="001229EC"/>
    <w:rsid w:val="00122A39"/>
    <w:rsid w:val="00122A94"/>
    <w:rsid w:val="00122BA8"/>
    <w:rsid w:val="00122D11"/>
    <w:rsid w:val="00122D78"/>
    <w:rsid w:val="001233D3"/>
    <w:rsid w:val="00123546"/>
    <w:rsid w:val="00123574"/>
    <w:rsid w:val="00123769"/>
    <w:rsid w:val="001237B0"/>
    <w:rsid w:val="0012383F"/>
    <w:rsid w:val="001238B7"/>
    <w:rsid w:val="00123EAB"/>
    <w:rsid w:val="00124034"/>
    <w:rsid w:val="00124098"/>
    <w:rsid w:val="001240B5"/>
    <w:rsid w:val="00124403"/>
    <w:rsid w:val="00124425"/>
    <w:rsid w:val="00124990"/>
    <w:rsid w:val="001249A4"/>
    <w:rsid w:val="00124C6D"/>
    <w:rsid w:val="00125113"/>
    <w:rsid w:val="00125240"/>
    <w:rsid w:val="00125545"/>
    <w:rsid w:val="001255B3"/>
    <w:rsid w:val="001255B9"/>
    <w:rsid w:val="001256CF"/>
    <w:rsid w:val="00125A7C"/>
    <w:rsid w:val="00125D3E"/>
    <w:rsid w:val="00125E77"/>
    <w:rsid w:val="00125EF9"/>
    <w:rsid w:val="00126008"/>
    <w:rsid w:val="001262F1"/>
    <w:rsid w:val="00126742"/>
    <w:rsid w:val="00126781"/>
    <w:rsid w:val="00126F64"/>
    <w:rsid w:val="00126F93"/>
    <w:rsid w:val="00127094"/>
    <w:rsid w:val="001270D0"/>
    <w:rsid w:val="0012726E"/>
    <w:rsid w:val="00127472"/>
    <w:rsid w:val="0012748F"/>
    <w:rsid w:val="00127727"/>
    <w:rsid w:val="00127A12"/>
    <w:rsid w:val="00127A82"/>
    <w:rsid w:val="00127B7D"/>
    <w:rsid w:val="00127CDA"/>
    <w:rsid w:val="0013041A"/>
    <w:rsid w:val="001306A5"/>
    <w:rsid w:val="00130A99"/>
    <w:rsid w:val="00130AC5"/>
    <w:rsid w:val="00131468"/>
    <w:rsid w:val="001316D6"/>
    <w:rsid w:val="001316FB"/>
    <w:rsid w:val="00131753"/>
    <w:rsid w:val="00131A47"/>
    <w:rsid w:val="00131A8B"/>
    <w:rsid w:val="00131AB3"/>
    <w:rsid w:val="00131E5B"/>
    <w:rsid w:val="00132647"/>
    <w:rsid w:val="001326E8"/>
    <w:rsid w:val="001327DF"/>
    <w:rsid w:val="001328CF"/>
    <w:rsid w:val="00132A71"/>
    <w:rsid w:val="00132B2E"/>
    <w:rsid w:val="00132E20"/>
    <w:rsid w:val="00133227"/>
    <w:rsid w:val="0013330D"/>
    <w:rsid w:val="001333F9"/>
    <w:rsid w:val="00133433"/>
    <w:rsid w:val="00133582"/>
    <w:rsid w:val="001335B4"/>
    <w:rsid w:val="001338BF"/>
    <w:rsid w:val="00133924"/>
    <w:rsid w:val="00133956"/>
    <w:rsid w:val="00133A1D"/>
    <w:rsid w:val="00133C2D"/>
    <w:rsid w:val="00133D06"/>
    <w:rsid w:val="00133D15"/>
    <w:rsid w:val="00133DF7"/>
    <w:rsid w:val="00133EAD"/>
    <w:rsid w:val="00134569"/>
    <w:rsid w:val="0013474C"/>
    <w:rsid w:val="00134757"/>
    <w:rsid w:val="00134770"/>
    <w:rsid w:val="00134835"/>
    <w:rsid w:val="00134A11"/>
    <w:rsid w:val="00134C0F"/>
    <w:rsid w:val="00134E71"/>
    <w:rsid w:val="00134E8D"/>
    <w:rsid w:val="00134EE7"/>
    <w:rsid w:val="00134EFA"/>
    <w:rsid w:val="00135082"/>
    <w:rsid w:val="0013536A"/>
    <w:rsid w:val="001353AB"/>
    <w:rsid w:val="00135724"/>
    <w:rsid w:val="001359EA"/>
    <w:rsid w:val="00135A0D"/>
    <w:rsid w:val="00135AFD"/>
    <w:rsid w:val="00135B0E"/>
    <w:rsid w:val="00135BB7"/>
    <w:rsid w:val="00135DC7"/>
    <w:rsid w:val="00135E4D"/>
    <w:rsid w:val="00136134"/>
    <w:rsid w:val="0013623E"/>
    <w:rsid w:val="00136515"/>
    <w:rsid w:val="0013692B"/>
    <w:rsid w:val="00136B7C"/>
    <w:rsid w:val="00136E1C"/>
    <w:rsid w:val="00136ECC"/>
    <w:rsid w:val="001374D4"/>
    <w:rsid w:val="001375E9"/>
    <w:rsid w:val="001376CB"/>
    <w:rsid w:val="00137858"/>
    <w:rsid w:val="001378A0"/>
    <w:rsid w:val="00137A1B"/>
    <w:rsid w:val="00137AEE"/>
    <w:rsid w:val="00137BD3"/>
    <w:rsid w:val="00137CE4"/>
    <w:rsid w:val="00137DEE"/>
    <w:rsid w:val="0014005D"/>
    <w:rsid w:val="00140602"/>
    <w:rsid w:val="00140677"/>
    <w:rsid w:val="0014078E"/>
    <w:rsid w:val="00140919"/>
    <w:rsid w:val="00140A4E"/>
    <w:rsid w:val="00140A82"/>
    <w:rsid w:val="00140DE9"/>
    <w:rsid w:val="00141247"/>
    <w:rsid w:val="00141285"/>
    <w:rsid w:val="001412C6"/>
    <w:rsid w:val="00141323"/>
    <w:rsid w:val="0014135F"/>
    <w:rsid w:val="001414C5"/>
    <w:rsid w:val="0014176E"/>
    <w:rsid w:val="00141B1E"/>
    <w:rsid w:val="00141B65"/>
    <w:rsid w:val="00141BC5"/>
    <w:rsid w:val="00141F3E"/>
    <w:rsid w:val="00142094"/>
    <w:rsid w:val="00142107"/>
    <w:rsid w:val="0014215A"/>
    <w:rsid w:val="0014267F"/>
    <w:rsid w:val="00142850"/>
    <w:rsid w:val="00142AFF"/>
    <w:rsid w:val="00142B8F"/>
    <w:rsid w:val="00142B9F"/>
    <w:rsid w:val="00142C57"/>
    <w:rsid w:val="00143451"/>
    <w:rsid w:val="001434B2"/>
    <w:rsid w:val="001436BE"/>
    <w:rsid w:val="0014391F"/>
    <w:rsid w:val="00143DB1"/>
    <w:rsid w:val="00143EEC"/>
    <w:rsid w:val="001440A8"/>
    <w:rsid w:val="0014423A"/>
    <w:rsid w:val="001442A2"/>
    <w:rsid w:val="001442F4"/>
    <w:rsid w:val="00144584"/>
    <w:rsid w:val="001445C5"/>
    <w:rsid w:val="0014469E"/>
    <w:rsid w:val="001446B8"/>
    <w:rsid w:val="00144B5D"/>
    <w:rsid w:val="00144F23"/>
    <w:rsid w:val="00145499"/>
    <w:rsid w:val="0014570D"/>
    <w:rsid w:val="001458E3"/>
    <w:rsid w:val="00145912"/>
    <w:rsid w:val="00145AA7"/>
    <w:rsid w:val="00145BDB"/>
    <w:rsid w:val="00145C0A"/>
    <w:rsid w:val="00145D10"/>
    <w:rsid w:val="00145D7E"/>
    <w:rsid w:val="00145DAC"/>
    <w:rsid w:val="00145F7F"/>
    <w:rsid w:val="00146234"/>
    <w:rsid w:val="00146558"/>
    <w:rsid w:val="0014672C"/>
    <w:rsid w:val="00146979"/>
    <w:rsid w:val="00146A23"/>
    <w:rsid w:val="00146CBC"/>
    <w:rsid w:val="00146D89"/>
    <w:rsid w:val="00146F63"/>
    <w:rsid w:val="001470BF"/>
    <w:rsid w:val="0014730A"/>
    <w:rsid w:val="0014740B"/>
    <w:rsid w:val="001475FD"/>
    <w:rsid w:val="00147660"/>
    <w:rsid w:val="001476C6"/>
    <w:rsid w:val="00147BA0"/>
    <w:rsid w:val="00147BA5"/>
    <w:rsid w:val="00147ED1"/>
    <w:rsid w:val="0015008D"/>
    <w:rsid w:val="001500D4"/>
    <w:rsid w:val="001500D6"/>
    <w:rsid w:val="00150158"/>
    <w:rsid w:val="00150220"/>
    <w:rsid w:val="001505B7"/>
    <w:rsid w:val="00150BF3"/>
    <w:rsid w:val="00150F03"/>
    <w:rsid w:val="00151003"/>
    <w:rsid w:val="001510D7"/>
    <w:rsid w:val="001512C4"/>
    <w:rsid w:val="00151359"/>
    <w:rsid w:val="0015137D"/>
    <w:rsid w:val="00151708"/>
    <w:rsid w:val="001517A8"/>
    <w:rsid w:val="001519A8"/>
    <w:rsid w:val="001519AD"/>
    <w:rsid w:val="00151C44"/>
    <w:rsid w:val="0015215C"/>
    <w:rsid w:val="0015227F"/>
    <w:rsid w:val="0015233E"/>
    <w:rsid w:val="00152D48"/>
    <w:rsid w:val="00152FB9"/>
    <w:rsid w:val="00153210"/>
    <w:rsid w:val="0015329F"/>
    <w:rsid w:val="00153395"/>
    <w:rsid w:val="0015364A"/>
    <w:rsid w:val="001536C7"/>
    <w:rsid w:val="0015381E"/>
    <w:rsid w:val="00153BD1"/>
    <w:rsid w:val="00153CE5"/>
    <w:rsid w:val="00153D8B"/>
    <w:rsid w:val="00153F9C"/>
    <w:rsid w:val="0015429E"/>
    <w:rsid w:val="0015453F"/>
    <w:rsid w:val="00154582"/>
    <w:rsid w:val="001546F0"/>
    <w:rsid w:val="00154793"/>
    <w:rsid w:val="001547A5"/>
    <w:rsid w:val="00154822"/>
    <w:rsid w:val="0015482B"/>
    <w:rsid w:val="00154AF8"/>
    <w:rsid w:val="00154C5C"/>
    <w:rsid w:val="00154D52"/>
    <w:rsid w:val="00155356"/>
    <w:rsid w:val="001554CE"/>
    <w:rsid w:val="00155722"/>
    <w:rsid w:val="00155793"/>
    <w:rsid w:val="001559C8"/>
    <w:rsid w:val="00155C75"/>
    <w:rsid w:val="00156332"/>
    <w:rsid w:val="00156392"/>
    <w:rsid w:val="00156550"/>
    <w:rsid w:val="00156B32"/>
    <w:rsid w:val="00156D32"/>
    <w:rsid w:val="00157086"/>
    <w:rsid w:val="001573B3"/>
    <w:rsid w:val="00157620"/>
    <w:rsid w:val="00157917"/>
    <w:rsid w:val="0015791A"/>
    <w:rsid w:val="00157C41"/>
    <w:rsid w:val="00157C66"/>
    <w:rsid w:val="00157CB8"/>
    <w:rsid w:val="00160007"/>
    <w:rsid w:val="001603A0"/>
    <w:rsid w:val="001605A3"/>
    <w:rsid w:val="0016064F"/>
    <w:rsid w:val="00160B33"/>
    <w:rsid w:val="00160C07"/>
    <w:rsid w:val="00160D5E"/>
    <w:rsid w:val="00161126"/>
    <w:rsid w:val="0016132C"/>
    <w:rsid w:val="0016135E"/>
    <w:rsid w:val="00161572"/>
    <w:rsid w:val="00161609"/>
    <w:rsid w:val="00161650"/>
    <w:rsid w:val="00161A94"/>
    <w:rsid w:val="00161AE9"/>
    <w:rsid w:val="00161B02"/>
    <w:rsid w:val="00161F12"/>
    <w:rsid w:val="0016211F"/>
    <w:rsid w:val="0016215B"/>
    <w:rsid w:val="00162527"/>
    <w:rsid w:val="00162A31"/>
    <w:rsid w:val="00162A63"/>
    <w:rsid w:val="00162B46"/>
    <w:rsid w:val="00162D77"/>
    <w:rsid w:val="00162E51"/>
    <w:rsid w:val="00162FB0"/>
    <w:rsid w:val="00163018"/>
    <w:rsid w:val="00163210"/>
    <w:rsid w:val="0016354A"/>
    <w:rsid w:val="0016366F"/>
    <w:rsid w:val="00163801"/>
    <w:rsid w:val="00163E41"/>
    <w:rsid w:val="00163E9E"/>
    <w:rsid w:val="001640B0"/>
    <w:rsid w:val="0016424F"/>
    <w:rsid w:val="001643FF"/>
    <w:rsid w:val="00164676"/>
    <w:rsid w:val="001646F4"/>
    <w:rsid w:val="001647F4"/>
    <w:rsid w:val="00164844"/>
    <w:rsid w:val="00164A77"/>
    <w:rsid w:val="00164AD9"/>
    <w:rsid w:val="00164B65"/>
    <w:rsid w:val="00164FDD"/>
    <w:rsid w:val="001650DD"/>
    <w:rsid w:val="0016517A"/>
    <w:rsid w:val="00165428"/>
    <w:rsid w:val="00165482"/>
    <w:rsid w:val="001654FD"/>
    <w:rsid w:val="0016559F"/>
    <w:rsid w:val="0016564E"/>
    <w:rsid w:val="00165A18"/>
    <w:rsid w:val="00165BE8"/>
    <w:rsid w:val="00165C42"/>
    <w:rsid w:val="00165CF3"/>
    <w:rsid w:val="00165E1D"/>
    <w:rsid w:val="00165FA0"/>
    <w:rsid w:val="00166148"/>
    <w:rsid w:val="001661D9"/>
    <w:rsid w:val="00166267"/>
    <w:rsid w:val="001663C8"/>
    <w:rsid w:val="001667E0"/>
    <w:rsid w:val="00166C37"/>
    <w:rsid w:val="00166CFC"/>
    <w:rsid w:val="00166DD9"/>
    <w:rsid w:val="00166F07"/>
    <w:rsid w:val="00167175"/>
    <w:rsid w:val="001671D4"/>
    <w:rsid w:val="001672ED"/>
    <w:rsid w:val="001676AE"/>
    <w:rsid w:val="001678D1"/>
    <w:rsid w:val="00167C79"/>
    <w:rsid w:val="0017009B"/>
    <w:rsid w:val="0017037E"/>
    <w:rsid w:val="001704F0"/>
    <w:rsid w:val="00170540"/>
    <w:rsid w:val="00170572"/>
    <w:rsid w:val="00170619"/>
    <w:rsid w:val="00170642"/>
    <w:rsid w:val="001706B8"/>
    <w:rsid w:val="001708EC"/>
    <w:rsid w:val="001708F6"/>
    <w:rsid w:val="00170B1A"/>
    <w:rsid w:val="00170D21"/>
    <w:rsid w:val="00170D9D"/>
    <w:rsid w:val="0017121B"/>
    <w:rsid w:val="00171658"/>
    <w:rsid w:val="00171BFC"/>
    <w:rsid w:val="001721DB"/>
    <w:rsid w:val="001723B2"/>
    <w:rsid w:val="0017240D"/>
    <w:rsid w:val="00172688"/>
    <w:rsid w:val="00172689"/>
    <w:rsid w:val="00172AF5"/>
    <w:rsid w:val="00172B99"/>
    <w:rsid w:val="00172C26"/>
    <w:rsid w:val="00172D4C"/>
    <w:rsid w:val="00172DC1"/>
    <w:rsid w:val="00172E90"/>
    <w:rsid w:val="001731EE"/>
    <w:rsid w:val="00173338"/>
    <w:rsid w:val="00173384"/>
    <w:rsid w:val="0017341D"/>
    <w:rsid w:val="001735F0"/>
    <w:rsid w:val="0017384B"/>
    <w:rsid w:val="001739B5"/>
    <w:rsid w:val="00173C7D"/>
    <w:rsid w:val="00173E3C"/>
    <w:rsid w:val="001740C3"/>
    <w:rsid w:val="00174186"/>
    <w:rsid w:val="001741DC"/>
    <w:rsid w:val="0017437C"/>
    <w:rsid w:val="001743E0"/>
    <w:rsid w:val="001745DB"/>
    <w:rsid w:val="001745F9"/>
    <w:rsid w:val="0017471F"/>
    <w:rsid w:val="001747A0"/>
    <w:rsid w:val="001747F8"/>
    <w:rsid w:val="00174899"/>
    <w:rsid w:val="00174B84"/>
    <w:rsid w:val="00174DC9"/>
    <w:rsid w:val="00174EC9"/>
    <w:rsid w:val="00174F8D"/>
    <w:rsid w:val="00175068"/>
    <w:rsid w:val="0017518B"/>
    <w:rsid w:val="0017555F"/>
    <w:rsid w:val="001755F5"/>
    <w:rsid w:val="001759E7"/>
    <w:rsid w:val="00175A49"/>
    <w:rsid w:val="00175CEB"/>
    <w:rsid w:val="001764D3"/>
    <w:rsid w:val="00176570"/>
    <w:rsid w:val="001767B2"/>
    <w:rsid w:val="00176898"/>
    <w:rsid w:val="00176DC1"/>
    <w:rsid w:val="00176E6E"/>
    <w:rsid w:val="00176FC5"/>
    <w:rsid w:val="001771CD"/>
    <w:rsid w:val="001773A9"/>
    <w:rsid w:val="00177EAE"/>
    <w:rsid w:val="00177FC3"/>
    <w:rsid w:val="001800F0"/>
    <w:rsid w:val="0018013A"/>
    <w:rsid w:val="00180233"/>
    <w:rsid w:val="001802D9"/>
    <w:rsid w:val="001803AE"/>
    <w:rsid w:val="001803DC"/>
    <w:rsid w:val="00180494"/>
    <w:rsid w:val="0018092D"/>
    <w:rsid w:val="00180D5E"/>
    <w:rsid w:val="00181374"/>
    <w:rsid w:val="00181849"/>
    <w:rsid w:val="001819F2"/>
    <w:rsid w:val="00182202"/>
    <w:rsid w:val="00182248"/>
    <w:rsid w:val="001822FF"/>
    <w:rsid w:val="00182640"/>
    <w:rsid w:val="001826B5"/>
    <w:rsid w:val="001827D5"/>
    <w:rsid w:val="00182ACA"/>
    <w:rsid w:val="00182B5A"/>
    <w:rsid w:val="00182DDF"/>
    <w:rsid w:val="00182EF7"/>
    <w:rsid w:val="00182F93"/>
    <w:rsid w:val="00183153"/>
    <w:rsid w:val="0018315F"/>
    <w:rsid w:val="001832F2"/>
    <w:rsid w:val="00183373"/>
    <w:rsid w:val="001834AB"/>
    <w:rsid w:val="001835B2"/>
    <w:rsid w:val="0018399B"/>
    <w:rsid w:val="00183BA3"/>
    <w:rsid w:val="00183CFB"/>
    <w:rsid w:val="00184256"/>
    <w:rsid w:val="001843EC"/>
    <w:rsid w:val="0018459C"/>
    <w:rsid w:val="00184747"/>
    <w:rsid w:val="001847C4"/>
    <w:rsid w:val="001848DE"/>
    <w:rsid w:val="0018496A"/>
    <w:rsid w:val="00184AF3"/>
    <w:rsid w:val="00184C63"/>
    <w:rsid w:val="00185047"/>
    <w:rsid w:val="001851AB"/>
    <w:rsid w:val="001852F4"/>
    <w:rsid w:val="001854C3"/>
    <w:rsid w:val="00185807"/>
    <w:rsid w:val="00185A87"/>
    <w:rsid w:val="00185BE4"/>
    <w:rsid w:val="00185C19"/>
    <w:rsid w:val="00185F39"/>
    <w:rsid w:val="0018650B"/>
    <w:rsid w:val="00186915"/>
    <w:rsid w:val="00186AA8"/>
    <w:rsid w:val="00186AEF"/>
    <w:rsid w:val="00186B41"/>
    <w:rsid w:val="00186F20"/>
    <w:rsid w:val="00187189"/>
    <w:rsid w:val="001871AF"/>
    <w:rsid w:val="00187814"/>
    <w:rsid w:val="00187854"/>
    <w:rsid w:val="00187904"/>
    <w:rsid w:val="00187AF3"/>
    <w:rsid w:val="00187D8A"/>
    <w:rsid w:val="00187EF4"/>
    <w:rsid w:val="00190175"/>
    <w:rsid w:val="001901F5"/>
    <w:rsid w:val="00190219"/>
    <w:rsid w:val="001906BF"/>
    <w:rsid w:val="001907CE"/>
    <w:rsid w:val="001908D0"/>
    <w:rsid w:val="00190D4C"/>
    <w:rsid w:val="00190EE2"/>
    <w:rsid w:val="00190FA0"/>
    <w:rsid w:val="00190FAC"/>
    <w:rsid w:val="00190FEF"/>
    <w:rsid w:val="0019105B"/>
    <w:rsid w:val="00191081"/>
    <w:rsid w:val="001911B9"/>
    <w:rsid w:val="001911CF"/>
    <w:rsid w:val="00191364"/>
    <w:rsid w:val="00191456"/>
    <w:rsid w:val="001917BE"/>
    <w:rsid w:val="001919CE"/>
    <w:rsid w:val="00191D78"/>
    <w:rsid w:val="00191D89"/>
    <w:rsid w:val="00191E56"/>
    <w:rsid w:val="0019223B"/>
    <w:rsid w:val="001925A8"/>
    <w:rsid w:val="001927C4"/>
    <w:rsid w:val="00192D29"/>
    <w:rsid w:val="00192DE0"/>
    <w:rsid w:val="00192F58"/>
    <w:rsid w:val="00193089"/>
    <w:rsid w:val="001930C2"/>
    <w:rsid w:val="00193124"/>
    <w:rsid w:val="001931AC"/>
    <w:rsid w:val="00193415"/>
    <w:rsid w:val="00193977"/>
    <w:rsid w:val="001939D5"/>
    <w:rsid w:val="00193CAB"/>
    <w:rsid w:val="00193EE5"/>
    <w:rsid w:val="00193FFF"/>
    <w:rsid w:val="0019414C"/>
    <w:rsid w:val="001943BF"/>
    <w:rsid w:val="001947C5"/>
    <w:rsid w:val="00194F2B"/>
    <w:rsid w:val="00194F51"/>
    <w:rsid w:val="0019502A"/>
    <w:rsid w:val="00195103"/>
    <w:rsid w:val="0019511C"/>
    <w:rsid w:val="001951FB"/>
    <w:rsid w:val="001953EA"/>
    <w:rsid w:val="00195576"/>
    <w:rsid w:val="001955E8"/>
    <w:rsid w:val="00195857"/>
    <w:rsid w:val="00195897"/>
    <w:rsid w:val="00195967"/>
    <w:rsid w:val="00195985"/>
    <w:rsid w:val="001959DF"/>
    <w:rsid w:val="00195C3F"/>
    <w:rsid w:val="00195C4F"/>
    <w:rsid w:val="00195FA2"/>
    <w:rsid w:val="001961CB"/>
    <w:rsid w:val="00196427"/>
    <w:rsid w:val="00196714"/>
    <w:rsid w:val="0019673D"/>
    <w:rsid w:val="0019673F"/>
    <w:rsid w:val="0019674C"/>
    <w:rsid w:val="00196780"/>
    <w:rsid w:val="0019681C"/>
    <w:rsid w:val="0019697A"/>
    <w:rsid w:val="00196D65"/>
    <w:rsid w:val="00196DC9"/>
    <w:rsid w:val="00196F2E"/>
    <w:rsid w:val="00197103"/>
    <w:rsid w:val="0019717F"/>
    <w:rsid w:val="001975F7"/>
    <w:rsid w:val="001976F3"/>
    <w:rsid w:val="0019771A"/>
    <w:rsid w:val="00197A9C"/>
    <w:rsid w:val="00197CC5"/>
    <w:rsid w:val="00197DF5"/>
    <w:rsid w:val="001A006C"/>
    <w:rsid w:val="001A0457"/>
    <w:rsid w:val="001A0472"/>
    <w:rsid w:val="001A0A73"/>
    <w:rsid w:val="001A0B5D"/>
    <w:rsid w:val="001A0D9D"/>
    <w:rsid w:val="001A0D9F"/>
    <w:rsid w:val="001A0F14"/>
    <w:rsid w:val="001A11B3"/>
    <w:rsid w:val="001A14E5"/>
    <w:rsid w:val="001A1830"/>
    <w:rsid w:val="001A1A32"/>
    <w:rsid w:val="001A1CEA"/>
    <w:rsid w:val="001A1EF1"/>
    <w:rsid w:val="001A2099"/>
    <w:rsid w:val="001A2485"/>
    <w:rsid w:val="001A26B4"/>
    <w:rsid w:val="001A26E7"/>
    <w:rsid w:val="001A2A14"/>
    <w:rsid w:val="001A2CAA"/>
    <w:rsid w:val="001A2D3F"/>
    <w:rsid w:val="001A2F2E"/>
    <w:rsid w:val="001A2FCE"/>
    <w:rsid w:val="001A320C"/>
    <w:rsid w:val="001A33EA"/>
    <w:rsid w:val="001A34D3"/>
    <w:rsid w:val="001A3730"/>
    <w:rsid w:val="001A39C5"/>
    <w:rsid w:val="001A3ABF"/>
    <w:rsid w:val="001A3B58"/>
    <w:rsid w:val="001A3B7D"/>
    <w:rsid w:val="001A457B"/>
    <w:rsid w:val="001A46BB"/>
    <w:rsid w:val="001A473F"/>
    <w:rsid w:val="001A484F"/>
    <w:rsid w:val="001A4A41"/>
    <w:rsid w:val="001A4B8E"/>
    <w:rsid w:val="001A4BB8"/>
    <w:rsid w:val="001A4BDA"/>
    <w:rsid w:val="001A4EE4"/>
    <w:rsid w:val="001A4FD8"/>
    <w:rsid w:val="001A4FDE"/>
    <w:rsid w:val="001A500B"/>
    <w:rsid w:val="001A57E6"/>
    <w:rsid w:val="001A5D73"/>
    <w:rsid w:val="001A5DCC"/>
    <w:rsid w:val="001A629B"/>
    <w:rsid w:val="001A6747"/>
    <w:rsid w:val="001A67D1"/>
    <w:rsid w:val="001A680C"/>
    <w:rsid w:val="001A6B3B"/>
    <w:rsid w:val="001A6DDE"/>
    <w:rsid w:val="001A71BF"/>
    <w:rsid w:val="001A72DD"/>
    <w:rsid w:val="001A73DC"/>
    <w:rsid w:val="001A7438"/>
    <w:rsid w:val="001A766A"/>
    <w:rsid w:val="001A7B12"/>
    <w:rsid w:val="001A7BE4"/>
    <w:rsid w:val="001A7D13"/>
    <w:rsid w:val="001A7D5F"/>
    <w:rsid w:val="001B001C"/>
    <w:rsid w:val="001B0043"/>
    <w:rsid w:val="001B011A"/>
    <w:rsid w:val="001B01C0"/>
    <w:rsid w:val="001B03CB"/>
    <w:rsid w:val="001B0524"/>
    <w:rsid w:val="001B09F1"/>
    <w:rsid w:val="001B0AB8"/>
    <w:rsid w:val="001B0B4E"/>
    <w:rsid w:val="001B0ED9"/>
    <w:rsid w:val="001B103F"/>
    <w:rsid w:val="001B12B8"/>
    <w:rsid w:val="001B1485"/>
    <w:rsid w:val="001B16C3"/>
    <w:rsid w:val="001B184A"/>
    <w:rsid w:val="001B18A2"/>
    <w:rsid w:val="001B190C"/>
    <w:rsid w:val="001B1AD4"/>
    <w:rsid w:val="001B1D97"/>
    <w:rsid w:val="001B27F6"/>
    <w:rsid w:val="001B29CE"/>
    <w:rsid w:val="001B2DAB"/>
    <w:rsid w:val="001B2E46"/>
    <w:rsid w:val="001B3149"/>
    <w:rsid w:val="001B332D"/>
    <w:rsid w:val="001B33C2"/>
    <w:rsid w:val="001B36DE"/>
    <w:rsid w:val="001B37F3"/>
    <w:rsid w:val="001B3AD4"/>
    <w:rsid w:val="001B3BDC"/>
    <w:rsid w:val="001B3CE7"/>
    <w:rsid w:val="001B3E07"/>
    <w:rsid w:val="001B3E0A"/>
    <w:rsid w:val="001B3EF1"/>
    <w:rsid w:val="001B4116"/>
    <w:rsid w:val="001B4C9D"/>
    <w:rsid w:val="001B4F8B"/>
    <w:rsid w:val="001B4F8D"/>
    <w:rsid w:val="001B5081"/>
    <w:rsid w:val="001B5148"/>
    <w:rsid w:val="001B525E"/>
    <w:rsid w:val="001B545F"/>
    <w:rsid w:val="001B55B2"/>
    <w:rsid w:val="001B5CA2"/>
    <w:rsid w:val="001B5CB3"/>
    <w:rsid w:val="001B5D5D"/>
    <w:rsid w:val="001B5EC3"/>
    <w:rsid w:val="001B5F48"/>
    <w:rsid w:val="001B6106"/>
    <w:rsid w:val="001B6269"/>
    <w:rsid w:val="001B62BB"/>
    <w:rsid w:val="001B636D"/>
    <w:rsid w:val="001B63E4"/>
    <w:rsid w:val="001B65CE"/>
    <w:rsid w:val="001B665A"/>
    <w:rsid w:val="001B6A09"/>
    <w:rsid w:val="001B6B48"/>
    <w:rsid w:val="001B6C36"/>
    <w:rsid w:val="001B6D27"/>
    <w:rsid w:val="001B6FD2"/>
    <w:rsid w:val="001B7385"/>
    <w:rsid w:val="001B738A"/>
    <w:rsid w:val="001B73FF"/>
    <w:rsid w:val="001B757D"/>
    <w:rsid w:val="001B7602"/>
    <w:rsid w:val="001B76B0"/>
    <w:rsid w:val="001B7759"/>
    <w:rsid w:val="001B7834"/>
    <w:rsid w:val="001B7A0B"/>
    <w:rsid w:val="001B7B6B"/>
    <w:rsid w:val="001B7C94"/>
    <w:rsid w:val="001B7D31"/>
    <w:rsid w:val="001B7EDF"/>
    <w:rsid w:val="001C078D"/>
    <w:rsid w:val="001C094A"/>
    <w:rsid w:val="001C0D29"/>
    <w:rsid w:val="001C111B"/>
    <w:rsid w:val="001C1136"/>
    <w:rsid w:val="001C11EC"/>
    <w:rsid w:val="001C11F8"/>
    <w:rsid w:val="001C15EE"/>
    <w:rsid w:val="001C18EF"/>
    <w:rsid w:val="001C18FA"/>
    <w:rsid w:val="001C1C00"/>
    <w:rsid w:val="001C1E47"/>
    <w:rsid w:val="001C1FEC"/>
    <w:rsid w:val="001C1FFC"/>
    <w:rsid w:val="001C2051"/>
    <w:rsid w:val="001C2173"/>
    <w:rsid w:val="001C21E0"/>
    <w:rsid w:val="001C23CE"/>
    <w:rsid w:val="001C23FA"/>
    <w:rsid w:val="001C24CB"/>
    <w:rsid w:val="001C2501"/>
    <w:rsid w:val="001C2670"/>
    <w:rsid w:val="001C278D"/>
    <w:rsid w:val="001C2925"/>
    <w:rsid w:val="001C2965"/>
    <w:rsid w:val="001C29CF"/>
    <w:rsid w:val="001C2A42"/>
    <w:rsid w:val="001C2E81"/>
    <w:rsid w:val="001C2F01"/>
    <w:rsid w:val="001C2FA5"/>
    <w:rsid w:val="001C3254"/>
    <w:rsid w:val="001C3785"/>
    <w:rsid w:val="001C3DFC"/>
    <w:rsid w:val="001C43FF"/>
    <w:rsid w:val="001C4642"/>
    <w:rsid w:val="001C4758"/>
    <w:rsid w:val="001C48E0"/>
    <w:rsid w:val="001C4B31"/>
    <w:rsid w:val="001C4B91"/>
    <w:rsid w:val="001C5215"/>
    <w:rsid w:val="001C5243"/>
    <w:rsid w:val="001C53E8"/>
    <w:rsid w:val="001C5539"/>
    <w:rsid w:val="001C55E0"/>
    <w:rsid w:val="001C5602"/>
    <w:rsid w:val="001C56E1"/>
    <w:rsid w:val="001C589E"/>
    <w:rsid w:val="001C5C7A"/>
    <w:rsid w:val="001C61E4"/>
    <w:rsid w:val="001C6400"/>
    <w:rsid w:val="001C661A"/>
    <w:rsid w:val="001C69DB"/>
    <w:rsid w:val="001C6A78"/>
    <w:rsid w:val="001C6B48"/>
    <w:rsid w:val="001C6BF2"/>
    <w:rsid w:val="001C6C50"/>
    <w:rsid w:val="001C6EDA"/>
    <w:rsid w:val="001C71AA"/>
    <w:rsid w:val="001C7280"/>
    <w:rsid w:val="001C74C1"/>
    <w:rsid w:val="001C76F0"/>
    <w:rsid w:val="001C7798"/>
    <w:rsid w:val="001C7A4E"/>
    <w:rsid w:val="001C7B65"/>
    <w:rsid w:val="001C7DE6"/>
    <w:rsid w:val="001C7E04"/>
    <w:rsid w:val="001C7E6C"/>
    <w:rsid w:val="001D007C"/>
    <w:rsid w:val="001D009F"/>
    <w:rsid w:val="001D0BD5"/>
    <w:rsid w:val="001D19B2"/>
    <w:rsid w:val="001D19FA"/>
    <w:rsid w:val="001D1A11"/>
    <w:rsid w:val="001D1F44"/>
    <w:rsid w:val="001D2220"/>
    <w:rsid w:val="001D2246"/>
    <w:rsid w:val="001D22C8"/>
    <w:rsid w:val="001D2321"/>
    <w:rsid w:val="001D249C"/>
    <w:rsid w:val="001D255B"/>
    <w:rsid w:val="001D284E"/>
    <w:rsid w:val="001D289E"/>
    <w:rsid w:val="001D2908"/>
    <w:rsid w:val="001D29C9"/>
    <w:rsid w:val="001D2AB7"/>
    <w:rsid w:val="001D311B"/>
    <w:rsid w:val="001D331E"/>
    <w:rsid w:val="001D3554"/>
    <w:rsid w:val="001D3AC8"/>
    <w:rsid w:val="001D3AF5"/>
    <w:rsid w:val="001D3BE4"/>
    <w:rsid w:val="001D3C91"/>
    <w:rsid w:val="001D41FD"/>
    <w:rsid w:val="001D4208"/>
    <w:rsid w:val="001D4325"/>
    <w:rsid w:val="001D4615"/>
    <w:rsid w:val="001D46F0"/>
    <w:rsid w:val="001D470F"/>
    <w:rsid w:val="001D4869"/>
    <w:rsid w:val="001D4B06"/>
    <w:rsid w:val="001D4F17"/>
    <w:rsid w:val="001D4F5C"/>
    <w:rsid w:val="001D51CD"/>
    <w:rsid w:val="001D559B"/>
    <w:rsid w:val="001D57B4"/>
    <w:rsid w:val="001D5D99"/>
    <w:rsid w:val="001D6052"/>
    <w:rsid w:val="001D6315"/>
    <w:rsid w:val="001D63B0"/>
    <w:rsid w:val="001D6533"/>
    <w:rsid w:val="001D6602"/>
    <w:rsid w:val="001D6876"/>
    <w:rsid w:val="001D68C3"/>
    <w:rsid w:val="001D6BDF"/>
    <w:rsid w:val="001D6F33"/>
    <w:rsid w:val="001D70AF"/>
    <w:rsid w:val="001D70FF"/>
    <w:rsid w:val="001D72BB"/>
    <w:rsid w:val="001D72CF"/>
    <w:rsid w:val="001D735F"/>
    <w:rsid w:val="001D7553"/>
    <w:rsid w:val="001D796B"/>
    <w:rsid w:val="001D7D08"/>
    <w:rsid w:val="001D7F63"/>
    <w:rsid w:val="001E00BA"/>
    <w:rsid w:val="001E0408"/>
    <w:rsid w:val="001E0562"/>
    <w:rsid w:val="001E0744"/>
    <w:rsid w:val="001E079B"/>
    <w:rsid w:val="001E079C"/>
    <w:rsid w:val="001E0868"/>
    <w:rsid w:val="001E0A0E"/>
    <w:rsid w:val="001E0C16"/>
    <w:rsid w:val="001E0CA8"/>
    <w:rsid w:val="001E0D2D"/>
    <w:rsid w:val="001E0FC7"/>
    <w:rsid w:val="001E1435"/>
    <w:rsid w:val="001E155C"/>
    <w:rsid w:val="001E160D"/>
    <w:rsid w:val="001E17BB"/>
    <w:rsid w:val="001E184C"/>
    <w:rsid w:val="001E186B"/>
    <w:rsid w:val="001E1A69"/>
    <w:rsid w:val="001E1BDE"/>
    <w:rsid w:val="001E2004"/>
    <w:rsid w:val="001E215E"/>
    <w:rsid w:val="001E240F"/>
    <w:rsid w:val="001E276F"/>
    <w:rsid w:val="001E2B23"/>
    <w:rsid w:val="001E2D5A"/>
    <w:rsid w:val="001E2DA4"/>
    <w:rsid w:val="001E31F2"/>
    <w:rsid w:val="001E3392"/>
    <w:rsid w:val="001E346B"/>
    <w:rsid w:val="001E356E"/>
    <w:rsid w:val="001E36CD"/>
    <w:rsid w:val="001E3B4D"/>
    <w:rsid w:val="001E3C68"/>
    <w:rsid w:val="001E3D18"/>
    <w:rsid w:val="001E3E6A"/>
    <w:rsid w:val="001E3F4E"/>
    <w:rsid w:val="001E4108"/>
    <w:rsid w:val="001E430A"/>
    <w:rsid w:val="001E470B"/>
    <w:rsid w:val="001E49F4"/>
    <w:rsid w:val="001E4A58"/>
    <w:rsid w:val="001E4B9B"/>
    <w:rsid w:val="001E4BF6"/>
    <w:rsid w:val="001E4C64"/>
    <w:rsid w:val="001E4F05"/>
    <w:rsid w:val="001E4F2E"/>
    <w:rsid w:val="001E53B9"/>
    <w:rsid w:val="001E569D"/>
    <w:rsid w:val="001E5757"/>
    <w:rsid w:val="001E57CB"/>
    <w:rsid w:val="001E584F"/>
    <w:rsid w:val="001E58E4"/>
    <w:rsid w:val="001E5B19"/>
    <w:rsid w:val="001E5C2E"/>
    <w:rsid w:val="001E5CCF"/>
    <w:rsid w:val="001E5ECF"/>
    <w:rsid w:val="001E5F26"/>
    <w:rsid w:val="001E6770"/>
    <w:rsid w:val="001E6C4D"/>
    <w:rsid w:val="001E6FDC"/>
    <w:rsid w:val="001E718B"/>
    <w:rsid w:val="001E7792"/>
    <w:rsid w:val="001E7799"/>
    <w:rsid w:val="001E7932"/>
    <w:rsid w:val="001E7B95"/>
    <w:rsid w:val="001E7BEE"/>
    <w:rsid w:val="001E7C72"/>
    <w:rsid w:val="001E7CF8"/>
    <w:rsid w:val="001F06D8"/>
    <w:rsid w:val="001F09DD"/>
    <w:rsid w:val="001F0C21"/>
    <w:rsid w:val="001F0CA9"/>
    <w:rsid w:val="001F0D45"/>
    <w:rsid w:val="001F0E5E"/>
    <w:rsid w:val="001F10CE"/>
    <w:rsid w:val="001F115D"/>
    <w:rsid w:val="001F1192"/>
    <w:rsid w:val="001F11E6"/>
    <w:rsid w:val="001F142C"/>
    <w:rsid w:val="001F16A8"/>
    <w:rsid w:val="001F1AC7"/>
    <w:rsid w:val="001F1B05"/>
    <w:rsid w:val="001F1D5C"/>
    <w:rsid w:val="001F237D"/>
    <w:rsid w:val="001F24AC"/>
    <w:rsid w:val="001F267F"/>
    <w:rsid w:val="001F26B7"/>
    <w:rsid w:val="001F274B"/>
    <w:rsid w:val="001F278F"/>
    <w:rsid w:val="001F2A6D"/>
    <w:rsid w:val="001F2E24"/>
    <w:rsid w:val="001F2E4E"/>
    <w:rsid w:val="001F2F25"/>
    <w:rsid w:val="001F35B2"/>
    <w:rsid w:val="001F360F"/>
    <w:rsid w:val="001F3622"/>
    <w:rsid w:val="001F36D7"/>
    <w:rsid w:val="001F3FE6"/>
    <w:rsid w:val="001F3FEA"/>
    <w:rsid w:val="001F422D"/>
    <w:rsid w:val="001F4256"/>
    <w:rsid w:val="001F43D6"/>
    <w:rsid w:val="001F446B"/>
    <w:rsid w:val="001F462E"/>
    <w:rsid w:val="001F4792"/>
    <w:rsid w:val="001F4884"/>
    <w:rsid w:val="001F49CC"/>
    <w:rsid w:val="001F4BB2"/>
    <w:rsid w:val="001F4C65"/>
    <w:rsid w:val="001F4FB2"/>
    <w:rsid w:val="001F5158"/>
    <w:rsid w:val="001F5397"/>
    <w:rsid w:val="001F5493"/>
    <w:rsid w:val="001F564C"/>
    <w:rsid w:val="001F59C9"/>
    <w:rsid w:val="001F5BB2"/>
    <w:rsid w:val="001F600D"/>
    <w:rsid w:val="001F6182"/>
    <w:rsid w:val="001F62B2"/>
    <w:rsid w:val="001F6D00"/>
    <w:rsid w:val="001F6FEE"/>
    <w:rsid w:val="001F72D0"/>
    <w:rsid w:val="001F78FF"/>
    <w:rsid w:val="001F7C29"/>
    <w:rsid w:val="001F7F5F"/>
    <w:rsid w:val="002000FE"/>
    <w:rsid w:val="002002C7"/>
    <w:rsid w:val="00200743"/>
    <w:rsid w:val="0020094E"/>
    <w:rsid w:val="00200985"/>
    <w:rsid w:val="0020098B"/>
    <w:rsid w:val="00200AF4"/>
    <w:rsid w:val="0020181B"/>
    <w:rsid w:val="0020185F"/>
    <w:rsid w:val="00201D34"/>
    <w:rsid w:val="00201D47"/>
    <w:rsid w:val="00201E42"/>
    <w:rsid w:val="00201ED8"/>
    <w:rsid w:val="0020216D"/>
    <w:rsid w:val="00202182"/>
    <w:rsid w:val="0020228B"/>
    <w:rsid w:val="00202349"/>
    <w:rsid w:val="0020255F"/>
    <w:rsid w:val="002025F6"/>
    <w:rsid w:val="002026CB"/>
    <w:rsid w:val="00202C1D"/>
    <w:rsid w:val="00202D3A"/>
    <w:rsid w:val="00202DF6"/>
    <w:rsid w:val="002031B0"/>
    <w:rsid w:val="002033AF"/>
    <w:rsid w:val="002037EA"/>
    <w:rsid w:val="00203A6D"/>
    <w:rsid w:val="00203F65"/>
    <w:rsid w:val="0020404E"/>
    <w:rsid w:val="00204247"/>
    <w:rsid w:val="002044D9"/>
    <w:rsid w:val="002044FB"/>
    <w:rsid w:val="002045D6"/>
    <w:rsid w:val="00204938"/>
    <w:rsid w:val="002049D7"/>
    <w:rsid w:val="00204BF0"/>
    <w:rsid w:val="00204C1C"/>
    <w:rsid w:val="00204CF2"/>
    <w:rsid w:val="00204D68"/>
    <w:rsid w:val="00204EA5"/>
    <w:rsid w:val="002058E8"/>
    <w:rsid w:val="002058FC"/>
    <w:rsid w:val="00205997"/>
    <w:rsid w:val="00205A98"/>
    <w:rsid w:val="0020615E"/>
    <w:rsid w:val="002062D1"/>
    <w:rsid w:val="0020644F"/>
    <w:rsid w:val="0020684D"/>
    <w:rsid w:val="0020687C"/>
    <w:rsid w:val="002068E3"/>
    <w:rsid w:val="00206BC3"/>
    <w:rsid w:val="00206C90"/>
    <w:rsid w:val="00206D51"/>
    <w:rsid w:val="00206F09"/>
    <w:rsid w:val="002070AD"/>
    <w:rsid w:val="0020713C"/>
    <w:rsid w:val="002071C0"/>
    <w:rsid w:val="00207228"/>
    <w:rsid w:val="0020726D"/>
    <w:rsid w:val="0020745A"/>
    <w:rsid w:val="00207A17"/>
    <w:rsid w:val="00207A4A"/>
    <w:rsid w:val="00207A75"/>
    <w:rsid w:val="00207C30"/>
    <w:rsid w:val="00207EA5"/>
    <w:rsid w:val="0021004E"/>
    <w:rsid w:val="00210283"/>
    <w:rsid w:val="0021048B"/>
    <w:rsid w:val="002104FA"/>
    <w:rsid w:val="002106FD"/>
    <w:rsid w:val="00210707"/>
    <w:rsid w:val="002107BA"/>
    <w:rsid w:val="002108A8"/>
    <w:rsid w:val="002108BB"/>
    <w:rsid w:val="0021093E"/>
    <w:rsid w:val="00210A0C"/>
    <w:rsid w:val="00210AA6"/>
    <w:rsid w:val="00210CA4"/>
    <w:rsid w:val="00210CC3"/>
    <w:rsid w:val="00210F28"/>
    <w:rsid w:val="00211460"/>
    <w:rsid w:val="00211565"/>
    <w:rsid w:val="002115AA"/>
    <w:rsid w:val="002115FC"/>
    <w:rsid w:val="002117D4"/>
    <w:rsid w:val="00211ABB"/>
    <w:rsid w:val="00211CA3"/>
    <w:rsid w:val="00211CDB"/>
    <w:rsid w:val="00211D2C"/>
    <w:rsid w:val="00211DAC"/>
    <w:rsid w:val="00211F04"/>
    <w:rsid w:val="00212263"/>
    <w:rsid w:val="002122CE"/>
    <w:rsid w:val="002126D7"/>
    <w:rsid w:val="00212933"/>
    <w:rsid w:val="0021295B"/>
    <w:rsid w:val="00212EA2"/>
    <w:rsid w:val="0021309D"/>
    <w:rsid w:val="0021312F"/>
    <w:rsid w:val="00213272"/>
    <w:rsid w:val="002132F2"/>
    <w:rsid w:val="0021358A"/>
    <w:rsid w:val="002135C6"/>
    <w:rsid w:val="002135D5"/>
    <w:rsid w:val="00213754"/>
    <w:rsid w:val="002137E7"/>
    <w:rsid w:val="00213C13"/>
    <w:rsid w:val="00213D4A"/>
    <w:rsid w:val="00213E14"/>
    <w:rsid w:val="0021405F"/>
    <w:rsid w:val="0021424A"/>
    <w:rsid w:val="002142C5"/>
    <w:rsid w:val="0021475D"/>
    <w:rsid w:val="0021478D"/>
    <w:rsid w:val="00214807"/>
    <w:rsid w:val="00214AE0"/>
    <w:rsid w:val="002151B6"/>
    <w:rsid w:val="00215209"/>
    <w:rsid w:val="002152FA"/>
    <w:rsid w:val="00215483"/>
    <w:rsid w:val="002155C6"/>
    <w:rsid w:val="002155E0"/>
    <w:rsid w:val="002157A2"/>
    <w:rsid w:val="00215805"/>
    <w:rsid w:val="0021592D"/>
    <w:rsid w:val="00215A4B"/>
    <w:rsid w:val="00215C6B"/>
    <w:rsid w:val="00215E92"/>
    <w:rsid w:val="002164AC"/>
    <w:rsid w:val="002164F4"/>
    <w:rsid w:val="00216674"/>
    <w:rsid w:val="002166DD"/>
    <w:rsid w:val="002168A3"/>
    <w:rsid w:val="00216932"/>
    <w:rsid w:val="002169C3"/>
    <w:rsid w:val="002169EA"/>
    <w:rsid w:val="00216D98"/>
    <w:rsid w:val="00216F09"/>
    <w:rsid w:val="00216F19"/>
    <w:rsid w:val="00216F24"/>
    <w:rsid w:val="002171DC"/>
    <w:rsid w:val="0021759B"/>
    <w:rsid w:val="00217618"/>
    <w:rsid w:val="002177C4"/>
    <w:rsid w:val="002177D5"/>
    <w:rsid w:val="00217A82"/>
    <w:rsid w:val="00217AA5"/>
    <w:rsid w:val="00217ADA"/>
    <w:rsid w:val="002202F4"/>
    <w:rsid w:val="00220432"/>
    <w:rsid w:val="00220766"/>
    <w:rsid w:val="00220827"/>
    <w:rsid w:val="00220ADC"/>
    <w:rsid w:val="00220B28"/>
    <w:rsid w:val="00220B8E"/>
    <w:rsid w:val="00220BBD"/>
    <w:rsid w:val="00220F1A"/>
    <w:rsid w:val="00220F22"/>
    <w:rsid w:val="00220F3D"/>
    <w:rsid w:val="00220F8A"/>
    <w:rsid w:val="00221058"/>
    <w:rsid w:val="0022105D"/>
    <w:rsid w:val="00221334"/>
    <w:rsid w:val="002216A5"/>
    <w:rsid w:val="002216DC"/>
    <w:rsid w:val="002216F9"/>
    <w:rsid w:val="0022198F"/>
    <w:rsid w:val="00221B9C"/>
    <w:rsid w:val="00222289"/>
    <w:rsid w:val="002223C3"/>
    <w:rsid w:val="0022255D"/>
    <w:rsid w:val="0022291E"/>
    <w:rsid w:val="002229B7"/>
    <w:rsid w:val="00222A49"/>
    <w:rsid w:val="00222CBE"/>
    <w:rsid w:val="00222D01"/>
    <w:rsid w:val="00222DD1"/>
    <w:rsid w:val="00222E61"/>
    <w:rsid w:val="00222EC8"/>
    <w:rsid w:val="0022309A"/>
    <w:rsid w:val="00223228"/>
    <w:rsid w:val="002233E1"/>
    <w:rsid w:val="002233F6"/>
    <w:rsid w:val="00223574"/>
    <w:rsid w:val="002236BD"/>
    <w:rsid w:val="00223932"/>
    <w:rsid w:val="00223978"/>
    <w:rsid w:val="0022412E"/>
    <w:rsid w:val="00224352"/>
    <w:rsid w:val="00224400"/>
    <w:rsid w:val="00224454"/>
    <w:rsid w:val="002244DD"/>
    <w:rsid w:val="002248CE"/>
    <w:rsid w:val="00224C46"/>
    <w:rsid w:val="00224F4E"/>
    <w:rsid w:val="0022515F"/>
    <w:rsid w:val="00225255"/>
    <w:rsid w:val="0022552E"/>
    <w:rsid w:val="00225A75"/>
    <w:rsid w:val="00225CEF"/>
    <w:rsid w:val="00225D53"/>
    <w:rsid w:val="00225F61"/>
    <w:rsid w:val="002262AE"/>
    <w:rsid w:val="002263B2"/>
    <w:rsid w:val="00226561"/>
    <w:rsid w:val="0022669A"/>
    <w:rsid w:val="002266C3"/>
    <w:rsid w:val="0022672F"/>
    <w:rsid w:val="00226D41"/>
    <w:rsid w:val="00226DBF"/>
    <w:rsid w:val="00227046"/>
    <w:rsid w:val="00227232"/>
    <w:rsid w:val="002273A1"/>
    <w:rsid w:val="00227738"/>
    <w:rsid w:val="00227776"/>
    <w:rsid w:val="002277B3"/>
    <w:rsid w:val="00227D62"/>
    <w:rsid w:val="00227D6D"/>
    <w:rsid w:val="00227EC8"/>
    <w:rsid w:val="00227F1A"/>
    <w:rsid w:val="00230258"/>
    <w:rsid w:val="00230395"/>
    <w:rsid w:val="002304A4"/>
    <w:rsid w:val="0023073F"/>
    <w:rsid w:val="00230C20"/>
    <w:rsid w:val="00230C80"/>
    <w:rsid w:val="00230E0B"/>
    <w:rsid w:val="00230FE7"/>
    <w:rsid w:val="0023165A"/>
    <w:rsid w:val="0023170D"/>
    <w:rsid w:val="002318CE"/>
    <w:rsid w:val="0023196C"/>
    <w:rsid w:val="00231A7B"/>
    <w:rsid w:val="00231B89"/>
    <w:rsid w:val="00231C05"/>
    <w:rsid w:val="00231C8D"/>
    <w:rsid w:val="0023226B"/>
    <w:rsid w:val="0023257D"/>
    <w:rsid w:val="002326B8"/>
    <w:rsid w:val="00232A7E"/>
    <w:rsid w:val="00232C99"/>
    <w:rsid w:val="00232CFB"/>
    <w:rsid w:val="00233042"/>
    <w:rsid w:val="002330CD"/>
    <w:rsid w:val="002330F7"/>
    <w:rsid w:val="00233537"/>
    <w:rsid w:val="002338B7"/>
    <w:rsid w:val="00233AB3"/>
    <w:rsid w:val="002341B9"/>
    <w:rsid w:val="0023433F"/>
    <w:rsid w:val="00234677"/>
    <w:rsid w:val="002348AC"/>
    <w:rsid w:val="002349FF"/>
    <w:rsid w:val="00235510"/>
    <w:rsid w:val="002356EF"/>
    <w:rsid w:val="0023590E"/>
    <w:rsid w:val="0023595C"/>
    <w:rsid w:val="002359A3"/>
    <w:rsid w:val="00235B9E"/>
    <w:rsid w:val="00235DD6"/>
    <w:rsid w:val="00235DF8"/>
    <w:rsid w:val="002362A7"/>
    <w:rsid w:val="002368DF"/>
    <w:rsid w:val="00236BDF"/>
    <w:rsid w:val="00236CC0"/>
    <w:rsid w:val="0023710B"/>
    <w:rsid w:val="0023740F"/>
    <w:rsid w:val="00237469"/>
    <w:rsid w:val="00237639"/>
    <w:rsid w:val="00237862"/>
    <w:rsid w:val="00237E2F"/>
    <w:rsid w:val="002402B2"/>
    <w:rsid w:val="0024045B"/>
    <w:rsid w:val="0024045E"/>
    <w:rsid w:val="0024053E"/>
    <w:rsid w:val="00240C45"/>
    <w:rsid w:val="00240C64"/>
    <w:rsid w:val="0024144A"/>
    <w:rsid w:val="002415DB"/>
    <w:rsid w:val="00241636"/>
    <w:rsid w:val="00241725"/>
    <w:rsid w:val="00241751"/>
    <w:rsid w:val="00241760"/>
    <w:rsid w:val="002417AE"/>
    <w:rsid w:val="00241A33"/>
    <w:rsid w:val="00241AEB"/>
    <w:rsid w:val="00241E36"/>
    <w:rsid w:val="00241F18"/>
    <w:rsid w:val="00242140"/>
    <w:rsid w:val="002422C6"/>
    <w:rsid w:val="002422E7"/>
    <w:rsid w:val="002423F9"/>
    <w:rsid w:val="002426B5"/>
    <w:rsid w:val="00242BAC"/>
    <w:rsid w:val="00242D67"/>
    <w:rsid w:val="00242F1C"/>
    <w:rsid w:val="00243615"/>
    <w:rsid w:val="002436D1"/>
    <w:rsid w:val="0024384B"/>
    <w:rsid w:val="00243BCD"/>
    <w:rsid w:val="00243C58"/>
    <w:rsid w:val="00243D27"/>
    <w:rsid w:val="00243D2E"/>
    <w:rsid w:val="00243E6F"/>
    <w:rsid w:val="00243F7E"/>
    <w:rsid w:val="00243FCA"/>
    <w:rsid w:val="002440C6"/>
    <w:rsid w:val="002440F8"/>
    <w:rsid w:val="0024465D"/>
    <w:rsid w:val="00244683"/>
    <w:rsid w:val="00244719"/>
    <w:rsid w:val="002447FF"/>
    <w:rsid w:val="00244858"/>
    <w:rsid w:val="00244905"/>
    <w:rsid w:val="00244D15"/>
    <w:rsid w:val="00244EE1"/>
    <w:rsid w:val="00245298"/>
    <w:rsid w:val="00245305"/>
    <w:rsid w:val="0024534C"/>
    <w:rsid w:val="00245388"/>
    <w:rsid w:val="00245517"/>
    <w:rsid w:val="00245A4C"/>
    <w:rsid w:val="00245CA9"/>
    <w:rsid w:val="00245F7E"/>
    <w:rsid w:val="00246207"/>
    <w:rsid w:val="002463F4"/>
    <w:rsid w:val="00246530"/>
    <w:rsid w:val="002468F8"/>
    <w:rsid w:val="00246C91"/>
    <w:rsid w:val="00246D7D"/>
    <w:rsid w:val="00247002"/>
    <w:rsid w:val="002470FA"/>
    <w:rsid w:val="0024721D"/>
    <w:rsid w:val="002472B3"/>
    <w:rsid w:val="00247960"/>
    <w:rsid w:val="00247C08"/>
    <w:rsid w:val="00247E27"/>
    <w:rsid w:val="00247E7B"/>
    <w:rsid w:val="00250101"/>
    <w:rsid w:val="00250142"/>
    <w:rsid w:val="0025025F"/>
    <w:rsid w:val="00250392"/>
    <w:rsid w:val="00250CA8"/>
    <w:rsid w:val="00250D55"/>
    <w:rsid w:val="00250D98"/>
    <w:rsid w:val="00250DF7"/>
    <w:rsid w:val="00250E49"/>
    <w:rsid w:val="00250F5E"/>
    <w:rsid w:val="0025100F"/>
    <w:rsid w:val="00251066"/>
    <w:rsid w:val="00251080"/>
    <w:rsid w:val="0025137D"/>
    <w:rsid w:val="00251433"/>
    <w:rsid w:val="00251540"/>
    <w:rsid w:val="00251719"/>
    <w:rsid w:val="002518A3"/>
    <w:rsid w:val="00251965"/>
    <w:rsid w:val="00252087"/>
    <w:rsid w:val="0025209A"/>
    <w:rsid w:val="00252478"/>
    <w:rsid w:val="0025255D"/>
    <w:rsid w:val="00252693"/>
    <w:rsid w:val="0025269D"/>
    <w:rsid w:val="002526F1"/>
    <w:rsid w:val="0025278B"/>
    <w:rsid w:val="0025282B"/>
    <w:rsid w:val="002528AC"/>
    <w:rsid w:val="00252974"/>
    <w:rsid w:val="00252A48"/>
    <w:rsid w:val="00252B0A"/>
    <w:rsid w:val="00252BA1"/>
    <w:rsid w:val="00252BE9"/>
    <w:rsid w:val="00252DC6"/>
    <w:rsid w:val="00252E60"/>
    <w:rsid w:val="00252EB8"/>
    <w:rsid w:val="00252EFD"/>
    <w:rsid w:val="00253155"/>
    <w:rsid w:val="00253209"/>
    <w:rsid w:val="0025397A"/>
    <w:rsid w:val="00253B06"/>
    <w:rsid w:val="00253BB1"/>
    <w:rsid w:val="00253BC8"/>
    <w:rsid w:val="00253CEB"/>
    <w:rsid w:val="00253F4A"/>
    <w:rsid w:val="00253F7B"/>
    <w:rsid w:val="0025426D"/>
    <w:rsid w:val="0025447D"/>
    <w:rsid w:val="00254491"/>
    <w:rsid w:val="002545E6"/>
    <w:rsid w:val="0025465B"/>
    <w:rsid w:val="00254881"/>
    <w:rsid w:val="00254A4B"/>
    <w:rsid w:val="00254E34"/>
    <w:rsid w:val="00254EF1"/>
    <w:rsid w:val="0025539A"/>
    <w:rsid w:val="002555E1"/>
    <w:rsid w:val="002557A4"/>
    <w:rsid w:val="00255AA3"/>
    <w:rsid w:val="00255B58"/>
    <w:rsid w:val="00255BFD"/>
    <w:rsid w:val="00255C52"/>
    <w:rsid w:val="00255E44"/>
    <w:rsid w:val="00255EEC"/>
    <w:rsid w:val="00255F8E"/>
    <w:rsid w:val="0025613E"/>
    <w:rsid w:val="002561B4"/>
    <w:rsid w:val="002562EA"/>
    <w:rsid w:val="00256543"/>
    <w:rsid w:val="0025675A"/>
    <w:rsid w:val="002570CF"/>
    <w:rsid w:val="00257B02"/>
    <w:rsid w:val="00257B18"/>
    <w:rsid w:val="00257C4A"/>
    <w:rsid w:val="00257CC7"/>
    <w:rsid w:val="00257E65"/>
    <w:rsid w:val="002600AB"/>
    <w:rsid w:val="0026025D"/>
    <w:rsid w:val="002602DA"/>
    <w:rsid w:val="00260362"/>
    <w:rsid w:val="002603D8"/>
    <w:rsid w:val="00260418"/>
    <w:rsid w:val="00260449"/>
    <w:rsid w:val="002604FB"/>
    <w:rsid w:val="002605F8"/>
    <w:rsid w:val="00260745"/>
    <w:rsid w:val="00261060"/>
    <w:rsid w:val="0026111B"/>
    <w:rsid w:val="00261247"/>
    <w:rsid w:val="00261254"/>
    <w:rsid w:val="0026165B"/>
    <w:rsid w:val="002616EF"/>
    <w:rsid w:val="0026195A"/>
    <w:rsid w:val="002619A0"/>
    <w:rsid w:val="00261C5A"/>
    <w:rsid w:val="00261F64"/>
    <w:rsid w:val="00262143"/>
    <w:rsid w:val="0026214A"/>
    <w:rsid w:val="00262256"/>
    <w:rsid w:val="00262433"/>
    <w:rsid w:val="002624D8"/>
    <w:rsid w:val="00262544"/>
    <w:rsid w:val="0026272E"/>
    <w:rsid w:val="002629B1"/>
    <w:rsid w:val="002629B8"/>
    <w:rsid w:val="00262AF8"/>
    <w:rsid w:val="00262B2C"/>
    <w:rsid w:val="00262C02"/>
    <w:rsid w:val="00262C41"/>
    <w:rsid w:val="002630EF"/>
    <w:rsid w:val="002632F2"/>
    <w:rsid w:val="00263484"/>
    <w:rsid w:val="00263745"/>
    <w:rsid w:val="0026384F"/>
    <w:rsid w:val="00263891"/>
    <w:rsid w:val="002638C4"/>
    <w:rsid w:val="002642C7"/>
    <w:rsid w:val="0026446E"/>
    <w:rsid w:val="00264596"/>
    <w:rsid w:val="00264652"/>
    <w:rsid w:val="0026498A"/>
    <w:rsid w:val="00264CCC"/>
    <w:rsid w:val="00264CF6"/>
    <w:rsid w:val="00264DA3"/>
    <w:rsid w:val="002654E2"/>
    <w:rsid w:val="002656C3"/>
    <w:rsid w:val="002656F8"/>
    <w:rsid w:val="0026579C"/>
    <w:rsid w:val="00265A46"/>
    <w:rsid w:val="00265CDF"/>
    <w:rsid w:val="00265FED"/>
    <w:rsid w:val="00266261"/>
    <w:rsid w:val="00266301"/>
    <w:rsid w:val="002669DD"/>
    <w:rsid w:val="00266BA4"/>
    <w:rsid w:val="00266C72"/>
    <w:rsid w:val="002672A8"/>
    <w:rsid w:val="00267513"/>
    <w:rsid w:val="002676CC"/>
    <w:rsid w:val="00267722"/>
    <w:rsid w:val="0026780A"/>
    <w:rsid w:val="0026792E"/>
    <w:rsid w:val="00267A45"/>
    <w:rsid w:val="00267A90"/>
    <w:rsid w:val="00267ED4"/>
    <w:rsid w:val="002708C5"/>
    <w:rsid w:val="00270AE3"/>
    <w:rsid w:val="00270E67"/>
    <w:rsid w:val="00270EF0"/>
    <w:rsid w:val="00271241"/>
    <w:rsid w:val="00271400"/>
    <w:rsid w:val="0027158C"/>
    <w:rsid w:val="002715A2"/>
    <w:rsid w:val="00271C2D"/>
    <w:rsid w:val="00271F8A"/>
    <w:rsid w:val="00271FAA"/>
    <w:rsid w:val="002720D2"/>
    <w:rsid w:val="00272134"/>
    <w:rsid w:val="002722C3"/>
    <w:rsid w:val="00272904"/>
    <w:rsid w:val="00272C03"/>
    <w:rsid w:val="00272C0B"/>
    <w:rsid w:val="002739EF"/>
    <w:rsid w:val="00273E64"/>
    <w:rsid w:val="00273F41"/>
    <w:rsid w:val="002740BA"/>
    <w:rsid w:val="002745B2"/>
    <w:rsid w:val="00274918"/>
    <w:rsid w:val="00274AD4"/>
    <w:rsid w:val="00274C18"/>
    <w:rsid w:val="00274C3A"/>
    <w:rsid w:val="00274DB6"/>
    <w:rsid w:val="00274DE6"/>
    <w:rsid w:val="002750E0"/>
    <w:rsid w:val="00275203"/>
    <w:rsid w:val="0027524C"/>
    <w:rsid w:val="0027542C"/>
    <w:rsid w:val="002757BA"/>
    <w:rsid w:val="00275B1A"/>
    <w:rsid w:val="00275B8B"/>
    <w:rsid w:val="00275CF7"/>
    <w:rsid w:val="00275D96"/>
    <w:rsid w:val="0027612D"/>
    <w:rsid w:val="002761AE"/>
    <w:rsid w:val="0027649A"/>
    <w:rsid w:val="00276639"/>
    <w:rsid w:val="00276666"/>
    <w:rsid w:val="00276A8F"/>
    <w:rsid w:val="00276B47"/>
    <w:rsid w:val="00276D0A"/>
    <w:rsid w:val="002770F5"/>
    <w:rsid w:val="00277822"/>
    <w:rsid w:val="0027782A"/>
    <w:rsid w:val="00277BF8"/>
    <w:rsid w:val="00277C22"/>
    <w:rsid w:val="00277DDF"/>
    <w:rsid w:val="00277F64"/>
    <w:rsid w:val="00280181"/>
    <w:rsid w:val="002801C5"/>
    <w:rsid w:val="00280815"/>
    <w:rsid w:val="00280899"/>
    <w:rsid w:val="002808D1"/>
    <w:rsid w:val="00281682"/>
    <w:rsid w:val="00281A21"/>
    <w:rsid w:val="00281B58"/>
    <w:rsid w:val="00281E16"/>
    <w:rsid w:val="00282084"/>
    <w:rsid w:val="002822C5"/>
    <w:rsid w:val="00282441"/>
    <w:rsid w:val="00282CAA"/>
    <w:rsid w:val="00282F6D"/>
    <w:rsid w:val="0028303C"/>
    <w:rsid w:val="00283729"/>
    <w:rsid w:val="00283A51"/>
    <w:rsid w:val="00283BB4"/>
    <w:rsid w:val="00283E04"/>
    <w:rsid w:val="00283F1A"/>
    <w:rsid w:val="00283F39"/>
    <w:rsid w:val="00284117"/>
    <w:rsid w:val="00284287"/>
    <w:rsid w:val="00284961"/>
    <w:rsid w:val="00284985"/>
    <w:rsid w:val="002849A7"/>
    <w:rsid w:val="00284D36"/>
    <w:rsid w:val="00284DAB"/>
    <w:rsid w:val="00284E5E"/>
    <w:rsid w:val="00284E6A"/>
    <w:rsid w:val="00284EDB"/>
    <w:rsid w:val="00284FDA"/>
    <w:rsid w:val="00285139"/>
    <w:rsid w:val="002854C3"/>
    <w:rsid w:val="00285962"/>
    <w:rsid w:val="00285971"/>
    <w:rsid w:val="0028598E"/>
    <w:rsid w:val="00285BB1"/>
    <w:rsid w:val="00285F15"/>
    <w:rsid w:val="002862B0"/>
    <w:rsid w:val="00286584"/>
    <w:rsid w:val="00286601"/>
    <w:rsid w:val="0028666D"/>
    <w:rsid w:val="00286827"/>
    <w:rsid w:val="0028686F"/>
    <w:rsid w:val="00286A95"/>
    <w:rsid w:val="00286A9E"/>
    <w:rsid w:val="00286AF7"/>
    <w:rsid w:val="00286E43"/>
    <w:rsid w:val="00287270"/>
    <w:rsid w:val="002872F2"/>
    <w:rsid w:val="0028743B"/>
    <w:rsid w:val="002875A7"/>
    <w:rsid w:val="002875AE"/>
    <w:rsid w:val="0028783F"/>
    <w:rsid w:val="00287BF0"/>
    <w:rsid w:val="00287C97"/>
    <w:rsid w:val="00287FD3"/>
    <w:rsid w:val="00290038"/>
    <w:rsid w:val="002906E9"/>
    <w:rsid w:val="00290ABF"/>
    <w:rsid w:val="00290B30"/>
    <w:rsid w:val="00290C69"/>
    <w:rsid w:val="00290FC5"/>
    <w:rsid w:val="00291052"/>
    <w:rsid w:val="00291153"/>
    <w:rsid w:val="00291951"/>
    <w:rsid w:val="00291B46"/>
    <w:rsid w:val="00291B48"/>
    <w:rsid w:val="00291D09"/>
    <w:rsid w:val="00291D63"/>
    <w:rsid w:val="00291EA6"/>
    <w:rsid w:val="00291FB2"/>
    <w:rsid w:val="002921EF"/>
    <w:rsid w:val="0029229F"/>
    <w:rsid w:val="00292435"/>
    <w:rsid w:val="0029247E"/>
    <w:rsid w:val="002925C3"/>
    <w:rsid w:val="00292A61"/>
    <w:rsid w:val="00292AF4"/>
    <w:rsid w:val="00292BF0"/>
    <w:rsid w:val="00292D39"/>
    <w:rsid w:val="00292EBC"/>
    <w:rsid w:val="00292EE1"/>
    <w:rsid w:val="0029327C"/>
    <w:rsid w:val="002932A5"/>
    <w:rsid w:val="00293B0E"/>
    <w:rsid w:val="00293BE1"/>
    <w:rsid w:val="00293F88"/>
    <w:rsid w:val="00294194"/>
    <w:rsid w:val="0029461E"/>
    <w:rsid w:val="0029475F"/>
    <w:rsid w:val="00294C36"/>
    <w:rsid w:val="00294D19"/>
    <w:rsid w:val="00295735"/>
    <w:rsid w:val="00295868"/>
    <w:rsid w:val="00295A46"/>
    <w:rsid w:val="00295A9C"/>
    <w:rsid w:val="00295AEE"/>
    <w:rsid w:val="00295B0B"/>
    <w:rsid w:val="00295C36"/>
    <w:rsid w:val="00296120"/>
    <w:rsid w:val="002961CC"/>
    <w:rsid w:val="002961F2"/>
    <w:rsid w:val="0029673E"/>
    <w:rsid w:val="0029678E"/>
    <w:rsid w:val="00296AAE"/>
    <w:rsid w:val="00296C3E"/>
    <w:rsid w:val="00296EB5"/>
    <w:rsid w:val="00296EE8"/>
    <w:rsid w:val="002970AF"/>
    <w:rsid w:val="00297274"/>
    <w:rsid w:val="00297931"/>
    <w:rsid w:val="0029793F"/>
    <w:rsid w:val="00297A56"/>
    <w:rsid w:val="00297DE6"/>
    <w:rsid w:val="00297DF5"/>
    <w:rsid w:val="00297E08"/>
    <w:rsid w:val="00297E46"/>
    <w:rsid w:val="002A0002"/>
    <w:rsid w:val="002A00DA"/>
    <w:rsid w:val="002A0206"/>
    <w:rsid w:val="002A0378"/>
    <w:rsid w:val="002A0526"/>
    <w:rsid w:val="002A069F"/>
    <w:rsid w:val="002A0830"/>
    <w:rsid w:val="002A0AB1"/>
    <w:rsid w:val="002A0D74"/>
    <w:rsid w:val="002A0FA1"/>
    <w:rsid w:val="002A1197"/>
    <w:rsid w:val="002A186C"/>
    <w:rsid w:val="002A18AA"/>
    <w:rsid w:val="002A1921"/>
    <w:rsid w:val="002A1959"/>
    <w:rsid w:val="002A197E"/>
    <w:rsid w:val="002A25D3"/>
    <w:rsid w:val="002A28C9"/>
    <w:rsid w:val="002A29F7"/>
    <w:rsid w:val="002A2A79"/>
    <w:rsid w:val="002A2C41"/>
    <w:rsid w:val="002A2CCE"/>
    <w:rsid w:val="002A2E7B"/>
    <w:rsid w:val="002A2F49"/>
    <w:rsid w:val="002A3215"/>
    <w:rsid w:val="002A32E4"/>
    <w:rsid w:val="002A335B"/>
    <w:rsid w:val="002A3866"/>
    <w:rsid w:val="002A397F"/>
    <w:rsid w:val="002A3AB5"/>
    <w:rsid w:val="002A3B8F"/>
    <w:rsid w:val="002A3FB7"/>
    <w:rsid w:val="002A4216"/>
    <w:rsid w:val="002A4288"/>
    <w:rsid w:val="002A43DB"/>
    <w:rsid w:val="002A449E"/>
    <w:rsid w:val="002A4646"/>
    <w:rsid w:val="002A4685"/>
    <w:rsid w:val="002A47E7"/>
    <w:rsid w:val="002A49F8"/>
    <w:rsid w:val="002A4AFF"/>
    <w:rsid w:val="002A4B1C"/>
    <w:rsid w:val="002A4C77"/>
    <w:rsid w:val="002A4C96"/>
    <w:rsid w:val="002A4E1F"/>
    <w:rsid w:val="002A5005"/>
    <w:rsid w:val="002A519A"/>
    <w:rsid w:val="002A5436"/>
    <w:rsid w:val="002A5858"/>
    <w:rsid w:val="002A58A5"/>
    <w:rsid w:val="002A592C"/>
    <w:rsid w:val="002A5B8A"/>
    <w:rsid w:val="002A5D63"/>
    <w:rsid w:val="002A6048"/>
    <w:rsid w:val="002A6290"/>
    <w:rsid w:val="002A6491"/>
    <w:rsid w:val="002A663D"/>
    <w:rsid w:val="002A6933"/>
    <w:rsid w:val="002A70E3"/>
    <w:rsid w:val="002A7128"/>
    <w:rsid w:val="002A7294"/>
    <w:rsid w:val="002A7484"/>
    <w:rsid w:val="002A753F"/>
    <w:rsid w:val="002A7647"/>
    <w:rsid w:val="002A7674"/>
    <w:rsid w:val="002A76B8"/>
    <w:rsid w:val="002A76CA"/>
    <w:rsid w:val="002A7873"/>
    <w:rsid w:val="002A7A52"/>
    <w:rsid w:val="002A7B28"/>
    <w:rsid w:val="002A7C25"/>
    <w:rsid w:val="002A7D24"/>
    <w:rsid w:val="002A7D83"/>
    <w:rsid w:val="002B06A1"/>
    <w:rsid w:val="002B06B7"/>
    <w:rsid w:val="002B06F2"/>
    <w:rsid w:val="002B0B74"/>
    <w:rsid w:val="002B0ED1"/>
    <w:rsid w:val="002B0FA2"/>
    <w:rsid w:val="002B0FAF"/>
    <w:rsid w:val="002B0FDE"/>
    <w:rsid w:val="002B1264"/>
    <w:rsid w:val="002B1446"/>
    <w:rsid w:val="002B1486"/>
    <w:rsid w:val="002B14AB"/>
    <w:rsid w:val="002B17C9"/>
    <w:rsid w:val="002B18FC"/>
    <w:rsid w:val="002B1952"/>
    <w:rsid w:val="002B19AF"/>
    <w:rsid w:val="002B1BEA"/>
    <w:rsid w:val="002B1D09"/>
    <w:rsid w:val="002B1F5E"/>
    <w:rsid w:val="002B21D3"/>
    <w:rsid w:val="002B2320"/>
    <w:rsid w:val="002B24C1"/>
    <w:rsid w:val="002B2D4E"/>
    <w:rsid w:val="002B2ECE"/>
    <w:rsid w:val="002B2F53"/>
    <w:rsid w:val="002B31F1"/>
    <w:rsid w:val="002B32A9"/>
    <w:rsid w:val="002B332A"/>
    <w:rsid w:val="002B33A8"/>
    <w:rsid w:val="002B33B0"/>
    <w:rsid w:val="002B3418"/>
    <w:rsid w:val="002B35BF"/>
    <w:rsid w:val="002B360C"/>
    <w:rsid w:val="002B3663"/>
    <w:rsid w:val="002B36D3"/>
    <w:rsid w:val="002B3F00"/>
    <w:rsid w:val="002B3F02"/>
    <w:rsid w:val="002B40CA"/>
    <w:rsid w:val="002B43F5"/>
    <w:rsid w:val="002B4CCC"/>
    <w:rsid w:val="002B4D57"/>
    <w:rsid w:val="002B4FE6"/>
    <w:rsid w:val="002B503F"/>
    <w:rsid w:val="002B5059"/>
    <w:rsid w:val="002B508B"/>
    <w:rsid w:val="002B52CF"/>
    <w:rsid w:val="002B5640"/>
    <w:rsid w:val="002B57FA"/>
    <w:rsid w:val="002B58B9"/>
    <w:rsid w:val="002B5968"/>
    <w:rsid w:val="002B59F5"/>
    <w:rsid w:val="002B5A09"/>
    <w:rsid w:val="002B5C78"/>
    <w:rsid w:val="002B5E47"/>
    <w:rsid w:val="002B5E79"/>
    <w:rsid w:val="002B646A"/>
    <w:rsid w:val="002B6470"/>
    <w:rsid w:val="002B649B"/>
    <w:rsid w:val="002B64C5"/>
    <w:rsid w:val="002B6AC4"/>
    <w:rsid w:val="002B6B3E"/>
    <w:rsid w:val="002B6D8C"/>
    <w:rsid w:val="002B76EB"/>
    <w:rsid w:val="002B76FA"/>
    <w:rsid w:val="002B79DA"/>
    <w:rsid w:val="002B7AB3"/>
    <w:rsid w:val="002B7D57"/>
    <w:rsid w:val="002B7DCE"/>
    <w:rsid w:val="002C0555"/>
    <w:rsid w:val="002C05FA"/>
    <w:rsid w:val="002C0859"/>
    <w:rsid w:val="002C0879"/>
    <w:rsid w:val="002C0A1C"/>
    <w:rsid w:val="002C0A3E"/>
    <w:rsid w:val="002C0FF0"/>
    <w:rsid w:val="002C12B1"/>
    <w:rsid w:val="002C1339"/>
    <w:rsid w:val="002C15BB"/>
    <w:rsid w:val="002C1650"/>
    <w:rsid w:val="002C16CD"/>
    <w:rsid w:val="002C16FF"/>
    <w:rsid w:val="002C1925"/>
    <w:rsid w:val="002C1E04"/>
    <w:rsid w:val="002C1E14"/>
    <w:rsid w:val="002C205F"/>
    <w:rsid w:val="002C2207"/>
    <w:rsid w:val="002C25A4"/>
    <w:rsid w:val="002C272E"/>
    <w:rsid w:val="002C2A5A"/>
    <w:rsid w:val="002C2B75"/>
    <w:rsid w:val="002C2B9D"/>
    <w:rsid w:val="002C31D2"/>
    <w:rsid w:val="002C32F8"/>
    <w:rsid w:val="002C33D7"/>
    <w:rsid w:val="002C3468"/>
    <w:rsid w:val="002C34C1"/>
    <w:rsid w:val="002C34FF"/>
    <w:rsid w:val="002C35C3"/>
    <w:rsid w:val="002C36BD"/>
    <w:rsid w:val="002C38C4"/>
    <w:rsid w:val="002C3ACA"/>
    <w:rsid w:val="002C3B55"/>
    <w:rsid w:val="002C3EA7"/>
    <w:rsid w:val="002C400A"/>
    <w:rsid w:val="002C42BA"/>
    <w:rsid w:val="002C4765"/>
    <w:rsid w:val="002C4C17"/>
    <w:rsid w:val="002C4C52"/>
    <w:rsid w:val="002C4DAC"/>
    <w:rsid w:val="002C4DD0"/>
    <w:rsid w:val="002C4E77"/>
    <w:rsid w:val="002C4F3B"/>
    <w:rsid w:val="002C4FF6"/>
    <w:rsid w:val="002C5352"/>
    <w:rsid w:val="002C54F7"/>
    <w:rsid w:val="002C57B8"/>
    <w:rsid w:val="002C5A6B"/>
    <w:rsid w:val="002C5C7C"/>
    <w:rsid w:val="002C5D48"/>
    <w:rsid w:val="002C5E94"/>
    <w:rsid w:val="002C6027"/>
    <w:rsid w:val="002C60A4"/>
    <w:rsid w:val="002C6134"/>
    <w:rsid w:val="002C6341"/>
    <w:rsid w:val="002C641B"/>
    <w:rsid w:val="002C655F"/>
    <w:rsid w:val="002C6592"/>
    <w:rsid w:val="002C661D"/>
    <w:rsid w:val="002C6656"/>
    <w:rsid w:val="002C6929"/>
    <w:rsid w:val="002C6CA8"/>
    <w:rsid w:val="002C6F21"/>
    <w:rsid w:val="002C703F"/>
    <w:rsid w:val="002C708B"/>
    <w:rsid w:val="002C727C"/>
    <w:rsid w:val="002C77C6"/>
    <w:rsid w:val="002C7AAD"/>
    <w:rsid w:val="002C7D31"/>
    <w:rsid w:val="002C7E5E"/>
    <w:rsid w:val="002D00F0"/>
    <w:rsid w:val="002D05D0"/>
    <w:rsid w:val="002D06FF"/>
    <w:rsid w:val="002D0702"/>
    <w:rsid w:val="002D08EA"/>
    <w:rsid w:val="002D0BAD"/>
    <w:rsid w:val="002D0E8C"/>
    <w:rsid w:val="002D1251"/>
    <w:rsid w:val="002D14B0"/>
    <w:rsid w:val="002D1DBC"/>
    <w:rsid w:val="002D1E34"/>
    <w:rsid w:val="002D1FAE"/>
    <w:rsid w:val="002D20AB"/>
    <w:rsid w:val="002D22F5"/>
    <w:rsid w:val="002D235A"/>
    <w:rsid w:val="002D23BC"/>
    <w:rsid w:val="002D2422"/>
    <w:rsid w:val="002D2638"/>
    <w:rsid w:val="002D26B2"/>
    <w:rsid w:val="002D2775"/>
    <w:rsid w:val="002D2A0E"/>
    <w:rsid w:val="002D2AB9"/>
    <w:rsid w:val="002D2C45"/>
    <w:rsid w:val="002D2E54"/>
    <w:rsid w:val="002D2EF7"/>
    <w:rsid w:val="002D2F4C"/>
    <w:rsid w:val="002D3098"/>
    <w:rsid w:val="002D33B2"/>
    <w:rsid w:val="002D345A"/>
    <w:rsid w:val="002D351F"/>
    <w:rsid w:val="002D37C1"/>
    <w:rsid w:val="002D383A"/>
    <w:rsid w:val="002D3920"/>
    <w:rsid w:val="002D3A90"/>
    <w:rsid w:val="002D3BCE"/>
    <w:rsid w:val="002D3C99"/>
    <w:rsid w:val="002D42EC"/>
    <w:rsid w:val="002D4483"/>
    <w:rsid w:val="002D45DE"/>
    <w:rsid w:val="002D487E"/>
    <w:rsid w:val="002D492A"/>
    <w:rsid w:val="002D497E"/>
    <w:rsid w:val="002D49AD"/>
    <w:rsid w:val="002D4A81"/>
    <w:rsid w:val="002D4EF7"/>
    <w:rsid w:val="002D4F91"/>
    <w:rsid w:val="002D5054"/>
    <w:rsid w:val="002D51AE"/>
    <w:rsid w:val="002D5354"/>
    <w:rsid w:val="002D535F"/>
    <w:rsid w:val="002D5410"/>
    <w:rsid w:val="002D5539"/>
    <w:rsid w:val="002D554D"/>
    <w:rsid w:val="002D557A"/>
    <w:rsid w:val="002D5960"/>
    <w:rsid w:val="002D5A7F"/>
    <w:rsid w:val="002D5AC8"/>
    <w:rsid w:val="002D5BBB"/>
    <w:rsid w:val="002D5E5C"/>
    <w:rsid w:val="002D619D"/>
    <w:rsid w:val="002D63C2"/>
    <w:rsid w:val="002D643D"/>
    <w:rsid w:val="002D67EA"/>
    <w:rsid w:val="002D684A"/>
    <w:rsid w:val="002D6864"/>
    <w:rsid w:val="002D6C2D"/>
    <w:rsid w:val="002D6CF6"/>
    <w:rsid w:val="002D6F74"/>
    <w:rsid w:val="002D71B7"/>
    <w:rsid w:val="002D72C7"/>
    <w:rsid w:val="002D745C"/>
    <w:rsid w:val="002D7647"/>
    <w:rsid w:val="002D7697"/>
    <w:rsid w:val="002D788D"/>
    <w:rsid w:val="002D78D7"/>
    <w:rsid w:val="002D7BEE"/>
    <w:rsid w:val="002D7C27"/>
    <w:rsid w:val="002D7CAA"/>
    <w:rsid w:val="002D7CC6"/>
    <w:rsid w:val="002D7CD7"/>
    <w:rsid w:val="002D7D64"/>
    <w:rsid w:val="002D7E88"/>
    <w:rsid w:val="002E0132"/>
    <w:rsid w:val="002E01E7"/>
    <w:rsid w:val="002E05A8"/>
    <w:rsid w:val="002E05E6"/>
    <w:rsid w:val="002E0B7D"/>
    <w:rsid w:val="002E0E15"/>
    <w:rsid w:val="002E0E7F"/>
    <w:rsid w:val="002E1001"/>
    <w:rsid w:val="002E102E"/>
    <w:rsid w:val="002E115D"/>
    <w:rsid w:val="002E1235"/>
    <w:rsid w:val="002E1315"/>
    <w:rsid w:val="002E1756"/>
    <w:rsid w:val="002E1849"/>
    <w:rsid w:val="002E1BFF"/>
    <w:rsid w:val="002E1C00"/>
    <w:rsid w:val="002E1CD2"/>
    <w:rsid w:val="002E1DBB"/>
    <w:rsid w:val="002E1E4D"/>
    <w:rsid w:val="002E1F39"/>
    <w:rsid w:val="002E2040"/>
    <w:rsid w:val="002E21B4"/>
    <w:rsid w:val="002E21BD"/>
    <w:rsid w:val="002E23FD"/>
    <w:rsid w:val="002E2411"/>
    <w:rsid w:val="002E2523"/>
    <w:rsid w:val="002E26AC"/>
    <w:rsid w:val="002E272B"/>
    <w:rsid w:val="002E2760"/>
    <w:rsid w:val="002E2788"/>
    <w:rsid w:val="002E2A32"/>
    <w:rsid w:val="002E2A74"/>
    <w:rsid w:val="002E2B2D"/>
    <w:rsid w:val="002E2C8D"/>
    <w:rsid w:val="002E320A"/>
    <w:rsid w:val="002E3255"/>
    <w:rsid w:val="002E333C"/>
    <w:rsid w:val="002E3505"/>
    <w:rsid w:val="002E3ADD"/>
    <w:rsid w:val="002E3BDD"/>
    <w:rsid w:val="002E3CBA"/>
    <w:rsid w:val="002E3CD9"/>
    <w:rsid w:val="002E3E03"/>
    <w:rsid w:val="002E3F89"/>
    <w:rsid w:val="002E3F95"/>
    <w:rsid w:val="002E41A1"/>
    <w:rsid w:val="002E4467"/>
    <w:rsid w:val="002E4541"/>
    <w:rsid w:val="002E4828"/>
    <w:rsid w:val="002E5016"/>
    <w:rsid w:val="002E547A"/>
    <w:rsid w:val="002E57FA"/>
    <w:rsid w:val="002E58B1"/>
    <w:rsid w:val="002E594E"/>
    <w:rsid w:val="002E59C5"/>
    <w:rsid w:val="002E5A9C"/>
    <w:rsid w:val="002E5ACA"/>
    <w:rsid w:val="002E6085"/>
    <w:rsid w:val="002E60B9"/>
    <w:rsid w:val="002E63D9"/>
    <w:rsid w:val="002E6738"/>
    <w:rsid w:val="002E6BB1"/>
    <w:rsid w:val="002E701C"/>
    <w:rsid w:val="002E715C"/>
    <w:rsid w:val="002E73C6"/>
    <w:rsid w:val="002E7C5C"/>
    <w:rsid w:val="002E7CEA"/>
    <w:rsid w:val="002E7E4E"/>
    <w:rsid w:val="002E7EDD"/>
    <w:rsid w:val="002F038C"/>
    <w:rsid w:val="002F07AC"/>
    <w:rsid w:val="002F092B"/>
    <w:rsid w:val="002F0AD9"/>
    <w:rsid w:val="002F1196"/>
    <w:rsid w:val="002F11E5"/>
    <w:rsid w:val="002F124F"/>
    <w:rsid w:val="002F16BE"/>
    <w:rsid w:val="002F1947"/>
    <w:rsid w:val="002F1A2B"/>
    <w:rsid w:val="002F1A58"/>
    <w:rsid w:val="002F1F27"/>
    <w:rsid w:val="002F1F5A"/>
    <w:rsid w:val="002F22C8"/>
    <w:rsid w:val="002F2699"/>
    <w:rsid w:val="002F2983"/>
    <w:rsid w:val="002F2B2B"/>
    <w:rsid w:val="002F330A"/>
    <w:rsid w:val="002F351A"/>
    <w:rsid w:val="002F36D9"/>
    <w:rsid w:val="002F3916"/>
    <w:rsid w:val="002F391F"/>
    <w:rsid w:val="002F3982"/>
    <w:rsid w:val="002F398F"/>
    <w:rsid w:val="002F39D9"/>
    <w:rsid w:val="002F3BF0"/>
    <w:rsid w:val="002F3C07"/>
    <w:rsid w:val="002F3C44"/>
    <w:rsid w:val="002F3D94"/>
    <w:rsid w:val="002F3FCF"/>
    <w:rsid w:val="002F421A"/>
    <w:rsid w:val="002F437C"/>
    <w:rsid w:val="002F444E"/>
    <w:rsid w:val="002F44F1"/>
    <w:rsid w:val="002F44F5"/>
    <w:rsid w:val="002F452B"/>
    <w:rsid w:val="002F47AD"/>
    <w:rsid w:val="002F487D"/>
    <w:rsid w:val="002F48DB"/>
    <w:rsid w:val="002F4915"/>
    <w:rsid w:val="002F4BDC"/>
    <w:rsid w:val="002F545F"/>
    <w:rsid w:val="002F57D3"/>
    <w:rsid w:val="002F588B"/>
    <w:rsid w:val="002F5D2A"/>
    <w:rsid w:val="002F648D"/>
    <w:rsid w:val="002F65C7"/>
    <w:rsid w:val="002F6906"/>
    <w:rsid w:val="002F69F7"/>
    <w:rsid w:val="002F6AF3"/>
    <w:rsid w:val="002F6CDD"/>
    <w:rsid w:val="002F6CF6"/>
    <w:rsid w:val="002F6CFB"/>
    <w:rsid w:val="002F6FA1"/>
    <w:rsid w:val="002F7046"/>
    <w:rsid w:val="002F72EB"/>
    <w:rsid w:val="002F733E"/>
    <w:rsid w:val="002F7345"/>
    <w:rsid w:val="002F7398"/>
    <w:rsid w:val="002F7998"/>
    <w:rsid w:val="002F7C35"/>
    <w:rsid w:val="002F7EC3"/>
    <w:rsid w:val="00300313"/>
    <w:rsid w:val="00300322"/>
    <w:rsid w:val="00300353"/>
    <w:rsid w:val="003004A3"/>
    <w:rsid w:val="003006FE"/>
    <w:rsid w:val="003009FF"/>
    <w:rsid w:val="00300BA2"/>
    <w:rsid w:val="00300C6B"/>
    <w:rsid w:val="00301012"/>
    <w:rsid w:val="0030111E"/>
    <w:rsid w:val="003011BA"/>
    <w:rsid w:val="00301226"/>
    <w:rsid w:val="00301436"/>
    <w:rsid w:val="0030158B"/>
    <w:rsid w:val="00301652"/>
    <w:rsid w:val="003018AC"/>
    <w:rsid w:val="00301901"/>
    <w:rsid w:val="00301C4F"/>
    <w:rsid w:val="00301E85"/>
    <w:rsid w:val="00302162"/>
    <w:rsid w:val="003029DB"/>
    <w:rsid w:val="00302A47"/>
    <w:rsid w:val="00302C36"/>
    <w:rsid w:val="003031FD"/>
    <w:rsid w:val="00303515"/>
    <w:rsid w:val="0030354E"/>
    <w:rsid w:val="00303608"/>
    <w:rsid w:val="0030372E"/>
    <w:rsid w:val="00303C4E"/>
    <w:rsid w:val="00303EB2"/>
    <w:rsid w:val="0030401E"/>
    <w:rsid w:val="00304345"/>
    <w:rsid w:val="0030451C"/>
    <w:rsid w:val="003046A9"/>
    <w:rsid w:val="00304EFE"/>
    <w:rsid w:val="00305546"/>
    <w:rsid w:val="003055B2"/>
    <w:rsid w:val="0030574E"/>
    <w:rsid w:val="00305796"/>
    <w:rsid w:val="00305924"/>
    <w:rsid w:val="00305968"/>
    <w:rsid w:val="00305C2A"/>
    <w:rsid w:val="00305DE2"/>
    <w:rsid w:val="00306123"/>
    <w:rsid w:val="003064DC"/>
    <w:rsid w:val="003065FB"/>
    <w:rsid w:val="00306770"/>
    <w:rsid w:val="003067AD"/>
    <w:rsid w:val="00306D94"/>
    <w:rsid w:val="00306E55"/>
    <w:rsid w:val="003071DD"/>
    <w:rsid w:val="0030720B"/>
    <w:rsid w:val="00307639"/>
    <w:rsid w:val="003077D8"/>
    <w:rsid w:val="00307810"/>
    <w:rsid w:val="0030797A"/>
    <w:rsid w:val="00307BD2"/>
    <w:rsid w:val="00307C70"/>
    <w:rsid w:val="00307D63"/>
    <w:rsid w:val="00310573"/>
    <w:rsid w:val="0031062E"/>
    <w:rsid w:val="0031097C"/>
    <w:rsid w:val="0031099D"/>
    <w:rsid w:val="0031107B"/>
    <w:rsid w:val="00311384"/>
    <w:rsid w:val="00311431"/>
    <w:rsid w:val="003116BA"/>
    <w:rsid w:val="0031172C"/>
    <w:rsid w:val="00311749"/>
    <w:rsid w:val="00311BC7"/>
    <w:rsid w:val="00311C0A"/>
    <w:rsid w:val="00311CB9"/>
    <w:rsid w:val="00311CE4"/>
    <w:rsid w:val="00311FE5"/>
    <w:rsid w:val="003122A1"/>
    <w:rsid w:val="00312391"/>
    <w:rsid w:val="003125DF"/>
    <w:rsid w:val="00312D9B"/>
    <w:rsid w:val="00312F8A"/>
    <w:rsid w:val="0031311A"/>
    <w:rsid w:val="003131C0"/>
    <w:rsid w:val="003131CD"/>
    <w:rsid w:val="0031324A"/>
    <w:rsid w:val="00313393"/>
    <w:rsid w:val="0031364F"/>
    <w:rsid w:val="003138B7"/>
    <w:rsid w:val="00313BB2"/>
    <w:rsid w:val="00313C93"/>
    <w:rsid w:val="00313D08"/>
    <w:rsid w:val="00313F13"/>
    <w:rsid w:val="00313F51"/>
    <w:rsid w:val="00314189"/>
    <w:rsid w:val="003145BA"/>
    <w:rsid w:val="00314608"/>
    <w:rsid w:val="0031488E"/>
    <w:rsid w:val="003148D6"/>
    <w:rsid w:val="00314F01"/>
    <w:rsid w:val="0031533A"/>
    <w:rsid w:val="00315592"/>
    <w:rsid w:val="0031569D"/>
    <w:rsid w:val="0031583C"/>
    <w:rsid w:val="003158CD"/>
    <w:rsid w:val="00315943"/>
    <w:rsid w:val="00315A2A"/>
    <w:rsid w:val="00315B3E"/>
    <w:rsid w:val="00315B68"/>
    <w:rsid w:val="00315C32"/>
    <w:rsid w:val="00316092"/>
    <w:rsid w:val="00316136"/>
    <w:rsid w:val="00316598"/>
    <w:rsid w:val="00316643"/>
    <w:rsid w:val="0031695A"/>
    <w:rsid w:val="003169C6"/>
    <w:rsid w:val="00316AFB"/>
    <w:rsid w:val="00316D73"/>
    <w:rsid w:val="0031748C"/>
    <w:rsid w:val="00317907"/>
    <w:rsid w:val="00317946"/>
    <w:rsid w:val="00317BDB"/>
    <w:rsid w:val="00317CC6"/>
    <w:rsid w:val="00317DBC"/>
    <w:rsid w:val="00317F01"/>
    <w:rsid w:val="00317FF7"/>
    <w:rsid w:val="003200C0"/>
    <w:rsid w:val="003207D3"/>
    <w:rsid w:val="0032113E"/>
    <w:rsid w:val="0032135D"/>
    <w:rsid w:val="003215AE"/>
    <w:rsid w:val="0032164F"/>
    <w:rsid w:val="00321794"/>
    <w:rsid w:val="003217F8"/>
    <w:rsid w:val="00321BB3"/>
    <w:rsid w:val="00321F51"/>
    <w:rsid w:val="00322283"/>
    <w:rsid w:val="003228A2"/>
    <w:rsid w:val="00322ADF"/>
    <w:rsid w:val="00322B72"/>
    <w:rsid w:val="00322CD9"/>
    <w:rsid w:val="00322E6F"/>
    <w:rsid w:val="00322F48"/>
    <w:rsid w:val="003233C5"/>
    <w:rsid w:val="003233EC"/>
    <w:rsid w:val="003235D2"/>
    <w:rsid w:val="00323903"/>
    <w:rsid w:val="00323C52"/>
    <w:rsid w:val="00323CD8"/>
    <w:rsid w:val="003243BC"/>
    <w:rsid w:val="003246FC"/>
    <w:rsid w:val="003247A9"/>
    <w:rsid w:val="00324801"/>
    <w:rsid w:val="003248BE"/>
    <w:rsid w:val="00324E40"/>
    <w:rsid w:val="00324E7D"/>
    <w:rsid w:val="00324E7E"/>
    <w:rsid w:val="0032503D"/>
    <w:rsid w:val="003250DD"/>
    <w:rsid w:val="003252C3"/>
    <w:rsid w:val="003254A2"/>
    <w:rsid w:val="003254AB"/>
    <w:rsid w:val="003254DD"/>
    <w:rsid w:val="00325591"/>
    <w:rsid w:val="00325657"/>
    <w:rsid w:val="0032593C"/>
    <w:rsid w:val="00325C69"/>
    <w:rsid w:val="00325C6D"/>
    <w:rsid w:val="00325CC1"/>
    <w:rsid w:val="00325DD1"/>
    <w:rsid w:val="00325E3A"/>
    <w:rsid w:val="0032611F"/>
    <w:rsid w:val="003261B1"/>
    <w:rsid w:val="0032646A"/>
    <w:rsid w:val="00326581"/>
    <w:rsid w:val="003267CD"/>
    <w:rsid w:val="00326B14"/>
    <w:rsid w:val="00326D62"/>
    <w:rsid w:val="0032733C"/>
    <w:rsid w:val="003273BB"/>
    <w:rsid w:val="00327498"/>
    <w:rsid w:val="00327748"/>
    <w:rsid w:val="003277B9"/>
    <w:rsid w:val="00327800"/>
    <w:rsid w:val="003279DC"/>
    <w:rsid w:val="00327C3B"/>
    <w:rsid w:val="003301C1"/>
    <w:rsid w:val="003304E9"/>
    <w:rsid w:val="00330978"/>
    <w:rsid w:val="00330A0A"/>
    <w:rsid w:val="00330D30"/>
    <w:rsid w:val="00330D9C"/>
    <w:rsid w:val="003311A9"/>
    <w:rsid w:val="00331336"/>
    <w:rsid w:val="003319AD"/>
    <w:rsid w:val="00331AFE"/>
    <w:rsid w:val="00331B34"/>
    <w:rsid w:val="00331B5B"/>
    <w:rsid w:val="00331FB7"/>
    <w:rsid w:val="00331FF1"/>
    <w:rsid w:val="00332059"/>
    <w:rsid w:val="003326B7"/>
    <w:rsid w:val="00332976"/>
    <w:rsid w:val="00332979"/>
    <w:rsid w:val="00332A94"/>
    <w:rsid w:val="00332B5E"/>
    <w:rsid w:val="00332F0C"/>
    <w:rsid w:val="00333313"/>
    <w:rsid w:val="0033339B"/>
    <w:rsid w:val="003334DA"/>
    <w:rsid w:val="003336D1"/>
    <w:rsid w:val="003337B1"/>
    <w:rsid w:val="00333870"/>
    <w:rsid w:val="0033398D"/>
    <w:rsid w:val="00333C80"/>
    <w:rsid w:val="00333D12"/>
    <w:rsid w:val="00333DC2"/>
    <w:rsid w:val="00333F99"/>
    <w:rsid w:val="00334124"/>
    <w:rsid w:val="003341D7"/>
    <w:rsid w:val="00334606"/>
    <w:rsid w:val="00334965"/>
    <w:rsid w:val="00334A83"/>
    <w:rsid w:val="00334E28"/>
    <w:rsid w:val="00334E3C"/>
    <w:rsid w:val="003351FB"/>
    <w:rsid w:val="0033520C"/>
    <w:rsid w:val="003354B8"/>
    <w:rsid w:val="003354C7"/>
    <w:rsid w:val="00335513"/>
    <w:rsid w:val="00335568"/>
    <w:rsid w:val="0033556F"/>
    <w:rsid w:val="00335630"/>
    <w:rsid w:val="003356C9"/>
    <w:rsid w:val="00335736"/>
    <w:rsid w:val="003358A1"/>
    <w:rsid w:val="00335928"/>
    <w:rsid w:val="00335A2F"/>
    <w:rsid w:val="00335AD3"/>
    <w:rsid w:val="00335D90"/>
    <w:rsid w:val="00335DAC"/>
    <w:rsid w:val="00335ECA"/>
    <w:rsid w:val="00335FAA"/>
    <w:rsid w:val="00336132"/>
    <w:rsid w:val="00336392"/>
    <w:rsid w:val="003363E0"/>
    <w:rsid w:val="0033693C"/>
    <w:rsid w:val="00336941"/>
    <w:rsid w:val="00336B0B"/>
    <w:rsid w:val="00336F4E"/>
    <w:rsid w:val="00337044"/>
    <w:rsid w:val="0033706E"/>
    <w:rsid w:val="00337092"/>
    <w:rsid w:val="0033791D"/>
    <w:rsid w:val="00337D77"/>
    <w:rsid w:val="00337F27"/>
    <w:rsid w:val="00337FF2"/>
    <w:rsid w:val="0034014E"/>
    <w:rsid w:val="00340452"/>
    <w:rsid w:val="0034045D"/>
    <w:rsid w:val="003405A0"/>
    <w:rsid w:val="00340DB9"/>
    <w:rsid w:val="00340E7A"/>
    <w:rsid w:val="00340F05"/>
    <w:rsid w:val="00340FE8"/>
    <w:rsid w:val="00341449"/>
    <w:rsid w:val="0034150E"/>
    <w:rsid w:val="003418F1"/>
    <w:rsid w:val="00341B5B"/>
    <w:rsid w:val="00341D6A"/>
    <w:rsid w:val="00341EE8"/>
    <w:rsid w:val="00341F53"/>
    <w:rsid w:val="0034212E"/>
    <w:rsid w:val="003424E3"/>
    <w:rsid w:val="003427D7"/>
    <w:rsid w:val="00342882"/>
    <w:rsid w:val="003429C7"/>
    <w:rsid w:val="00342A44"/>
    <w:rsid w:val="00342DFE"/>
    <w:rsid w:val="003431B6"/>
    <w:rsid w:val="0034324B"/>
    <w:rsid w:val="003432E1"/>
    <w:rsid w:val="00343340"/>
    <w:rsid w:val="00343493"/>
    <w:rsid w:val="0034366C"/>
    <w:rsid w:val="003436DB"/>
    <w:rsid w:val="003438EC"/>
    <w:rsid w:val="00343913"/>
    <w:rsid w:val="00344C07"/>
    <w:rsid w:val="00344E1A"/>
    <w:rsid w:val="00345094"/>
    <w:rsid w:val="00345434"/>
    <w:rsid w:val="0034554C"/>
    <w:rsid w:val="00345591"/>
    <w:rsid w:val="003456C2"/>
    <w:rsid w:val="0034593F"/>
    <w:rsid w:val="003459D6"/>
    <w:rsid w:val="00345B60"/>
    <w:rsid w:val="00345BBD"/>
    <w:rsid w:val="00345BBF"/>
    <w:rsid w:val="0034626F"/>
    <w:rsid w:val="003462BC"/>
    <w:rsid w:val="00346556"/>
    <w:rsid w:val="003470FC"/>
    <w:rsid w:val="0034712C"/>
    <w:rsid w:val="0034717E"/>
    <w:rsid w:val="003472CB"/>
    <w:rsid w:val="003474D0"/>
    <w:rsid w:val="00347835"/>
    <w:rsid w:val="00347929"/>
    <w:rsid w:val="00347AC6"/>
    <w:rsid w:val="00347CD7"/>
    <w:rsid w:val="00347D18"/>
    <w:rsid w:val="00347FC2"/>
    <w:rsid w:val="00350169"/>
    <w:rsid w:val="0035054E"/>
    <w:rsid w:val="0035064A"/>
    <w:rsid w:val="00350703"/>
    <w:rsid w:val="003507B4"/>
    <w:rsid w:val="003507F5"/>
    <w:rsid w:val="00350B14"/>
    <w:rsid w:val="00350BD5"/>
    <w:rsid w:val="00350DA0"/>
    <w:rsid w:val="00350F02"/>
    <w:rsid w:val="00351205"/>
    <w:rsid w:val="003513A3"/>
    <w:rsid w:val="003513C6"/>
    <w:rsid w:val="003514DA"/>
    <w:rsid w:val="00351500"/>
    <w:rsid w:val="00351897"/>
    <w:rsid w:val="00351CF6"/>
    <w:rsid w:val="00351D9F"/>
    <w:rsid w:val="00351ED9"/>
    <w:rsid w:val="00352481"/>
    <w:rsid w:val="00352507"/>
    <w:rsid w:val="00352573"/>
    <w:rsid w:val="00352673"/>
    <w:rsid w:val="00352765"/>
    <w:rsid w:val="00352805"/>
    <w:rsid w:val="00352AA3"/>
    <w:rsid w:val="00352B39"/>
    <w:rsid w:val="003530FC"/>
    <w:rsid w:val="00353313"/>
    <w:rsid w:val="00353748"/>
    <w:rsid w:val="003537D4"/>
    <w:rsid w:val="00353821"/>
    <w:rsid w:val="00353C90"/>
    <w:rsid w:val="00353D33"/>
    <w:rsid w:val="00353E16"/>
    <w:rsid w:val="00353F60"/>
    <w:rsid w:val="003540F5"/>
    <w:rsid w:val="0035426B"/>
    <w:rsid w:val="00354307"/>
    <w:rsid w:val="0035439A"/>
    <w:rsid w:val="003543E7"/>
    <w:rsid w:val="00354486"/>
    <w:rsid w:val="00354494"/>
    <w:rsid w:val="0035476D"/>
    <w:rsid w:val="003547A0"/>
    <w:rsid w:val="00354A18"/>
    <w:rsid w:val="00354D73"/>
    <w:rsid w:val="00354D9B"/>
    <w:rsid w:val="00354E38"/>
    <w:rsid w:val="00355683"/>
    <w:rsid w:val="003557A1"/>
    <w:rsid w:val="00355894"/>
    <w:rsid w:val="003558D5"/>
    <w:rsid w:val="00355979"/>
    <w:rsid w:val="00355A36"/>
    <w:rsid w:val="00355A4E"/>
    <w:rsid w:val="00355AA3"/>
    <w:rsid w:val="00355B1F"/>
    <w:rsid w:val="00355B3E"/>
    <w:rsid w:val="00355B9C"/>
    <w:rsid w:val="00355BB6"/>
    <w:rsid w:val="00355C54"/>
    <w:rsid w:val="00355EE4"/>
    <w:rsid w:val="0035612D"/>
    <w:rsid w:val="0035624F"/>
    <w:rsid w:val="0035629B"/>
    <w:rsid w:val="003563D2"/>
    <w:rsid w:val="00356413"/>
    <w:rsid w:val="003565A0"/>
    <w:rsid w:val="003565B1"/>
    <w:rsid w:val="00356619"/>
    <w:rsid w:val="0035663F"/>
    <w:rsid w:val="003572CC"/>
    <w:rsid w:val="003572D5"/>
    <w:rsid w:val="0035731F"/>
    <w:rsid w:val="003576DA"/>
    <w:rsid w:val="00357730"/>
    <w:rsid w:val="003578C6"/>
    <w:rsid w:val="00357A88"/>
    <w:rsid w:val="00357AB2"/>
    <w:rsid w:val="00357AF1"/>
    <w:rsid w:val="00357BC4"/>
    <w:rsid w:val="00357D7E"/>
    <w:rsid w:val="003602DB"/>
    <w:rsid w:val="003604A1"/>
    <w:rsid w:val="003604A8"/>
    <w:rsid w:val="00360563"/>
    <w:rsid w:val="00360585"/>
    <w:rsid w:val="003607FF"/>
    <w:rsid w:val="00360989"/>
    <w:rsid w:val="00360AF9"/>
    <w:rsid w:val="00360B39"/>
    <w:rsid w:val="00360EFD"/>
    <w:rsid w:val="00361024"/>
    <w:rsid w:val="00361146"/>
    <w:rsid w:val="003613DE"/>
    <w:rsid w:val="003613FD"/>
    <w:rsid w:val="0036149F"/>
    <w:rsid w:val="00361654"/>
    <w:rsid w:val="003618EC"/>
    <w:rsid w:val="00361B27"/>
    <w:rsid w:val="00361D6F"/>
    <w:rsid w:val="00361E38"/>
    <w:rsid w:val="003620BB"/>
    <w:rsid w:val="0036234A"/>
    <w:rsid w:val="00362368"/>
    <w:rsid w:val="003624D5"/>
    <w:rsid w:val="003629DC"/>
    <w:rsid w:val="00362A7C"/>
    <w:rsid w:val="00362A81"/>
    <w:rsid w:val="0036316B"/>
    <w:rsid w:val="003633AA"/>
    <w:rsid w:val="00363892"/>
    <w:rsid w:val="003639C1"/>
    <w:rsid w:val="00363C4F"/>
    <w:rsid w:val="003641C7"/>
    <w:rsid w:val="003642D9"/>
    <w:rsid w:val="00364456"/>
    <w:rsid w:val="00364502"/>
    <w:rsid w:val="00364714"/>
    <w:rsid w:val="00364946"/>
    <w:rsid w:val="00364956"/>
    <w:rsid w:val="00364BC6"/>
    <w:rsid w:val="00364D02"/>
    <w:rsid w:val="00364DC6"/>
    <w:rsid w:val="00364E86"/>
    <w:rsid w:val="00364F0A"/>
    <w:rsid w:val="003650AB"/>
    <w:rsid w:val="003653EC"/>
    <w:rsid w:val="00365605"/>
    <w:rsid w:val="00365886"/>
    <w:rsid w:val="00365ECB"/>
    <w:rsid w:val="00366325"/>
    <w:rsid w:val="00366721"/>
    <w:rsid w:val="00366771"/>
    <w:rsid w:val="003667CE"/>
    <w:rsid w:val="00366938"/>
    <w:rsid w:val="00366998"/>
    <w:rsid w:val="00366BB5"/>
    <w:rsid w:val="00366E2C"/>
    <w:rsid w:val="003671D8"/>
    <w:rsid w:val="0036748D"/>
    <w:rsid w:val="00367606"/>
    <w:rsid w:val="00367A79"/>
    <w:rsid w:val="00367B93"/>
    <w:rsid w:val="00367DD6"/>
    <w:rsid w:val="00367E84"/>
    <w:rsid w:val="0037017B"/>
    <w:rsid w:val="00370628"/>
    <w:rsid w:val="003706D0"/>
    <w:rsid w:val="00370A05"/>
    <w:rsid w:val="00370EF6"/>
    <w:rsid w:val="003710D7"/>
    <w:rsid w:val="003714BC"/>
    <w:rsid w:val="00371527"/>
    <w:rsid w:val="00371631"/>
    <w:rsid w:val="0037188F"/>
    <w:rsid w:val="003719EB"/>
    <w:rsid w:val="00371A63"/>
    <w:rsid w:val="00371CEE"/>
    <w:rsid w:val="0037207C"/>
    <w:rsid w:val="0037219A"/>
    <w:rsid w:val="00372285"/>
    <w:rsid w:val="003723F1"/>
    <w:rsid w:val="00372416"/>
    <w:rsid w:val="0037264B"/>
    <w:rsid w:val="00372736"/>
    <w:rsid w:val="0037275C"/>
    <w:rsid w:val="0037278C"/>
    <w:rsid w:val="00372800"/>
    <w:rsid w:val="00372C18"/>
    <w:rsid w:val="00372D4E"/>
    <w:rsid w:val="00372F7C"/>
    <w:rsid w:val="00373126"/>
    <w:rsid w:val="0037367C"/>
    <w:rsid w:val="003739BE"/>
    <w:rsid w:val="00373AA9"/>
    <w:rsid w:val="00374135"/>
    <w:rsid w:val="003742FF"/>
    <w:rsid w:val="003743C0"/>
    <w:rsid w:val="003744EC"/>
    <w:rsid w:val="003745AB"/>
    <w:rsid w:val="0037488E"/>
    <w:rsid w:val="00374C40"/>
    <w:rsid w:val="00374FC3"/>
    <w:rsid w:val="003752B6"/>
    <w:rsid w:val="003752D8"/>
    <w:rsid w:val="00375309"/>
    <w:rsid w:val="00375690"/>
    <w:rsid w:val="00375851"/>
    <w:rsid w:val="00375B09"/>
    <w:rsid w:val="00375F47"/>
    <w:rsid w:val="003763B5"/>
    <w:rsid w:val="00376801"/>
    <w:rsid w:val="00376844"/>
    <w:rsid w:val="00376C1A"/>
    <w:rsid w:val="00376D52"/>
    <w:rsid w:val="00376EB8"/>
    <w:rsid w:val="00376FA5"/>
    <w:rsid w:val="0037718A"/>
    <w:rsid w:val="0037724C"/>
    <w:rsid w:val="00377320"/>
    <w:rsid w:val="00377379"/>
    <w:rsid w:val="00377524"/>
    <w:rsid w:val="003775E8"/>
    <w:rsid w:val="003776D8"/>
    <w:rsid w:val="00377AC0"/>
    <w:rsid w:val="00377BBC"/>
    <w:rsid w:val="00377BEC"/>
    <w:rsid w:val="00377D22"/>
    <w:rsid w:val="00377F52"/>
    <w:rsid w:val="00377FEE"/>
    <w:rsid w:val="00377FF5"/>
    <w:rsid w:val="00380123"/>
    <w:rsid w:val="00380456"/>
    <w:rsid w:val="00380551"/>
    <w:rsid w:val="0038063E"/>
    <w:rsid w:val="003808CE"/>
    <w:rsid w:val="00380996"/>
    <w:rsid w:val="00380AD8"/>
    <w:rsid w:val="00380B54"/>
    <w:rsid w:val="00380CD2"/>
    <w:rsid w:val="00380D4C"/>
    <w:rsid w:val="00380FFC"/>
    <w:rsid w:val="00381206"/>
    <w:rsid w:val="003813C8"/>
    <w:rsid w:val="00381466"/>
    <w:rsid w:val="0038159E"/>
    <w:rsid w:val="0038190C"/>
    <w:rsid w:val="00381A37"/>
    <w:rsid w:val="00381AA0"/>
    <w:rsid w:val="00381C7F"/>
    <w:rsid w:val="00381CDE"/>
    <w:rsid w:val="00381DC5"/>
    <w:rsid w:val="00382520"/>
    <w:rsid w:val="00382528"/>
    <w:rsid w:val="0038257E"/>
    <w:rsid w:val="00382610"/>
    <w:rsid w:val="003826E4"/>
    <w:rsid w:val="0038278B"/>
    <w:rsid w:val="0038288D"/>
    <w:rsid w:val="003828C3"/>
    <w:rsid w:val="00382967"/>
    <w:rsid w:val="00382A19"/>
    <w:rsid w:val="00382A67"/>
    <w:rsid w:val="00382ACE"/>
    <w:rsid w:val="00382AE2"/>
    <w:rsid w:val="00382AE8"/>
    <w:rsid w:val="00382C4A"/>
    <w:rsid w:val="00383050"/>
    <w:rsid w:val="003830FF"/>
    <w:rsid w:val="003832C7"/>
    <w:rsid w:val="00383300"/>
    <w:rsid w:val="003835E1"/>
    <w:rsid w:val="003836F5"/>
    <w:rsid w:val="0038384B"/>
    <w:rsid w:val="003838BD"/>
    <w:rsid w:val="003838D9"/>
    <w:rsid w:val="00383A51"/>
    <w:rsid w:val="00383DA7"/>
    <w:rsid w:val="003846BB"/>
    <w:rsid w:val="0038471F"/>
    <w:rsid w:val="0038472C"/>
    <w:rsid w:val="00384764"/>
    <w:rsid w:val="00384784"/>
    <w:rsid w:val="003848DB"/>
    <w:rsid w:val="00384B59"/>
    <w:rsid w:val="00384E9C"/>
    <w:rsid w:val="00384FC9"/>
    <w:rsid w:val="003850D4"/>
    <w:rsid w:val="00385156"/>
    <w:rsid w:val="00385BC9"/>
    <w:rsid w:val="00385C5D"/>
    <w:rsid w:val="003860B0"/>
    <w:rsid w:val="00386399"/>
    <w:rsid w:val="00386481"/>
    <w:rsid w:val="00386772"/>
    <w:rsid w:val="003869FF"/>
    <w:rsid w:val="00387038"/>
    <w:rsid w:val="00387128"/>
    <w:rsid w:val="0038759E"/>
    <w:rsid w:val="00387A9E"/>
    <w:rsid w:val="00387ACB"/>
    <w:rsid w:val="00387B39"/>
    <w:rsid w:val="00387CE6"/>
    <w:rsid w:val="00387E71"/>
    <w:rsid w:val="00387FE3"/>
    <w:rsid w:val="003905C2"/>
    <w:rsid w:val="00390822"/>
    <w:rsid w:val="00390A20"/>
    <w:rsid w:val="003910F9"/>
    <w:rsid w:val="00391146"/>
    <w:rsid w:val="003911E0"/>
    <w:rsid w:val="00391424"/>
    <w:rsid w:val="003914BC"/>
    <w:rsid w:val="003916A4"/>
    <w:rsid w:val="00391CF6"/>
    <w:rsid w:val="00391EB2"/>
    <w:rsid w:val="00391EE2"/>
    <w:rsid w:val="0039213D"/>
    <w:rsid w:val="0039214D"/>
    <w:rsid w:val="00392B94"/>
    <w:rsid w:val="00392C08"/>
    <w:rsid w:val="00392D6C"/>
    <w:rsid w:val="00393031"/>
    <w:rsid w:val="003932E5"/>
    <w:rsid w:val="0039336E"/>
    <w:rsid w:val="00393642"/>
    <w:rsid w:val="00393785"/>
    <w:rsid w:val="00393BC8"/>
    <w:rsid w:val="00393D7A"/>
    <w:rsid w:val="00393EA4"/>
    <w:rsid w:val="00393F61"/>
    <w:rsid w:val="0039400E"/>
    <w:rsid w:val="00394518"/>
    <w:rsid w:val="00394812"/>
    <w:rsid w:val="0039491D"/>
    <w:rsid w:val="00394CC0"/>
    <w:rsid w:val="00394DC5"/>
    <w:rsid w:val="0039504C"/>
    <w:rsid w:val="003951D3"/>
    <w:rsid w:val="003951E1"/>
    <w:rsid w:val="003952CB"/>
    <w:rsid w:val="00395329"/>
    <w:rsid w:val="003955A3"/>
    <w:rsid w:val="00395AE3"/>
    <w:rsid w:val="00395B9A"/>
    <w:rsid w:val="00395CE3"/>
    <w:rsid w:val="00395D01"/>
    <w:rsid w:val="00395DB1"/>
    <w:rsid w:val="00395E53"/>
    <w:rsid w:val="003963FA"/>
    <w:rsid w:val="00396417"/>
    <w:rsid w:val="003964A7"/>
    <w:rsid w:val="00396856"/>
    <w:rsid w:val="0039685A"/>
    <w:rsid w:val="003968C0"/>
    <w:rsid w:val="003969E3"/>
    <w:rsid w:val="00396A06"/>
    <w:rsid w:val="00396B78"/>
    <w:rsid w:val="00396C9C"/>
    <w:rsid w:val="00396D94"/>
    <w:rsid w:val="00396E3D"/>
    <w:rsid w:val="00396EAD"/>
    <w:rsid w:val="00397130"/>
    <w:rsid w:val="0039737B"/>
    <w:rsid w:val="003975F2"/>
    <w:rsid w:val="0039776B"/>
    <w:rsid w:val="003979B4"/>
    <w:rsid w:val="00397AB9"/>
    <w:rsid w:val="00397AE6"/>
    <w:rsid w:val="00397BC7"/>
    <w:rsid w:val="00397C93"/>
    <w:rsid w:val="00397EFB"/>
    <w:rsid w:val="00397F46"/>
    <w:rsid w:val="003A027F"/>
    <w:rsid w:val="003A0486"/>
    <w:rsid w:val="003A04FE"/>
    <w:rsid w:val="003A059A"/>
    <w:rsid w:val="003A0632"/>
    <w:rsid w:val="003A0903"/>
    <w:rsid w:val="003A09D5"/>
    <w:rsid w:val="003A0B7D"/>
    <w:rsid w:val="003A0F57"/>
    <w:rsid w:val="003A0F7A"/>
    <w:rsid w:val="003A0FAF"/>
    <w:rsid w:val="003A1252"/>
    <w:rsid w:val="003A12B4"/>
    <w:rsid w:val="003A13D9"/>
    <w:rsid w:val="003A1429"/>
    <w:rsid w:val="003A1479"/>
    <w:rsid w:val="003A1505"/>
    <w:rsid w:val="003A15EF"/>
    <w:rsid w:val="003A1614"/>
    <w:rsid w:val="003A16C0"/>
    <w:rsid w:val="003A16D0"/>
    <w:rsid w:val="003A1732"/>
    <w:rsid w:val="003A17EB"/>
    <w:rsid w:val="003A1813"/>
    <w:rsid w:val="003A1B7E"/>
    <w:rsid w:val="003A1DDA"/>
    <w:rsid w:val="003A1DE0"/>
    <w:rsid w:val="003A1F4C"/>
    <w:rsid w:val="003A2215"/>
    <w:rsid w:val="003A22B3"/>
    <w:rsid w:val="003A2658"/>
    <w:rsid w:val="003A2665"/>
    <w:rsid w:val="003A26BC"/>
    <w:rsid w:val="003A28FA"/>
    <w:rsid w:val="003A2A11"/>
    <w:rsid w:val="003A2A75"/>
    <w:rsid w:val="003A2CBD"/>
    <w:rsid w:val="003A2E9E"/>
    <w:rsid w:val="003A2F21"/>
    <w:rsid w:val="003A320B"/>
    <w:rsid w:val="003A355D"/>
    <w:rsid w:val="003A38A2"/>
    <w:rsid w:val="003A3F10"/>
    <w:rsid w:val="003A4351"/>
    <w:rsid w:val="003A43EB"/>
    <w:rsid w:val="003A44B3"/>
    <w:rsid w:val="003A4576"/>
    <w:rsid w:val="003A48DB"/>
    <w:rsid w:val="003A4904"/>
    <w:rsid w:val="003A4A22"/>
    <w:rsid w:val="003A4BE7"/>
    <w:rsid w:val="003A4DBE"/>
    <w:rsid w:val="003A4EE0"/>
    <w:rsid w:val="003A4F65"/>
    <w:rsid w:val="003A507E"/>
    <w:rsid w:val="003A529E"/>
    <w:rsid w:val="003A55E4"/>
    <w:rsid w:val="003A57BF"/>
    <w:rsid w:val="003A5896"/>
    <w:rsid w:val="003A5AC1"/>
    <w:rsid w:val="003A5B35"/>
    <w:rsid w:val="003A5BA8"/>
    <w:rsid w:val="003A5E59"/>
    <w:rsid w:val="003A5F65"/>
    <w:rsid w:val="003A600C"/>
    <w:rsid w:val="003A6C7C"/>
    <w:rsid w:val="003A6E72"/>
    <w:rsid w:val="003A714F"/>
    <w:rsid w:val="003A72ED"/>
    <w:rsid w:val="003A75ED"/>
    <w:rsid w:val="003A78C0"/>
    <w:rsid w:val="003A7A1A"/>
    <w:rsid w:val="003A7F50"/>
    <w:rsid w:val="003B031A"/>
    <w:rsid w:val="003B074E"/>
    <w:rsid w:val="003B0799"/>
    <w:rsid w:val="003B0B52"/>
    <w:rsid w:val="003B0CE8"/>
    <w:rsid w:val="003B11F7"/>
    <w:rsid w:val="003B12F7"/>
    <w:rsid w:val="003B15EB"/>
    <w:rsid w:val="003B16B7"/>
    <w:rsid w:val="003B1727"/>
    <w:rsid w:val="003B1A87"/>
    <w:rsid w:val="003B1CEC"/>
    <w:rsid w:val="003B1DEF"/>
    <w:rsid w:val="003B1ED8"/>
    <w:rsid w:val="003B1FD2"/>
    <w:rsid w:val="003B21F1"/>
    <w:rsid w:val="003B2574"/>
    <w:rsid w:val="003B25CE"/>
    <w:rsid w:val="003B2C8B"/>
    <w:rsid w:val="003B3185"/>
    <w:rsid w:val="003B35D7"/>
    <w:rsid w:val="003B35DA"/>
    <w:rsid w:val="003B3AC4"/>
    <w:rsid w:val="003B3E4C"/>
    <w:rsid w:val="003B401B"/>
    <w:rsid w:val="003B406F"/>
    <w:rsid w:val="003B4166"/>
    <w:rsid w:val="003B43EC"/>
    <w:rsid w:val="003B49F1"/>
    <w:rsid w:val="003B4AA2"/>
    <w:rsid w:val="003B4B14"/>
    <w:rsid w:val="003B4C26"/>
    <w:rsid w:val="003B4DC3"/>
    <w:rsid w:val="003B5314"/>
    <w:rsid w:val="003B539D"/>
    <w:rsid w:val="003B5785"/>
    <w:rsid w:val="003B5F7F"/>
    <w:rsid w:val="003B6461"/>
    <w:rsid w:val="003B657C"/>
    <w:rsid w:val="003B68AA"/>
    <w:rsid w:val="003B6EAA"/>
    <w:rsid w:val="003B6ECA"/>
    <w:rsid w:val="003B70B2"/>
    <w:rsid w:val="003B73BF"/>
    <w:rsid w:val="003B73FE"/>
    <w:rsid w:val="003B75BC"/>
    <w:rsid w:val="003B7796"/>
    <w:rsid w:val="003B7880"/>
    <w:rsid w:val="003B79E3"/>
    <w:rsid w:val="003B7B5A"/>
    <w:rsid w:val="003B7D82"/>
    <w:rsid w:val="003B7F30"/>
    <w:rsid w:val="003C013A"/>
    <w:rsid w:val="003C0167"/>
    <w:rsid w:val="003C01F3"/>
    <w:rsid w:val="003C0280"/>
    <w:rsid w:val="003C033A"/>
    <w:rsid w:val="003C0480"/>
    <w:rsid w:val="003C048C"/>
    <w:rsid w:val="003C05CC"/>
    <w:rsid w:val="003C07C8"/>
    <w:rsid w:val="003C08E9"/>
    <w:rsid w:val="003C0AB7"/>
    <w:rsid w:val="003C0CCA"/>
    <w:rsid w:val="003C11E6"/>
    <w:rsid w:val="003C12E7"/>
    <w:rsid w:val="003C13A2"/>
    <w:rsid w:val="003C13ED"/>
    <w:rsid w:val="003C14D6"/>
    <w:rsid w:val="003C16C1"/>
    <w:rsid w:val="003C1873"/>
    <w:rsid w:val="003C1EE8"/>
    <w:rsid w:val="003C2037"/>
    <w:rsid w:val="003C217F"/>
    <w:rsid w:val="003C22F7"/>
    <w:rsid w:val="003C242F"/>
    <w:rsid w:val="003C2591"/>
    <w:rsid w:val="003C2A10"/>
    <w:rsid w:val="003C2D48"/>
    <w:rsid w:val="003C2DE9"/>
    <w:rsid w:val="003C3012"/>
    <w:rsid w:val="003C3655"/>
    <w:rsid w:val="003C38CA"/>
    <w:rsid w:val="003C396F"/>
    <w:rsid w:val="003C3A26"/>
    <w:rsid w:val="003C3AD6"/>
    <w:rsid w:val="003C3CA0"/>
    <w:rsid w:val="003C3E38"/>
    <w:rsid w:val="003C3EC9"/>
    <w:rsid w:val="003C3FEA"/>
    <w:rsid w:val="003C4077"/>
    <w:rsid w:val="003C4085"/>
    <w:rsid w:val="003C44E4"/>
    <w:rsid w:val="003C4644"/>
    <w:rsid w:val="003C47B9"/>
    <w:rsid w:val="003C47EC"/>
    <w:rsid w:val="003C4919"/>
    <w:rsid w:val="003C4AF8"/>
    <w:rsid w:val="003C4B95"/>
    <w:rsid w:val="003C4C9D"/>
    <w:rsid w:val="003C4CC1"/>
    <w:rsid w:val="003C4CC8"/>
    <w:rsid w:val="003C5015"/>
    <w:rsid w:val="003C50AD"/>
    <w:rsid w:val="003C50B4"/>
    <w:rsid w:val="003C5236"/>
    <w:rsid w:val="003C5604"/>
    <w:rsid w:val="003C563F"/>
    <w:rsid w:val="003C5759"/>
    <w:rsid w:val="003C58C2"/>
    <w:rsid w:val="003C5BE3"/>
    <w:rsid w:val="003C5CF0"/>
    <w:rsid w:val="003C6024"/>
    <w:rsid w:val="003C60F3"/>
    <w:rsid w:val="003C613E"/>
    <w:rsid w:val="003C628F"/>
    <w:rsid w:val="003C6315"/>
    <w:rsid w:val="003C661B"/>
    <w:rsid w:val="003C66CE"/>
    <w:rsid w:val="003C6744"/>
    <w:rsid w:val="003C6904"/>
    <w:rsid w:val="003C698E"/>
    <w:rsid w:val="003C69B0"/>
    <w:rsid w:val="003C6CE6"/>
    <w:rsid w:val="003C6F89"/>
    <w:rsid w:val="003C6FD1"/>
    <w:rsid w:val="003C6FEB"/>
    <w:rsid w:val="003C70C7"/>
    <w:rsid w:val="003C71AD"/>
    <w:rsid w:val="003C7493"/>
    <w:rsid w:val="003C7612"/>
    <w:rsid w:val="003C783D"/>
    <w:rsid w:val="003C787E"/>
    <w:rsid w:val="003C79A5"/>
    <w:rsid w:val="003C7B75"/>
    <w:rsid w:val="003C7CD3"/>
    <w:rsid w:val="003D05B2"/>
    <w:rsid w:val="003D060A"/>
    <w:rsid w:val="003D0729"/>
    <w:rsid w:val="003D0976"/>
    <w:rsid w:val="003D1142"/>
    <w:rsid w:val="003D1249"/>
    <w:rsid w:val="003D15C0"/>
    <w:rsid w:val="003D1922"/>
    <w:rsid w:val="003D1B92"/>
    <w:rsid w:val="003D1CC4"/>
    <w:rsid w:val="003D1D0D"/>
    <w:rsid w:val="003D2276"/>
    <w:rsid w:val="003D27CE"/>
    <w:rsid w:val="003D2896"/>
    <w:rsid w:val="003D2923"/>
    <w:rsid w:val="003D29DE"/>
    <w:rsid w:val="003D2B32"/>
    <w:rsid w:val="003D2B77"/>
    <w:rsid w:val="003D2C5F"/>
    <w:rsid w:val="003D2EF9"/>
    <w:rsid w:val="003D2FA0"/>
    <w:rsid w:val="003D3007"/>
    <w:rsid w:val="003D3282"/>
    <w:rsid w:val="003D33BA"/>
    <w:rsid w:val="003D3486"/>
    <w:rsid w:val="003D38B2"/>
    <w:rsid w:val="003D3A0D"/>
    <w:rsid w:val="003D3C37"/>
    <w:rsid w:val="003D4133"/>
    <w:rsid w:val="003D4389"/>
    <w:rsid w:val="003D462A"/>
    <w:rsid w:val="003D46A0"/>
    <w:rsid w:val="003D47C7"/>
    <w:rsid w:val="003D4983"/>
    <w:rsid w:val="003D49B4"/>
    <w:rsid w:val="003D4AEB"/>
    <w:rsid w:val="003D4AFB"/>
    <w:rsid w:val="003D4C66"/>
    <w:rsid w:val="003D4CE1"/>
    <w:rsid w:val="003D4E5D"/>
    <w:rsid w:val="003D5295"/>
    <w:rsid w:val="003D54FA"/>
    <w:rsid w:val="003D5539"/>
    <w:rsid w:val="003D5548"/>
    <w:rsid w:val="003D587A"/>
    <w:rsid w:val="003D5A97"/>
    <w:rsid w:val="003D5F36"/>
    <w:rsid w:val="003D607B"/>
    <w:rsid w:val="003D6602"/>
    <w:rsid w:val="003D6657"/>
    <w:rsid w:val="003D6712"/>
    <w:rsid w:val="003D6A96"/>
    <w:rsid w:val="003D6EDC"/>
    <w:rsid w:val="003D7259"/>
    <w:rsid w:val="003D747C"/>
    <w:rsid w:val="003D76B8"/>
    <w:rsid w:val="003D7880"/>
    <w:rsid w:val="003D79B1"/>
    <w:rsid w:val="003D7C31"/>
    <w:rsid w:val="003D7FE8"/>
    <w:rsid w:val="003E0156"/>
    <w:rsid w:val="003E0393"/>
    <w:rsid w:val="003E0437"/>
    <w:rsid w:val="003E06F5"/>
    <w:rsid w:val="003E07E7"/>
    <w:rsid w:val="003E0942"/>
    <w:rsid w:val="003E0955"/>
    <w:rsid w:val="003E0E44"/>
    <w:rsid w:val="003E1237"/>
    <w:rsid w:val="003E1447"/>
    <w:rsid w:val="003E15D1"/>
    <w:rsid w:val="003E1684"/>
    <w:rsid w:val="003E169F"/>
    <w:rsid w:val="003E1854"/>
    <w:rsid w:val="003E1C5A"/>
    <w:rsid w:val="003E1D70"/>
    <w:rsid w:val="003E1E85"/>
    <w:rsid w:val="003E1EC8"/>
    <w:rsid w:val="003E2067"/>
    <w:rsid w:val="003E25EE"/>
    <w:rsid w:val="003E260B"/>
    <w:rsid w:val="003E2696"/>
    <w:rsid w:val="003E28BD"/>
    <w:rsid w:val="003E2BF0"/>
    <w:rsid w:val="003E2F90"/>
    <w:rsid w:val="003E2FEE"/>
    <w:rsid w:val="003E31FE"/>
    <w:rsid w:val="003E32E6"/>
    <w:rsid w:val="003E3959"/>
    <w:rsid w:val="003E3A18"/>
    <w:rsid w:val="003E3B47"/>
    <w:rsid w:val="003E402C"/>
    <w:rsid w:val="003E40F0"/>
    <w:rsid w:val="003E421E"/>
    <w:rsid w:val="003E423A"/>
    <w:rsid w:val="003E4251"/>
    <w:rsid w:val="003E4531"/>
    <w:rsid w:val="003E4778"/>
    <w:rsid w:val="003E4862"/>
    <w:rsid w:val="003E4A4B"/>
    <w:rsid w:val="003E4B07"/>
    <w:rsid w:val="003E4D50"/>
    <w:rsid w:val="003E4D9B"/>
    <w:rsid w:val="003E4DB7"/>
    <w:rsid w:val="003E4F7C"/>
    <w:rsid w:val="003E4FC3"/>
    <w:rsid w:val="003E5016"/>
    <w:rsid w:val="003E5456"/>
    <w:rsid w:val="003E54BC"/>
    <w:rsid w:val="003E5780"/>
    <w:rsid w:val="003E5A89"/>
    <w:rsid w:val="003E5B8E"/>
    <w:rsid w:val="003E5E94"/>
    <w:rsid w:val="003E5FD2"/>
    <w:rsid w:val="003E67F6"/>
    <w:rsid w:val="003E693E"/>
    <w:rsid w:val="003E6C17"/>
    <w:rsid w:val="003E6D26"/>
    <w:rsid w:val="003E6D84"/>
    <w:rsid w:val="003E70CB"/>
    <w:rsid w:val="003E7330"/>
    <w:rsid w:val="003E7511"/>
    <w:rsid w:val="003E75BB"/>
    <w:rsid w:val="003E7693"/>
    <w:rsid w:val="003E77D1"/>
    <w:rsid w:val="003E7C51"/>
    <w:rsid w:val="003F0128"/>
    <w:rsid w:val="003F01F9"/>
    <w:rsid w:val="003F0388"/>
    <w:rsid w:val="003F0527"/>
    <w:rsid w:val="003F0C5F"/>
    <w:rsid w:val="003F0D65"/>
    <w:rsid w:val="003F1184"/>
    <w:rsid w:val="003F11DA"/>
    <w:rsid w:val="003F12BF"/>
    <w:rsid w:val="003F16CC"/>
    <w:rsid w:val="003F16D3"/>
    <w:rsid w:val="003F1833"/>
    <w:rsid w:val="003F199E"/>
    <w:rsid w:val="003F1A5E"/>
    <w:rsid w:val="003F1A97"/>
    <w:rsid w:val="003F1BB4"/>
    <w:rsid w:val="003F1F6E"/>
    <w:rsid w:val="003F1FE2"/>
    <w:rsid w:val="003F2087"/>
    <w:rsid w:val="003F21D5"/>
    <w:rsid w:val="003F230A"/>
    <w:rsid w:val="003F2377"/>
    <w:rsid w:val="003F246A"/>
    <w:rsid w:val="003F24EA"/>
    <w:rsid w:val="003F24EE"/>
    <w:rsid w:val="003F2871"/>
    <w:rsid w:val="003F28C8"/>
    <w:rsid w:val="003F2A9D"/>
    <w:rsid w:val="003F2EBD"/>
    <w:rsid w:val="003F30EC"/>
    <w:rsid w:val="003F3199"/>
    <w:rsid w:val="003F3296"/>
    <w:rsid w:val="003F33AD"/>
    <w:rsid w:val="003F369C"/>
    <w:rsid w:val="003F36CA"/>
    <w:rsid w:val="003F37AB"/>
    <w:rsid w:val="003F37E3"/>
    <w:rsid w:val="003F3841"/>
    <w:rsid w:val="003F39CC"/>
    <w:rsid w:val="003F3A8B"/>
    <w:rsid w:val="003F3F6E"/>
    <w:rsid w:val="003F3F95"/>
    <w:rsid w:val="003F4149"/>
    <w:rsid w:val="003F422A"/>
    <w:rsid w:val="003F429B"/>
    <w:rsid w:val="003F432E"/>
    <w:rsid w:val="003F4366"/>
    <w:rsid w:val="003F43A5"/>
    <w:rsid w:val="003F4505"/>
    <w:rsid w:val="003F4735"/>
    <w:rsid w:val="003F481E"/>
    <w:rsid w:val="003F4850"/>
    <w:rsid w:val="003F4DB7"/>
    <w:rsid w:val="003F4F06"/>
    <w:rsid w:val="003F506F"/>
    <w:rsid w:val="003F5499"/>
    <w:rsid w:val="003F56D7"/>
    <w:rsid w:val="003F574B"/>
    <w:rsid w:val="003F575F"/>
    <w:rsid w:val="003F57FA"/>
    <w:rsid w:val="003F58A8"/>
    <w:rsid w:val="003F5A0C"/>
    <w:rsid w:val="003F5BCB"/>
    <w:rsid w:val="003F5CC5"/>
    <w:rsid w:val="003F5DA7"/>
    <w:rsid w:val="003F5DF3"/>
    <w:rsid w:val="003F5F3C"/>
    <w:rsid w:val="003F61EE"/>
    <w:rsid w:val="003F6229"/>
    <w:rsid w:val="003F656B"/>
    <w:rsid w:val="003F6959"/>
    <w:rsid w:val="003F696C"/>
    <w:rsid w:val="003F6975"/>
    <w:rsid w:val="003F69F3"/>
    <w:rsid w:val="003F6D95"/>
    <w:rsid w:val="003F6F43"/>
    <w:rsid w:val="003F7543"/>
    <w:rsid w:val="003F7808"/>
    <w:rsid w:val="003F7BFF"/>
    <w:rsid w:val="00400164"/>
    <w:rsid w:val="00400349"/>
    <w:rsid w:val="004004AB"/>
    <w:rsid w:val="00400566"/>
    <w:rsid w:val="004007A6"/>
    <w:rsid w:val="004007B2"/>
    <w:rsid w:val="004007D7"/>
    <w:rsid w:val="0040082B"/>
    <w:rsid w:val="00400956"/>
    <w:rsid w:val="00400AC7"/>
    <w:rsid w:val="00400C13"/>
    <w:rsid w:val="00400E52"/>
    <w:rsid w:val="00400E70"/>
    <w:rsid w:val="0040151A"/>
    <w:rsid w:val="00401713"/>
    <w:rsid w:val="004019F7"/>
    <w:rsid w:val="00401C21"/>
    <w:rsid w:val="0040215F"/>
    <w:rsid w:val="004021E7"/>
    <w:rsid w:val="00402219"/>
    <w:rsid w:val="00402223"/>
    <w:rsid w:val="004022FD"/>
    <w:rsid w:val="00402340"/>
    <w:rsid w:val="0040248E"/>
    <w:rsid w:val="00402520"/>
    <w:rsid w:val="0040269D"/>
    <w:rsid w:val="004027D5"/>
    <w:rsid w:val="00402D80"/>
    <w:rsid w:val="00402F46"/>
    <w:rsid w:val="004033E4"/>
    <w:rsid w:val="00403742"/>
    <w:rsid w:val="00403838"/>
    <w:rsid w:val="00403C02"/>
    <w:rsid w:val="00403CB3"/>
    <w:rsid w:val="00403CC0"/>
    <w:rsid w:val="004042A3"/>
    <w:rsid w:val="004042D1"/>
    <w:rsid w:val="0040464D"/>
    <w:rsid w:val="0040464F"/>
    <w:rsid w:val="004046D4"/>
    <w:rsid w:val="00404B19"/>
    <w:rsid w:val="00404C87"/>
    <w:rsid w:val="00404EE9"/>
    <w:rsid w:val="00404F9B"/>
    <w:rsid w:val="0040512E"/>
    <w:rsid w:val="004051ED"/>
    <w:rsid w:val="004053A9"/>
    <w:rsid w:val="004053AE"/>
    <w:rsid w:val="00405474"/>
    <w:rsid w:val="00405528"/>
    <w:rsid w:val="004056F1"/>
    <w:rsid w:val="004057AA"/>
    <w:rsid w:val="00405A50"/>
    <w:rsid w:val="00405D8E"/>
    <w:rsid w:val="004061AB"/>
    <w:rsid w:val="0040642A"/>
    <w:rsid w:val="00406456"/>
    <w:rsid w:val="004067FD"/>
    <w:rsid w:val="00406824"/>
    <w:rsid w:val="00406A8A"/>
    <w:rsid w:val="00406CFF"/>
    <w:rsid w:val="00406D19"/>
    <w:rsid w:val="00406E1C"/>
    <w:rsid w:val="00406E2E"/>
    <w:rsid w:val="004070B5"/>
    <w:rsid w:val="004070C8"/>
    <w:rsid w:val="00407BD0"/>
    <w:rsid w:val="00407C5B"/>
    <w:rsid w:val="0041018A"/>
    <w:rsid w:val="00410194"/>
    <w:rsid w:val="0041059D"/>
    <w:rsid w:val="004105EA"/>
    <w:rsid w:val="004107C3"/>
    <w:rsid w:val="00410952"/>
    <w:rsid w:val="00410B86"/>
    <w:rsid w:val="00410BF9"/>
    <w:rsid w:val="00410D1E"/>
    <w:rsid w:val="00410D24"/>
    <w:rsid w:val="00410D3B"/>
    <w:rsid w:val="00410F9E"/>
    <w:rsid w:val="00411665"/>
    <w:rsid w:val="0041195F"/>
    <w:rsid w:val="00411AA0"/>
    <w:rsid w:val="00411BD8"/>
    <w:rsid w:val="00411F28"/>
    <w:rsid w:val="00412247"/>
    <w:rsid w:val="00412829"/>
    <w:rsid w:val="0041299F"/>
    <w:rsid w:val="00412E16"/>
    <w:rsid w:val="00412E59"/>
    <w:rsid w:val="00412E71"/>
    <w:rsid w:val="00412F27"/>
    <w:rsid w:val="00412F90"/>
    <w:rsid w:val="00413037"/>
    <w:rsid w:val="0041312C"/>
    <w:rsid w:val="0041330B"/>
    <w:rsid w:val="004133A0"/>
    <w:rsid w:val="00413569"/>
    <w:rsid w:val="0041373C"/>
    <w:rsid w:val="004138BF"/>
    <w:rsid w:val="004139B8"/>
    <w:rsid w:val="00413A7C"/>
    <w:rsid w:val="00413CD8"/>
    <w:rsid w:val="00413E97"/>
    <w:rsid w:val="00413F7F"/>
    <w:rsid w:val="004141DD"/>
    <w:rsid w:val="004142FF"/>
    <w:rsid w:val="00414556"/>
    <w:rsid w:val="004146B3"/>
    <w:rsid w:val="004146C1"/>
    <w:rsid w:val="004146E8"/>
    <w:rsid w:val="004148D8"/>
    <w:rsid w:val="004148E7"/>
    <w:rsid w:val="00414A03"/>
    <w:rsid w:val="00414AA9"/>
    <w:rsid w:val="00414C61"/>
    <w:rsid w:val="00414D12"/>
    <w:rsid w:val="0041535C"/>
    <w:rsid w:val="004153B5"/>
    <w:rsid w:val="00415688"/>
    <w:rsid w:val="0041585F"/>
    <w:rsid w:val="00415A19"/>
    <w:rsid w:val="00415DE8"/>
    <w:rsid w:val="00415EA1"/>
    <w:rsid w:val="00415F20"/>
    <w:rsid w:val="00415F59"/>
    <w:rsid w:val="00416026"/>
    <w:rsid w:val="004161F1"/>
    <w:rsid w:val="00416313"/>
    <w:rsid w:val="00416632"/>
    <w:rsid w:val="0041668E"/>
    <w:rsid w:val="00416C3D"/>
    <w:rsid w:val="00416DC3"/>
    <w:rsid w:val="00416ED2"/>
    <w:rsid w:val="00416F85"/>
    <w:rsid w:val="00416FDE"/>
    <w:rsid w:val="00417035"/>
    <w:rsid w:val="0041722A"/>
    <w:rsid w:val="00417708"/>
    <w:rsid w:val="00417721"/>
    <w:rsid w:val="0041785D"/>
    <w:rsid w:val="00417878"/>
    <w:rsid w:val="004178B5"/>
    <w:rsid w:val="00417C2F"/>
    <w:rsid w:val="00417FD9"/>
    <w:rsid w:val="00420072"/>
    <w:rsid w:val="0042016E"/>
    <w:rsid w:val="004203B3"/>
    <w:rsid w:val="004204DB"/>
    <w:rsid w:val="0042085B"/>
    <w:rsid w:val="00420BFA"/>
    <w:rsid w:val="00420E12"/>
    <w:rsid w:val="0042132E"/>
    <w:rsid w:val="004214F8"/>
    <w:rsid w:val="004218FD"/>
    <w:rsid w:val="00421970"/>
    <w:rsid w:val="004220C2"/>
    <w:rsid w:val="004224AE"/>
    <w:rsid w:val="00422549"/>
    <w:rsid w:val="004225E4"/>
    <w:rsid w:val="00422711"/>
    <w:rsid w:val="00422A90"/>
    <w:rsid w:val="00422ABF"/>
    <w:rsid w:val="00422B33"/>
    <w:rsid w:val="00422BE9"/>
    <w:rsid w:val="00422C5A"/>
    <w:rsid w:val="00422D9B"/>
    <w:rsid w:val="00422EFE"/>
    <w:rsid w:val="00423114"/>
    <w:rsid w:val="00423479"/>
    <w:rsid w:val="00423558"/>
    <w:rsid w:val="004237E2"/>
    <w:rsid w:val="00423A38"/>
    <w:rsid w:val="00423A6B"/>
    <w:rsid w:val="00423C47"/>
    <w:rsid w:val="00423CF7"/>
    <w:rsid w:val="00423EEF"/>
    <w:rsid w:val="0042415E"/>
    <w:rsid w:val="0042420D"/>
    <w:rsid w:val="0042426E"/>
    <w:rsid w:val="004242C6"/>
    <w:rsid w:val="00424625"/>
    <w:rsid w:val="004246CF"/>
    <w:rsid w:val="0042474A"/>
    <w:rsid w:val="00424992"/>
    <w:rsid w:val="004249FC"/>
    <w:rsid w:val="00424E94"/>
    <w:rsid w:val="00425102"/>
    <w:rsid w:val="0042527F"/>
    <w:rsid w:val="00425292"/>
    <w:rsid w:val="004259E7"/>
    <w:rsid w:val="00425AC7"/>
    <w:rsid w:val="00425B91"/>
    <w:rsid w:val="00425C8E"/>
    <w:rsid w:val="00425CE7"/>
    <w:rsid w:val="00425D0D"/>
    <w:rsid w:val="00425E9C"/>
    <w:rsid w:val="00425F85"/>
    <w:rsid w:val="00426002"/>
    <w:rsid w:val="004260BF"/>
    <w:rsid w:val="0042613A"/>
    <w:rsid w:val="00426153"/>
    <w:rsid w:val="0042616D"/>
    <w:rsid w:val="00426172"/>
    <w:rsid w:val="00426355"/>
    <w:rsid w:val="0042664D"/>
    <w:rsid w:val="00426A37"/>
    <w:rsid w:val="00426DC2"/>
    <w:rsid w:val="00426DDF"/>
    <w:rsid w:val="004270A7"/>
    <w:rsid w:val="00427137"/>
    <w:rsid w:val="004273AD"/>
    <w:rsid w:val="004274EF"/>
    <w:rsid w:val="0042796D"/>
    <w:rsid w:val="00427D11"/>
    <w:rsid w:val="00430073"/>
    <w:rsid w:val="004301DC"/>
    <w:rsid w:val="00430590"/>
    <w:rsid w:val="00430859"/>
    <w:rsid w:val="00430999"/>
    <w:rsid w:val="00430BAD"/>
    <w:rsid w:val="00430DE9"/>
    <w:rsid w:val="0043109D"/>
    <w:rsid w:val="0043179A"/>
    <w:rsid w:val="00431CB3"/>
    <w:rsid w:val="00431D58"/>
    <w:rsid w:val="00431D8C"/>
    <w:rsid w:val="00432246"/>
    <w:rsid w:val="004323A1"/>
    <w:rsid w:val="004326C1"/>
    <w:rsid w:val="00432984"/>
    <w:rsid w:val="00432ABA"/>
    <w:rsid w:val="00432B71"/>
    <w:rsid w:val="00432F25"/>
    <w:rsid w:val="004331A2"/>
    <w:rsid w:val="00433B06"/>
    <w:rsid w:val="00433B56"/>
    <w:rsid w:val="00433C57"/>
    <w:rsid w:val="004340E6"/>
    <w:rsid w:val="00434490"/>
    <w:rsid w:val="004347E2"/>
    <w:rsid w:val="00434861"/>
    <w:rsid w:val="00434952"/>
    <w:rsid w:val="00434A0B"/>
    <w:rsid w:val="00434AA4"/>
    <w:rsid w:val="00434B12"/>
    <w:rsid w:val="00434CA6"/>
    <w:rsid w:val="00434EB9"/>
    <w:rsid w:val="00435097"/>
    <w:rsid w:val="00435269"/>
    <w:rsid w:val="00435318"/>
    <w:rsid w:val="00435602"/>
    <w:rsid w:val="004356C2"/>
    <w:rsid w:val="00435A4E"/>
    <w:rsid w:val="00435AF9"/>
    <w:rsid w:val="00435C02"/>
    <w:rsid w:val="00435C55"/>
    <w:rsid w:val="00435CA3"/>
    <w:rsid w:val="00435DF4"/>
    <w:rsid w:val="00435EA9"/>
    <w:rsid w:val="004361DC"/>
    <w:rsid w:val="004363F1"/>
    <w:rsid w:val="00436537"/>
    <w:rsid w:val="00436586"/>
    <w:rsid w:val="00436655"/>
    <w:rsid w:val="00436706"/>
    <w:rsid w:val="0043679F"/>
    <w:rsid w:val="004367C8"/>
    <w:rsid w:val="004368DF"/>
    <w:rsid w:val="0043695A"/>
    <w:rsid w:val="00436992"/>
    <w:rsid w:val="004369EB"/>
    <w:rsid w:val="00436D55"/>
    <w:rsid w:val="00436D6F"/>
    <w:rsid w:val="00436F95"/>
    <w:rsid w:val="0043703F"/>
    <w:rsid w:val="00437271"/>
    <w:rsid w:val="004372C7"/>
    <w:rsid w:val="00437516"/>
    <w:rsid w:val="00437827"/>
    <w:rsid w:val="00437F96"/>
    <w:rsid w:val="0044026E"/>
    <w:rsid w:val="004404FD"/>
    <w:rsid w:val="0044078A"/>
    <w:rsid w:val="004407EC"/>
    <w:rsid w:val="0044085B"/>
    <w:rsid w:val="00440B71"/>
    <w:rsid w:val="00440B95"/>
    <w:rsid w:val="00440BFF"/>
    <w:rsid w:val="00440FBD"/>
    <w:rsid w:val="00441051"/>
    <w:rsid w:val="004414E2"/>
    <w:rsid w:val="004415BB"/>
    <w:rsid w:val="0044192A"/>
    <w:rsid w:val="00441C79"/>
    <w:rsid w:val="00441FD3"/>
    <w:rsid w:val="004420FE"/>
    <w:rsid w:val="00442161"/>
    <w:rsid w:val="0044222D"/>
    <w:rsid w:val="00442301"/>
    <w:rsid w:val="00442345"/>
    <w:rsid w:val="00442657"/>
    <w:rsid w:val="004428B4"/>
    <w:rsid w:val="00443220"/>
    <w:rsid w:val="0044335C"/>
    <w:rsid w:val="004436FE"/>
    <w:rsid w:val="00443776"/>
    <w:rsid w:val="004438BB"/>
    <w:rsid w:val="0044391E"/>
    <w:rsid w:val="00443DB3"/>
    <w:rsid w:val="00443E5B"/>
    <w:rsid w:val="00443E9B"/>
    <w:rsid w:val="0044417C"/>
    <w:rsid w:val="00444218"/>
    <w:rsid w:val="004442EE"/>
    <w:rsid w:val="004443EC"/>
    <w:rsid w:val="0044471B"/>
    <w:rsid w:val="004447CE"/>
    <w:rsid w:val="0044490F"/>
    <w:rsid w:val="00444997"/>
    <w:rsid w:val="004449BB"/>
    <w:rsid w:val="00444D02"/>
    <w:rsid w:val="00444D19"/>
    <w:rsid w:val="00444D2C"/>
    <w:rsid w:val="00444DD6"/>
    <w:rsid w:val="00444E72"/>
    <w:rsid w:val="0044500D"/>
    <w:rsid w:val="00445070"/>
    <w:rsid w:val="004454EE"/>
    <w:rsid w:val="004455B8"/>
    <w:rsid w:val="00445AEE"/>
    <w:rsid w:val="0044625E"/>
    <w:rsid w:val="004465C7"/>
    <w:rsid w:val="00446785"/>
    <w:rsid w:val="00446801"/>
    <w:rsid w:val="00446BAB"/>
    <w:rsid w:val="00446D1E"/>
    <w:rsid w:val="00446D74"/>
    <w:rsid w:val="00446E1F"/>
    <w:rsid w:val="00446E43"/>
    <w:rsid w:val="00446ECE"/>
    <w:rsid w:val="00447199"/>
    <w:rsid w:val="00447451"/>
    <w:rsid w:val="0044749B"/>
    <w:rsid w:val="004474F4"/>
    <w:rsid w:val="004476F1"/>
    <w:rsid w:val="00447756"/>
    <w:rsid w:val="00447A14"/>
    <w:rsid w:val="00447D83"/>
    <w:rsid w:val="00447DD8"/>
    <w:rsid w:val="004502C6"/>
    <w:rsid w:val="004502F0"/>
    <w:rsid w:val="00450700"/>
    <w:rsid w:val="004507E9"/>
    <w:rsid w:val="0045081F"/>
    <w:rsid w:val="00450984"/>
    <w:rsid w:val="00450BE5"/>
    <w:rsid w:val="00450DD6"/>
    <w:rsid w:val="00450EBB"/>
    <w:rsid w:val="00450FF9"/>
    <w:rsid w:val="004511C3"/>
    <w:rsid w:val="00451288"/>
    <w:rsid w:val="0045137A"/>
    <w:rsid w:val="0045137F"/>
    <w:rsid w:val="0045167D"/>
    <w:rsid w:val="00451878"/>
    <w:rsid w:val="00451ABE"/>
    <w:rsid w:val="00451C0A"/>
    <w:rsid w:val="00451CB9"/>
    <w:rsid w:val="00451EF1"/>
    <w:rsid w:val="00451F6B"/>
    <w:rsid w:val="0045234A"/>
    <w:rsid w:val="004525A8"/>
    <w:rsid w:val="004525C7"/>
    <w:rsid w:val="00452756"/>
    <w:rsid w:val="0045289E"/>
    <w:rsid w:val="004528D0"/>
    <w:rsid w:val="004528D6"/>
    <w:rsid w:val="0045297E"/>
    <w:rsid w:val="0045320C"/>
    <w:rsid w:val="004532FD"/>
    <w:rsid w:val="00453724"/>
    <w:rsid w:val="0045384B"/>
    <w:rsid w:val="0045398F"/>
    <w:rsid w:val="00453FCA"/>
    <w:rsid w:val="00453FE7"/>
    <w:rsid w:val="0045416E"/>
    <w:rsid w:val="0045422D"/>
    <w:rsid w:val="0045423E"/>
    <w:rsid w:val="00454401"/>
    <w:rsid w:val="0045478A"/>
    <w:rsid w:val="004548AF"/>
    <w:rsid w:val="00454908"/>
    <w:rsid w:val="004549A2"/>
    <w:rsid w:val="00454DD3"/>
    <w:rsid w:val="00454F46"/>
    <w:rsid w:val="00455224"/>
    <w:rsid w:val="00455258"/>
    <w:rsid w:val="0045528D"/>
    <w:rsid w:val="00455F87"/>
    <w:rsid w:val="0045641E"/>
    <w:rsid w:val="004567FE"/>
    <w:rsid w:val="004568BE"/>
    <w:rsid w:val="00456932"/>
    <w:rsid w:val="004569DB"/>
    <w:rsid w:val="004570BD"/>
    <w:rsid w:val="0045712A"/>
    <w:rsid w:val="004571FF"/>
    <w:rsid w:val="0045736E"/>
    <w:rsid w:val="00457444"/>
    <w:rsid w:val="00457656"/>
    <w:rsid w:val="004576D9"/>
    <w:rsid w:val="004578D4"/>
    <w:rsid w:val="004579A7"/>
    <w:rsid w:val="00457A2E"/>
    <w:rsid w:val="00457B15"/>
    <w:rsid w:val="00457FF8"/>
    <w:rsid w:val="00460125"/>
    <w:rsid w:val="004608CF"/>
    <w:rsid w:val="00460935"/>
    <w:rsid w:val="00461089"/>
    <w:rsid w:val="00461162"/>
    <w:rsid w:val="004611BC"/>
    <w:rsid w:val="00461211"/>
    <w:rsid w:val="0046126F"/>
    <w:rsid w:val="00461380"/>
    <w:rsid w:val="0046143E"/>
    <w:rsid w:val="004614E9"/>
    <w:rsid w:val="00461633"/>
    <w:rsid w:val="0046165D"/>
    <w:rsid w:val="004617F6"/>
    <w:rsid w:val="00461804"/>
    <w:rsid w:val="004618ED"/>
    <w:rsid w:val="004619CF"/>
    <w:rsid w:val="00461F98"/>
    <w:rsid w:val="00462079"/>
    <w:rsid w:val="0046237D"/>
    <w:rsid w:val="004624F6"/>
    <w:rsid w:val="004625D2"/>
    <w:rsid w:val="004627D3"/>
    <w:rsid w:val="0046290F"/>
    <w:rsid w:val="0046296F"/>
    <w:rsid w:val="00462AB0"/>
    <w:rsid w:val="00462B5F"/>
    <w:rsid w:val="00462BEF"/>
    <w:rsid w:val="00462C67"/>
    <w:rsid w:val="00462FDD"/>
    <w:rsid w:val="00463081"/>
    <w:rsid w:val="0046321C"/>
    <w:rsid w:val="00463307"/>
    <w:rsid w:val="00463709"/>
    <w:rsid w:val="004638B3"/>
    <w:rsid w:val="004638B6"/>
    <w:rsid w:val="00463A8C"/>
    <w:rsid w:val="00463AD5"/>
    <w:rsid w:val="00463ADC"/>
    <w:rsid w:val="00463B6B"/>
    <w:rsid w:val="00463D9B"/>
    <w:rsid w:val="00463F65"/>
    <w:rsid w:val="004640D0"/>
    <w:rsid w:val="0046417B"/>
    <w:rsid w:val="00464313"/>
    <w:rsid w:val="00464382"/>
    <w:rsid w:val="004644CA"/>
    <w:rsid w:val="00464885"/>
    <w:rsid w:val="004649B0"/>
    <w:rsid w:val="00464E70"/>
    <w:rsid w:val="00464F98"/>
    <w:rsid w:val="00464F9C"/>
    <w:rsid w:val="004650AC"/>
    <w:rsid w:val="004656DB"/>
    <w:rsid w:val="004658EB"/>
    <w:rsid w:val="0046592E"/>
    <w:rsid w:val="0046596F"/>
    <w:rsid w:val="00465BDA"/>
    <w:rsid w:val="00465F6A"/>
    <w:rsid w:val="00466165"/>
    <w:rsid w:val="004665F7"/>
    <w:rsid w:val="00466687"/>
    <w:rsid w:val="00466702"/>
    <w:rsid w:val="00466810"/>
    <w:rsid w:val="0046681A"/>
    <w:rsid w:val="00466928"/>
    <w:rsid w:val="00466BEA"/>
    <w:rsid w:val="00466BFD"/>
    <w:rsid w:val="00466D12"/>
    <w:rsid w:val="00466DC1"/>
    <w:rsid w:val="00466EBA"/>
    <w:rsid w:val="00466EC3"/>
    <w:rsid w:val="0046726D"/>
    <w:rsid w:val="0046749D"/>
    <w:rsid w:val="004677E3"/>
    <w:rsid w:val="00467888"/>
    <w:rsid w:val="00467A42"/>
    <w:rsid w:val="00467AF5"/>
    <w:rsid w:val="00467B76"/>
    <w:rsid w:val="00467BE7"/>
    <w:rsid w:val="00467DA2"/>
    <w:rsid w:val="00467DDB"/>
    <w:rsid w:val="00467EA8"/>
    <w:rsid w:val="004700CD"/>
    <w:rsid w:val="0047015D"/>
    <w:rsid w:val="00470191"/>
    <w:rsid w:val="004706A5"/>
    <w:rsid w:val="004706B9"/>
    <w:rsid w:val="0047076C"/>
    <w:rsid w:val="00470831"/>
    <w:rsid w:val="00470AE2"/>
    <w:rsid w:val="00470F3D"/>
    <w:rsid w:val="00471185"/>
    <w:rsid w:val="004712C8"/>
    <w:rsid w:val="00471389"/>
    <w:rsid w:val="004714FD"/>
    <w:rsid w:val="004718FE"/>
    <w:rsid w:val="00471B03"/>
    <w:rsid w:val="00471D2B"/>
    <w:rsid w:val="00471F26"/>
    <w:rsid w:val="0047215E"/>
    <w:rsid w:val="004724C1"/>
    <w:rsid w:val="0047258A"/>
    <w:rsid w:val="00472699"/>
    <w:rsid w:val="00472938"/>
    <w:rsid w:val="0047299A"/>
    <w:rsid w:val="004729A7"/>
    <w:rsid w:val="00472A38"/>
    <w:rsid w:val="00472B98"/>
    <w:rsid w:val="004734F7"/>
    <w:rsid w:val="004735E2"/>
    <w:rsid w:val="0047377E"/>
    <w:rsid w:val="004737E8"/>
    <w:rsid w:val="00473961"/>
    <w:rsid w:val="00473AA2"/>
    <w:rsid w:val="00473AD0"/>
    <w:rsid w:val="00473BEA"/>
    <w:rsid w:val="00473F54"/>
    <w:rsid w:val="0047408D"/>
    <w:rsid w:val="0047430C"/>
    <w:rsid w:val="00474322"/>
    <w:rsid w:val="00474406"/>
    <w:rsid w:val="00474472"/>
    <w:rsid w:val="00474760"/>
    <w:rsid w:val="004747C0"/>
    <w:rsid w:val="00474998"/>
    <w:rsid w:val="00474A61"/>
    <w:rsid w:val="00474CB7"/>
    <w:rsid w:val="00474D87"/>
    <w:rsid w:val="00474DEB"/>
    <w:rsid w:val="00474F87"/>
    <w:rsid w:val="00475034"/>
    <w:rsid w:val="00475456"/>
    <w:rsid w:val="00475738"/>
    <w:rsid w:val="00475892"/>
    <w:rsid w:val="004758B9"/>
    <w:rsid w:val="0047592E"/>
    <w:rsid w:val="00475956"/>
    <w:rsid w:val="00475D57"/>
    <w:rsid w:val="00475D9B"/>
    <w:rsid w:val="004761BB"/>
    <w:rsid w:val="00476236"/>
    <w:rsid w:val="00476317"/>
    <w:rsid w:val="00476341"/>
    <w:rsid w:val="004767D1"/>
    <w:rsid w:val="0047686C"/>
    <w:rsid w:val="004768FD"/>
    <w:rsid w:val="00476CF4"/>
    <w:rsid w:val="00476FCD"/>
    <w:rsid w:val="00477224"/>
    <w:rsid w:val="004772EF"/>
    <w:rsid w:val="00477459"/>
    <w:rsid w:val="00477568"/>
    <w:rsid w:val="004776A3"/>
    <w:rsid w:val="0047784A"/>
    <w:rsid w:val="004778C3"/>
    <w:rsid w:val="00477961"/>
    <w:rsid w:val="0048026E"/>
    <w:rsid w:val="00480493"/>
    <w:rsid w:val="004804A8"/>
    <w:rsid w:val="004804DF"/>
    <w:rsid w:val="00480569"/>
    <w:rsid w:val="004806B3"/>
    <w:rsid w:val="00480B34"/>
    <w:rsid w:val="00481433"/>
    <w:rsid w:val="0048146A"/>
    <w:rsid w:val="004816B5"/>
    <w:rsid w:val="00481BB7"/>
    <w:rsid w:val="00481D61"/>
    <w:rsid w:val="00481F24"/>
    <w:rsid w:val="00482069"/>
    <w:rsid w:val="0048215C"/>
    <w:rsid w:val="00482202"/>
    <w:rsid w:val="004825C9"/>
    <w:rsid w:val="004826D0"/>
    <w:rsid w:val="004826F8"/>
    <w:rsid w:val="0048291C"/>
    <w:rsid w:val="0048291E"/>
    <w:rsid w:val="00482B79"/>
    <w:rsid w:val="00482CA0"/>
    <w:rsid w:val="00482CBC"/>
    <w:rsid w:val="00482D4F"/>
    <w:rsid w:val="00482F2A"/>
    <w:rsid w:val="00482F45"/>
    <w:rsid w:val="004833A5"/>
    <w:rsid w:val="00483442"/>
    <w:rsid w:val="0048367D"/>
    <w:rsid w:val="004838B5"/>
    <w:rsid w:val="00483D26"/>
    <w:rsid w:val="00483D45"/>
    <w:rsid w:val="00483DD2"/>
    <w:rsid w:val="00483F1C"/>
    <w:rsid w:val="004843EB"/>
    <w:rsid w:val="0048477B"/>
    <w:rsid w:val="00484B32"/>
    <w:rsid w:val="00484CD6"/>
    <w:rsid w:val="00484E20"/>
    <w:rsid w:val="00484FE6"/>
    <w:rsid w:val="004850AC"/>
    <w:rsid w:val="00485135"/>
    <w:rsid w:val="00485286"/>
    <w:rsid w:val="004852B4"/>
    <w:rsid w:val="004852BB"/>
    <w:rsid w:val="00485555"/>
    <w:rsid w:val="004859DD"/>
    <w:rsid w:val="00485B64"/>
    <w:rsid w:val="00485C9A"/>
    <w:rsid w:val="00485EF1"/>
    <w:rsid w:val="004860D3"/>
    <w:rsid w:val="004866E0"/>
    <w:rsid w:val="00486729"/>
    <w:rsid w:val="004867AE"/>
    <w:rsid w:val="0048699F"/>
    <w:rsid w:val="00486D82"/>
    <w:rsid w:val="00486FBE"/>
    <w:rsid w:val="00487106"/>
    <w:rsid w:val="0048738A"/>
    <w:rsid w:val="00487410"/>
    <w:rsid w:val="0048741B"/>
    <w:rsid w:val="0048759D"/>
    <w:rsid w:val="004878B0"/>
    <w:rsid w:val="00487D41"/>
    <w:rsid w:val="00487E59"/>
    <w:rsid w:val="00487F46"/>
    <w:rsid w:val="0049055B"/>
    <w:rsid w:val="00490692"/>
    <w:rsid w:val="004909C4"/>
    <w:rsid w:val="00490B09"/>
    <w:rsid w:val="00490BD7"/>
    <w:rsid w:val="00490CD2"/>
    <w:rsid w:val="00490EEC"/>
    <w:rsid w:val="00491019"/>
    <w:rsid w:val="0049111F"/>
    <w:rsid w:val="004912E5"/>
    <w:rsid w:val="00491C13"/>
    <w:rsid w:val="00491FF0"/>
    <w:rsid w:val="0049218C"/>
    <w:rsid w:val="00492200"/>
    <w:rsid w:val="00492249"/>
    <w:rsid w:val="00492287"/>
    <w:rsid w:val="00492480"/>
    <w:rsid w:val="004925BE"/>
    <w:rsid w:val="00492632"/>
    <w:rsid w:val="00492799"/>
    <w:rsid w:val="00492A8A"/>
    <w:rsid w:val="00492C71"/>
    <w:rsid w:val="00492CC7"/>
    <w:rsid w:val="00492EB2"/>
    <w:rsid w:val="00493464"/>
    <w:rsid w:val="0049382F"/>
    <w:rsid w:val="0049398F"/>
    <w:rsid w:val="00493A52"/>
    <w:rsid w:val="00493DA2"/>
    <w:rsid w:val="00494468"/>
    <w:rsid w:val="0049460E"/>
    <w:rsid w:val="004946DF"/>
    <w:rsid w:val="0049473F"/>
    <w:rsid w:val="004947AE"/>
    <w:rsid w:val="004949A5"/>
    <w:rsid w:val="00494BAB"/>
    <w:rsid w:val="00494DA2"/>
    <w:rsid w:val="00494DC6"/>
    <w:rsid w:val="00494E6F"/>
    <w:rsid w:val="00494F2E"/>
    <w:rsid w:val="00495054"/>
    <w:rsid w:val="004951ED"/>
    <w:rsid w:val="00495212"/>
    <w:rsid w:val="0049583D"/>
    <w:rsid w:val="004958FA"/>
    <w:rsid w:val="00495A8D"/>
    <w:rsid w:val="00495D2E"/>
    <w:rsid w:val="00495D69"/>
    <w:rsid w:val="00495DB2"/>
    <w:rsid w:val="004960D0"/>
    <w:rsid w:val="00496232"/>
    <w:rsid w:val="004962E0"/>
    <w:rsid w:val="00496666"/>
    <w:rsid w:val="00496684"/>
    <w:rsid w:val="00496919"/>
    <w:rsid w:val="00496CC8"/>
    <w:rsid w:val="00496FF5"/>
    <w:rsid w:val="004973E2"/>
    <w:rsid w:val="0049749C"/>
    <w:rsid w:val="00497713"/>
    <w:rsid w:val="00497896"/>
    <w:rsid w:val="00497B27"/>
    <w:rsid w:val="00497F50"/>
    <w:rsid w:val="004A01EF"/>
    <w:rsid w:val="004A0797"/>
    <w:rsid w:val="004A09B1"/>
    <w:rsid w:val="004A0C87"/>
    <w:rsid w:val="004A0EE8"/>
    <w:rsid w:val="004A0F20"/>
    <w:rsid w:val="004A0FD2"/>
    <w:rsid w:val="004A1534"/>
    <w:rsid w:val="004A1AE6"/>
    <w:rsid w:val="004A1B1A"/>
    <w:rsid w:val="004A1B4D"/>
    <w:rsid w:val="004A1B6C"/>
    <w:rsid w:val="004A1CFB"/>
    <w:rsid w:val="004A1D58"/>
    <w:rsid w:val="004A1D81"/>
    <w:rsid w:val="004A20C9"/>
    <w:rsid w:val="004A21F0"/>
    <w:rsid w:val="004A222E"/>
    <w:rsid w:val="004A245A"/>
    <w:rsid w:val="004A2906"/>
    <w:rsid w:val="004A2BB2"/>
    <w:rsid w:val="004A2EFE"/>
    <w:rsid w:val="004A32DF"/>
    <w:rsid w:val="004A359D"/>
    <w:rsid w:val="004A375A"/>
    <w:rsid w:val="004A3C20"/>
    <w:rsid w:val="004A4044"/>
    <w:rsid w:val="004A40E7"/>
    <w:rsid w:val="004A43B8"/>
    <w:rsid w:val="004A45B1"/>
    <w:rsid w:val="004A489E"/>
    <w:rsid w:val="004A48BB"/>
    <w:rsid w:val="004A4A19"/>
    <w:rsid w:val="004A4B56"/>
    <w:rsid w:val="004A4B6F"/>
    <w:rsid w:val="004A50BE"/>
    <w:rsid w:val="004A5172"/>
    <w:rsid w:val="004A51EC"/>
    <w:rsid w:val="004A5208"/>
    <w:rsid w:val="004A53E7"/>
    <w:rsid w:val="004A5428"/>
    <w:rsid w:val="004A5634"/>
    <w:rsid w:val="004A57C1"/>
    <w:rsid w:val="004A58DD"/>
    <w:rsid w:val="004A59FE"/>
    <w:rsid w:val="004A5E1E"/>
    <w:rsid w:val="004A5F5A"/>
    <w:rsid w:val="004A6020"/>
    <w:rsid w:val="004A6119"/>
    <w:rsid w:val="004A65D4"/>
    <w:rsid w:val="004A66D7"/>
    <w:rsid w:val="004A6861"/>
    <w:rsid w:val="004A68ED"/>
    <w:rsid w:val="004A6974"/>
    <w:rsid w:val="004A6B66"/>
    <w:rsid w:val="004A6D72"/>
    <w:rsid w:val="004A7372"/>
    <w:rsid w:val="004A73FF"/>
    <w:rsid w:val="004A7A10"/>
    <w:rsid w:val="004A7B37"/>
    <w:rsid w:val="004A7E70"/>
    <w:rsid w:val="004B00B3"/>
    <w:rsid w:val="004B0180"/>
    <w:rsid w:val="004B01E3"/>
    <w:rsid w:val="004B022B"/>
    <w:rsid w:val="004B03EF"/>
    <w:rsid w:val="004B07E9"/>
    <w:rsid w:val="004B084B"/>
    <w:rsid w:val="004B0881"/>
    <w:rsid w:val="004B0A7B"/>
    <w:rsid w:val="004B0ADC"/>
    <w:rsid w:val="004B0BD5"/>
    <w:rsid w:val="004B0E0F"/>
    <w:rsid w:val="004B0F05"/>
    <w:rsid w:val="004B1047"/>
    <w:rsid w:val="004B1073"/>
    <w:rsid w:val="004B12DC"/>
    <w:rsid w:val="004B1633"/>
    <w:rsid w:val="004B178D"/>
    <w:rsid w:val="004B18A6"/>
    <w:rsid w:val="004B1AB2"/>
    <w:rsid w:val="004B1D11"/>
    <w:rsid w:val="004B1FA7"/>
    <w:rsid w:val="004B26DF"/>
    <w:rsid w:val="004B278D"/>
    <w:rsid w:val="004B2A44"/>
    <w:rsid w:val="004B2BBC"/>
    <w:rsid w:val="004B2C02"/>
    <w:rsid w:val="004B2F2A"/>
    <w:rsid w:val="004B31AA"/>
    <w:rsid w:val="004B333A"/>
    <w:rsid w:val="004B33C4"/>
    <w:rsid w:val="004B346F"/>
    <w:rsid w:val="004B3757"/>
    <w:rsid w:val="004B37DA"/>
    <w:rsid w:val="004B39B7"/>
    <w:rsid w:val="004B39CD"/>
    <w:rsid w:val="004B3B36"/>
    <w:rsid w:val="004B3BE9"/>
    <w:rsid w:val="004B3C2A"/>
    <w:rsid w:val="004B3D02"/>
    <w:rsid w:val="004B3FF5"/>
    <w:rsid w:val="004B4042"/>
    <w:rsid w:val="004B4232"/>
    <w:rsid w:val="004B4552"/>
    <w:rsid w:val="004B47DC"/>
    <w:rsid w:val="004B4CB9"/>
    <w:rsid w:val="004B4E2C"/>
    <w:rsid w:val="004B5016"/>
    <w:rsid w:val="004B52DF"/>
    <w:rsid w:val="004B5325"/>
    <w:rsid w:val="004B57D0"/>
    <w:rsid w:val="004B5B57"/>
    <w:rsid w:val="004B5DA0"/>
    <w:rsid w:val="004B5E34"/>
    <w:rsid w:val="004B5E35"/>
    <w:rsid w:val="004B5EE2"/>
    <w:rsid w:val="004B5F92"/>
    <w:rsid w:val="004B62C4"/>
    <w:rsid w:val="004B685B"/>
    <w:rsid w:val="004B68E0"/>
    <w:rsid w:val="004B69EF"/>
    <w:rsid w:val="004B6AB8"/>
    <w:rsid w:val="004B6ADC"/>
    <w:rsid w:val="004B6BEE"/>
    <w:rsid w:val="004B6C79"/>
    <w:rsid w:val="004B6C7A"/>
    <w:rsid w:val="004B6C7B"/>
    <w:rsid w:val="004B6D40"/>
    <w:rsid w:val="004B6D9C"/>
    <w:rsid w:val="004B7051"/>
    <w:rsid w:val="004B70F5"/>
    <w:rsid w:val="004B782F"/>
    <w:rsid w:val="004B79B8"/>
    <w:rsid w:val="004B7CC3"/>
    <w:rsid w:val="004B7CE6"/>
    <w:rsid w:val="004B7F25"/>
    <w:rsid w:val="004C019B"/>
    <w:rsid w:val="004C0349"/>
    <w:rsid w:val="004C036A"/>
    <w:rsid w:val="004C04F1"/>
    <w:rsid w:val="004C0532"/>
    <w:rsid w:val="004C06EE"/>
    <w:rsid w:val="004C0A0B"/>
    <w:rsid w:val="004C0A20"/>
    <w:rsid w:val="004C0A31"/>
    <w:rsid w:val="004C1130"/>
    <w:rsid w:val="004C118D"/>
    <w:rsid w:val="004C12C9"/>
    <w:rsid w:val="004C152D"/>
    <w:rsid w:val="004C16BF"/>
    <w:rsid w:val="004C1B2D"/>
    <w:rsid w:val="004C1BFC"/>
    <w:rsid w:val="004C1D71"/>
    <w:rsid w:val="004C1D9D"/>
    <w:rsid w:val="004C1E6F"/>
    <w:rsid w:val="004C234C"/>
    <w:rsid w:val="004C25A8"/>
    <w:rsid w:val="004C267F"/>
    <w:rsid w:val="004C2850"/>
    <w:rsid w:val="004C2A89"/>
    <w:rsid w:val="004C2B5A"/>
    <w:rsid w:val="004C2BF6"/>
    <w:rsid w:val="004C2E85"/>
    <w:rsid w:val="004C307C"/>
    <w:rsid w:val="004C30F5"/>
    <w:rsid w:val="004C314D"/>
    <w:rsid w:val="004C3527"/>
    <w:rsid w:val="004C3873"/>
    <w:rsid w:val="004C3958"/>
    <w:rsid w:val="004C3AB5"/>
    <w:rsid w:val="004C3BBE"/>
    <w:rsid w:val="004C3E67"/>
    <w:rsid w:val="004C40AF"/>
    <w:rsid w:val="004C40B5"/>
    <w:rsid w:val="004C4378"/>
    <w:rsid w:val="004C475D"/>
    <w:rsid w:val="004C4A40"/>
    <w:rsid w:val="004C4DCD"/>
    <w:rsid w:val="004C4F85"/>
    <w:rsid w:val="004C509C"/>
    <w:rsid w:val="004C50C6"/>
    <w:rsid w:val="004C512E"/>
    <w:rsid w:val="004C545E"/>
    <w:rsid w:val="004C57BB"/>
    <w:rsid w:val="004C5AE7"/>
    <w:rsid w:val="004C5B65"/>
    <w:rsid w:val="004C5BE5"/>
    <w:rsid w:val="004C5D9D"/>
    <w:rsid w:val="004C5EB3"/>
    <w:rsid w:val="004C5F12"/>
    <w:rsid w:val="004C5F65"/>
    <w:rsid w:val="004C609F"/>
    <w:rsid w:val="004C622E"/>
    <w:rsid w:val="004C6300"/>
    <w:rsid w:val="004C662D"/>
    <w:rsid w:val="004C67D9"/>
    <w:rsid w:val="004C69EE"/>
    <w:rsid w:val="004C6B41"/>
    <w:rsid w:val="004C6C43"/>
    <w:rsid w:val="004C6C5E"/>
    <w:rsid w:val="004C6DC3"/>
    <w:rsid w:val="004C6E8A"/>
    <w:rsid w:val="004C71C8"/>
    <w:rsid w:val="004C78F6"/>
    <w:rsid w:val="004C78FF"/>
    <w:rsid w:val="004C7A14"/>
    <w:rsid w:val="004D05C6"/>
    <w:rsid w:val="004D060E"/>
    <w:rsid w:val="004D0619"/>
    <w:rsid w:val="004D084C"/>
    <w:rsid w:val="004D0961"/>
    <w:rsid w:val="004D0A35"/>
    <w:rsid w:val="004D0A7C"/>
    <w:rsid w:val="004D0AFF"/>
    <w:rsid w:val="004D0C95"/>
    <w:rsid w:val="004D10F0"/>
    <w:rsid w:val="004D1494"/>
    <w:rsid w:val="004D155F"/>
    <w:rsid w:val="004D169F"/>
    <w:rsid w:val="004D170A"/>
    <w:rsid w:val="004D1A18"/>
    <w:rsid w:val="004D1A9B"/>
    <w:rsid w:val="004D1AD2"/>
    <w:rsid w:val="004D1B73"/>
    <w:rsid w:val="004D204F"/>
    <w:rsid w:val="004D2743"/>
    <w:rsid w:val="004D27AE"/>
    <w:rsid w:val="004D2CD5"/>
    <w:rsid w:val="004D2CDA"/>
    <w:rsid w:val="004D3001"/>
    <w:rsid w:val="004D322A"/>
    <w:rsid w:val="004D332E"/>
    <w:rsid w:val="004D346B"/>
    <w:rsid w:val="004D3833"/>
    <w:rsid w:val="004D3837"/>
    <w:rsid w:val="004D3B7D"/>
    <w:rsid w:val="004D3BB9"/>
    <w:rsid w:val="004D3D4C"/>
    <w:rsid w:val="004D3EDF"/>
    <w:rsid w:val="004D4376"/>
    <w:rsid w:val="004D4384"/>
    <w:rsid w:val="004D4704"/>
    <w:rsid w:val="004D48B7"/>
    <w:rsid w:val="004D4F03"/>
    <w:rsid w:val="004D4F23"/>
    <w:rsid w:val="004D5083"/>
    <w:rsid w:val="004D5320"/>
    <w:rsid w:val="004D541A"/>
    <w:rsid w:val="004D57E2"/>
    <w:rsid w:val="004D59BC"/>
    <w:rsid w:val="004D59D2"/>
    <w:rsid w:val="004D5B52"/>
    <w:rsid w:val="004D5B7B"/>
    <w:rsid w:val="004D5D35"/>
    <w:rsid w:val="004D5E62"/>
    <w:rsid w:val="004D60C4"/>
    <w:rsid w:val="004D629C"/>
    <w:rsid w:val="004D6AD8"/>
    <w:rsid w:val="004D6AFF"/>
    <w:rsid w:val="004D6C3E"/>
    <w:rsid w:val="004D6D33"/>
    <w:rsid w:val="004D6F6E"/>
    <w:rsid w:val="004D7084"/>
    <w:rsid w:val="004D7146"/>
    <w:rsid w:val="004D7344"/>
    <w:rsid w:val="004D740E"/>
    <w:rsid w:val="004D7523"/>
    <w:rsid w:val="004D76B2"/>
    <w:rsid w:val="004D783C"/>
    <w:rsid w:val="004D79B4"/>
    <w:rsid w:val="004D7EC5"/>
    <w:rsid w:val="004E0017"/>
    <w:rsid w:val="004E0070"/>
    <w:rsid w:val="004E04D0"/>
    <w:rsid w:val="004E05AA"/>
    <w:rsid w:val="004E07FF"/>
    <w:rsid w:val="004E0CA5"/>
    <w:rsid w:val="004E163D"/>
    <w:rsid w:val="004E17E8"/>
    <w:rsid w:val="004E1875"/>
    <w:rsid w:val="004E18BF"/>
    <w:rsid w:val="004E1A71"/>
    <w:rsid w:val="004E1E43"/>
    <w:rsid w:val="004E2555"/>
    <w:rsid w:val="004E2592"/>
    <w:rsid w:val="004E2832"/>
    <w:rsid w:val="004E2A79"/>
    <w:rsid w:val="004E322F"/>
    <w:rsid w:val="004E33E8"/>
    <w:rsid w:val="004E3404"/>
    <w:rsid w:val="004E3CAF"/>
    <w:rsid w:val="004E3CC1"/>
    <w:rsid w:val="004E3E11"/>
    <w:rsid w:val="004E424D"/>
    <w:rsid w:val="004E4358"/>
    <w:rsid w:val="004E4714"/>
    <w:rsid w:val="004E4860"/>
    <w:rsid w:val="004E48D6"/>
    <w:rsid w:val="004E49F6"/>
    <w:rsid w:val="004E4AB5"/>
    <w:rsid w:val="004E4B6D"/>
    <w:rsid w:val="004E509C"/>
    <w:rsid w:val="004E510C"/>
    <w:rsid w:val="004E538B"/>
    <w:rsid w:val="004E5624"/>
    <w:rsid w:val="004E5793"/>
    <w:rsid w:val="004E57F4"/>
    <w:rsid w:val="004E59B8"/>
    <w:rsid w:val="004E5AA6"/>
    <w:rsid w:val="004E5AD5"/>
    <w:rsid w:val="004E5B9D"/>
    <w:rsid w:val="004E5C28"/>
    <w:rsid w:val="004E5C76"/>
    <w:rsid w:val="004E630F"/>
    <w:rsid w:val="004E6390"/>
    <w:rsid w:val="004E63DE"/>
    <w:rsid w:val="004E64FB"/>
    <w:rsid w:val="004E6590"/>
    <w:rsid w:val="004E65FC"/>
    <w:rsid w:val="004E675E"/>
    <w:rsid w:val="004E69C9"/>
    <w:rsid w:val="004E6B5F"/>
    <w:rsid w:val="004E6B73"/>
    <w:rsid w:val="004E6DFA"/>
    <w:rsid w:val="004E7089"/>
    <w:rsid w:val="004E7254"/>
    <w:rsid w:val="004E7531"/>
    <w:rsid w:val="004E75B3"/>
    <w:rsid w:val="004E7652"/>
    <w:rsid w:val="004E783E"/>
    <w:rsid w:val="004E791F"/>
    <w:rsid w:val="004E7BFF"/>
    <w:rsid w:val="004E7E32"/>
    <w:rsid w:val="004F011C"/>
    <w:rsid w:val="004F0182"/>
    <w:rsid w:val="004F0230"/>
    <w:rsid w:val="004F04BA"/>
    <w:rsid w:val="004F04E9"/>
    <w:rsid w:val="004F0A79"/>
    <w:rsid w:val="004F0C85"/>
    <w:rsid w:val="004F0EFF"/>
    <w:rsid w:val="004F101C"/>
    <w:rsid w:val="004F127A"/>
    <w:rsid w:val="004F1316"/>
    <w:rsid w:val="004F17E1"/>
    <w:rsid w:val="004F181A"/>
    <w:rsid w:val="004F1996"/>
    <w:rsid w:val="004F1C1E"/>
    <w:rsid w:val="004F1D00"/>
    <w:rsid w:val="004F1D47"/>
    <w:rsid w:val="004F1E0B"/>
    <w:rsid w:val="004F1E4D"/>
    <w:rsid w:val="004F218B"/>
    <w:rsid w:val="004F21E1"/>
    <w:rsid w:val="004F252C"/>
    <w:rsid w:val="004F257D"/>
    <w:rsid w:val="004F2618"/>
    <w:rsid w:val="004F2827"/>
    <w:rsid w:val="004F2ABD"/>
    <w:rsid w:val="004F2E06"/>
    <w:rsid w:val="004F2F45"/>
    <w:rsid w:val="004F2FBD"/>
    <w:rsid w:val="004F33A6"/>
    <w:rsid w:val="004F34A0"/>
    <w:rsid w:val="004F34A4"/>
    <w:rsid w:val="004F353B"/>
    <w:rsid w:val="004F3674"/>
    <w:rsid w:val="004F36A1"/>
    <w:rsid w:val="004F3C0F"/>
    <w:rsid w:val="004F3C6C"/>
    <w:rsid w:val="004F3C7D"/>
    <w:rsid w:val="004F3C92"/>
    <w:rsid w:val="004F3D53"/>
    <w:rsid w:val="004F3E59"/>
    <w:rsid w:val="004F3ED3"/>
    <w:rsid w:val="004F3F67"/>
    <w:rsid w:val="004F3FAA"/>
    <w:rsid w:val="004F4110"/>
    <w:rsid w:val="004F4161"/>
    <w:rsid w:val="004F4316"/>
    <w:rsid w:val="004F4330"/>
    <w:rsid w:val="004F4421"/>
    <w:rsid w:val="004F4468"/>
    <w:rsid w:val="004F459A"/>
    <w:rsid w:val="004F4664"/>
    <w:rsid w:val="004F467D"/>
    <w:rsid w:val="004F49B0"/>
    <w:rsid w:val="004F4BC5"/>
    <w:rsid w:val="004F4F36"/>
    <w:rsid w:val="004F5480"/>
    <w:rsid w:val="004F5A32"/>
    <w:rsid w:val="004F5B25"/>
    <w:rsid w:val="004F5CB9"/>
    <w:rsid w:val="004F5DA7"/>
    <w:rsid w:val="004F60A4"/>
    <w:rsid w:val="004F60AE"/>
    <w:rsid w:val="004F6854"/>
    <w:rsid w:val="004F68AD"/>
    <w:rsid w:val="004F6917"/>
    <w:rsid w:val="004F6BE6"/>
    <w:rsid w:val="004F705A"/>
    <w:rsid w:val="004F7150"/>
    <w:rsid w:val="004F73C9"/>
    <w:rsid w:val="004F74A3"/>
    <w:rsid w:val="004F75F3"/>
    <w:rsid w:val="004F76DE"/>
    <w:rsid w:val="004F7ABD"/>
    <w:rsid w:val="004F7CE7"/>
    <w:rsid w:val="0050048D"/>
    <w:rsid w:val="00500687"/>
    <w:rsid w:val="005008B4"/>
    <w:rsid w:val="0050093F"/>
    <w:rsid w:val="00500BBC"/>
    <w:rsid w:val="00500C68"/>
    <w:rsid w:val="00500F8F"/>
    <w:rsid w:val="00501264"/>
    <w:rsid w:val="00501A3B"/>
    <w:rsid w:val="00501B9F"/>
    <w:rsid w:val="00501C30"/>
    <w:rsid w:val="00501FF5"/>
    <w:rsid w:val="005021F1"/>
    <w:rsid w:val="005023B7"/>
    <w:rsid w:val="005025DA"/>
    <w:rsid w:val="005026E7"/>
    <w:rsid w:val="005027F2"/>
    <w:rsid w:val="00502DDB"/>
    <w:rsid w:val="00502EFB"/>
    <w:rsid w:val="00503115"/>
    <w:rsid w:val="0050324C"/>
    <w:rsid w:val="00503557"/>
    <w:rsid w:val="005035BC"/>
    <w:rsid w:val="005035C2"/>
    <w:rsid w:val="005035F7"/>
    <w:rsid w:val="0050361F"/>
    <w:rsid w:val="0050370C"/>
    <w:rsid w:val="00503F02"/>
    <w:rsid w:val="00503FB8"/>
    <w:rsid w:val="005041EB"/>
    <w:rsid w:val="005044D1"/>
    <w:rsid w:val="00504724"/>
    <w:rsid w:val="005048C0"/>
    <w:rsid w:val="005049A8"/>
    <w:rsid w:val="00504AC5"/>
    <w:rsid w:val="00504B33"/>
    <w:rsid w:val="00504E88"/>
    <w:rsid w:val="00504FF3"/>
    <w:rsid w:val="00505025"/>
    <w:rsid w:val="005055E2"/>
    <w:rsid w:val="00505991"/>
    <w:rsid w:val="00505B6A"/>
    <w:rsid w:val="00505C05"/>
    <w:rsid w:val="00505CF2"/>
    <w:rsid w:val="00505E6D"/>
    <w:rsid w:val="005060A5"/>
    <w:rsid w:val="00506157"/>
    <w:rsid w:val="00506638"/>
    <w:rsid w:val="00506A2C"/>
    <w:rsid w:val="00506AA2"/>
    <w:rsid w:val="00506C94"/>
    <w:rsid w:val="00506E52"/>
    <w:rsid w:val="00506F5B"/>
    <w:rsid w:val="00506F90"/>
    <w:rsid w:val="00507119"/>
    <w:rsid w:val="005072C5"/>
    <w:rsid w:val="005072F2"/>
    <w:rsid w:val="005073A9"/>
    <w:rsid w:val="00507740"/>
    <w:rsid w:val="0050779D"/>
    <w:rsid w:val="0050780A"/>
    <w:rsid w:val="0050798B"/>
    <w:rsid w:val="005079AA"/>
    <w:rsid w:val="00507AC6"/>
    <w:rsid w:val="00507BE0"/>
    <w:rsid w:val="00507E34"/>
    <w:rsid w:val="00507E3C"/>
    <w:rsid w:val="00507E4F"/>
    <w:rsid w:val="00510156"/>
    <w:rsid w:val="00510191"/>
    <w:rsid w:val="0051047D"/>
    <w:rsid w:val="005104AF"/>
    <w:rsid w:val="005104FB"/>
    <w:rsid w:val="00510522"/>
    <w:rsid w:val="00510D2D"/>
    <w:rsid w:val="00510D8C"/>
    <w:rsid w:val="00510FE6"/>
    <w:rsid w:val="005112D2"/>
    <w:rsid w:val="00511533"/>
    <w:rsid w:val="00511754"/>
    <w:rsid w:val="00511A3F"/>
    <w:rsid w:val="00511C3F"/>
    <w:rsid w:val="00511C43"/>
    <w:rsid w:val="00512396"/>
    <w:rsid w:val="005127AB"/>
    <w:rsid w:val="0051289B"/>
    <w:rsid w:val="005128BC"/>
    <w:rsid w:val="0051295E"/>
    <w:rsid w:val="00512A34"/>
    <w:rsid w:val="00512B8D"/>
    <w:rsid w:val="00512EA9"/>
    <w:rsid w:val="00513072"/>
    <w:rsid w:val="0051308F"/>
    <w:rsid w:val="00513196"/>
    <w:rsid w:val="00513389"/>
    <w:rsid w:val="005133F0"/>
    <w:rsid w:val="00513418"/>
    <w:rsid w:val="0051379A"/>
    <w:rsid w:val="00513880"/>
    <w:rsid w:val="00513FD2"/>
    <w:rsid w:val="00514313"/>
    <w:rsid w:val="0051439E"/>
    <w:rsid w:val="005145CE"/>
    <w:rsid w:val="0051463A"/>
    <w:rsid w:val="005146D0"/>
    <w:rsid w:val="00514788"/>
    <w:rsid w:val="005148B1"/>
    <w:rsid w:val="00514C81"/>
    <w:rsid w:val="00514DBA"/>
    <w:rsid w:val="00514E5A"/>
    <w:rsid w:val="00514FB5"/>
    <w:rsid w:val="0051517E"/>
    <w:rsid w:val="00515956"/>
    <w:rsid w:val="00515A2B"/>
    <w:rsid w:val="00515DDF"/>
    <w:rsid w:val="00515EB9"/>
    <w:rsid w:val="00516143"/>
    <w:rsid w:val="00516227"/>
    <w:rsid w:val="005162B0"/>
    <w:rsid w:val="00516542"/>
    <w:rsid w:val="005165F4"/>
    <w:rsid w:val="005167AA"/>
    <w:rsid w:val="005168EF"/>
    <w:rsid w:val="005168F7"/>
    <w:rsid w:val="00516938"/>
    <w:rsid w:val="0051696A"/>
    <w:rsid w:val="00516CB0"/>
    <w:rsid w:val="00516E62"/>
    <w:rsid w:val="00516F78"/>
    <w:rsid w:val="00517184"/>
    <w:rsid w:val="005173F2"/>
    <w:rsid w:val="005173F4"/>
    <w:rsid w:val="0051756B"/>
    <w:rsid w:val="00517AE7"/>
    <w:rsid w:val="00517B37"/>
    <w:rsid w:val="00517B78"/>
    <w:rsid w:val="00520110"/>
    <w:rsid w:val="00521029"/>
    <w:rsid w:val="005211D4"/>
    <w:rsid w:val="00521536"/>
    <w:rsid w:val="005216CA"/>
    <w:rsid w:val="0052191A"/>
    <w:rsid w:val="00521D87"/>
    <w:rsid w:val="0052261A"/>
    <w:rsid w:val="005227C1"/>
    <w:rsid w:val="00522B96"/>
    <w:rsid w:val="00522C13"/>
    <w:rsid w:val="00522ED8"/>
    <w:rsid w:val="00522EDE"/>
    <w:rsid w:val="00522F91"/>
    <w:rsid w:val="005231C9"/>
    <w:rsid w:val="0052320C"/>
    <w:rsid w:val="00523579"/>
    <w:rsid w:val="00523A41"/>
    <w:rsid w:val="00523DC3"/>
    <w:rsid w:val="00524318"/>
    <w:rsid w:val="0052477A"/>
    <w:rsid w:val="005247DE"/>
    <w:rsid w:val="005248C7"/>
    <w:rsid w:val="0052499A"/>
    <w:rsid w:val="005249B9"/>
    <w:rsid w:val="00524A70"/>
    <w:rsid w:val="00524AA9"/>
    <w:rsid w:val="00524B77"/>
    <w:rsid w:val="00524C6E"/>
    <w:rsid w:val="00524DFB"/>
    <w:rsid w:val="00524EA7"/>
    <w:rsid w:val="0052538A"/>
    <w:rsid w:val="00525420"/>
    <w:rsid w:val="0052567E"/>
    <w:rsid w:val="005256FF"/>
    <w:rsid w:val="00525DF5"/>
    <w:rsid w:val="00525EBD"/>
    <w:rsid w:val="00525F87"/>
    <w:rsid w:val="005261ED"/>
    <w:rsid w:val="00526490"/>
    <w:rsid w:val="00526597"/>
    <w:rsid w:val="005266DF"/>
    <w:rsid w:val="005267AC"/>
    <w:rsid w:val="00526B0E"/>
    <w:rsid w:val="00526D66"/>
    <w:rsid w:val="00526D9A"/>
    <w:rsid w:val="00526E08"/>
    <w:rsid w:val="0052709B"/>
    <w:rsid w:val="00527305"/>
    <w:rsid w:val="00527416"/>
    <w:rsid w:val="0052750D"/>
    <w:rsid w:val="00527521"/>
    <w:rsid w:val="0052772E"/>
    <w:rsid w:val="005277BB"/>
    <w:rsid w:val="005277DA"/>
    <w:rsid w:val="00527817"/>
    <w:rsid w:val="0052787E"/>
    <w:rsid w:val="0052797A"/>
    <w:rsid w:val="00527F05"/>
    <w:rsid w:val="00527FF2"/>
    <w:rsid w:val="0053004F"/>
    <w:rsid w:val="00530241"/>
    <w:rsid w:val="005302B9"/>
    <w:rsid w:val="00530344"/>
    <w:rsid w:val="00530354"/>
    <w:rsid w:val="00530390"/>
    <w:rsid w:val="0053040D"/>
    <w:rsid w:val="00530422"/>
    <w:rsid w:val="00530696"/>
    <w:rsid w:val="00530A00"/>
    <w:rsid w:val="00530A40"/>
    <w:rsid w:val="00530A67"/>
    <w:rsid w:val="00530A97"/>
    <w:rsid w:val="00530FBA"/>
    <w:rsid w:val="005313AB"/>
    <w:rsid w:val="005313C9"/>
    <w:rsid w:val="00531908"/>
    <w:rsid w:val="00531A67"/>
    <w:rsid w:val="00531AE7"/>
    <w:rsid w:val="005320BA"/>
    <w:rsid w:val="005320BD"/>
    <w:rsid w:val="005321E8"/>
    <w:rsid w:val="00532783"/>
    <w:rsid w:val="0053286C"/>
    <w:rsid w:val="0053289A"/>
    <w:rsid w:val="00532A54"/>
    <w:rsid w:val="00532DA1"/>
    <w:rsid w:val="00532DB0"/>
    <w:rsid w:val="00532FD7"/>
    <w:rsid w:val="0053316F"/>
    <w:rsid w:val="005331CA"/>
    <w:rsid w:val="00533210"/>
    <w:rsid w:val="00533627"/>
    <w:rsid w:val="005336F2"/>
    <w:rsid w:val="0053373D"/>
    <w:rsid w:val="005339C0"/>
    <w:rsid w:val="00533A1E"/>
    <w:rsid w:val="00533EE9"/>
    <w:rsid w:val="00533FB5"/>
    <w:rsid w:val="00533FEE"/>
    <w:rsid w:val="00534553"/>
    <w:rsid w:val="00534637"/>
    <w:rsid w:val="0053487B"/>
    <w:rsid w:val="0053490A"/>
    <w:rsid w:val="00534ABA"/>
    <w:rsid w:val="00534BC9"/>
    <w:rsid w:val="00534ECB"/>
    <w:rsid w:val="00534F4D"/>
    <w:rsid w:val="00535036"/>
    <w:rsid w:val="0053507D"/>
    <w:rsid w:val="00535224"/>
    <w:rsid w:val="0053531B"/>
    <w:rsid w:val="005353B0"/>
    <w:rsid w:val="005353CB"/>
    <w:rsid w:val="0053560D"/>
    <w:rsid w:val="00535B94"/>
    <w:rsid w:val="00535BF5"/>
    <w:rsid w:val="00535D5F"/>
    <w:rsid w:val="00535E24"/>
    <w:rsid w:val="005361CB"/>
    <w:rsid w:val="0053640C"/>
    <w:rsid w:val="0053678B"/>
    <w:rsid w:val="005368AB"/>
    <w:rsid w:val="0053690C"/>
    <w:rsid w:val="00536AC9"/>
    <w:rsid w:val="00536D76"/>
    <w:rsid w:val="00536DA6"/>
    <w:rsid w:val="00536F21"/>
    <w:rsid w:val="00536FF5"/>
    <w:rsid w:val="0053701A"/>
    <w:rsid w:val="005370BD"/>
    <w:rsid w:val="005374E8"/>
    <w:rsid w:val="0053761A"/>
    <w:rsid w:val="00537640"/>
    <w:rsid w:val="00537790"/>
    <w:rsid w:val="005377A8"/>
    <w:rsid w:val="00537B85"/>
    <w:rsid w:val="00537D83"/>
    <w:rsid w:val="00537E6A"/>
    <w:rsid w:val="00537EDF"/>
    <w:rsid w:val="0054009B"/>
    <w:rsid w:val="00540282"/>
    <w:rsid w:val="00540584"/>
    <w:rsid w:val="00540AD1"/>
    <w:rsid w:val="00540BE3"/>
    <w:rsid w:val="00540EA3"/>
    <w:rsid w:val="00541023"/>
    <w:rsid w:val="00541146"/>
    <w:rsid w:val="00541190"/>
    <w:rsid w:val="00541402"/>
    <w:rsid w:val="00541708"/>
    <w:rsid w:val="00541829"/>
    <w:rsid w:val="005418A5"/>
    <w:rsid w:val="00541CD0"/>
    <w:rsid w:val="00541E41"/>
    <w:rsid w:val="00541E95"/>
    <w:rsid w:val="00542007"/>
    <w:rsid w:val="0054221E"/>
    <w:rsid w:val="005422EC"/>
    <w:rsid w:val="00542308"/>
    <w:rsid w:val="005425AF"/>
    <w:rsid w:val="005426CD"/>
    <w:rsid w:val="00542748"/>
    <w:rsid w:val="00542938"/>
    <w:rsid w:val="00542AFF"/>
    <w:rsid w:val="00542C07"/>
    <w:rsid w:val="00542CBF"/>
    <w:rsid w:val="00542CE9"/>
    <w:rsid w:val="00542D62"/>
    <w:rsid w:val="00542DBB"/>
    <w:rsid w:val="00542DCA"/>
    <w:rsid w:val="00542E60"/>
    <w:rsid w:val="00543349"/>
    <w:rsid w:val="005436CA"/>
    <w:rsid w:val="0054371B"/>
    <w:rsid w:val="005438A7"/>
    <w:rsid w:val="00543A92"/>
    <w:rsid w:val="00543D5E"/>
    <w:rsid w:val="00543FB8"/>
    <w:rsid w:val="0054403C"/>
    <w:rsid w:val="00544219"/>
    <w:rsid w:val="00544221"/>
    <w:rsid w:val="0054424B"/>
    <w:rsid w:val="005445F6"/>
    <w:rsid w:val="0054498F"/>
    <w:rsid w:val="00544AFC"/>
    <w:rsid w:val="00544E72"/>
    <w:rsid w:val="00544EDB"/>
    <w:rsid w:val="005452EF"/>
    <w:rsid w:val="00545396"/>
    <w:rsid w:val="00545417"/>
    <w:rsid w:val="00545559"/>
    <w:rsid w:val="00545916"/>
    <w:rsid w:val="00545ADF"/>
    <w:rsid w:val="00545AFD"/>
    <w:rsid w:val="00545C75"/>
    <w:rsid w:val="00545CBE"/>
    <w:rsid w:val="00545F0C"/>
    <w:rsid w:val="00545FDF"/>
    <w:rsid w:val="005460F8"/>
    <w:rsid w:val="005461C2"/>
    <w:rsid w:val="00546269"/>
    <w:rsid w:val="0054634F"/>
    <w:rsid w:val="0054670C"/>
    <w:rsid w:val="00546877"/>
    <w:rsid w:val="00546907"/>
    <w:rsid w:val="00546918"/>
    <w:rsid w:val="005469BF"/>
    <w:rsid w:val="005469ED"/>
    <w:rsid w:val="00546D4E"/>
    <w:rsid w:val="00546DFF"/>
    <w:rsid w:val="00546F25"/>
    <w:rsid w:val="0054716A"/>
    <w:rsid w:val="005471BF"/>
    <w:rsid w:val="005471FD"/>
    <w:rsid w:val="00547218"/>
    <w:rsid w:val="005472DC"/>
    <w:rsid w:val="0054748D"/>
    <w:rsid w:val="005474D0"/>
    <w:rsid w:val="00547655"/>
    <w:rsid w:val="005476D6"/>
    <w:rsid w:val="0054798C"/>
    <w:rsid w:val="00547CA5"/>
    <w:rsid w:val="00547E99"/>
    <w:rsid w:val="00547EED"/>
    <w:rsid w:val="00547FA8"/>
    <w:rsid w:val="00547FE0"/>
    <w:rsid w:val="005503E2"/>
    <w:rsid w:val="00550525"/>
    <w:rsid w:val="0055059A"/>
    <w:rsid w:val="005506B6"/>
    <w:rsid w:val="0055071F"/>
    <w:rsid w:val="00550B46"/>
    <w:rsid w:val="00550EBF"/>
    <w:rsid w:val="00551226"/>
    <w:rsid w:val="005513B7"/>
    <w:rsid w:val="00551404"/>
    <w:rsid w:val="005514D7"/>
    <w:rsid w:val="005516A8"/>
    <w:rsid w:val="00551790"/>
    <w:rsid w:val="00551E8E"/>
    <w:rsid w:val="00551FAD"/>
    <w:rsid w:val="005521E7"/>
    <w:rsid w:val="00552337"/>
    <w:rsid w:val="00552395"/>
    <w:rsid w:val="005526E5"/>
    <w:rsid w:val="005527A2"/>
    <w:rsid w:val="00552D78"/>
    <w:rsid w:val="00552E8E"/>
    <w:rsid w:val="00552E94"/>
    <w:rsid w:val="00552F40"/>
    <w:rsid w:val="00552FC9"/>
    <w:rsid w:val="00553031"/>
    <w:rsid w:val="0055320D"/>
    <w:rsid w:val="00553429"/>
    <w:rsid w:val="005538D3"/>
    <w:rsid w:val="00553CB8"/>
    <w:rsid w:val="00553D0A"/>
    <w:rsid w:val="00553DC0"/>
    <w:rsid w:val="00554207"/>
    <w:rsid w:val="00554411"/>
    <w:rsid w:val="00554687"/>
    <w:rsid w:val="00554750"/>
    <w:rsid w:val="005549D5"/>
    <w:rsid w:val="00554B17"/>
    <w:rsid w:val="00554BFC"/>
    <w:rsid w:val="00554E98"/>
    <w:rsid w:val="00554F48"/>
    <w:rsid w:val="00555337"/>
    <w:rsid w:val="0055545A"/>
    <w:rsid w:val="00555883"/>
    <w:rsid w:val="00555968"/>
    <w:rsid w:val="00555A64"/>
    <w:rsid w:val="00555B93"/>
    <w:rsid w:val="00555D56"/>
    <w:rsid w:val="00555D90"/>
    <w:rsid w:val="00555F0D"/>
    <w:rsid w:val="00555F36"/>
    <w:rsid w:val="005567C0"/>
    <w:rsid w:val="0055681D"/>
    <w:rsid w:val="00556AF2"/>
    <w:rsid w:val="00556AFC"/>
    <w:rsid w:val="00556DC9"/>
    <w:rsid w:val="00556EFC"/>
    <w:rsid w:val="00557128"/>
    <w:rsid w:val="0055715D"/>
    <w:rsid w:val="00557282"/>
    <w:rsid w:val="005572BC"/>
    <w:rsid w:val="0055733F"/>
    <w:rsid w:val="005575E4"/>
    <w:rsid w:val="0055778F"/>
    <w:rsid w:val="00557A3A"/>
    <w:rsid w:val="00557B7A"/>
    <w:rsid w:val="00557CB4"/>
    <w:rsid w:val="00557E51"/>
    <w:rsid w:val="0056003A"/>
    <w:rsid w:val="0056007B"/>
    <w:rsid w:val="005601A8"/>
    <w:rsid w:val="0056043B"/>
    <w:rsid w:val="0056045F"/>
    <w:rsid w:val="00560483"/>
    <w:rsid w:val="005604A1"/>
    <w:rsid w:val="005606F5"/>
    <w:rsid w:val="00560857"/>
    <w:rsid w:val="00560921"/>
    <w:rsid w:val="00560C34"/>
    <w:rsid w:val="00560D11"/>
    <w:rsid w:val="00560D2F"/>
    <w:rsid w:val="00560DC4"/>
    <w:rsid w:val="00560EF6"/>
    <w:rsid w:val="00560F39"/>
    <w:rsid w:val="0056133D"/>
    <w:rsid w:val="005614E2"/>
    <w:rsid w:val="00561773"/>
    <w:rsid w:val="005619A4"/>
    <w:rsid w:val="005619D5"/>
    <w:rsid w:val="00561BD5"/>
    <w:rsid w:val="00562001"/>
    <w:rsid w:val="0056203A"/>
    <w:rsid w:val="005621F1"/>
    <w:rsid w:val="00562460"/>
    <w:rsid w:val="00562629"/>
    <w:rsid w:val="0056265A"/>
    <w:rsid w:val="0056279F"/>
    <w:rsid w:val="00562800"/>
    <w:rsid w:val="0056287F"/>
    <w:rsid w:val="00562C84"/>
    <w:rsid w:val="005630B6"/>
    <w:rsid w:val="00563438"/>
    <w:rsid w:val="005638C0"/>
    <w:rsid w:val="00563F2C"/>
    <w:rsid w:val="0056429B"/>
    <w:rsid w:val="0056440A"/>
    <w:rsid w:val="0056455A"/>
    <w:rsid w:val="00564622"/>
    <w:rsid w:val="00564702"/>
    <w:rsid w:val="00564A47"/>
    <w:rsid w:val="00564ABB"/>
    <w:rsid w:val="00564D03"/>
    <w:rsid w:val="00564DBF"/>
    <w:rsid w:val="005650A0"/>
    <w:rsid w:val="005650BF"/>
    <w:rsid w:val="00565138"/>
    <w:rsid w:val="0056514F"/>
    <w:rsid w:val="005651E8"/>
    <w:rsid w:val="00565491"/>
    <w:rsid w:val="0056554A"/>
    <w:rsid w:val="0056576B"/>
    <w:rsid w:val="005659B2"/>
    <w:rsid w:val="00565B6C"/>
    <w:rsid w:val="00566096"/>
    <w:rsid w:val="005660CA"/>
    <w:rsid w:val="0056615E"/>
    <w:rsid w:val="00566394"/>
    <w:rsid w:val="00566527"/>
    <w:rsid w:val="005666DA"/>
    <w:rsid w:val="005666F2"/>
    <w:rsid w:val="005667F2"/>
    <w:rsid w:val="00566A75"/>
    <w:rsid w:val="00566E8A"/>
    <w:rsid w:val="00567032"/>
    <w:rsid w:val="00567104"/>
    <w:rsid w:val="005671A5"/>
    <w:rsid w:val="00567584"/>
    <w:rsid w:val="005676FA"/>
    <w:rsid w:val="00567701"/>
    <w:rsid w:val="0056776E"/>
    <w:rsid w:val="00567897"/>
    <w:rsid w:val="00567A53"/>
    <w:rsid w:val="00567A60"/>
    <w:rsid w:val="00567E1C"/>
    <w:rsid w:val="00567F7B"/>
    <w:rsid w:val="00570405"/>
    <w:rsid w:val="00570440"/>
    <w:rsid w:val="0057067F"/>
    <w:rsid w:val="00570A57"/>
    <w:rsid w:val="00570A98"/>
    <w:rsid w:val="00570AE3"/>
    <w:rsid w:val="00570BEC"/>
    <w:rsid w:val="0057101F"/>
    <w:rsid w:val="00571402"/>
    <w:rsid w:val="00571977"/>
    <w:rsid w:val="00571C43"/>
    <w:rsid w:val="00571D82"/>
    <w:rsid w:val="00571F7D"/>
    <w:rsid w:val="005720B8"/>
    <w:rsid w:val="00572105"/>
    <w:rsid w:val="005725E2"/>
    <w:rsid w:val="0057263D"/>
    <w:rsid w:val="0057268A"/>
    <w:rsid w:val="00572915"/>
    <w:rsid w:val="00572975"/>
    <w:rsid w:val="00572AB9"/>
    <w:rsid w:val="00572D4C"/>
    <w:rsid w:val="00572ECB"/>
    <w:rsid w:val="00573074"/>
    <w:rsid w:val="00573630"/>
    <w:rsid w:val="00573DAE"/>
    <w:rsid w:val="00573EF8"/>
    <w:rsid w:val="00574194"/>
    <w:rsid w:val="00574290"/>
    <w:rsid w:val="00574382"/>
    <w:rsid w:val="005744A5"/>
    <w:rsid w:val="005744C8"/>
    <w:rsid w:val="00574520"/>
    <w:rsid w:val="00574A1E"/>
    <w:rsid w:val="00574A8F"/>
    <w:rsid w:val="00574EDD"/>
    <w:rsid w:val="00574F65"/>
    <w:rsid w:val="00575183"/>
    <w:rsid w:val="005754EF"/>
    <w:rsid w:val="0057559A"/>
    <w:rsid w:val="00575602"/>
    <w:rsid w:val="0057562D"/>
    <w:rsid w:val="005759B8"/>
    <w:rsid w:val="005759F8"/>
    <w:rsid w:val="00575A10"/>
    <w:rsid w:val="00575E70"/>
    <w:rsid w:val="00575EFD"/>
    <w:rsid w:val="00575F78"/>
    <w:rsid w:val="00576807"/>
    <w:rsid w:val="0057692D"/>
    <w:rsid w:val="00576CDC"/>
    <w:rsid w:val="0057718F"/>
    <w:rsid w:val="00577582"/>
    <w:rsid w:val="005777B0"/>
    <w:rsid w:val="00577852"/>
    <w:rsid w:val="005778B5"/>
    <w:rsid w:val="00577923"/>
    <w:rsid w:val="00577DB4"/>
    <w:rsid w:val="005805C5"/>
    <w:rsid w:val="005805E6"/>
    <w:rsid w:val="00580600"/>
    <w:rsid w:val="00580938"/>
    <w:rsid w:val="00580945"/>
    <w:rsid w:val="00580B79"/>
    <w:rsid w:val="00580C27"/>
    <w:rsid w:val="005810C6"/>
    <w:rsid w:val="005814AD"/>
    <w:rsid w:val="005815E6"/>
    <w:rsid w:val="005818CC"/>
    <w:rsid w:val="005819A8"/>
    <w:rsid w:val="00581B79"/>
    <w:rsid w:val="00581BB7"/>
    <w:rsid w:val="00581C7D"/>
    <w:rsid w:val="00581D15"/>
    <w:rsid w:val="00581DD4"/>
    <w:rsid w:val="00581F7A"/>
    <w:rsid w:val="00582005"/>
    <w:rsid w:val="00582159"/>
    <w:rsid w:val="005826D4"/>
    <w:rsid w:val="00582BEE"/>
    <w:rsid w:val="00582DFF"/>
    <w:rsid w:val="0058327F"/>
    <w:rsid w:val="005832B8"/>
    <w:rsid w:val="005833F7"/>
    <w:rsid w:val="005835E0"/>
    <w:rsid w:val="005839BD"/>
    <w:rsid w:val="005839FA"/>
    <w:rsid w:val="00583ADA"/>
    <w:rsid w:val="00583C08"/>
    <w:rsid w:val="00583D6F"/>
    <w:rsid w:val="00583FB4"/>
    <w:rsid w:val="005841C4"/>
    <w:rsid w:val="00584406"/>
    <w:rsid w:val="005844AE"/>
    <w:rsid w:val="0058450D"/>
    <w:rsid w:val="00584711"/>
    <w:rsid w:val="00584734"/>
    <w:rsid w:val="005849C3"/>
    <w:rsid w:val="00584AC9"/>
    <w:rsid w:val="00584E60"/>
    <w:rsid w:val="00584EA4"/>
    <w:rsid w:val="00584ED3"/>
    <w:rsid w:val="005850A1"/>
    <w:rsid w:val="0058510F"/>
    <w:rsid w:val="0058522B"/>
    <w:rsid w:val="0058534F"/>
    <w:rsid w:val="00585410"/>
    <w:rsid w:val="00585BB8"/>
    <w:rsid w:val="00585C5C"/>
    <w:rsid w:val="00586102"/>
    <w:rsid w:val="00586B2C"/>
    <w:rsid w:val="00586C19"/>
    <w:rsid w:val="00586C44"/>
    <w:rsid w:val="005870EA"/>
    <w:rsid w:val="00587163"/>
    <w:rsid w:val="005873E1"/>
    <w:rsid w:val="00587544"/>
    <w:rsid w:val="005878DA"/>
    <w:rsid w:val="005878DF"/>
    <w:rsid w:val="00590370"/>
    <w:rsid w:val="005903A4"/>
    <w:rsid w:val="005903E8"/>
    <w:rsid w:val="00590487"/>
    <w:rsid w:val="0059059E"/>
    <w:rsid w:val="005905B1"/>
    <w:rsid w:val="005905F3"/>
    <w:rsid w:val="005908FC"/>
    <w:rsid w:val="005909E6"/>
    <w:rsid w:val="00590C0D"/>
    <w:rsid w:val="0059118E"/>
    <w:rsid w:val="00591333"/>
    <w:rsid w:val="00591672"/>
    <w:rsid w:val="0059182E"/>
    <w:rsid w:val="00591912"/>
    <w:rsid w:val="00591B07"/>
    <w:rsid w:val="00591D07"/>
    <w:rsid w:val="005921BD"/>
    <w:rsid w:val="005921C2"/>
    <w:rsid w:val="005923D8"/>
    <w:rsid w:val="005924E0"/>
    <w:rsid w:val="00592579"/>
    <w:rsid w:val="005928E9"/>
    <w:rsid w:val="00592B35"/>
    <w:rsid w:val="00592D65"/>
    <w:rsid w:val="00592D9E"/>
    <w:rsid w:val="00592ECD"/>
    <w:rsid w:val="00592F2B"/>
    <w:rsid w:val="00592F6F"/>
    <w:rsid w:val="00593102"/>
    <w:rsid w:val="005932BA"/>
    <w:rsid w:val="0059337D"/>
    <w:rsid w:val="005933B2"/>
    <w:rsid w:val="00593642"/>
    <w:rsid w:val="00593919"/>
    <w:rsid w:val="00593B5F"/>
    <w:rsid w:val="00593D35"/>
    <w:rsid w:val="00593DEF"/>
    <w:rsid w:val="00593E82"/>
    <w:rsid w:val="00594106"/>
    <w:rsid w:val="00594469"/>
    <w:rsid w:val="005944B0"/>
    <w:rsid w:val="0059452D"/>
    <w:rsid w:val="00594704"/>
    <w:rsid w:val="00594761"/>
    <w:rsid w:val="00594ED5"/>
    <w:rsid w:val="005955BE"/>
    <w:rsid w:val="005956A1"/>
    <w:rsid w:val="005959A4"/>
    <w:rsid w:val="00595AE1"/>
    <w:rsid w:val="00595F73"/>
    <w:rsid w:val="00596074"/>
    <w:rsid w:val="005960AF"/>
    <w:rsid w:val="005960BC"/>
    <w:rsid w:val="0059644A"/>
    <w:rsid w:val="005964CE"/>
    <w:rsid w:val="005965B3"/>
    <w:rsid w:val="005969FC"/>
    <w:rsid w:val="00596BE2"/>
    <w:rsid w:val="00596CB0"/>
    <w:rsid w:val="005970E1"/>
    <w:rsid w:val="0059735E"/>
    <w:rsid w:val="0059736D"/>
    <w:rsid w:val="0059737E"/>
    <w:rsid w:val="00597457"/>
    <w:rsid w:val="0059759E"/>
    <w:rsid w:val="00597715"/>
    <w:rsid w:val="00597877"/>
    <w:rsid w:val="005978FC"/>
    <w:rsid w:val="00597B22"/>
    <w:rsid w:val="00597E26"/>
    <w:rsid w:val="005A0011"/>
    <w:rsid w:val="005A0022"/>
    <w:rsid w:val="005A0215"/>
    <w:rsid w:val="005A0334"/>
    <w:rsid w:val="005A037D"/>
    <w:rsid w:val="005A03B4"/>
    <w:rsid w:val="005A04D6"/>
    <w:rsid w:val="005A08BE"/>
    <w:rsid w:val="005A092C"/>
    <w:rsid w:val="005A0B3A"/>
    <w:rsid w:val="005A0BFD"/>
    <w:rsid w:val="005A14B3"/>
    <w:rsid w:val="005A1585"/>
    <w:rsid w:val="005A1787"/>
    <w:rsid w:val="005A18A5"/>
    <w:rsid w:val="005A1909"/>
    <w:rsid w:val="005A1915"/>
    <w:rsid w:val="005A1B48"/>
    <w:rsid w:val="005A1CF4"/>
    <w:rsid w:val="005A1FAE"/>
    <w:rsid w:val="005A209F"/>
    <w:rsid w:val="005A22EC"/>
    <w:rsid w:val="005A23C1"/>
    <w:rsid w:val="005A2547"/>
    <w:rsid w:val="005A259B"/>
    <w:rsid w:val="005A26DC"/>
    <w:rsid w:val="005A2817"/>
    <w:rsid w:val="005A2861"/>
    <w:rsid w:val="005A2C7D"/>
    <w:rsid w:val="005A2D0C"/>
    <w:rsid w:val="005A2D48"/>
    <w:rsid w:val="005A2E57"/>
    <w:rsid w:val="005A2E60"/>
    <w:rsid w:val="005A2EDF"/>
    <w:rsid w:val="005A2F29"/>
    <w:rsid w:val="005A2FC6"/>
    <w:rsid w:val="005A30A8"/>
    <w:rsid w:val="005A30C2"/>
    <w:rsid w:val="005A32D6"/>
    <w:rsid w:val="005A3390"/>
    <w:rsid w:val="005A3557"/>
    <w:rsid w:val="005A361E"/>
    <w:rsid w:val="005A3856"/>
    <w:rsid w:val="005A3991"/>
    <w:rsid w:val="005A3B0A"/>
    <w:rsid w:val="005A40F5"/>
    <w:rsid w:val="005A4195"/>
    <w:rsid w:val="005A433F"/>
    <w:rsid w:val="005A45BF"/>
    <w:rsid w:val="005A4882"/>
    <w:rsid w:val="005A4D3C"/>
    <w:rsid w:val="005A4E21"/>
    <w:rsid w:val="005A4F22"/>
    <w:rsid w:val="005A5021"/>
    <w:rsid w:val="005A523B"/>
    <w:rsid w:val="005A52C4"/>
    <w:rsid w:val="005A52D8"/>
    <w:rsid w:val="005A54EC"/>
    <w:rsid w:val="005A56DA"/>
    <w:rsid w:val="005A5772"/>
    <w:rsid w:val="005A5922"/>
    <w:rsid w:val="005A5A4D"/>
    <w:rsid w:val="005A5AEB"/>
    <w:rsid w:val="005A5AEF"/>
    <w:rsid w:val="005A5D0D"/>
    <w:rsid w:val="005A5E61"/>
    <w:rsid w:val="005A5F99"/>
    <w:rsid w:val="005A6057"/>
    <w:rsid w:val="005A66E2"/>
    <w:rsid w:val="005A67AE"/>
    <w:rsid w:val="005A67F0"/>
    <w:rsid w:val="005A684D"/>
    <w:rsid w:val="005A6B7C"/>
    <w:rsid w:val="005A7416"/>
    <w:rsid w:val="005A78E2"/>
    <w:rsid w:val="005A79AB"/>
    <w:rsid w:val="005A7BA2"/>
    <w:rsid w:val="005A7D0F"/>
    <w:rsid w:val="005A7DD6"/>
    <w:rsid w:val="005A7E73"/>
    <w:rsid w:val="005B0018"/>
    <w:rsid w:val="005B01A2"/>
    <w:rsid w:val="005B01A8"/>
    <w:rsid w:val="005B0558"/>
    <w:rsid w:val="005B055A"/>
    <w:rsid w:val="005B08ED"/>
    <w:rsid w:val="005B0D25"/>
    <w:rsid w:val="005B0EFB"/>
    <w:rsid w:val="005B0F3D"/>
    <w:rsid w:val="005B10B9"/>
    <w:rsid w:val="005B120B"/>
    <w:rsid w:val="005B129C"/>
    <w:rsid w:val="005B131E"/>
    <w:rsid w:val="005B17AD"/>
    <w:rsid w:val="005B1885"/>
    <w:rsid w:val="005B1D44"/>
    <w:rsid w:val="005B1E67"/>
    <w:rsid w:val="005B201A"/>
    <w:rsid w:val="005B2280"/>
    <w:rsid w:val="005B27D5"/>
    <w:rsid w:val="005B28E5"/>
    <w:rsid w:val="005B2DDF"/>
    <w:rsid w:val="005B30F7"/>
    <w:rsid w:val="005B3217"/>
    <w:rsid w:val="005B3296"/>
    <w:rsid w:val="005B32D7"/>
    <w:rsid w:val="005B34A0"/>
    <w:rsid w:val="005B367F"/>
    <w:rsid w:val="005B36D0"/>
    <w:rsid w:val="005B39B9"/>
    <w:rsid w:val="005B3A70"/>
    <w:rsid w:val="005B3B25"/>
    <w:rsid w:val="005B3B55"/>
    <w:rsid w:val="005B3C21"/>
    <w:rsid w:val="005B3D64"/>
    <w:rsid w:val="005B3DE4"/>
    <w:rsid w:val="005B3FD4"/>
    <w:rsid w:val="005B4081"/>
    <w:rsid w:val="005B4265"/>
    <w:rsid w:val="005B42B1"/>
    <w:rsid w:val="005B4541"/>
    <w:rsid w:val="005B47F8"/>
    <w:rsid w:val="005B4849"/>
    <w:rsid w:val="005B4981"/>
    <w:rsid w:val="005B49EC"/>
    <w:rsid w:val="005B4AE7"/>
    <w:rsid w:val="005B4D5F"/>
    <w:rsid w:val="005B4DD6"/>
    <w:rsid w:val="005B4E88"/>
    <w:rsid w:val="005B5112"/>
    <w:rsid w:val="005B5231"/>
    <w:rsid w:val="005B526D"/>
    <w:rsid w:val="005B53B0"/>
    <w:rsid w:val="005B5880"/>
    <w:rsid w:val="005B5897"/>
    <w:rsid w:val="005B5F06"/>
    <w:rsid w:val="005B5F4C"/>
    <w:rsid w:val="005B6179"/>
    <w:rsid w:val="005B62E4"/>
    <w:rsid w:val="005B6406"/>
    <w:rsid w:val="005B69E6"/>
    <w:rsid w:val="005B6D6B"/>
    <w:rsid w:val="005B6EA1"/>
    <w:rsid w:val="005B70A3"/>
    <w:rsid w:val="005B728A"/>
    <w:rsid w:val="005B7408"/>
    <w:rsid w:val="005B74FD"/>
    <w:rsid w:val="005B7560"/>
    <w:rsid w:val="005B75A5"/>
    <w:rsid w:val="005B75D0"/>
    <w:rsid w:val="005B7849"/>
    <w:rsid w:val="005B7AFC"/>
    <w:rsid w:val="005B7BF2"/>
    <w:rsid w:val="005B7C24"/>
    <w:rsid w:val="005B7D52"/>
    <w:rsid w:val="005B7DB9"/>
    <w:rsid w:val="005B7DCF"/>
    <w:rsid w:val="005C0123"/>
    <w:rsid w:val="005C0243"/>
    <w:rsid w:val="005C03F7"/>
    <w:rsid w:val="005C0600"/>
    <w:rsid w:val="005C077A"/>
    <w:rsid w:val="005C09C1"/>
    <w:rsid w:val="005C09D7"/>
    <w:rsid w:val="005C09FE"/>
    <w:rsid w:val="005C0BC2"/>
    <w:rsid w:val="005C0C80"/>
    <w:rsid w:val="005C0C98"/>
    <w:rsid w:val="005C103F"/>
    <w:rsid w:val="005C116D"/>
    <w:rsid w:val="005C11B2"/>
    <w:rsid w:val="005C1240"/>
    <w:rsid w:val="005C12FE"/>
    <w:rsid w:val="005C1847"/>
    <w:rsid w:val="005C1ABF"/>
    <w:rsid w:val="005C1BEC"/>
    <w:rsid w:val="005C1DC1"/>
    <w:rsid w:val="005C1E25"/>
    <w:rsid w:val="005C1F5E"/>
    <w:rsid w:val="005C1FC3"/>
    <w:rsid w:val="005C202C"/>
    <w:rsid w:val="005C20E8"/>
    <w:rsid w:val="005C21AA"/>
    <w:rsid w:val="005C2226"/>
    <w:rsid w:val="005C242E"/>
    <w:rsid w:val="005C24DD"/>
    <w:rsid w:val="005C269F"/>
    <w:rsid w:val="005C26B8"/>
    <w:rsid w:val="005C272B"/>
    <w:rsid w:val="005C2A37"/>
    <w:rsid w:val="005C2A4C"/>
    <w:rsid w:val="005C2E57"/>
    <w:rsid w:val="005C2EF1"/>
    <w:rsid w:val="005C2FF8"/>
    <w:rsid w:val="005C3039"/>
    <w:rsid w:val="005C33FE"/>
    <w:rsid w:val="005C3460"/>
    <w:rsid w:val="005C36FD"/>
    <w:rsid w:val="005C37A3"/>
    <w:rsid w:val="005C37F6"/>
    <w:rsid w:val="005C395F"/>
    <w:rsid w:val="005C3B7F"/>
    <w:rsid w:val="005C3C0C"/>
    <w:rsid w:val="005C3CEC"/>
    <w:rsid w:val="005C42E6"/>
    <w:rsid w:val="005C4AC1"/>
    <w:rsid w:val="005C4D8C"/>
    <w:rsid w:val="005C4ED9"/>
    <w:rsid w:val="005C4F38"/>
    <w:rsid w:val="005C4FC3"/>
    <w:rsid w:val="005C5142"/>
    <w:rsid w:val="005C54D2"/>
    <w:rsid w:val="005C580D"/>
    <w:rsid w:val="005C5D37"/>
    <w:rsid w:val="005C5F6A"/>
    <w:rsid w:val="005C67F6"/>
    <w:rsid w:val="005C682D"/>
    <w:rsid w:val="005C6941"/>
    <w:rsid w:val="005C6A28"/>
    <w:rsid w:val="005C6B4C"/>
    <w:rsid w:val="005C6E09"/>
    <w:rsid w:val="005C6E92"/>
    <w:rsid w:val="005C7AD2"/>
    <w:rsid w:val="005C7B5F"/>
    <w:rsid w:val="005C7BD0"/>
    <w:rsid w:val="005C7F96"/>
    <w:rsid w:val="005D0319"/>
    <w:rsid w:val="005D0522"/>
    <w:rsid w:val="005D0C59"/>
    <w:rsid w:val="005D0E44"/>
    <w:rsid w:val="005D10AC"/>
    <w:rsid w:val="005D127B"/>
    <w:rsid w:val="005D1339"/>
    <w:rsid w:val="005D13A9"/>
    <w:rsid w:val="005D14A9"/>
    <w:rsid w:val="005D153D"/>
    <w:rsid w:val="005D15B7"/>
    <w:rsid w:val="005D16C2"/>
    <w:rsid w:val="005D19E9"/>
    <w:rsid w:val="005D1BE3"/>
    <w:rsid w:val="005D1C38"/>
    <w:rsid w:val="005D2556"/>
    <w:rsid w:val="005D26D1"/>
    <w:rsid w:val="005D2ADC"/>
    <w:rsid w:val="005D2B35"/>
    <w:rsid w:val="005D2BC8"/>
    <w:rsid w:val="005D2D0D"/>
    <w:rsid w:val="005D2EA5"/>
    <w:rsid w:val="005D2F46"/>
    <w:rsid w:val="005D3020"/>
    <w:rsid w:val="005D31BB"/>
    <w:rsid w:val="005D32F2"/>
    <w:rsid w:val="005D338D"/>
    <w:rsid w:val="005D38F1"/>
    <w:rsid w:val="005D3A9B"/>
    <w:rsid w:val="005D3CA9"/>
    <w:rsid w:val="005D3E15"/>
    <w:rsid w:val="005D3F8E"/>
    <w:rsid w:val="005D40E3"/>
    <w:rsid w:val="005D4207"/>
    <w:rsid w:val="005D45B3"/>
    <w:rsid w:val="005D4613"/>
    <w:rsid w:val="005D47A1"/>
    <w:rsid w:val="005D47C8"/>
    <w:rsid w:val="005D4907"/>
    <w:rsid w:val="005D49E7"/>
    <w:rsid w:val="005D4ED6"/>
    <w:rsid w:val="005D5098"/>
    <w:rsid w:val="005D5157"/>
    <w:rsid w:val="005D5316"/>
    <w:rsid w:val="005D54BA"/>
    <w:rsid w:val="005D576D"/>
    <w:rsid w:val="005D5860"/>
    <w:rsid w:val="005D5896"/>
    <w:rsid w:val="005D5AB6"/>
    <w:rsid w:val="005D5B75"/>
    <w:rsid w:val="005D5BA1"/>
    <w:rsid w:val="005D5E5D"/>
    <w:rsid w:val="005D6054"/>
    <w:rsid w:val="005D6090"/>
    <w:rsid w:val="005D6114"/>
    <w:rsid w:val="005D6122"/>
    <w:rsid w:val="005D6211"/>
    <w:rsid w:val="005D665A"/>
    <w:rsid w:val="005D69B1"/>
    <w:rsid w:val="005D6D36"/>
    <w:rsid w:val="005D70B7"/>
    <w:rsid w:val="005D70BC"/>
    <w:rsid w:val="005D73D6"/>
    <w:rsid w:val="005D744A"/>
    <w:rsid w:val="005D74F3"/>
    <w:rsid w:val="005D7533"/>
    <w:rsid w:val="005D7618"/>
    <w:rsid w:val="005D78FA"/>
    <w:rsid w:val="005D7A9D"/>
    <w:rsid w:val="005E00C9"/>
    <w:rsid w:val="005E01A9"/>
    <w:rsid w:val="005E02D1"/>
    <w:rsid w:val="005E02F5"/>
    <w:rsid w:val="005E061A"/>
    <w:rsid w:val="005E079F"/>
    <w:rsid w:val="005E07A6"/>
    <w:rsid w:val="005E0A92"/>
    <w:rsid w:val="005E0BCA"/>
    <w:rsid w:val="005E0E45"/>
    <w:rsid w:val="005E114D"/>
    <w:rsid w:val="005E11A5"/>
    <w:rsid w:val="005E13B5"/>
    <w:rsid w:val="005E1813"/>
    <w:rsid w:val="005E1892"/>
    <w:rsid w:val="005E1C9A"/>
    <w:rsid w:val="005E1CAD"/>
    <w:rsid w:val="005E1D15"/>
    <w:rsid w:val="005E1F50"/>
    <w:rsid w:val="005E2149"/>
    <w:rsid w:val="005E21A8"/>
    <w:rsid w:val="005E255D"/>
    <w:rsid w:val="005E2592"/>
    <w:rsid w:val="005E27D7"/>
    <w:rsid w:val="005E2AF7"/>
    <w:rsid w:val="005E2B35"/>
    <w:rsid w:val="005E2EFB"/>
    <w:rsid w:val="005E33C5"/>
    <w:rsid w:val="005E3428"/>
    <w:rsid w:val="005E34B9"/>
    <w:rsid w:val="005E34E8"/>
    <w:rsid w:val="005E34F9"/>
    <w:rsid w:val="005E3786"/>
    <w:rsid w:val="005E3A04"/>
    <w:rsid w:val="005E3CF7"/>
    <w:rsid w:val="005E3D85"/>
    <w:rsid w:val="005E3E12"/>
    <w:rsid w:val="005E3FE5"/>
    <w:rsid w:val="005E42B9"/>
    <w:rsid w:val="005E4342"/>
    <w:rsid w:val="005E43F2"/>
    <w:rsid w:val="005E4564"/>
    <w:rsid w:val="005E46AC"/>
    <w:rsid w:val="005E46E0"/>
    <w:rsid w:val="005E482F"/>
    <w:rsid w:val="005E4C3D"/>
    <w:rsid w:val="005E54DD"/>
    <w:rsid w:val="005E553F"/>
    <w:rsid w:val="005E5595"/>
    <w:rsid w:val="005E5ABE"/>
    <w:rsid w:val="005E5CB9"/>
    <w:rsid w:val="005E5F9D"/>
    <w:rsid w:val="005E5FF2"/>
    <w:rsid w:val="005E604D"/>
    <w:rsid w:val="005E6151"/>
    <w:rsid w:val="005E63B7"/>
    <w:rsid w:val="005E66B3"/>
    <w:rsid w:val="005E6F2C"/>
    <w:rsid w:val="005E70D9"/>
    <w:rsid w:val="005E71E5"/>
    <w:rsid w:val="005E754E"/>
    <w:rsid w:val="005E77CE"/>
    <w:rsid w:val="005E7B5E"/>
    <w:rsid w:val="005E7C44"/>
    <w:rsid w:val="005E7F41"/>
    <w:rsid w:val="005F0256"/>
    <w:rsid w:val="005F03E1"/>
    <w:rsid w:val="005F0579"/>
    <w:rsid w:val="005F065A"/>
    <w:rsid w:val="005F092B"/>
    <w:rsid w:val="005F0AB6"/>
    <w:rsid w:val="005F0DA2"/>
    <w:rsid w:val="005F0EE5"/>
    <w:rsid w:val="005F10D1"/>
    <w:rsid w:val="005F1258"/>
    <w:rsid w:val="005F1376"/>
    <w:rsid w:val="005F1471"/>
    <w:rsid w:val="005F1AE7"/>
    <w:rsid w:val="005F1F81"/>
    <w:rsid w:val="005F20B9"/>
    <w:rsid w:val="005F21B7"/>
    <w:rsid w:val="005F2302"/>
    <w:rsid w:val="005F2582"/>
    <w:rsid w:val="005F2773"/>
    <w:rsid w:val="005F292C"/>
    <w:rsid w:val="005F29B0"/>
    <w:rsid w:val="005F29C2"/>
    <w:rsid w:val="005F2A9E"/>
    <w:rsid w:val="005F2B10"/>
    <w:rsid w:val="005F2B3B"/>
    <w:rsid w:val="005F2B50"/>
    <w:rsid w:val="005F2B6F"/>
    <w:rsid w:val="005F2BED"/>
    <w:rsid w:val="005F2C84"/>
    <w:rsid w:val="005F2D71"/>
    <w:rsid w:val="005F2ECB"/>
    <w:rsid w:val="005F30FE"/>
    <w:rsid w:val="005F32A3"/>
    <w:rsid w:val="005F3CC1"/>
    <w:rsid w:val="005F3E64"/>
    <w:rsid w:val="005F3F38"/>
    <w:rsid w:val="005F4130"/>
    <w:rsid w:val="005F4300"/>
    <w:rsid w:val="005F43FC"/>
    <w:rsid w:val="005F44B5"/>
    <w:rsid w:val="005F44F0"/>
    <w:rsid w:val="005F47A2"/>
    <w:rsid w:val="005F47BF"/>
    <w:rsid w:val="005F4AF6"/>
    <w:rsid w:val="005F4B33"/>
    <w:rsid w:val="005F4E45"/>
    <w:rsid w:val="005F519A"/>
    <w:rsid w:val="005F5333"/>
    <w:rsid w:val="005F546F"/>
    <w:rsid w:val="005F55BF"/>
    <w:rsid w:val="005F5753"/>
    <w:rsid w:val="005F58B6"/>
    <w:rsid w:val="005F59D1"/>
    <w:rsid w:val="005F5F15"/>
    <w:rsid w:val="005F6005"/>
    <w:rsid w:val="005F61D7"/>
    <w:rsid w:val="005F62CD"/>
    <w:rsid w:val="005F65E9"/>
    <w:rsid w:val="005F6E37"/>
    <w:rsid w:val="005F6F72"/>
    <w:rsid w:val="005F77F3"/>
    <w:rsid w:val="005F7854"/>
    <w:rsid w:val="005F7DD4"/>
    <w:rsid w:val="0060027D"/>
    <w:rsid w:val="0060054D"/>
    <w:rsid w:val="006005C0"/>
    <w:rsid w:val="006009CA"/>
    <w:rsid w:val="00600D76"/>
    <w:rsid w:val="00600E78"/>
    <w:rsid w:val="00600ECA"/>
    <w:rsid w:val="0060107A"/>
    <w:rsid w:val="0060112D"/>
    <w:rsid w:val="006012DA"/>
    <w:rsid w:val="00601436"/>
    <w:rsid w:val="00601439"/>
    <w:rsid w:val="00601AA3"/>
    <w:rsid w:val="00601AF9"/>
    <w:rsid w:val="00601BBD"/>
    <w:rsid w:val="00601D41"/>
    <w:rsid w:val="00601D9D"/>
    <w:rsid w:val="006021DF"/>
    <w:rsid w:val="006029D2"/>
    <w:rsid w:val="00602CEE"/>
    <w:rsid w:val="00602CFD"/>
    <w:rsid w:val="00603136"/>
    <w:rsid w:val="00603443"/>
    <w:rsid w:val="0060360A"/>
    <w:rsid w:val="00603EFC"/>
    <w:rsid w:val="00603F8B"/>
    <w:rsid w:val="00604353"/>
    <w:rsid w:val="00604462"/>
    <w:rsid w:val="00604A78"/>
    <w:rsid w:val="00604B1D"/>
    <w:rsid w:val="00604C5F"/>
    <w:rsid w:val="00604F17"/>
    <w:rsid w:val="0060546E"/>
    <w:rsid w:val="00605544"/>
    <w:rsid w:val="0060554D"/>
    <w:rsid w:val="006059B3"/>
    <w:rsid w:val="006059C0"/>
    <w:rsid w:val="00605B41"/>
    <w:rsid w:val="00605C3F"/>
    <w:rsid w:val="00605C78"/>
    <w:rsid w:val="00605D36"/>
    <w:rsid w:val="00606029"/>
    <w:rsid w:val="00606256"/>
    <w:rsid w:val="0060632A"/>
    <w:rsid w:val="006064AB"/>
    <w:rsid w:val="006064E7"/>
    <w:rsid w:val="0060678B"/>
    <w:rsid w:val="006067A4"/>
    <w:rsid w:val="00606802"/>
    <w:rsid w:val="006070B5"/>
    <w:rsid w:val="006070B9"/>
    <w:rsid w:val="00607A91"/>
    <w:rsid w:val="00607A9A"/>
    <w:rsid w:val="00607B74"/>
    <w:rsid w:val="00607CC0"/>
    <w:rsid w:val="0061014B"/>
    <w:rsid w:val="00610274"/>
    <w:rsid w:val="00610465"/>
    <w:rsid w:val="0061046E"/>
    <w:rsid w:val="0061057A"/>
    <w:rsid w:val="00610599"/>
    <w:rsid w:val="00610950"/>
    <w:rsid w:val="006109E1"/>
    <w:rsid w:val="00610A8A"/>
    <w:rsid w:val="00610B5A"/>
    <w:rsid w:val="00610BEC"/>
    <w:rsid w:val="00610F4D"/>
    <w:rsid w:val="00611427"/>
    <w:rsid w:val="006114AF"/>
    <w:rsid w:val="006116E8"/>
    <w:rsid w:val="0061175C"/>
    <w:rsid w:val="006117FD"/>
    <w:rsid w:val="00611B1E"/>
    <w:rsid w:val="00611BEB"/>
    <w:rsid w:val="00611C76"/>
    <w:rsid w:val="00611CBF"/>
    <w:rsid w:val="00611DA2"/>
    <w:rsid w:val="00611E70"/>
    <w:rsid w:val="00611F4B"/>
    <w:rsid w:val="00611F6F"/>
    <w:rsid w:val="00611F7B"/>
    <w:rsid w:val="0061200F"/>
    <w:rsid w:val="0061212B"/>
    <w:rsid w:val="00612440"/>
    <w:rsid w:val="0061251C"/>
    <w:rsid w:val="006125EC"/>
    <w:rsid w:val="006129EE"/>
    <w:rsid w:val="00612A2C"/>
    <w:rsid w:val="00612CEB"/>
    <w:rsid w:val="00612D7A"/>
    <w:rsid w:val="00613344"/>
    <w:rsid w:val="006137AF"/>
    <w:rsid w:val="00613F77"/>
    <w:rsid w:val="00613FE9"/>
    <w:rsid w:val="00614245"/>
    <w:rsid w:val="006145E5"/>
    <w:rsid w:val="00614764"/>
    <w:rsid w:val="00614BDE"/>
    <w:rsid w:val="00614EFF"/>
    <w:rsid w:val="00614F7C"/>
    <w:rsid w:val="006150E4"/>
    <w:rsid w:val="006152DA"/>
    <w:rsid w:val="00615533"/>
    <w:rsid w:val="0061578B"/>
    <w:rsid w:val="00615894"/>
    <w:rsid w:val="00615A31"/>
    <w:rsid w:val="00615A80"/>
    <w:rsid w:val="00615ED4"/>
    <w:rsid w:val="00615F9F"/>
    <w:rsid w:val="00616046"/>
    <w:rsid w:val="00616137"/>
    <w:rsid w:val="00616150"/>
    <w:rsid w:val="006161DB"/>
    <w:rsid w:val="00616284"/>
    <w:rsid w:val="006165B0"/>
    <w:rsid w:val="006165D7"/>
    <w:rsid w:val="0061663B"/>
    <w:rsid w:val="0061663D"/>
    <w:rsid w:val="0061679C"/>
    <w:rsid w:val="00616C6C"/>
    <w:rsid w:val="00616D84"/>
    <w:rsid w:val="00616DE3"/>
    <w:rsid w:val="00616E5A"/>
    <w:rsid w:val="0061729C"/>
    <w:rsid w:val="006176B0"/>
    <w:rsid w:val="00617804"/>
    <w:rsid w:val="006179AF"/>
    <w:rsid w:val="00617C58"/>
    <w:rsid w:val="00617CC3"/>
    <w:rsid w:val="00617CE9"/>
    <w:rsid w:val="00617D38"/>
    <w:rsid w:val="00617DD7"/>
    <w:rsid w:val="00617E3A"/>
    <w:rsid w:val="00620389"/>
    <w:rsid w:val="006204F6"/>
    <w:rsid w:val="00620571"/>
    <w:rsid w:val="006206AD"/>
    <w:rsid w:val="006208FB"/>
    <w:rsid w:val="00621192"/>
    <w:rsid w:val="0062140C"/>
    <w:rsid w:val="00621CF3"/>
    <w:rsid w:val="00621EF2"/>
    <w:rsid w:val="00622367"/>
    <w:rsid w:val="006223F7"/>
    <w:rsid w:val="006226DC"/>
    <w:rsid w:val="00622737"/>
    <w:rsid w:val="006227DC"/>
    <w:rsid w:val="00622821"/>
    <w:rsid w:val="006229CF"/>
    <w:rsid w:val="00622BB5"/>
    <w:rsid w:val="00622C0A"/>
    <w:rsid w:val="00622FE6"/>
    <w:rsid w:val="0062310E"/>
    <w:rsid w:val="00623425"/>
    <w:rsid w:val="00623819"/>
    <w:rsid w:val="00623914"/>
    <w:rsid w:val="00623AA0"/>
    <w:rsid w:val="00623AD8"/>
    <w:rsid w:val="00624081"/>
    <w:rsid w:val="006241E3"/>
    <w:rsid w:val="0062436B"/>
    <w:rsid w:val="006243E6"/>
    <w:rsid w:val="00624633"/>
    <w:rsid w:val="006246FC"/>
    <w:rsid w:val="00624865"/>
    <w:rsid w:val="006248D9"/>
    <w:rsid w:val="00624999"/>
    <w:rsid w:val="00624A5E"/>
    <w:rsid w:val="00624DFB"/>
    <w:rsid w:val="00624F6E"/>
    <w:rsid w:val="006251EA"/>
    <w:rsid w:val="00625514"/>
    <w:rsid w:val="00625527"/>
    <w:rsid w:val="006255A4"/>
    <w:rsid w:val="00625688"/>
    <w:rsid w:val="00625A69"/>
    <w:rsid w:val="00625A9C"/>
    <w:rsid w:val="00625B69"/>
    <w:rsid w:val="00625B97"/>
    <w:rsid w:val="00625C3B"/>
    <w:rsid w:val="00625CD0"/>
    <w:rsid w:val="00625E92"/>
    <w:rsid w:val="006263D3"/>
    <w:rsid w:val="00626460"/>
    <w:rsid w:val="00626562"/>
    <w:rsid w:val="006267D7"/>
    <w:rsid w:val="00626950"/>
    <w:rsid w:val="00626C0F"/>
    <w:rsid w:val="006270D1"/>
    <w:rsid w:val="006271B5"/>
    <w:rsid w:val="006274A0"/>
    <w:rsid w:val="0062771A"/>
    <w:rsid w:val="00627AFC"/>
    <w:rsid w:val="00627D49"/>
    <w:rsid w:val="00627E39"/>
    <w:rsid w:val="00627F81"/>
    <w:rsid w:val="006300AE"/>
    <w:rsid w:val="0063023E"/>
    <w:rsid w:val="0063026E"/>
    <w:rsid w:val="00630751"/>
    <w:rsid w:val="006307F6"/>
    <w:rsid w:val="00630A96"/>
    <w:rsid w:val="00630AD4"/>
    <w:rsid w:val="00630C7F"/>
    <w:rsid w:val="00630FE5"/>
    <w:rsid w:val="006310B1"/>
    <w:rsid w:val="006317BF"/>
    <w:rsid w:val="0063180E"/>
    <w:rsid w:val="00631C46"/>
    <w:rsid w:val="00632233"/>
    <w:rsid w:val="006323E0"/>
    <w:rsid w:val="006324AB"/>
    <w:rsid w:val="006328CE"/>
    <w:rsid w:val="006329E8"/>
    <w:rsid w:val="00632CB4"/>
    <w:rsid w:val="00632CE1"/>
    <w:rsid w:val="00632CF5"/>
    <w:rsid w:val="00632EFF"/>
    <w:rsid w:val="00632F99"/>
    <w:rsid w:val="006334E6"/>
    <w:rsid w:val="006334F0"/>
    <w:rsid w:val="0063371D"/>
    <w:rsid w:val="00633726"/>
    <w:rsid w:val="00633852"/>
    <w:rsid w:val="00633AAE"/>
    <w:rsid w:val="00633AB6"/>
    <w:rsid w:val="00633AEB"/>
    <w:rsid w:val="00633B03"/>
    <w:rsid w:val="00633BA7"/>
    <w:rsid w:val="00633CEE"/>
    <w:rsid w:val="00634104"/>
    <w:rsid w:val="00634126"/>
    <w:rsid w:val="00634172"/>
    <w:rsid w:val="0063447D"/>
    <w:rsid w:val="006344E0"/>
    <w:rsid w:val="006346D6"/>
    <w:rsid w:val="00634796"/>
    <w:rsid w:val="006349B9"/>
    <w:rsid w:val="0063538E"/>
    <w:rsid w:val="006354DB"/>
    <w:rsid w:val="006362A2"/>
    <w:rsid w:val="00636380"/>
    <w:rsid w:val="00636965"/>
    <w:rsid w:val="00637713"/>
    <w:rsid w:val="00637797"/>
    <w:rsid w:val="006378A9"/>
    <w:rsid w:val="00637953"/>
    <w:rsid w:val="00637A44"/>
    <w:rsid w:val="00637ADD"/>
    <w:rsid w:val="00637C76"/>
    <w:rsid w:val="00637CA6"/>
    <w:rsid w:val="0064001F"/>
    <w:rsid w:val="006402F8"/>
    <w:rsid w:val="00640644"/>
    <w:rsid w:val="00640703"/>
    <w:rsid w:val="006407C4"/>
    <w:rsid w:val="00640A47"/>
    <w:rsid w:val="00640AF8"/>
    <w:rsid w:val="00640BF9"/>
    <w:rsid w:val="00640D41"/>
    <w:rsid w:val="00640D9D"/>
    <w:rsid w:val="00640ECE"/>
    <w:rsid w:val="00640EDC"/>
    <w:rsid w:val="0064102E"/>
    <w:rsid w:val="006410EE"/>
    <w:rsid w:val="00641198"/>
    <w:rsid w:val="0064125D"/>
    <w:rsid w:val="00641420"/>
    <w:rsid w:val="00641447"/>
    <w:rsid w:val="00641494"/>
    <w:rsid w:val="006414E7"/>
    <w:rsid w:val="00641512"/>
    <w:rsid w:val="00641561"/>
    <w:rsid w:val="006415FA"/>
    <w:rsid w:val="0064183A"/>
    <w:rsid w:val="006418E2"/>
    <w:rsid w:val="00641A54"/>
    <w:rsid w:val="00641B5F"/>
    <w:rsid w:val="00641C94"/>
    <w:rsid w:val="00641FE0"/>
    <w:rsid w:val="00642004"/>
    <w:rsid w:val="0064209F"/>
    <w:rsid w:val="00642120"/>
    <w:rsid w:val="006421CC"/>
    <w:rsid w:val="00642289"/>
    <w:rsid w:val="006422AC"/>
    <w:rsid w:val="006423FB"/>
    <w:rsid w:val="00642563"/>
    <w:rsid w:val="006426A2"/>
    <w:rsid w:val="006427E8"/>
    <w:rsid w:val="0064283C"/>
    <w:rsid w:val="00642976"/>
    <w:rsid w:val="00642A77"/>
    <w:rsid w:val="00642B74"/>
    <w:rsid w:val="00642F62"/>
    <w:rsid w:val="00642FBB"/>
    <w:rsid w:val="006435CC"/>
    <w:rsid w:val="00643708"/>
    <w:rsid w:val="00643A1A"/>
    <w:rsid w:val="00643B8C"/>
    <w:rsid w:val="00643C1B"/>
    <w:rsid w:val="00643D81"/>
    <w:rsid w:val="00643DE3"/>
    <w:rsid w:val="00643EE1"/>
    <w:rsid w:val="00643F37"/>
    <w:rsid w:val="00643FE9"/>
    <w:rsid w:val="00644009"/>
    <w:rsid w:val="00644149"/>
    <w:rsid w:val="00644175"/>
    <w:rsid w:val="0064426A"/>
    <w:rsid w:val="0064430D"/>
    <w:rsid w:val="00644363"/>
    <w:rsid w:val="0064452D"/>
    <w:rsid w:val="006449EB"/>
    <w:rsid w:val="00644BCF"/>
    <w:rsid w:val="00644D42"/>
    <w:rsid w:val="00644DF9"/>
    <w:rsid w:val="00644FC9"/>
    <w:rsid w:val="006450A8"/>
    <w:rsid w:val="00645225"/>
    <w:rsid w:val="00645274"/>
    <w:rsid w:val="00645726"/>
    <w:rsid w:val="00645C66"/>
    <w:rsid w:val="00645E52"/>
    <w:rsid w:val="00645E99"/>
    <w:rsid w:val="0064608B"/>
    <w:rsid w:val="006464AB"/>
    <w:rsid w:val="0064652B"/>
    <w:rsid w:val="006467C1"/>
    <w:rsid w:val="0064708A"/>
    <w:rsid w:val="0064726F"/>
    <w:rsid w:val="00647531"/>
    <w:rsid w:val="0064773E"/>
    <w:rsid w:val="0064777A"/>
    <w:rsid w:val="00647822"/>
    <w:rsid w:val="006478E7"/>
    <w:rsid w:val="00647D60"/>
    <w:rsid w:val="00647F10"/>
    <w:rsid w:val="00647F87"/>
    <w:rsid w:val="00650541"/>
    <w:rsid w:val="00650644"/>
    <w:rsid w:val="006506E2"/>
    <w:rsid w:val="006508A0"/>
    <w:rsid w:val="00650A40"/>
    <w:rsid w:val="00650CDF"/>
    <w:rsid w:val="0065102A"/>
    <w:rsid w:val="0065117A"/>
    <w:rsid w:val="00651A37"/>
    <w:rsid w:val="00651B42"/>
    <w:rsid w:val="006521D5"/>
    <w:rsid w:val="0065233F"/>
    <w:rsid w:val="00652547"/>
    <w:rsid w:val="00652590"/>
    <w:rsid w:val="006525A8"/>
    <w:rsid w:val="0065278A"/>
    <w:rsid w:val="0065296D"/>
    <w:rsid w:val="00652984"/>
    <w:rsid w:val="006530C6"/>
    <w:rsid w:val="00653223"/>
    <w:rsid w:val="006534DB"/>
    <w:rsid w:val="00653A24"/>
    <w:rsid w:val="00653B8A"/>
    <w:rsid w:val="00653E3F"/>
    <w:rsid w:val="00653E51"/>
    <w:rsid w:val="00653FA4"/>
    <w:rsid w:val="00653FBA"/>
    <w:rsid w:val="0065422A"/>
    <w:rsid w:val="006543CD"/>
    <w:rsid w:val="00654746"/>
    <w:rsid w:val="00654886"/>
    <w:rsid w:val="00654889"/>
    <w:rsid w:val="00654B13"/>
    <w:rsid w:val="00654CE7"/>
    <w:rsid w:val="00655167"/>
    <w:rsid w:val="00655345"/>
    <w:rsid w:val="0065534C"/>
    <w:rsid w:val="006553F1"/>
    <w:rsid w:val="00655450"/>
    <w:rsid w:val="006554AC"/>
    <w:rsid w:val="00655549"/>
    <w:rsid w:val="0065559A"/>
    <w:rsid w:val="00655666"/>
    <w:rsid w:val="0065573B"/>
    <w:rsid w:val="00655823"/>
    <w:rsid w:val="00655CC3"/>
    <w:rsid w:val="00655D9A"/>
    <w:rsid w:val="006564CB"/>
    <w:rsid w:val="00656549"/>
    <w:rsid w:val="0065681A"/>
    <w:rsid w:val="0065697E"/>
    <w:rsid w:val="00656C2A"/>
    <w:rsid w:val="00656E11"/>
    <w:rsid w:val="00656FB1"/>
    <w:rsid w:val="00657B24"/>
    <w:rsid w:val="00657B8C"/>
    <w:rsid w:val="00657C61"/>
    <w:rsid w:val="00657E3D"/>
    <w:rsid w:val="00657F71"/>
    <w:rsid w:val="00657FC2"/>
    <w:rsid w:val="00660046"/>
    <w:rsid w:val="00660202"/>
    <w:rsid w:val="0066021E"/>
    <w:rsid w:val="00660368"/>
    <w:rsid w:val="0066055C"/>
    <w:rsid w:val="00660727"/>
    <w:rsid w:val="00660D51"/>
    <w:rsid w:val="006615E4"/>
    <w:rsid w:val="0066168E"/>
    <w:rsid w:val="00661724"/>
    <w:rsid w:val="00661926"/>
    <w:rsid w:val="00661979"/>
    <w:rsid w:val="00661C4A"/>
    <w:rsid w:val="00661DEC"/>
    <w:rsid w:val="00661E6D"/>
    <w:rsid w:val="006620F7"/>
    <w:rsid w:val="006624E6"/>
    <w:rsid w:val="006626E6"/>
    <w:rsid w:val="006626EE"/>
    <w:rsid w:val="0066283D"/>
    <w:rsid w:val="00662B83"/>
    <w:rsid w:val="00662CBE"/>
    <w:rsid w:val="00662CD9"/>
    <w:rsid w:val="00662D66"/>
    <w:rsid w:val="00662EEB"/>
    <w:rsid w:val="00662F83"/>
    <w:rsid w:val="00662FA4"/>
    <w:rsid w:val="006631AC"/>
    <w:rsid w:val="006631E0"/>
    <w:rsid w:val="0066323A"/>
    <w:rsid w:val="00663307"/>
    <w:rsid w:val="00663377"/>
    <w:rsid w:val="006633DC"/>
    <w:rsid w:val="00663478"/>
    <w:rsid w:val="00663703"/>
    <w:rsid w:val="0066379A"/>
    <w:rsid w:val="00663937"/>
    <w:rsid w:val="00663AAA"/>
    <w:rsid w:val="00663C47"/>
    <w:rsid w:val="00663DE8"/>
    <w:rsid w:val="00663EA1"/>
    <w:rsid w:val="006644AE"/>
    <w:rsid w:val="0066468B"/>
    <w:rsid w:val="0066477D"/>
    <w:rsid w:val="006649C3"/>
    <w:rsid w:val="00664C08"/>
    <w:rsid w:val="00664FD0"/>
    <w:rsid w:val="00665090"/>
    <w:rsid w:val="006651BC"/>
    <w:rsid w:val="0066538E"/>
    <w:rsid w:val="00665681"/>
    <w:rsid w:val="00665855"/>
    <w:rsid w:val="006658B4"/>
    <w:rsid w:val="00665A8A"/>
    <w:rsid w:val="00665C04"/>
    <w:rsid w:val="00665D04"/>
    <w:rsid w:val="00665DE6"/>
    <w:rsid w:val="00665EDD"/>
    <w:rsid w:val="0066638C"/>
    <w:rsid w:val="00666404"/>
    <w:rsid w:val="006666D7"/>
    <w:rsid w:val="00666FBF"/>
    <w:rsid w:val="00667081"/>
    <w:rsid w:val="006672B4"/>
    <w:rsid w:val="00667351"/>
    <w:rsid w:val="006673F1"/>
    <w:rsid w:val="00667678"/>
    <w:rsid w:val="0066772B"/>
    <w:rsid w:val="0066785E"/>
    <w:rsid w:val="006678D5"/>
    <w:rsid w:val="00667910"/>
    <w:rsid w:val="00667A14"/>
    <w:rsid w:val="00667C1D"/>
    <w:rsid w:val="00670126"/>
    <w:rsid w:val="00670212"/>
    <w:rsid w:val="006702C9"/>
    <w:rsid w:val="00670323"/>
    <w:rsid w:val="00670658"/>
    <w:rsid w:val="006706FD"/>
    <w:rsid w:val="006707D2"/>
    <w:rsid w:val="0067098D"/>
    <w:rsid w:val="00670C5C"/>
    <w:rsid w:val="00670E7F"/>
    <w:rsid w:val="00671291"/>
    <w:rsid w:val="0067130C"/>
    <w:rsid w:val="00671326"/>
    <w:rsid w:val="006716BC"/>
    <w:rsid w:val="006717BB"/>
    <w:rsid w:val="00671861"/>
    <w:rsid w:val="00671A09"/>
    <w:rsid w:val="00671A7A"/>
    <w:rsid w:val="00671D2F"/>
    <w:rsid w:val="00672213"/>
    <w:rsid w:val="006722A3"/>
    <w:rsid w:val="00672387"/>
    <w:rsid w:val="00672536"/>
    <w:rsid w:val="00672790"/>
    <w:rsid w:val="00672A60"/>
    <w:rsid w:val="00672DD1"/>
    <w:rsid w:val="00672E39"/>
    <w:rsid w:val="00672F0D"/>
    <w:rsid w:val="00672FD4"/>
    <w:rsid w:val="0067321F"/>
    <w:rsid w:val="006733C3"/>
    <w:rsid w:val="00673438"/>
    <w:rsid w:val="00673453"/>
    <w:rsid w:val="006734A9"/>
    <w:rsid w:val="0067366C"/>
    <w:rsid w:val="0067396E"/>
    <w:rsid w:val="00673E06"/>
    <w:rsid w:val="00673F08"/>
    <w:rsid w:val="006740B4"/>
    <w:rsid w:val="00674189"/>
    <w:rsid w:val="006741D6"/>
    <w:rsid w:val="006746F3"/>
    <w:rsid w:val="00674C5D"/>
    <w:rsid w:val="00674FD6"/>
    <w:rsid w:val="006756EF"/>
    <w:rsid w:val="00675748"/>
    <w:rsid w:val="00675760"/>
    <w:rsid w:val="006758C0"/>
    <w:rsid w:val="00675DD1"/>
    <w:rsid w:val="00676080"/>
    <w:rsid w:val="00676092"/>
    <w:rsid w:val="006761BD"/>
    <w:rsid w:val="0067627E"/>
    <w:rsid w:val="006762C1"/>
    <w:rsid w:val="00676330"/>
    <w:rsid w:val="00676398"/>
    <w:rsid w:val="00676AE0"/>
    <w:rsid w:val="00676D0F"/>
    <w:rsid w:val="006770D3"/>
    <w:rsid w:val="00677600"/>
    <w:rsid w:val="006776F7"/>
    <w:rsid w:val="006778F6"/>
    <w:rsid w:val="00677A04"/>
    <w:rsid w:val="00677A73"/>
    <w:rsid w:val="00677B1B"/>
    <w:rsid w:val="00677B2A"/>
    <w:rsid w:val="00677DFD"/>
    <w:rsid w:val="00677E8C"/>
    <w:rsid w:val="00680161"/>
    <w:rsid w:val="006802B9"/>
    <w:rsid w:val="00680557"/>
    <w:rsid w:val="0068087B"/>
    <w:rsid w:val="0068095B"/>
    <w:rsid w:val="00680B9F"/>
    <w:rsid w:val="00680BBC"/>
    <w:rsid w:val="00680C68"/>
    <w:rsid w:val="00680E56"/>
    <w:rsid w:val="00680ECE"/>
    <w:rsid w:val="00680F80"/>
    <w:rsid w:val="006813C8"/>
    <w:rsid w:val="0068167A"/>
    <w:rsid w:val="0068175B"/>
    <w:rsid w:val="00681776"/>
    <w:rsid w:val="006817A7"/>
    <w:rsid w:val="00681843"/>
    <w:rsid w:val="00681946"/>
    <w:rsid w:val="00681EDC"/>
    <w:rsid w:val="00682014"/>
    <w:rsid w:val="00682626"/>
    <w:rsid w:val="006828B0"/>
    <w:rsid w:val="00682C32"/>
    <w:rsid w:val="006831F2"/>
    <w:rsid w:val="0068322E"/>
    <w:rsid w:val="0068324D"/>
    <w:rsid w:val="00683288"/>
    <w:rsid w:val="006834FF"/>
    <w:rsid w:val="006835A1"/>
    <w:rsid w:val="00683918"/>
    <w:rsid w:val="00683A4C"/>
    <w:rsid w:val="00683B3E"/>
    <w:rsid w:val="00683B79"/>
    <w:rsid w:val="00683EBA"/>
    <w:rsid w:val="00683EBC"/>
    <w:rsid w:val="00684156"/>
    <w:rsid w:val="006841CB"/>
    <w:rsid w:val="00684345"/>
    <w:rsid w:val="0068465D"/>
    <w:rsid w:val="006849E6"/>
    <w:rsid w:val="00684A7C"/>
    <w:rsid w:val="00684CAF"/>
    <w:rsid w:val="006850AE"/>
    <w:rsid w:val="006851B1"/>
    <w:rsid w:val="0068550F"/>
    <w:rsid w:val="00685668"/>
    <w:rsid w:val="00685796"/>
    <w:rsid w:val="006859FE"/>
    <w:rsid w:val="00685CD5"/>
    <w:rsid w:val="00685D4E"/>
    <w:rsid w:val="00685E0D"/>
    <w:rsid w:val="00686066"/>
    <w:rsid w:val="006861B8"/>
    <w:rsid w:val="0068632D"/>
    <w:rsid w:val="00686366"/>
    <w:rsid w:val="006863D1"/>
    <w:rsid w:val="00686443"/>
    <w:rsid w:val="0068648F"/>
    <w:rsid w:val="0068649F"/>
    <w:rsid w:val="00686682"/>
    <w:rsid w:val="0068676B"/>
    <w:rsid w:val="00686E25"/>
    <w:rsid w:val="00686E3F"/>
    <w:rsid w:val="00686F93"/>
    <w:rsid w:val="00686FFB"/>
    <w:rsid w:val="006870F1"/>
    <w:rsid w:val="0068713A"/>
    <w:rsid w:val="00687189"/>
    <w:rsid w:val="00687223"/>
    <w:rsid w:val="0068723B"/>
    <w:rsid w:val="00687636"/>
    <w:rsid w:val="00687C47"/>
    <w:rsid w:val="00687D71"/>
    <w:rsid w:val="00687E19"/>
    <w:rsid w:val="00687EBD"/>
    <w:rsid w:val="00687FC7"/>
    <w:rsid w:val="006900ED"/>
    <w:rsid w:val="0069012F"/>
    <w:rsid w:val="00690361"/>
    <w:rsid w:val="0069042C"/>
    <w:rsid w:val="0069084C"/>
    <w:rsid w:val="006908A0"/>
    <w:rsid w:val="00690AA1"/>
    <w:rsid w:val="00690AAB"/>
    <w:rsid w:val="00690AB8"/>
    <w:rsid w:val="00690BE1"/>
    <w:rsid w:val="00690CAC"/>
    <w:rsid w:val="00690D32"/>
    <w:rsid w:val="00690EDE"/>
    <w:rsid w:val="00690F5C"/>
    <w:rsid w:val="006912AA"/>
    <w:rsid w:val="006913ED"/>
    <w:rsid w:val="006918AC"/>
    <w:rsid w:val="00691958"/>
    <w:rsid w:val="00691F96"/>
    <w:rsid w:val="00692096"/>
    <w:rsid w:val="00692424"/>
    <w:rsid w:val="0069242A"/>
    <w:rsid w:val="0069274E"/>
    <w:rsid w:val="00692900"/>
    <w:rsid w:val="00692BC6"/>
    <w:rsid w:val="00692C61"/>
    <w:rsid w:val="00692CF9"/>
    <w:rsid w:val="00692D62"/>
    <w:rsid w:val="00692DE9"/>
    <w:rsid w:val="00692FD7"/>
    <w:rsid w:val="00693169"/>
    <w:rsid w:val="006932C9"/>
    <w:rsid w:val="006933E9"/>
    <w:rsid w:val="006934CC"/>
    <w:rsid w:val="006935BF"/>
    <w:rsid w:val="00693604"/>
    <w:rsid w:val="006936E7"/>
    <w:rsid w:val="006936F1"/>
    <w:rsid w:val="00693704"/>
    <w:rsid w:val="006939A3"/>
    <w:rsid w:val="00693AEB"/>
    <w:rsid w:val="00693E58"/>
    <w:rsid w:val="0069442B"/>
    <w:rsid w:val="00694823"/>
    <w:rsid w:val="006949F2"/>
    <w:rsid w:val="00694C2B"/>
    <w:rsid w:val="00694DC7"/>
    <w:rsid w:val="00694FAA"/>
    <w:rsid w:val="0069547D"/>
    <w:rsid w:val="006954BD"/>
    <w:rsid w:val="006956BA"/>
    <w:rsid w:val="00695923"/>
    <w:rsid w:val="006959F3"/>
    <w:rsid w:val="00695AE9"/>
    <w:rsid w:val="0069623E"/>
    <w:rsid w:val="006966D5"/>
    <w:rsid w:val="00696701"/>
    <w:rsid w:val="00696AEF"/>
    <w:rsid w:val="00696B7C"/>
    <w:rsid w:val="0069715D"/>
    <w:rsid w:val="006971EE"/>
    <w:rsid w:val="006971F2"/>
    <w:rsid w:val="0069723A"/>
    <w:rsid w:val="006976A9"/>
    <w:rsid w:val="00697713"/>
    <w:rsid w:val="0069775B"/>
    <w:rsid w:val="006978C0"/>
    <w:rsid w:val="00697A7E"/>
    <w:rsid w:val="00697CB9"/>
    <w:rsid w:val="00697CCC"/>
    <w:rsid w:val="00697D53"/>
    <w:rsid w:val="00697ECD"/>
    <w:rsid w:val="006A0C06"/>
    <w:rsid w:val="006A0CBD"/>
    <w:rsid w:val="006A1098"/>
    <w:rsid w:val="006A114B"/>
    <w:rsid w:val="006A14CC"/>
    <w:rsid w:val="006A179C"/>
    <w:rsid w:val="006A1AAC"/>
    <w:rsid w:val="006A1C9C"/>
    <w:rsid w:val="006A1CF5"/>
    <w:rsid w:val="006A1DDE"/>
    <w:rsid w:val="006A1F33"/>
    <w:rsid w:val="006A1FDD"/>
    <w:rsid w:val="006A2433"/>
    <w:rsid w:val="006A245C"/>
    <w:rsid w:val="006A25CF"/>
    <w:rsid w:val="006A2F41"/>
    <w:rsid w:val="006A332E"/>
    <w:rsid w:val="006A3C01"/>
    <w:rsid w:val="006A3F9A"/>
    <w:rsid w:val="006A40A5"/>
    <w:rsid w:val="006A4458"/>
    <w:rsid w:val="006A457A"/>
    <w:rsid w:val="006A4889"/>
    <w:rsid w:val="006A4B23"/>
    <w:rsid w:val="006A4BD5"/>
    <w:rsid w:val="006A4DD2"/>
    <w:rsid w:val="006A5022"/>
    <w:rsid w:val="006A5846"/>
    <w:rsid w:val="006A5847"/>
    <w:rsid w:val="006A584D"/>
    <w:rsid w:val="006A5864"/>
    <w:rsid w:val="006A5E29"/>
    <w:rsid w:val="006A5EF9"/>
    <w:rsid w:val="006A6049"/>
    <w:rsid w:val="006A62D7"/>
    <w:rsid w:val="006A6327"/>
    <w:rsid w:val="006A6951"/>
    <w:rsid w:val="006A6AEA"/>
    <w:rsid w:val="006A6E1D"/>
    <w:rsid w:val="006A6EA1"/>
    <w:rsid w:val="006A7164"/>
    <w:rsid w:val="006A7AFF"/>
    <w:rsid w:val="006A7BDB"/>
    <w:rsid w:val="006A7EA7"/>
    <w:rsid w:val="006A7F6D"/>
    <w:rsid w:val="006B00B5"/>
    <w:rsid w:val="006B013D"/>
    <w:rsid w:val="006B03C1"/>
    <w:rsid w:val="006B05D9"/>
    <w:rsid w:val="006B07EF"/>
    <w:rsid w:val="006B084E"/>
    <w:rsid w:val="006B0885"/>
    <w:rsid w:val="006B08F0"/>
    <w:rsid w:val="006B0A27"/>
    <w:rsid w:val="006B0BDD"/>
    <w:rsid w:val="006B0E6E"/>
    <w:rsid w:val="006B0EA5"/>
    <w:rsid w:val="006B115C"/>
    <w:rsid w:val="006B1219"/>
    <w:rsid w:val="006B1243"/>
    <w:rsid w:val="006B13B7"/>
    <w:rsid w:val="006B14AE"/>
    <w:rsid w:val="006B15E7"/>
    <w:rsid w:val="006B1A7C"/>
    <w:rsid w:val="006B1B19"/>
    <w:rsid w:val="006B1E86"/>
    <w:rsid w:val="006B1FF0"/>
    <w:rsid w:val="006B2125"/>
    <w:rsid w:val="006B2349"/>
    <w:rsid w:val="006B245B"/>
    <w:rsid w:val="006B24F9"/>
    <w:rsid w:val="006B27B7"/>
    <w:rsid w:val="006B2808"/>
    <w:rsid w:val="006B28EE"/>
    <w:rsid w:val="006B2942"/>
    <w:rsid w:val="006B29CD"/>
    <w:rsid w:val="006B2A05"/>
    <w:rsid w:val="006B2A24"/>
    <w:rsid w:val="006B2A93"/>
    <w:rsid w:val="006B2BBA"/>
    <w:rsid w:val="006B2C40"/>
    <w:rsid w:val="006B2D29"/>
    <w:rsid w:val="006B2D4B"/>
    <w:rsid w:val="006B2D99"/>
    <w:rsid w:val="006B306C"/>
    <w:rsid w:val="006B33C1"/>
    <w:rsid w:val="006B35CC"/>
    <w:rsid w:val="006B3994"/>
    <w:rsid w:val="006B3BB6"/>
    <w:rsid w:val="006B3CA4"/>
    <w:rsid w:val="006B3E30"/>
    <w:rsid w:val="006B412D"/>
    <w:rsid w:val="006B416F"/>
    <w:rsid w:val="006B424B"/>
    <w:rsid w:val="006B436E"/>
    <w:rsid w:val="006B453A"/>
    <w:rsid w:val="006B466B"/>
    <w:rsid w:val="006B4ACD"/>
    <w:rsid w:val="006B4C2B"/>
    <w:rsid w:val="006B4D59"/>
    <w:rsid w:val="006B4D9A"/>
    <w:rsid w:val="006B4F28"/>
    <w:rsid w:val="006B5422"/>
    <w:rsid w:val="006B54D7"/>
    <w:rsid w:val="006B5C7C"/>
    <w:rsid w:val="006B5D61"/>
    <w:rsid w:val="006B5E4F"/>
    <w:rsid w:val="006B6066"/>
    <w:rsid w:val="006B60F3"/>
    <w:rsid w:val="006B6113"/>
    <w:rsid w:val="006B6126"/>
    <w:rsid w:val="006B624A"/>
    <w:rsid w:val="006B6259"/>
    <w:rsid w:val="006B7123"/>
    <w:rsid w:val="006B7127"/>
    <w:rsid w:val="006B73CE"/>
    <w:rsid w:val="006B7620"/>
    <w:rsid w:val="006B777D"/>
    <w:rsid w:val="006B79CD"/>
    <w:rsid w:val="006B7C89"/>
    <w:rsid w:val="006B7CBC"/>
    <w:rsid w:val="006B7EBD"/>
    <w:rsid w:val="006C003A"/>
    <w:rsid w:val="006C0282"/>
    <w:rsid w:val="006C0600"/>
    <w:rsid w:val="006C0831"/>
    <w:rsid w:val="006C0CB6"/>
    <w:rsid w:val="006C0E45"/>
    <w:rsid w:val="006C1013"/>
    <w:rsid w:val="006C127C"/>
    <w:rsid w:val="006C12E7"/>
    <w:rsid w:val="006C145E"/>
    <w:rsid w:val="006C177D"/>
    <w:rsid w:val="006C190A"/>
    <w:rsid w:val="006C1A33"/>
    <w:rsid w:val="006C1C02"/>
    <w:rsid w:val="006C1DB8"/>
    <w:rsid w:val="006C23C0"/>
    <w:rsid w:val="006C249C"/>
    <w:rsid w:val="006C24D3"/>
    <w:rsid w:val="006C2626"/>
    <w:rsid w:val="006C29B7"/>
    <w:rsid w:val="006C2C44"/>
    <w:rsid w:val="006C2C4E"/>
    <w:rsid w:val="006C2CED"/>
    <w:rsid w:val="006C2DF3"/>
    <w:rsid w:val="006C30C3"/>
    <w:rsid w:val="006C3184"/>
    <w:rsid w:val="006C31F9"/>
    <w:rsid w:val="006C3284"/>
    <w:rsid w:val="006C3435"/>
    <w:rsid w:val="006C3662"/>
    <w:rsid w:val="006C3833"/>
    <w:rsid w:val="006C39C6"/>
    <w:rsid w:val="006C3D0A"/>
    <w:rsid w:val="006C4078"/>
    <w:rsid w:val="006C40EA"/>
    <w:rsid w:val="006C4750"/>
    <w:rsid w:val="006C47A9"/>
    <w:rsid w:val="006C4917"/>
    <w:rsid w:val="006C4B4B"/>
    <w:rsid w:val="006C4B8A"/>
    <w:rsid w:val="006C4B93"/>
    <w:rsid w:val="006C4C9B"/>
    <w:rsid w:val="006C4E77"/>
    <w:rsid w:val="006C4EAF"/>
    <w:rsid w:val="006C4FA0"/>
    <w:rsid w:val="006C4FAC"/>
    <w:rsid w:val="006C516A"/>
    <w:rsid w:val="006C56A7"/>
    <w:rsid w:val="006C5808"/>
    <w:rsid w:val="006C593C"/>
    <w:rsid w:val="006C5964"/>
    <w:rsid w:val="006C5984"/>
    <w:rsid w:val="006C59B2"/>
    <w:rsid w:val="006C603C"/>
    <w:rsid w:val="006C60FC"/>
    <w:rsid w:val="006C635A"/>
    <w:rsid w:val="006C667E"/>
    <w:rsid w:val="006C66DF"/>
    <w:rsid w:val="006C6779"/>
    <w:rsid w:val="006C680E"/>
    <w:rsid w:val="006C6895"/>
    <w:rsid w:val="006C6C41"/>
    <w:rsid w:val="006C76C5"/>
    <w:rsid w:val="006C778D"/>
    <w:rsid w:val="006C7B31"/>
    <w:rsid w:val="006C7BC1"/>
    <w:rsid w:val="006D0195"/>
    <w:rsid w:val="006D03A1"/>
    <w:rsid w:val="006D05C3"/>
    <w:rsid w:val="006D08FC"/>
    <w:rsid w:val="006D093C"/>
    <w:rsid w:val="006D0A8F"/>
    <w:rsid w:val="006D0D2F"/>
    <w:rsid w:val="006D0F4C"/>
    <w:rsid w:val="006D1069"/>
    <w:rsid w:val="006D145D"/>
    <w:rsid w:val="006D162F"/>
    <w:rsid w:val="006D1AA2"/>
    <w:rsid w:val="006D1C7F"/>
    <w:rsid w:val="006D1C9A"/>
    <w:rsid w:val="006D2012"/>
    <w:rsid w:val="006D22AF"/>
    <w:rsid w:val="006D280D"/>
    <w:rsid w:val="006D29D4"/>
    <w:rsid w:val="006D2A92"/>
    <w:rsid w:val="006D2D38"/>
    <w:rsid w:val="006D2DDE"/>
    <w:rsid w:val="006D3024"/>
    <w:rsid w:val="006D3094"/>
    <w:rsid w:val="006D3191"/>
    <w:rsid w:val="006D32AE"/>
    <w:rsid w:val="006D3349"/>
    <w:rsid w:val="006D3482"/>
    <w:rsid w:val="006D35E3"/>
    <w:rsid w:val="006D3881"/>
    <w:rsid w:val="006D3B24"/>
    <w:rsid w:val="006D3BA0"/>
    <w:rsid w:val="006D3CDF"/>
    <w:rsid w:val="006D3E74"/>
    <w:rsid w:val="006D401D"/>
    <w:rsid w:val="006D403A"/>
    <w:rsid w:val="006D41B0"/>
    <w:rsid w:val="006D4216"/>
    <w:rsid w:val="006D4396"/>
    <w:rsid w:val="006D45B4"/>
    <w:rsid w:val="006D4829"/>
    <w:rsid w:val="006D4A2E"/>
    <w:rsid w:val="006D4F78"/>
    <w:rsid w:val="006D51BA"/>
    <w:rsid w:val="006D5236"/>
    <w:rsid w:val="006D527E"/>
    <w:rsid w:val="006D52D8"/>
    <w:rsid w:val="006D5310"/>
    <w:rsid w:val="006D5A31"/>
    <w:rsid w:val="006D5E3B"/>
    <w:rsid w:val="006D5EDE"/>
    <w:rsid w:val="006D613E"/>
    <w:rsid w:val="006D61ED"/>
    <w:rsid w:val="006D622D"/>
    <w:rsid w:val="006D629E"/>
    <w:rsid w:val="006D632F"/>
    <w:rsid w:val="006D6436"/>
    <w:rsid w:val="006D67B8"/>
    <w:rsid w:val="006D6870"/>
    <w:rsid w:val="006D68AD"/>
    <w:rsid w:val="006D6953"/>
    <w:rsid w:val="006D6BA3"/>
    <w:rsid w:val="006D6D59"/>
    <w:rsid w:val="006D6F41"/>
    <w:rsid w:val="006D7090"/>
    <w:rsid w:val="006D7339"/>
    <w:rsid w:val="006D7535"/>
    <w:rsid w:val="006D7B9B"/>
    <w:rsid w:val="006D7CD4"/>
    <w:rsid w:val="006D7F30"/>
    <w:rsid w:val="006D7F59"/>
    <w:rsid w:val="006E0436"/>
    <w:rsid w:val="006E04C0"/>
    <w:rsid w:val="006E0697"/>
    <w:rsid w:val="006E0782"/>
    <w:rsid w:val="006E0B16"/>
    <w:rsid w:val="006E0CE2"/>
    <w:rsid w:val="006E104C"/>
    <w:rsid w:val="006E1344"/>
    <w:rsid w:val="006E147C"/>
    <w:rsid w:val="006E1546"/>
    <w:rsid w:val="006E17B9"/>
    <w:rsid w:val="006E19A3"/>
    <w:rsid w:val="006E19E4"/>
    <w:rsid w:val="006E201B"/>
    <w:rsid w:val="006E226C"/>
    <w:rsid w:val="006E2388"/>
    <w:rsid w:val="006E2504"/>
    <w:rsid w:val="006E2511"/>
    <w:rsid w:val="006E254A"/>
    <w:rsid w:val="006E25FF"/>
    <w:rsid w:val="006E28E5"/>
    <w:rsid w:val="006E2980"/>
    <w:rsid w:val="006E2AAC"/>
    <w:rsid w:val="006E2C2A"/>
    <w:rsid w:val="006E2DF8"/>
    <w:rsid w:val="006E2FF9"/>
    <w:rsid w:val="006E3213"/>
    <w:rsid w:val="006E3278"/>
    <w:rsid w:val="006E3676"/>
    <w:rsid w:val="006E388C"/>
    <w:rsid w:val="006E3B1B"/>
    <w:rsid w:val="006E3E27"/>
    <w:rsid w:val="006E3FA8"/>
    <w:rsid w:val="006E41A0"/>
    <w:rsid w:val="006E4297"/>
    <w:rsid w:val="006E448E"/>
    <w:rsid w:val="006E449B"/>
    <w:rsid w:val="006E44DB"/>
    <w:rsid w:val="006E465A"/>
    <w:rsid w:val="006E470A"/>
    <w:rsid w:val="006E4AEE"/>
    <w:rsid w:val="006E4C59"/>
    <w:rsid w:val="006E4DA8"/>
    <w:rsid w:val="006E4F0C"/>
    <w:rsid w:val="006E4F27"/>
    <w:rsid w:val="006E50E8"/>
    <w:rsid w:val="006E54D9"/>
    <w:rsid w:val="006E59B6"/>
    <w:rsid w:val="006E5F58"/>
    <w:rsid w:val="006E5F94"/>
    <w:rsid w:val="006E60D4"/>
    <w:rsid w:val="006E60E7"/>
    <w:rsid w:val="006E60EA"/>
    <w:rsid w:val="006E647E"/>
    <w:rsid w:val="006E6D6D"/>
    <w:rsid w:val="006E6E1E"/>
    <w:rsid w:val="006E73FD"/>
    <w:rsid w:val="006E73FE"/>
    <w:rsid w:val="006E76C5"/>
    <w:rsid w:val="006E7822"/>
    <w:rsid w:val="006E78F0"/>
    <w:rsid w:val="006E79C0"/>
    <w:rsid w:val="006E7B5D"/>
    <w:rsid w:val="006E7D3D"/>
    <w:rsid w:val="006E7E10"/>
    <w:rsid w:val="006E7E85"/>
    <w:rsid w:val="006E7F00"/>
    <w:rsid w:val="006E7F18"/>
    <w:rsid w:val="006F037F"/>
    <w:rsid w:val="006F04FD"/>
    <w:rsid w:val="006F06E6"/>
    <w:rsid w:val="006F0746"/>
    <w:rsid w:val="006F085C"/>
    <w:rsid w:val="006F0A63"/>
    <w:rsid w:val="006F0C33"/>
    <w:rsid w:val="006F0E62"/>
    <w:rsid w:val="006F0EB8"/>
    <w:rsid w:val="006F0EFD"/>
    <w:rsid w:val="006F1193"/>
    <w:rsid w:val="006F1252"/>
    <w:rsid w:val="006F12D7"/>
    <w:rsid w:val="006F149C"/>
    <w:rsid w:val="006F15BF"/>
    <w:rsid w:val="006F18D8"/>
    <w:rsid w:val="006F19BA"/>
    <w:rsid w:val="006F1A4A"/>
    <w:rsid w:val="006F1D77"/>
    <w:rsid w:val="006F1F66"/>
    <w:rsid w:val="006F216E"/>
    <w:rsid w:val="006F2681"/>
    <w:rsid w:val="006F26C7"/>
    <w:rsid w:val="006F28A6"/>
    <w:rsid w:val="006F28BC"/>
    <w:rsid w:val="006F28C1"/>
    <w:rsid w:val="006F28F4"/>
    <w:rsid w:val="006F2940"/>
    <w:rsid w:val="006F298E"/>
    <w:rsid w:val="006F29E6"/>
    <w:rsid w:val="006F29E8"/>
    <w:rsid w:val="006F2C53"/>
    <w:rsid w:val="006F2D62"/>
    <w:rsid w:val="006F2DF3"/>
    <w:rsid w:val="006F3142"/>
    <w:rsid w:val="006F332E"/>
    <w:rsid w:val="006F3699"/>
    <w:rsid w:val="006F377F"/>
    <w:rsid w:val="006F37AB"/>
    <w:rsid w:val="006F3A02"/>
    <w:rsid w:val="006F3B38"/>
    <w:rsid w:val="006F3D98"/>
    <w:rsid w:val="006F4388"/>
    <w:rsid w:val="006F469A"/>
    <w:rsid w:val="006F474D"/>
    <w:rsid w:val="006F48EB"/>
    <w:rsid w:val="006F49D6"/>
    <w:rsid w:val="006F4C99"/>
    <w:rsid w:val="006F4D7D"/>
    <w:rsid w:val="006F50FB"/>
    <w:rsid w:val="006F51D1"/>
    <w:rsid w:val="006F5429"/>
    <w:rsid w:val="006F54E8"/>
    <w:rsid w:val="006F54E9"/>
    <w:rsid w:val="006F5BB5"/>
    <w:rsid w:val="006F5CDC"/>
    <w:rsid w:val="006F5D1D"/>
    <w:rsid w:val="006F5EBC"/>
    <w:rsid w:val="006F63BE"/>
    <w:rsid w:val="006F65A8"/>
    <w:rsid w:val="006F6BEB"/>
    <w:rsid w:val="006F6FE8"/>
    <w:rsid w:val="006F7085"/>
    <w:rsid w:val="006F720A"/>
    <w:rsid w:val="006F748D"/>
    <w:rsid w:val="006F74BD"/>
    <w:rsid w:val="006F7606"/>
    <w:rsid w:val="006F76F0"/>
    <w:rsid w:val="006F7781"/>
    <w:rsid w:val="006F77A9"/>
    <w:rsid w:val="006F7AD7"/>
    <w:rsid w:val="006F7B1A"/>
    <w:rsid w:val="007003B6"/>
    <w:rsid w:val="0070048B"/>
    <w:rsid w:val="00700EEE"/>
    <w:rsid w:val="00700F8C"/>
    <w:rsid w:val="0070101D"/>
    <w:rsid w:val="00701279"/>
    <w:rsid w:val="00701349"/>
    <w:rsid w:val="007015A9"/>
    <w:rsid w:val="0070187A"/>
    <w:rsid w:val="00701DAC"/>
    <w:rsid w:val="00701FE8"/>
    <w:rsid w:val="00702010"/>
    <w:rsid w:val="00702044"/>
    <w:rsid w:val="007021A9"/>
    <w:rsid w:val="00702272"/>
    <w:rsid w:val="00702931"/>
    <w:rsid w:val="007029C4"/>
    <w:rsid w:val="00702ACF"/>
    <w:rsid w:val="00702B7F"/>
    <w:rsid w:val="00702B98"/>
    <w:rsid w:val="00702EAA"/>
    <w:rsid w:val="00702EFB"/>
    <w:rsid w:val="00703058"/>
    <w:rsid w:val="00703123"/>
    <w:rsid w:val="0070359E"/>
    <w:rsid w:val="00703B2F"/>
    <w:rsid w:val="00703CC5"/>
    <w:rsid w:val="007041DF"/>
    <w:rsid w:val="00704391"/>
    <w:rsid w:val="007043E3"/>
    <w:rsid w:val="0070441F"/>
    <w:rsid w:val="00704557"/>
    <w:rsid w:val="007049E8"/>
    <w:rsid w:val="00704B5A"/>
    <w:rsid w:val="0070501B"/>
    <w:rsid w:val="007051A7"/>
    <w:rsid w:val="0070535B"/>
    <w:rsid w:val="00705484"/>
    <w:rsid w:val="0070565F"/>
    <w:rsid w:val="007058EF"/>
    <w:rsid w:val="00705927"/>
    <w:rsid w:val="00705A66"/>
    <w:rsid w:val="00705B06"/>
    <w:rsid w:val="00705D9C"/>
    <w:rsid w:val="00705F8F"/>
    <w:rsid w:val="007062B8"/>
    <w:rsid w:val="00706310"/>
    <w:rsid w:val="0070635E"/>
    <w:rsid w:val="00706360"/>
    <w:rsid w:val="0070636A"/>
    <w:rsid w:val="007070BA"/>
    <w:rsid w:val="0070717F"/>
    <w:rsid w:val="0070751D"/>
    <w:rsid w:val="00707893"/>
    <w:rsid w:val="00707954"/>
    <w:rsid w:val="007079D8"/>
    <w:rsid w:val="007079FE"/>
    <w:rsid w:val="00707B54"/>
    <w:rsid w:val="00707D7D"/>
    <w:rsid w:val="007100E8"/>
    <w:rsid w:val="00710168"/>
    <w:rsid w:val="0071020D"/>
    <w:rsid w:val="00710544"/>
    <w:rsid w:val="0071076C"/>
    <w:rsid w:val="007107EA"/>
    <w:rsid w:val="007108DF"/>
    <w:rsid w:val="00710EDE"/>
    <w:rsid w:val="0071149D"/>
    <w:rsid w:val="007115F7"/>
    <w:rsid w:val="0071164C"/>
    <w:rsid w:val="00711920"/>
    <w:rsid w:val="007119EF"/>
    <w:rsid w:val="00711C38"/>
    <w:rsid w:val="00711CCC"/>
    <w:rsid w:val="007120B2"/>
    <w:rsid w:val="00712109"/>
    <w:rsid w:val="0071215A"/>
    <w:rsid w:val="00712382"/>
    <w:rsid w:val="0071242E"/>
    <w:rsid w:val="0071247C"/>
    <w:rsid w:val="007124DA"/>
    <w:rsid w:val="007125AC"/>
    <w:rsid w:val="007126C9"/>
    <w:rsid w:val="007126D9"/>
    <w:rsid w:val="00712769"/>
    <w:rsid w:val="00712817"/>
    <w:rsid w:val="00712D14"/>
    <w:rsid w:val="00712FF4"/>
    <w:rsid w:val="0071300F"/>
    <w:rsid w:val="007136BA"/>
    <w:rsid w:val="007137A4"/>
    <w:rsid w:val="007138B0"/>
    <w:rsid w:val="00713ABC"/>
    <w:rsid w:val="00713BEC"/>
    <w:rsid w:val="00713C83"/>
    <w:rsid w:val="00714186"/>
    <w:rsid w:val="007142E4"/>
    <w:rsid w:val="0071469D"/>
    <w:rsid w:val="00714899"/>
    <w:rsid w:val="00714A0A"/>
    <w:rsid w:val="00715115"/>
    <w:rsid w:val="007151B7"/>
    <w:rsid w:val="007153B4"/>
    <w:rsid w:val="007153F6"/>
    <w:rsid w:val="00715588"/>
    <w:rsid w:val="00715732"/>
    <w:rsid w:val="00715B62"/>
    <w:rsid w:val="00715BC8"/>
    <w:rsid w:val="00715DCF"/>
    <w:rsid w:val="00715E6E"/>
    <w:rsid w:val="0071622D"/>
    <w:rsid w:val="007165C4"/>
    <w:rsid w:val="007168EE"/>
    <w:rsid w:val="00716981"/>
    <w:rsid w:val="00716A7D"/>
    <w:rsid w:val="00716EE5"/>
    <w:rsid w:val="00717058"/>
    <w:rsid w:val="0071736D"/>
    <w:rsid w:val="007173D5"/>
    <w:rsid w:val="00717483"/>
    <w:rsid w:val="00717814"/>
    <w:rsid w:val="00717B35"/>
    <w:rsid w:val="00717DBF"/>
    <w:rsid w:val="00717E47"/>
    <w:rsid w:val="00720484"/>
    <w:rsid w:val="00720596"/>
    <w:rsid w:val="00720796"/>
    <w:rsid w:val="00720857"/>
    <w:rsid w:val="00720B1C"/>
    <w:rsid w:val="00720C67"/>
    <w:rsid w:val="00720C73"/>
    <w:rsid w:val="00720D97"/>
    <w:rsid w:val="00720E38"/>
    <w:rsid w:val="007211DD"/>
    <w:rsid w:val="007212B7"/>
    <w:rsid w:val="0072149A"/>
    <w:rsid w:val="00721568"/>
    <w:rsid w:val="007216A8"/>
    <w:rsid w:val="00721DC0"/>
    <w:rsid w:val="00721EEB"/>
    <w:rsid w:val="00721FDC"/>
    <w:rsid w:val="0072216F"/>
    <w:rsid w:val="007222EE"/>
    <w:rsid w:val="007225DF"/>
    <w:rsid w:val="00722752"/>
    <w:rsid w:val="00722C99"/>
    <w:rsid w:val="00722EC1"/>
    <w:rsid w:val="00722EE3"/>
    <w:rsid w:val="00723095"/>
    <w:rsid w:val="00723254"/>
    <w:rsid w:val="00723728"/>
    <w:rsid w:val="007237E0"/>
    <w:rsid w:val="00723871"/>
    <w:rsid w:val="00723920"/>
    <w:rsid w:val="00723A44"/>
    <w:rsid w:val="00723A8F"/>
    <w:rsid w:val="00723B40"/>
    <w:rsid w:val="00723B9C"/>
    <w:rsid w:val="0072409F"/>
    <w:rsid w:val="007240AF"/>
    <w:rsid w:val="0072428B"/>
    <w:rsid w:val="007242F8"/>
    <w:rsid w:val="007243E6"/>
    <w:rsid w:val="0072441F"/>
    <w:rsid w:val="00724532"/>
    <w:rsid w:val="00724687"/>
    <w:rsid w:val="00724750"/>
    <w:rsid w:val="00724879"/>
    <w:rsid w:val="00724887"/>
    <w:rsid w:val="00724A27"/>
    <w:rsid w:val="00724B2F"/>
    <w:rsid w:val="00725183"/>
    <w:rsid w:val="007251C3"/>
    <w:rsid w:val="007252A5"/>
    <w:rsid w:val="007252BB"/>
    <w:rsid w:val="00725530"/>
    <w:rsid w:val="00725695"/>
    <w:rsid w:val="00725801"/>
    <w:rsid w:val="00725A4C"/>
    <w:rsid w:val="00725EAB"/>
    <w:rsid w:val="00726021"/>
    <w:rsid w:val="00726319"/>
    <w:rsid w:val="00726373"/>
    <w:rsid w:val="0072646E"/>
    <w:rsid w:val="007264FC"/>
    <w:rsid w:val="007265E5"/>
    <w:rsid w:val="0072681B"/>
    <w:rsid w:val="00726B94"/>
    <w:rsid w:val="00726C18"/>
    <w:rsid w:val="00726C8B"/>
    <w:rsid w:val="00726C96"/>
    <w:rsid w:val="00726F46"/>
    <w:rsid w:val="00726F65"/>
    <w:rsid w:val="0072707A"/>
    <w:rsid w:val="00727103"/>
    <w:rsid w:val="0072746B"/>
    <w:rsid w:val="007274C5"/>
    <w:rsid w:val="00727A3D"/>
    <w:rsid w:val="00727ADF"/>
    <w:rsid w:val="00727E7B"/>
    <w:rsid w:val="0073024D"/>
    <w:rsid w:val="0073032B"/>
    <w:rsid w:val="007304A8"/>
    <w:rsid w:val="00730659"/>
    <w:rsid w:val="0073071E"/>
    <w:rsid w:val="0073095C"/>
    <w:rsid w:val="00730990"/>
    <w:rsid w:val="0073102E"/>
    <w:rsid w:val="0073140A"/>
    <w:rsid w:val="007316FF"/>
    <w:rsid w:val="00731739"/>
    <w:rsid w:val="007317D8"/>
    <w:rsid w:val="00731A8C"/>
    <w:rsid w:val="00731C30"/>
    <w:rsid w:val="00731D05"/>
    <w:rsid w:val="00731EE8"/>
    <w:rsid w:val="00731F0F"/>
    <w:rsid w:val="00732128"/>
    <w:rsid w:val="00732223"/>
    <w:rsid w:val="00732589"/>
    <w:rsid w:val="007326FD"/>
    <w:rsid w:val="0073277C"/>
    <w:rsid w:val="007328FB"/>
    <w:rsid w:val="00732AC5"/>
    <w:rsid w:val="00732B34"/>
    <w:rsid w:val="00732C6D"/>
    <w:rsid w:val="00732C78"/>
    <w:rsid w:val="00732CE1"/>
    <w:rsid w:val="00732FCF"/>
    <w:rsid w:val="007331BF"/>
    <w:rsid w:val="007335F8"/>
    <w:rsid w:val="007338B9"/>
    <w:rsid w:val="00733A76"/>
    <w:rsid w:val="00733BE3"/>
    <w:rsid w:val="00733D18"/>
    <w:rsid w:val="0073406F"/>
    <w:rsid w:val="007341C5"/>
    <w:rsid w:val="007345C0"/>
    <w:rsid w:val="007346DD"/>
    <w:rsid w:val="007347E2"/>
    <w:rsid w:val="00734835"/>
    <w:rsid w:val="007349A5"/>
    <w:rsid w:val="00734C7F"/>
    <w:rsid w:val="00735506"/>
    <w:rsid w:val="007355A9"/>
    <w:rsid w:val="00735647"/>
    <w:rsid w:val="00735750"/>
    <w:rsid w:val="00735B3F"/>
    <w:rsid w:val="00735DE2"/>
    <w:rsid w:val="00735EB2"/>
    <w:rsid w:val="007363F4"/>
    <w:rsid w:val="0073667D"/>
    <w:rsid w:val="00736786"/>
    <w:rsid w:val="007367B8"/>
    <w:rsid w:val="007368A2"/>
    <w:rsid w:val="007368CB"/>
    <w:rsid w:val="00736923"/>
    <w:rsid w:val="00736A06"/>
    <w:rsid w:val="00736B5D"/>
    <w:rsid w:val="00736EA6"/>
    <w:rsid w:val="007371AC"/>
    <w:rsid w:val="0073785B"/>
    <w:rsid w:val="00737BD8"/>
    <w:rsid w:val="00737CDA"/>
    <w:rsid w:val="00737CDE"/>
    <w:rsid w:val="00737DBB"/>
    <w:rsid w:val="00737F1E"/>
    <w:rsid w:val="00737F9D"/>
    <w:rsid w:val="00737FE3"/>
    <w:rsid w:val="0074001C"/>
    <w:rsid w:val="007402A6"/>
    <w:rsid w:val="00740848"/>
    <w:rsid w:val="00740B79"/>
    <w:rsid w:val="00740E23"/>
    <w:rsid w:val="00740F1B"/>
    <w:rsid w:val="00741135"/>
    <w:rsid w:val="0074120A"/>
    <w:rsid w:val="00741232"/>
    <w:rsid w:val="00741643"/>
    <w:rsid w:val="00741728"/>
    <w:rsid w:val="00741937"/>
    <w:rsid w:val="00741B07"/>
    <w:rsid w:val="00741B16"/>
    <w:rsid w:val="00741B9D"/>
    <w:rsid w:val="00741DE2"/>
    <w:rsid w:val="00741EC2"/>
    <w:rsid w:val="00741ED1"/>
    <w:rsid w:val="00741EED"/>
    <w:rsid w:val="00741F8E"/>
    <w:rsid w:val="00742220"/>
    <w:rsid w:val="007423CB"/>
    <w:rsid w:val="0074277E"/>
    <w:rsid w:val="0074281C"/>
    <w:rsid w:val="00742BEB"/>
    <w:rsid w:val="00742D98"/>
    <w:rsid w:val="0074325E"/>
    <w:rsid w:val="0074398C"/>
    <w:rsid w:val="00743D68"/>
    <w:rsid w:val="00743E3A"/>
    <w:rsid w:val="00743EBD"/>
    <w:rsid w:val="007441A7"/>
    <w:rsid w:val="0074436D"/>
    <w:rsid w:val="00744844"/>
    <w:rsid w:val="00744845"/>
    <w:rsid w:val="007448B4"/>
    <w:rsid w:val="00744996"/>
    <w:rsid w:val="00744A2E"/>
    <w:rsid w:val="00744B9E"/>
    <w:rsid w:val="00744C8F"/>
    <w:rsid w:val="00744D8D"/>
    <w:rsid w:val="00744EED"/>
    <w:rsid w:val="00745190"/>
    <w:rsid w:val="007451B0"/>
    <w:rsid w:val="007451BA"/>
    <w:rsid w:val="0074520E"/>
    <w:rsid w:val="0074575B"/>
    <w:rsid w:val="00745873"/>
    <w:rsid w:val="00745F22"/>
    <w:rsid w:val="00746100"/>
    <w:rsid w:val="00746378"/>
    <w:rsid w:val="007465B6"/>
    <w:rsid w:val="00746B38"/>
    <w:rsid w:val="00746BD4"/>
    <w:rsid w:val="00746C5D"/>
    <w:rsid w:val="0074726C"/>
    <w:rsid w:val="007473CA"/>
    <w:rsid w:val="00747457"/>
    <w:rsid w:val="0074745F"/>
    <w:rsid w:val="00747538"/>
    <w:rsid w:val="007475A2"/>
    <w:rsid w:val="007476D2"/>
    <w:rsid w:val="007476EA"/>
    <w:rsid w:val="0074778B"/>
    <w:rsid w:val="00747949"/>
    <w:rsid w:val="00747986"/>
    <w:rsid w:val="00747CEC"/>
    <w:rsid w:val="00747DA1"/>
    <w:rsid w:val="007500C1"/>
    <w:rsid w:val="007500F1"/>
    <w:rsid w:val="00750833"/>
    <w:rsid w:val="007508AA"/>
    <w:rsid w:val="007508AB"/>
    <w:rsid w:val="007508AE"/>
    <w:rsid w:val="00750B59"/>
    <w:rsid w:val="00750C9E"/>
    <w:rsid w:val="00750D74"/>
    <w:rsid w:val="00750E51"/>
    <w:rsid w:val="00750F74"/>
    <w:rsid w:val="00750F8E"/>
    <w:rsid w:val="0075113B"/>
    <w:rsid w:val="00751186"/>
    <w:rsid w:val="007512A9"/>
    <w:rsid w:val="00751891"/>
    <w:rsid w:val="007519BE"/>
    <w:rsid w:val="00751E76"/>
    <w:rsid w:val="00751E9B"/>
    <w:rsid w:val="00751F8F"/>
    <w:rsid w:val="007520B3"/>
    <w:rsid w:val="007521E2"/>
    <w:rsid w:val="0075239F"/>
    <w:rsid w:val="00752448"/>
    <w:rsid w:val="00752663"/>
    <w:rsid w:val="00752AFA"/>
    <w:rsid w:val="00752BF1"/>
    <w:rsid w:val="00752C79"/>
    <w:rsid w:val="00752D28"/>
    <w:rsid w:val="00752E8E"/>
    <w:rsid w:val="00752F47"/>
    <w:rsid w:val="00752FD6"/>
    <w:rsid w:val="007530A6"/>
    <w:rsid w:val="00753106"/>
    <w:rsid w:val="0075310D"/>
    <w:rsid w:val="00753277"/>
    <w:rsid w:val="007532A2"/>
    <w:rsid w:val="00753641"/>
    <w:rsid w:val="00753C51"/>
    <w:rsid w:val="00753D18"/>
    <w:rsid w:val="00753EF5"/>
    <w:rsid w:val="007542DE"/>
    <w:rsid w:val="00754426"/>
    <w:rsid w:val="007546B5"/>
    <w:rsid w:val="007546B8"/>
    <w:rsid w:val="007546BE"/>
    <w:rsid w:val="0075498F"/>
    <w:rsid w:val="00754AC4"/>
    <w:rsid w:val="00754B25"/>
    <w:rsid w:val="00754E02"/>
    <w:rsid w:val="00754E70"/>
    <w:rsid w:val="00754EE7"/>
    <w:rsid w:val="0075502C"/>
    <w:rsid w:val="00755100"/>
    <w:rsid w:val="007552E8"/>
    <w:rsid w:val="0075560A"/>
    <w:rsid w:val="007556EE"/>
    <w:rsid w:val="00755B88"/>
    <w:rsid w:val="00755C4D"/>
    <w:rsid w:val="00755F2E"/>
    <w:rsid w:val="007564AF"/>
    <w:rsid w:val="00756786"/>
    <w:rsid w:val="00756828"/>
    <w:rsid w:val="007568D1"/>
    <w:rsid w:val="00756990"/>
    <w:rsid w:val="00756E2B"/>
    <w:rsid w:val="007570FF"/>
    <w:rsid w:val="007571C3"/>
    <w:rsid w:val="00757398"/>
    <w:rsid w:val="007573C5"/>
    <w:rsid w:val="007573FE"/>
    <w:rsid w:val="0075763F"/>
    <w:rsid w:val="00757733"/>
    <w:rsid w:val="00757FA0"/>
    <w:rsid w:val="00757FA5"/>
    <w:rsid w:val="007601AD"/>
    <w:rsid w:val="0076040E"/>
    <w:rsid w:val="00760564"/>
    <w:rsid w:val="0076064A"/>
    <w:rsid w:val="0076089D"/>
    <w:rsid w:val="00760D0E"/>
    <w:rsid w:val="007611E5"/>
    <w:rsid w:val="00761344"/>
    <w:rsid w:val="007616E1"/>
    <w:rsid w:val="0076173F"/>
    <w:rsid w:val="00761955"/>
    <w:rsid w:val="007619E7"/>
    <w:rsid w:val="00761BAD"/>
    <w:rsid w:val="00761CCD"/>
    <w:rsid w:val="0076205B"/>
    <w:rsid w:val="00762395"/>
    <w:rsid w:val="0076239B"/>
    <w:rsid w:val="007625E5"/>
    <w:rsid w:val="007625FA"/>
    <w:rsid w:val="00762656"/>
    <w:rsid w:val="0076273E"/>
    <w:rsid w:val="007629DC"/>
    <w:rsid w:val="00762BA1"/>
    <w:rsid w:val="00762DDB"/>
    <w:rsid w:val="00762F95"/>
    <w:rsid w:val="00762FB0"/>
    <w:rsid w:val="007635F1"/>
    <w:rsid w:val="0076360E"/>
    <w:rsid w:val="00763707"/>
    <w:rsid w:val="00763839"/>
    <w:rsid w:val="00763A8D"/>
    <w:rsid w:val="00763B9F"/>
    <w:rsid w:val="00763EFB"/>
    <w:rsid w:val="00763F78"/>
    <w:rsid w:val="0076403B"/>
    <w:rsid w:val="007640AF"/>
    <w:rsid w:val="007641E6"/>
    <w:rsid w:val="007642FE"/>
    <w:rsid w:val="00764324"/>
    <w:rsid w:val="007646E8"/>
    <w:rsid w:val="0076492B"/>
    <w:rsid w:val="00764936"/>
    <w:rsid w:val="007649ED"/>
    <w:rsid w:val="00764BC4"/>
    <w:rsid w:val="00764D17"/>
    <w:rsid w:val="00764DBE"/>
    <w:rsid w:val="00764DDE"/>
    <w:rsid w:val="00764F94"/>
    <w:rsid w:val="00764FF1"/>
    <w:rsid w:val="00765282"/>
    <w:rsid w:val="007652BE"/>
    <w:rsid w:val="007655C9"/>
    <w:rsid w:val="007658D0"/>
    <w:rsid w:val="00765C04"/>
    <w:rsid w:val="00765D0D"/>
    <w:rsid w:val="00765EEC"/>
    <w:rsid w:val="0076612A"/>
    <w:rsid w:val="007661DB"/>
    <w:rsid w:val="007662AE"/>
    <w:rsid w:val="007662F4"/>
    <w:rsid w:val="007665E0"/>
    <w:rsid w:val="00766615"/>
    <w:rsid w:val="007667AC"/>
    <w:rsid w:val="00766C06"/>
    <w:rsid w:val="00766CC9"/>
    <w:rsid w:val="00767129"/>
    <w:rsid w:val="007671AC"/>
    <w:rsid w:val="00767369"/>
    <w:rsid w:val="0076757D"/>
    <w:rsid w:val="00767687"/>
    <w:rsid w:val="00767B15"/>
    <w:rsid w:val="00767B27"/>
    <w:rsid w:val="00767B3D"/>
    <w:rsid w:val="00767CB0"/>
    <w:rsid w:val="00767EE6"/>
    <w:rsid w:val="00770059"/>
    <w:rsid w:val="0077046A"/>
    <w:rsid w:val="007707B9"/>
    <w:rsid w:val="007707D1"/>
    <w:rsid w:val="00770AEB"/>
    <w:rsid w:val="00770B25"/>
    <w:rsid w:val="00770C51"/>
    <w:rsid w:val="00771011"/>
    <w:rsid w:val="00771184"/>
    <w:rsid w:val="0077118D"/>
    <w:rsid w:val="007712B8"/>
    <w:rsid w:val="0077169F"/>
    <w:rsid w:val="0077180C"/>
    <w:rsid w:val="00771A0B"/>
    <w:rsid w:val="00771EC0"/>
    <w:rsid w:val="00771F39"/>
    <w:rsid w:val="00771F90"/>
    <w:rsid w:val="0077217C"/>
    <w:rsid w:val="007721EF"/>
    <w:rsid w:val="00772207"/>
    <w:rsid w:val="0077225E"/>
    <w:rsid w:val="007723CF"/>
    <w:rsid w:val="0077249E"/>
    <w:rsid w:val="007725CB"/>
    <w:rsid w:val="00772621"/>
    <w:rsid w:val="00772AC7"/>
    <w:rsid w:val="00772BA7"/>
    <w:rsid w:val="00772E16"/>
    <w:rsid w:val="00772F96"/>
    <w:rsid w:val="0077328A"/>
    <w:rsid w:val="00773365"/>
    <w:rsid w:val="0077363A"/>
    <w:rsid w:val="007737C7"/>
    <w:rsid w:val="007737C9"/>
    <w:rsid w:val="00773826"/>
    <w:rsid w:val="007738A0"/>
    <w:rsid w:val="007738EC"/>
    <w:rsid w:val="00773C97"/>
    <w:rsid w:val="00773DD2"/>
    <w:rsid w:val="00773EA9"/>
    <w:rsid w:val="0077445B"/>
    <w:rsid w:val="00774480"/>
    <w:rsid w:val="00774895"/>
    <w:rsid w:val="007749C6"/>
    <w:rsid w:val="007749FF"/>
    <w:rsid w:val="00774ACD"/>
    <w:rsid w:val="00774C11"/>
    <w:rsid w:val="00774D2D"/>
    <w:rsid w:val="00774FBB"/>
    <w:rsid w:val="0077504F"/>
    <w:rsid w:val="007750AB"/>
    <w:rsid w:val="007752B3"/>
    <w:rsid w:val="0077560C"/>
    <w:rsid w:val="00775672"/>
    <w:rsid w:val="007757E3"/>
    <w:rsid w:val="007758FA"/>
    <w:rsid w:val="00775D81"/>
    <w:rsid w:val="007760B8"/>
    <w:rsid w:val="0077619C"/>
    <w:rsid w:val="0077624B"/>
    <w:rsid w:val="00776517"/>
    <w:rsid w:val="00776628"/>
    <w:rsid w:val="007766D1"/>
    <w:rsid w:val="00776887"/>
    <w:rsid w:val="00776C86"/>
    <w:rsid w:val="00776CA8"/>
    <w:rsid w:val="00776DA1"/>
    <w:rsid w:val="00776E2D"/>
    <w:rsid w:val="00776EE3"/>
    <w:rsid w:val="007771B2"/>
    <w:rsid w:val="00777603"/>
    <w:rsid w:val="0077773D"/>
    <w:rsid w:val="007779C5"/>
    <w:rsid w:val="00777A5C"/>
    <w:rsid w:val="00777C2F"/>
    <w:rsid w:val="00777FFB"/>
    <w:rsid w:val="00780048"/>
    <w:rsid w:val="00780071"/>
    <w:rsid w:val="0078029C"/>
    <w:rsid w:val="00780366"/>
    <w:rsid w:val="00780408"/>
    <w:rsid w:val="007804DB"/>
    <w:rsid w:val="00780ABF"/>
    <w:rsid w:val="00780B53"/>
    <w:rsid w:val="00780B9E"/>
    <w:rsid w:val="00780D00"/>
    <w:rsid w:val="00780D86"/>
    <w:rsid w:val="00780FB0"/>
    <w:rsid w:val="00781872"/>
    <w:rsid w:val="007818A1"/>
    <w:rsid w:val="007818D2"/>
    <w:rsid w:val="00781C9C"/>
    <w:rsid w:val="00781E58"/>
    <w:rsid w:val="00781F51"/>
    <w:rsid w:val="0078211A"/>
    <w:rsid w:val="0078244B"/>
    <w:rsid w:val="007825E6"/>
    <w:rsid w:val="0078265E"/>
    <w:rsid w:val="007826A6"/>
    <w:rsid w:val="007827E3"/>
    <w:rsid w:val="0078287D"/>
    <w:rsid w:val="007828F1"/>
    <w:rsid w:val="00782A47"/>
    <w:rsid w:val="00782F91"/>
    <w:rsid w:val="007831DC"/>
    <w:rsid w:val="00783531"/>
    <w:rsid w:val="0078362D"/>
    <w:rsid w:val="00783632"/>
    <w:rsid w:val="00783773"/>
    <w:rsid w:val="007838E4"/>
    <w:rsid w:val="00783CB8"/>
    <w:rsid w:val="00783F94"/>
    <w:rsid w:val="007845A8"/>
    <w:rsid w:val="007845E7"/>
    <w:rsid w:val="00784660"/>
    <w:rsid w:val="00784665"/>
    <w:rsid w:val="007847D1"/>
    <w:rsid w:val="0078489A"/>
    <w:rsid w:val="00784969"/>
    <w:rsid w:val="00784A0F"/>
    <w:rsid w:val="00784F3B"/>
    <w:rsid w:val="00785021"/>
    <w:rsid w:val="007852CD"/>
    <w:rsid w:val="00785548"/>
    <w:rsid w:val="00785874"/>
    <w:rsid w:val="007859B4"/>
    <w:rsid w:val="00785BDD"/>
    <w:rsid w:val="00785BE8"/>
    <w:rsid w:val="00785D2D"/>
    <w:rsid w:val="00785DAF"/>
    <w:rsid w:val="00786101"/>
    <w:rsid w:val="007866D4"/>
    <w:rsid w:val="00786830"/>
    <w:rsid w:val="007868B5"/>
    <w:rsid w:val="00786942"/>
    <w:rsid w:val="007869FA"/>
    <w:rsid w:val="00786E80"/>
    <w:rsid w:val="00787407"/>
    <w:rsid w:val="00787437"/>
    <w:rsid w:val="0078750A"/>
    <w:rsid w:val="0078751C"/>
    <w:rsid w:val="00787C2F"/>
    <w:rsid w:val="00787CB3"/>
    <w:rsid w:val="00787FAF"/>
    <w:rsid w:val="00787FD5"/>
    <w:rsid w:val="0079030C"/>
    <w:rsid w:val="0079041A"/>
    <w:rsid w:val="00790440"/>
    <w:rsid w:val="00790473"/>
    <w:rsid w:val="007904C0"/>
    <w:rsid w:val="00790620"/>
    <w:rsid w:val="00790BC6"/>
    <w:rsid w:val="00790C13"/>
    <w:rsid w:val="00790CE6"/>
    <w:rsid w:val="00790D86"/>
    <w:rsid w:val="007910ED"/>
    <w:rsid w:val="0079117A"/>
    <w:rsid w:val="007912C7"/>
    <w:rsid w:val="007913A4"/>
    <w:rsid w:val="007916D0"/>
    <w:rsid w:val="0079174B"/>
    <w:rsid w:val="0079195B"/>
    <w:rsid w:val="00791CCC"/>
    <w:rsid w:val="00791D83"/>
    <w:rsid w:val="00792245"/>
    <w:rsid w:val="00792339"/>
    <w:rsid w:val="007923E5"/>
    <w:rsid w:val="007925FE"/>
    <w:rsid w:val="007926AB"/>
    <w:rsid w:val="0079295F"/>
    <w:rsid w:val="00792A5E"/>
    <w:rsid w:val="00792AB4"/>
    <w:rsid w:val="00792B11"/>
    <w:rsid w:val="00792C62"/>
    <w:rsid w:val="0079339F"/>
    <w:rsid w:val="0079355A"/>
    <w:rsid w:val="00793837"/>
    <w:rsid w:val="0079395E"/>
    <w:rsid w:val="00793971"/>
    <w:rsid w:val="00793F48"/>
    <w:rsid w:val="00793F4A"/>
    <w:rsid w:val="007948F4"/>
    <w:rsid w:val="00794C5D"/>
    <w:rsid w:val="00794FC0"/>
    <w:rsid w:val="0079522D"/>
    <w:rsid w:val="0079544F"/>
    <w:rsid w:val="00795567"/>
    <w:rsid w:val="0079556E"/>
    <w:rsid w:val="00795987"/>
    <w:rsid w:val="007959A5"/>
    <w:rsid w:val="00795A51"/>
    <w:rsid w:val="00795C61"/>
    <w:rsid w:val="00795CC9"/>
    <w:rsid w:val="00796032"/>
    <w:rsid w:val="0079603A"/>
    <w:rsid w:val="00796494"/>
    <w:rsid w:val="00796542"/>
    <w:rsid w:val="00796A5E"/>
    <w:rsid w:val="00796D79"/>
    <w:rsid w:val="007970D2"/>
    <w:rsid w:val="007971D1"/>
    <w:rsid w:val="00797457"/>
    <w:rsid w:val="0079763B"/>
    <w:rsid w:val="00797787"/>
    <w:rsid w:val="00797975"/>
    <w:rsid w:val="00797A03"/>
    <w:rsid w:val="00797B1C"/>
    <w:rsid w:val="00797B41"/>
    <w:rsid w:val="00797F11"/>
    <w:rsid w:val="007A0512"/>
    <w:rsid w:val="007A057D"/>
    <w:rsid w:val="007A074F"/>
    <w:rsid w:val="007A075C"/>
    <w:rsid w:val="007A091C"/>
    <w:rsid w:val="007A0A23"/>
    <w:rsid w:val="007A0F99"/>
    <w:rsid w:val="007A14A8"/>
    <w:rsid w:val="007A14AA"/>
    <w:rsid w:val="007A164A"/>
    <w:rsid w:val="007A16C6"/>
    <w:rsid w:val="007A1925"/>
    <w:rsid w:val="007A194D"/>
    <w:rsid w:val="007A1955"/>
    <w:rsid w:val="007A1D47"/>
    <w:rsid w:val="007A1F4B"/>
    <w:rsid w:val="007A20A9"/>
    <w:rsid w:val="007A2322"/>
    <w:rsid w:val="007A2969"/>
    <w:rsid w:val="007A2C7A"/>
    <w:rsid w:val="007A2DA5"/>
    <w:rsid w:val="007A315A"/>
    <w:rsid w:val="007A33BF"/>
    <w:rsid w:val="007A37B4"/>
    <w:rsid w:val="007A3A1E"/>
    <w:rsid w:val="007A3D26"/>
    <w:rsid w:val="007A3F85"/>
    <w:rsid w:val="007A3FB3"/>
    <w:rsid w:val="007A40E2"/>
    <w:rsid w:val="007A41AB"/>
    <w:rsid w:val="007A42C7"/>
    <w:rsid w:val="007A4405"/>
    <w:rsid w:val="007A44D7"/>
    <w:rsid w:val="007A459D"/>
    <w:rsid w:val="007A4B92"/>
    <w:rsid w:val="007A4F59"/>
    <w:rsid w:val="007A5313"/>
    <w:rsid w:val="007A5454"/>
    <w:rsid w:val="007A546D"/>
    <w:rsid w:val="007A55B5"/>
    <w:rsid w:val="007A55B6"/>
    <w:rsid w:val="007A598F"/>
    <w:rsid w:val="007A5B20"/>
    <w:rsid w:val="007A60C1"/>
    <w:rsid w:val="007A615B"/>
    <w:rsid w:val="007A6376"/>
    <w:rsid w:val="007A6474"/>
    <w:rsid w:val="007A672D"/>
    <w:rsid w:val="007A6830"/>
    <w:rsid w:val="007A6E01"/>
    <w:rsid w:val="007A6FBA"/>
    <w:rsid w:val="007A7074"/>
    <w:rsid w:val="007A7122"/>
    <w:rsid w:val="007A7204"/>
    <w:rsid w:val="007A7313"/>
    <w:rsid w:val="007A736B"/>
    <w:rsid w:val="007A738B"/>
    <w:rsid w:val="007A7A87"/>
    <w:rsid w:val="007A7C3F"/>
    <w:rsid w:val="007A7DAC"/>
    <w:rsid w:val="007B0376"/>
    <w:rsid w:val="007B038E"/>
    <w:rsid w:val="007B0664"/>
    <w:rsid w:val="007B066F"/>
    <w:rsid w:val="007B0844"/>
    <w:rsid w:val="007B0A43"/>
    <w:rsid w:val="007B0A75"/>
    <w:rsid w:val="007B0ACA"/>
    <w:rsid w:val="007B0B41"/>
    <w:rsid w:val="007B0E26"/>
    <w:rsid w:val="007B0E3A"/>
    <w:rsid w:val="007B0F12"/>
    <w:rsid w:val="007B1057"/>
    <w:rsid w:val="007B119D"/>
    <w:rsid w:val="007B1291"/>
    <w:rsid w:val="007B14C2"/>
    <w:rsid w:val="007B15E9"/>
    <w:rsid w:val="007B193E"/>
    <w:rsid w:val="007B1F4D"/>
    <w:rsid w:val="007B222B"/>
    <w:rsid w:val="007B23B7"/>
    <w:rsid w:val="007B2764"/>
    <w:rsid w:val="007B2BA2"/>
    <w:rsid w:val="007B2C06"/>
    <w:rsid w:val="007B2D8F"/>
    <w:rsid w:val="007B2F36"/>
    <w:rsid w:val="007B35B2"/>
    <w:rsid w:val="007B371B"/>
    <w:rsid w:val="007B37A8"/>
    <w:rsid w:val="007B382A"/>
    <w:rsid w:val="007B388A"/>
    <w:rsid w:val="007B3D51"/>
    <w:rsid w:val="007B3E33"/>
    <w:rsid w:val="007B3E43"/>
    <w:rsid w:val="007B40BA"/>
    <w:rsid w:val="007B4112"/>
    <w:rsid w:val="007B441D"/>
    <w:rsid w:val="007B453E"/>
    <w:rsid w:val="007B4787"/>
    <w:rsid w:val="007B4C2D"/>
    <w:rsid w:val="007B4E23"/>
    <w:rsid w:val="007B5600"/>
    <w:rsid w:val="007B5656"/>
    <w:rsid w:val="007B57A4"/>
    <w:rsid w:val="007B5829"/>
    <w:rsid w:val="007B5B2E"/>
    <w:rsid w:val="007B5BED"/>
    <w:rsid w:val="007B5E15"/>
    <w:rsid w:val="007B60E1"/>
    <w:rsid w:val="007B63CC"/>
    <w:rsid w:val="007B64AA"/>
    <w:rsid w:val="007B66F8"/>
    <w:rsid w:val="007B6889"/>
    <w:rsid w:val="007B6B78"/>
    <w:rsid w:val="007B6E1F"/>
    <w:rsid w:val="007B6F3A"/>
    <w:rsid w:val="007B72DC"/>
    <w:rsid w:val="007B7597"/>
    <w:rsid w:val="007B75CB"/>
    <w:rsid w:val="007B766D"/>
    <w:rsid w:val="007B7D7E"/>
    <w:rsid w:val="007B7E47"/>
    <w:rsid w:val="007B7F9F"/>
    <w:rsid w:val="007B7FF6"/>
    <w:rsid w:val="007C01A7"/>
    <w:rsid w:val="007C02AF"/>
    <w:rsid w:val="007C075F"/>
    <w:rsid w:val="007C0E3E"/>
    <w:rsid w:val="007C0FBE"/>
    <w:rsid w:val="007C18FB"/>
    <w:rsid w:val="007C1A2D"/>
    <w:rsid w:val="007C1A6C"/>
    <w:rsid w:val="007C1C01"/>
    <w:rsid w:val="007C1DCD"/>
    <w:rsid w:val="007C2130"/>
    <w:rsid w:val="007C24EA"/>
    <w:rsid w:val="007C256D"/>
    <w:rsid w:val="007C27C7"/>
    <w:rsid w:val="007C2B40"/>
    <w:rsid w:val="007C2CAB"/>
    <w:rsid w:val="007C33FC"/>
    <w:rsid w:val="007C3766"/>
    <w:rsid w:val="007C3826"/>
    <w:rsid w:val="007C3B08"/>
    <w:rsid w:val="007C3BC1"/>
    <w:rsid w:val="007C3DDA"/>
    <w:rsid w:val="007C3E6C"/>
    <w:rsid w:val="007C3F68"/>
    <w:rsid w:val="007C3F91"/>
    <w:rsid w:val="007C4082"/>
    <w:rsid w:val="007C415B"/>
    <w:rsid w:val="007C431B"/>
    <w:rsid w:val="007C4628"/>
    <w:rsid w:val="007C4772"/>
    <w:rsid w:val="007C47AD"/>
    <w:rsid w:val="007C47F2"/>
    <w:rsid w:val="007C48C5"/>
    <w:rsid w:val="007C4922"/>
    <w:rsid w:val="007C4CBC"/>
    <w:rsid w:val="007C4CE5"/>
    <w:rsid w:val="007C4E54"/>
    <w:rsid w:val="007C50F7"/>
    <w:rsid w:val="007C51DA"/>
    <w:rsid w:val="007C5297"/>
    <w:rsid w:val="007C52E3"/>
    <w:rsid w:val="007C5597"/>
    <w:rsid w:val="007C6392"/>
    <w:rsid w:val="007C6484"/>
    <w:rsid w:val="007C654F"/>
    <w:rsid w:val="007C6634"/>
    <w:rsid w:val="007C6711"/>
    <w:rsid w:val="007C6A75"/>
    <w:rsid w:val="007C6CBC"/>
    <w:rsid w:val="007C6DFD"/>
    <w:rsid w:val="007C6F01"/>
    <w:rsid w:val="007C6F04"/>
    <w:rsid w:val="007C6F09"/>
    <w:rsid w:val="007C701E"/>
    <w:rsid w:val="007C7119"/>
    <w:rsid w:val="007C722A"/>
    <w:rsid w:val="007C775D"/>
    <w:rsid w:val="007C77F9"/>
    <w:rsid w:val="007C7E11"/>
    <w:rsid w:val="007C7FAA"/>
    <w:rsid w:val="007D0100"/>
    <w:rsid w:val="007D0218"/>
    <w:rsid w:val="007D044B"/>
    <w:rsid w:val="007D07D3"/>
    <w:rsid w:val="007D0A5C"/>
    <w:rsid w:val="007D0EE8"/>
    <w:rsid w:val="007D0F66"/>
    <w:rsid w:val="007D1384"/>
    <w:rsid w:val="007D180D"/>
    <w:rsid w:val="007D1CD6"/>
    <w:rsid w:val="007D1CEB"/>
    <w:rsid w:val="007D1DA0"/>
    <w:rsid w:val="007D1E83"/>
    <w:rsid w:val="007D1FFF"/>
    <w:rsid w:val="007D20D7"/>
    <w:rsid w:val="007D2317"/>
    <w:rsid w:val="007D236B"/>
    <w:rsid w:val="007D268E"/>
    <w:rsid w:val="007D2BD6"/>
    <w:rsid w:val="007D2EB5"/>
    <w:rsid w:val="007D3356"/>
    <w:rsid w:val="007D33E2"/>
    <w:rsid w:val="007D33F7"/>
    <w:rsid w:val="007D3637"/>
    <w:rsid w:val="007D3A19"/>
    <w:rsid w:val="007D3E2F"/>
    <w:rsid w:val="007D3EB1"/>
    <w:rsid w:val="007D42A0"/>
    <w:rsid w:val="007D44CC"/>
    <w:rsid w:val="007D4795"/>
    <w:rsid w:val="007D4B1A"/>
    <w:rsid w:val="007D4B66"/>
    <w:rsid w:val="007D4F66"/>
    <w:rsid w:val="007D520B"/>
    <w:rsid w:val="007D568F"/>
    <w:rsid w:val="007D56B2"/>
    <w:rsid w:val="007D5727"/>
    <w:rsid w:val="007D572D"/>
    <w:rsid w:val="007D58F3"/>
    <w:rsid w:val="007D5C26"/>
    <w:rsid w:val="007D5C94"/>
    <w:rsid w:val="007D5FEE"/>
    <w:rsid w:val="007D62C1"/>
    <w:rsid w:val="007D6432"/>
    <w:rsid w:val="007D66D2"/>
    <w:rsid w:val="007D672A"/>
    <w:rsid w:val="007D6FA5"/>
    <w:rsid w:val="007D7080"/>
    <w:rsid w:val="007D720E"/>
    <w:rsid w:val="007D74DF"/>
    <w:rsid w:val="007D7818"/>
    <w:rsid w:val="007D7A89"/>
    <w:rsid w:val="007D7C51"/>
    <w:rsid w:val="007D7E52"/>
    <w:rsid w:val="007E0370"/>
    <w:rsid w:val="007E0443"/>
    <w:rsid w:val="007E05C3"/>
    <w:rsid w:val="007E0BEC"/>
    <w:rsid w:val="007E0DDB"/>
    <w:rsid w:val="007E0E30"/>
    <w:rsid w:val="007E103E"/>
    <w:rsid w:val="007E1274"/>
    <w:rsid w:val="007E1515"/>
    <w:rsid w:val="007E168E"/>
    <w:rsid w:val="007E1856"/>
    <w:rsid w:val="007E1A47"/>
    <w:rsid w:val="007E1A91"/>
    <w:rsid w:val="007E1C1E"/>
    <w:rsid w:val="007E1C71"/>
    <w:rsid w:val="007E1D2F"/>
    <w:rsid w:val="007E1E7A"/>
    <w:rsid w:val="007E1ED2"/>
    <w:rsid w:val="007E2124"/>
    <w:rsid w:val="007E247F"/>
    <w:rsid w:val="007E25CD"/>
    <w:rsid w:val="007E2A36"/>
    <w:rsid w:val="007E2BAB"/>
    <w:rsid w:val="007E2C52"/>
    <w:rsid w:val="007E2E75"/>
    <w:rsid w:val="007E2E96"/>
    <w:rsid w:val="007E3345"/>
    <w:rsid w:val="007E33D2"/>
    <w:rsid w:val="007E3630"/>
    <w:rsid w:val="007E36FF"/>
    <w:rsid w:val="007E3722"/>
    <w:rsid w:val="007E3A30"/>
    <w:rsid w:val="007E3B97"/>
    <w:rsid w:val="007E3F1C"/>
    <w:rsid w:val="007E4014"/>
    <w:rsid w:val="007E410E"/>
    <w:rsid w:val="007E4471"/>
    <w:rsid w:val="007E4479"/>
    <w:rsid w:val="007E4694"/>
    <w:rsid w:val="007E47C1"/>
    <w:rsid w:val="007E486F"/>
    <w:rsid w:val="007E4AF5"/>
    <w:rsid w:val="007E4CE4"/>
    <w:rsid w:val="007E4D5A"/>
    <w:rsid w:val="007E4EDA"/>
    <w:rsid w:val="007E5073"/>
    <w:rsid w:val="007E51E5"/>
    <w:rsid w:val="007E5273"/>
    <w:rsid w:val="007E53CC"/>
    <w:rsid w:val="007E5468"/>
    <w:rsid w:val="007E55BA"/>
    <w:rsid w:val="007E55CE"/>
    <w:rsid w:val="007E5BBC"/>
    <w:rsid w:val="007E5BF6"/>
    <w:rsid w:val="007E5CE6"/>
    <w:rsid w:val="007E5DF6"/>
    <w:rsid w:val="007E5F3E"/>
    <w:rsid w:val="007E620F"/>
    <w:rsid w:val="007E6244"/>
    <w:rsid w:val="007E630A"/>
    <w:rsid w:val="007E66F7"/>
    <w:rsid w:val="007E676B"/>
    <w:rsid w:val="007E677C"/>
    <w:rsid w:val="007E685C"/>
    <w:rsid w:val="007E6A41"/>
    <w:rsid w:val="007E6A95"/>
    <w:rsid w:val="007E6B41"/>
    <w:rsid w:val="007E6BEA"/>
    <w:rsid w:val="007E6C1C"/>
    <w:rsid w:val="007E6CDC"/>
    <w:rsid w:val="007E6E02"/>
    <w:rsid w:val="007E72B3"/>
    <w:rsid w:val="007E72EC"/>
    <w:rsid w:val="007E73B8"/>
    <w:rsid w:val="007E745C"/>
    <w:rsid w:val="007E7C5D"/>
    <w:rsid w:val="007F0037"/>
    <w:rsid w:val="007F014D"/>
    <w:rsid w:val="007F02FC"/>
    <w:rsid w:val="007F0333"/>
    <w:rsid w:val="007F0443"/>
    <w:rsid w:val="007F05A8"/>
    <w:rsid w:val="007F0729"/>
    <w:rsid w:val="007F09B6"/>
    <w:rsid w:val="007F0A45"/>
    <w:rsid w:val="007F0D4A"/>
    <w:rsid w:val="007F1034"/>
    <w:rsid w:val="007F1131"/>
    <w:rsid w:val="007F1348"/>
    <w:rsid w:val="007F165D"/>
    <w:rsid w:val="007F194D"/>
    <w:rsid w:val="007F1C6C"/>
    <w:rsid w:val="007F1D2F"/>
    <w:rsid w:val="007F1E1D"/>
    <w:rsid w:val="007F212F"/>
    <w:rsid w:val="007F222B"/>
    <w:rsid w:val="007F280B"/>
    <w:rsid w:val="007F29F2"/>
    <w:rsid w:val="007F2B45"/>
    <w:rsid w:val="007F2C25"/>
    <w:rsid w:val="007F2F8F"/>
    <w:rsid w:val="007F308B"/>
    <w:rsid w:val="007F31A3"/>
    <w:rsid w:val="007F32FE"/>
    <w:rsid w:val="007F332C"/>
    <w:rsid w:val="007F332F"/>
    <w:rsid w:val="007F3402"/>
    <w:rsid w:val="007F34C5"/>
    <w:rsid w:val="007F3526"/>
    <w:rsid w:val="007F3542"/>
    <w:rsid w:val="007F39AA"/>
    <w:rsid w:val="007F3AA7"/>
    <w:rsid w:val="007F3AD9"/>
    <w:rsid w:val="007F3EEC"/>
    <w:rsid w:val="007F3F17"/>
    <w:rsid w:val="007F401A"/>
    <w:rsid w:val="007F4144"/>
    <w:rsid w:val="007F4159"/>
    <w:rsid w:val="007F41BD"/>
    <w:rsid w:val="007F4534"/>
    <w:rsid w:val="007F4BFE"/>
    <w:rsid w:val="007F518A"/>
    <w:rsid w:val="007F5250"/>
    <w:rsid w:val="007F5333"/>
    <w:rsid w:val="007F5536"/>
    <w:rsid w:val="007F5555"/>
    <w:rsid w:val="007F556B"/>
    <w:rsid w:val="007F5784"/>
    <w:rsid w:val="007F58C8"/>
    <w:rsid w:val="007F5A02"/>
    <w:rsid w:val="007F5A9B"/>
    <w:rsid w:val="007F5B7F"/>
    <w:rsid w:val="007F5BD7"/>
    <w:rsid w:val="007F5E25"/>
    <w:rsid w:val="007F5E3D"/>
    <w:rsid w:val="007F5E84"/>
    <w:rsid w:val="007F5EDB"/>
    <w:rsid w:val="007F5F7C"/>
    <w:rsid w:val="007F6108"/>
    <w:rsid w:val="007F61C9"/>
    <w:rsid w:val="007F66D6"/>
    <w:rsid w:val="007F6892"/>
    <w:rsid w:val="007F6B93"/>
    <w:rsid w:val="007F6C6A"/>
    <w:rsid w:val="007F6D5A"/>
    <w:rsid w:val="007F6E4B"/>
    <w:rsid w:val="007F7097"/>
    <w:rsid w:val="007F70DF"/>
    <w:rsid w:val="007F714F"/>
    <w:rsid w:val="007F736B"/>
    <w:rsid w:val="007F75B0"/>
    <w:rsid w:val="007F76BD"/>
    <w:rsid w:val="007F76F3"/>
    <w:rsid w:val="007F78E7"/>
    <w:rsid w:val="007F79A3"/>
    <w:rsid w:val="007F7D2B"/>
    <w:rsid w:val="007F7DB4"/>
    <w:rsid w:val="007F7E16"/>
    <w:rsid w:val="007F7E48"/>
    <w:rsid w:val="00800106"/>
    <w:rsid w:val="008001B0"/>
    <w:rsid w:val="00800260"/>
    <w:rsid w:val="00800357"/>
    <w:rsid w:val="00800416"/>
    <w:rsid w:val="008007E3"/>
    <w:rsid w:val="0080085D"/>
    <w:rsid w:val="00800A09"/>
    <w:rsid w:val="00800D25"/>
    <w:rsid w:val="00800ED0"/>
    <w:rsid w:val="00800F45"/>
    <w:rsid w:val="00801105"/>
    <w:rsid w:val="008019F5"/>
    <w:rsid w:val="00801B7A"/>
    <w:rsid w:val="00801B93"/>
    <w:rsid w:val="00801EA1"/>
    <w:rsid w:val="00801EF6"/>
    <w:rsid w:val="008021D1"/>
    <w:rsid w:val="0080232D"/>
    <w:rsid w:val="00802440"/>
    <w:rsid w:val="0080250F"/>
    <w:rsid w:val="00802600"/>
    <w:rsid w:val="00802715"/>
    <w:rsid w:val="0080289F"/>
    <w:rsid w:val="00803054"/>
    <w:rsid w:val="0080399E"/>
    <w:rsid w:val="00803BC1"/>
    <w:rsid w:val="00803BE6"/>
    <w:rsid w:val="00803C95"/>
    <w:rsid w:val="00803D99"/>
    <w:rsid w:val="00804321"/>
    <w:rsid w:val="0080439C"/>
    <w:rsid w:val="008044AC"/>
    <w:rsid w:val="00804707"/>
    <w:rsid w:val="00804A2A"/>
    <w:rsid w:val="00804A5C"/>
    <w:rsid w:val="00804AFF"/>
    <w:rsid w:val="00804C01"/>
    <w:rsid w:val="00804EA4"/>
    <w:rsid w:val="00805026"/>
    <w:rsid w:val="008051FC"/>
    <w:rsid w:val="008052EE"/>
    <w:rsid w:val="00805315"/>
    <w:rsid w:val="00805441"/>
    <w:rsid w:val="00805736"/>
    <w:rsid w:val="0080583C"/>
    <w:rsid w:val="00805979"/>
    <w:rsid w:val="008059E9"/>
    <w:rsid w:val="00805A54"/>
    <w:rsid w:val="00805A5A"/>
    <w:rsid w:val="00805CAE"/>
    <w:rsid w:val="00805DDE"/>
    <w:rsid w:val="00805E47"/>
    <w:rsid w:val="00805EEA"/>
    <w:rsid w:val="00805FFE"/>
    <w:rsid w:val="008060B5"/>
    <w:rsid w:val="008065E9"/>
    <w:rsid w:val="008066C8"/>
    <w:rsid w:val="008067A6"/>
    <w:rsid w:val="00806E19"/>
    <w:rsid w:val="00806E6D"/>
    <w:rsid w:val="0080739E"/>
    <w:rsid w:val="008073C4"/>
    <w:rsid w:val="00807665"/>
    <w:rsid w:val="00807702"/>
    <w:rsid w:val="008077BD"/>
    <w:rsid w:val="00807A3E"/>
    <w:rsid w:val="00807CE7"/>
    <w:rsid w:val="00810015"/>
    <w:rsid w:val="0081043E"/>
    <w:rsid w:val="00810769"/>
    <w:rsid w:val="008107B2"/>
    <w:rsid w:val="008108D5"/>
    <w:rsid w:val="00810A88"/>
    <w:rsid w:val="00810C94"/>
    <w:rsid w:val="00810F37"/>
    <w:rsid w:val="0081109C"/>
    <w:rsid w:val="008115CA"/>
    <w:rsid w:val="00811640"/>
    <w:rsid w:val="00811688"/>
    <w:rsid w:val="008116E9"/>
    <w:rsid w:val="00811D31"/>
    <w:rsid w:val="00811DEC"/>
    <w:rsid w:val="0081223E"/>
    <w:rsid w:val="008122EC"/>
    <w:rsid w:val="008123F4"/>
    <w:rsid w:val="008124A5"/>
    <w:rsid w:val="0081258F"/>
    <w:rsid w:val="008127B2"/>
    <w:rsid w:val="00812881"/>
    <w:rsid w:val="00812C26"/>
    <w:rsid w:val="00812CB6"/>
    <w:rsid w:val="00812FC0"/>
    <w:rsid w:val="008131A8"/>
    <w:rsid w:val="00813395"/>
    <w:rsid w:val="00813812"/>
    <w:rsid w:val="00813843"/>
    <w:rsid w:val="00813A13"/>
    <w:rsid w:val="00813AD6"/>
    <w:rsid w:val="00813DD6"/>
    <w:rsid w:val="00813F72"/>
    <w:rsid w:val="00814034"/>
    <w:rsid w:val="008140A7"/>
    <w:rsid w:val="00814160"/>
    <w:rsid w:val="00814454"/>
    <w:rsid w:val="00814499"/>
    <w:rsid w:val="0081490E"/>
    <w:rsid w:val="00814A1F"/>
    <w:rsid w:val="00814BFD"/>
    <w:rsid w:val="00814C4C"/>
    <w:rsid w:val="00814C62"/>
    <w:rsid w:val="00814D20"/>
    <w:rsid w:val="00814D88"/>
    <w:rsid w:val="00814E64"/>
    <w:rsid w:val="00815039"/>
    <w:rsid w:val="008156D5"/>
    <w:rsid w:val="00815AB2"/>
    <w:rsid w:val="00815EF3"/>
    <w:rsid w:val="00816174"/>
    <w:rsid w:val="00816265"/>
    <w:rsid w:val="0081643E"/>
    <w:rsid w:val="00816496"/>
    <w:rsid w:val="008165DE"/>
    <w:rsid w:val="0081687F"/>
    <w:rsid w:val="00816940"/>
    <w:rsid w:val="00816AC0"/>
    <w:rsid w:val="00816C8D"/>
    <w:rsid w:val="00816E85"/>
    <w:rsid w:val="00816F1B"/>
    <w:rsid w:val="00817321"/>
    <w:rsid w:val="008173AD"/>
    <w:rsid w:val="008173F5"/>
    <w:rsid w:val="00817570"/>
    <w:rsid w:val="0081766E"/>
    <w:rsid w:val="00817C4A"/>
    <w:rsid w:val="00817D8A"/>
    <w:rsid w:val="00820098"/>
    <w:rsid w:val="008201EA"/>
    <w:rsid w:val="0082047D"/>
    <w:rsid w:val="00820A15"/>
    <w:rsid w:val="00820BC4"/>
    <w:rsid w:val="00820C21"/>
    <w:rsid w:val="00820CA0"/>
    <w:rsid w:val="00820EBC"/>
    <w:rsid w:val="00821159"/>
    <w:rsid w:val="008213F2"/>
    <w:rsid w:val="0082146E"/>
    <w:rsid w:val="008215CD"/>
    <w:rsid w:val="00821B3C"/>
    <w:rsid w:val="00821C66"/>
    <w:rsid w:val="00821CEB"/>
    <w:rsid w:val="00821E0B"/>
    <w:rsid w:val="00821EC9"/>
    <w:rsid w:val="00821F94"/>
    <w:rsid w:val="00822089"/>
    <w:rsid w:val="008224D3"/>
    <w:rsid w:val="00822634"/>
    <w:rsid w:val="0082273D"/>
    <w:rsid w:val="008227D2"/>
    <w:rsid w:val="00822B05"/>
    <w:rsid w:val="00822C0B"/>
    <w:rsid w:val="00822C94"/>
    <w:rsid w:val="00822EC7"/>
    <w:rsid w:val="00822FAD"/>
    <w:rsid w:val="00822FB5"/>
    <w:rsid w:val="008230CC"/>
    <w:rsid w:val="0082360B"/>
    <w:rsid w:val="00823692"/>
    <w:rsid w:val="00823706"/>
    <w:rsid w:val="00823AB1"/>
    <w:rsid w:val="00823B1E"/>
    <w:rsid w:val="00823CD7"/>
    <w:rsid w:val="00823D68"/>
    <w:rsid w:val="00823EF7"/>
    <w:rsid w:val="00823F71"/>
    <w:rsid w:val="00823F85"/>
    <w:rsid w:val="00823FE4"/>
    <w:rsid w:val="008242AB"/>
    <w:rsid w:val="008244AC"/>
    <w:rsid w:val="0082467E"/>
    <w:rsid w:val="008246E2"/>
    <w:rsid w:val="008249A4"/>
    <w:rsid w:val="00824C6D"/>
    <w:rsid w:val="008251B3"/>
    <w:rsid w:val="00825256"/>
    <w:rsid w:val="008253B5"/>
    <w:rsid w:val="0082551A"/>
    <w:rsid w:val="0082579A"/>
    <w:rsid w:val="00825E41"/>
    <w:rsid w:val="00826025"/>
    <w:rsid w:val="008260FE"/>
    <w:rsid w:val="00826386"/>
    <w:rsid w:val="00826408"/>
    <w:rsid w:val="00826447"/>
    <w:rsid w:val="00826681"/>
    <w:rsid w:val="008267E6"/>
    <w:rsid w:val="00826B96"/>
    <w:rsid w:val="00826BB1"/>
    <w:rsid w:val="00826BC9"/>
    <w:rsid w:val="00826E87"/>
    <w:rsid w:val="00826EE1"/>
    <w:rsid w:val="0082718E"/>
    <w:rsid w:val="008275F4"/>
    <w:rsid w:val="008277F0"/>
    <w:rsid w:val="008300C7"/>
    <w:rsid w:val="00830649"/>
    <w:rsid w:val="008306BA"/>
    <w:rsid w:val="008306D3"/>
    <w:rsid w:val="00830939"/>
    <w:rsid w:val="0083095A"/>
    <w:rsid w:val="00830AA6"/>
    <w:rsid w:val="00830C27"/>
    <w:rsid w:val="00830C67"/>
    <w:rsid w:val="00830DBB"/>
    <w:rsid w:val="008310C5"/>
    <w:rsid w:val="0083115C"/>
    <w:rsid w:val="008312AC"/>
    <w:rsid w:val="008313D1"/>
    <w:rsid w:val="008316C5"/>
    <w:rsid w:val="008317E5"/>
    <w:rsid w:val="00831ACB"/>
    <w:rsid w:val="0083264E"/>
    <w:rsid w:val="00832776"/>
    <w:rsid w:val="00832B91"/>
    <w:rsid w:val="00832BE6"/>
    <w:rsid w:val="00832D40"/>
    <w:rsid w:val="00832FA0"/>
    <w:rsid w:val="0083308A"/>
    <w:rsid w:val="00833123"/>
    <w:rsid w:val="0083315B"/>
    <w:rsid w:val="008331F4"/>
    <w:rsid w:val="00833415"/>
    <w:rsid w:val="00833858"/>
    <w:rsid w:val="00833ABE"/>
    <w:rsid w:val="00833BD3"/>
    <w:rsid w:val="00833C37"/>
    <w:rsid w:val="00833C94"/>
    <w:rsid w:val="00833DA2"/>
    <w:rsid w:val="00833FD0"/>
    <w:rsid w:val="008342F7"/>
    <w:rsid w:val="00834461"/>
    <w:rsid w:val="008344E7"/>
    <w:rsid w:val="008345D1"/>
    <w:rsid w:val="0083477F"/>
    <w:rsid w:val="00834C34"/>
    <w:rsid w:val="00834D65"/>
    <w:rsid w:val="00834D7E"/>
    <w:rsid w:val="0083514E"/>
    <w:rsid w:val="008351CF"/>
    <w:rsid w:val="00835214"/>
    <w:rsid w:val="008352F0"/>
    <w:rsid w:val="0083552E"/>
    <w:rsid w:val="0083571D"/>
    <w:rsid w:val="0083598B"/>
    <w:rsid w:val="00835C1F"/>
    <w:rsid w:val="00835D92"/>
    <w:rsid w:val="00835E5D"/>
    <w:rsid w:val="00835F37"/>
    <w:rsid w:val="00835FB3"/>
    <w:rsid w:val="00836096"/>
    <w:rsid w:val="008366BC"/>
    <w:rsid w:val="00836D0A"/>
    <w:rsid w:val="00836DB2"/>
    <w:rsid w:val="00836FFC"/>
    <w:rsid w:val="0083705D"/>
    <w:rsid w:val="00837432"/>
    <w:rsid w:val="00837470"/>
    <w:rsid w:val="008375BA"/>
    <w:rsid w:val="008376EC"/>
    <w:rsid w:val="00837876"/>
    <w:rsid w:val="00837A11"/>
    <w:rsid w:val="0084009F"/>
    <w:rsid w:val="008402C1"/>
    <w:rsid w:val="008403EE"/>
    <w:rsid w:val="00840B43"/>
    <w:rsid w:val="00840DC9"/>
    <w:rsid w:val="00840F86"/>
    <w:rsid w:val="00840FAE"/>
    <w:rsid w:val="00841607"/>
    <w:rsid w:val="00841916"/>
    <w:rsid w:val="00841E6A"/>
    <w:rsid w:val="00841ED9"/>
    <w:rsid w:val="00842261"/>
    <w:rsid w:val="00842309"/>
    <w:rsid w:val="008428E9"/>
    <w:rsid w:val="008429A1"/>
    <w:rsid w:val="00842AD4"/>
    <w:rsid w:val="00842B2B"/>
    <w:rsid w:val="00842DE3"/>
    <w:rsid w:val="00843075"/>
    <w:rsid w:val="008430D6"/>
    <w:rsid w:val="008430FC"/>
    <w:rsid w:val="0084316A"/>
    <w:rsid w:val="00843241"/>
    <w:rsid w:val="0084348A"/>
    <w:rsid w:val="00843915"/>
    <w:rsid w:val="00843B3E"/>
    <w:rsid w:val="00843EF0"/>
    <w:rsid w:val="0084427B"/>
    <w:rsid w:val="00844347"/>
    <w:rsid w:val="00844372"/>
    <w:rsid w:val="0084443C"/>
    <w:rsid w:val="008444C4"/>
    <w:rsid w:val="0084465F"/>
    <w:rsid w:val="00844814"/>
    <w:rsid w:val="00844925"/>
    <w:rsid w:val="00844943"/>
    <w:rsid w:val="00844A34"/>
    <w:rsid w:val="00844BDC"/>
    <w:rsid w:val="00844CC6"/>
    <w:rsid w:val="00844DC1"/>
    <w:rsid w:val="00844EA2"/>
    <w:rsid w:val="00844F1D"/>
    <w:rsid w:val="00844FA8"/>
    <w:rsid w:val="00844FF6"/>
    <w:rsid w:val="00845015"/>
    <w:rsid w:val="0084509D"/>
    <w:rsid w:val="008451DC"/>
    <w:rsid w:val="008459AB"/>
    <w:rsid w:val="00845B2C"/>
    <w:rsid w:val="00845D15"/>
    <w:rsid w:val="00845F72"/>
    <w:rsid w:val="00846239"/>
    <w:rsid w:val="00846580"/>
    <w:rsid w:val="008469AC"/>
    <w:rsid w:val="00846A04"/>
    <w:rsid w:val="00846A36"/>
    <w:rsid w:val="00846A3B"/>
    <w:rsid w:val="00846B33"/>
    <w:rsid w:val="00846B3A"/>
    <w:rsid w:val="00846DFB"/>
    <w:rsid w:val="00846EAB"/>
    <w:rsid w:val="00846F84"/>
    <w:rsid w:val="00847127"/>
    <w:rsid w:val="0084713C"/>
    <w:rsid w:val="0084749F"/>
    <w:rsid w:val="00847D42"/>
    <w:rsid w:val="00847D50"/>
    <w:rsid w:val="00847EBE"/>
    <w:rsid w:val="00847FA9"/>
    <w:rsid w:val="0085014A"/>
    <w:rsid w:val="00850290"/>
    <w:rsid w:val="00850814"/>
    <w:rsid w:val="00850B7A"/>
    <w:rsid w:val="00850F7A"/>
    <w:rsid w:val="00851507"/>
    <w:rsid w:val="008516A9"/>
    <w:rsid w:val="008518A9"/>
    <w:rsid w:val="00851A8C"/>
    <w:rsid w:val="00851D4E"/>
    <w:rsid w:val="00852208"/>
    <w:rsid w:val="0085268D"/>
    <w:rsid w:val="008527F7"/>
    <w:rsid w:val="00852B7A"/>
    <w:rsid w:val="00852C26"/>
    <w:rsid w:val="00852EA5"/>
    <w:rsid w:val="00852ED1"/>
    <w:rsid w:val="00853198"/>
    <w:rsid w:val="008531F9"/>
    <w:rsid w:val="008536A4"/>
    <w:rsid w:val="00853723"/>
    <w:rsid w:val="008538B5"/>
    <w:rsid w:val="0085393C"/>
    <w:rsid w:val="00853B9D"/>
    <w:rsid w:val="00853CC4"/>
    <w:rsid w:val="00853DF2"/>
    <w:rsid w:val="008543D9"/>
    <w:rsid w:val="00854675"/>
    <w:rsid w:val="00854716"/>
    <w:rsid w:val="00854732"/>
    <w:rsid w:val="00854A4E"/>
    <w:rsid w:val="00854B84"/>
    <w:rsid w:val="00854B8B"/>
    <w:rsid w:val="00854CF3"/>
    <w:rsid w:val="008551CE"/>
    <w:rsid w:val="0085528C"/>
    <w:rsid w:val="008554D6"/>
    <w:rsid w:val="00855A50"/>
    <w:rsid w:val="008560F8"/>
    <w:rsid w:val="008563AF"/>
    <w:rsid w:val="008563B5"/>
    <w:rsid w:val="00856637"/>
    <w:rsid w:val="008568B2"/>
    <w:rsid w:val="00856AB0"/>
    <w:rsid w:val="00856B22"/>
    <w:rsid w:val="00856D64"/>
    <w:rsid w:val="00856EC7"/>
    <w:rsid w:val="00856F89"/>
    <w:rsid w:val="008571D5"/>
    <w:rsid w:val="00857328"/>
    <w:rsid w:val="00857581"/>
    <w:rsid w:val="0085772C"/>
    <w:rsid w:val="00857CD8"/>
    <w:rsid w:val="00857F4B"/>
    <w:rsid w:val="008600B4"/>
    <w:rsid w:val="0086023F"/>
    <w:rsid w:val="008602CD"/>
    <w:rsid w:val="00860531"/>
    <w:rsid w:val="0086064B"/>
    <w:rsid w:val="0086081A"/>
    <w:rsid w:val="00860846"/>
    <w:rsid w:val="008608CC"/>
    <w:rsid w:val="00860941"/>
    <w:rsid w:val="008611EE"/>
    <w:rsid w:val="00861494"/>
    <w:rsid w:val="008615C1"/>
    <w:rsid w:val="00861614"/>
    <w:rsid w:val="0086188A"/>
    <w:rsid w:val="00861F01"/>
    <w:rsid w:val="00862084"/>
    <w:rsid w:val="00862162"/>
    <w:rsid w:val="00862535"/>
    <w:rsid w:val="008626C1"/>
    <w:rsid w:val="0086281C"/>
    <w:rsid w:val="008629AC"/>
    <w:rsid w:val="00862AE1"/>
    <w:rsid w:val="00862B00"/>
    <w:rsid w:val="00862B95"/>
    <w:rsid w:val="00862CAD"/>
    <w:rsid w:val="00862CE5"/>
    <w:rsid w:val="00862D9A"/>
    <w:rsid w:val="00862FAB"/>
    <w:rsid w:val="00862FBF"/>
    <w:rsid w:val="00863253"/>
    <w:rsid w:val="00863668"/>
    <w:rsid w:val="008637C8"/>
    <w:rsid w:val="008638E5"/>
    <w:rsid w:val="00863A0B"/>
    <w:rsid w:val="00863AA3"/>
    <w:rsid w:val="00863FD0"/>
    <w:rsid w:val="00864202"/>
    <w:rsid w:val="008646C0"/>
    <w:rsid w:val="0086470A"/>
    <w:rsid w:val="0086483E"/>
    <w:rsid w:val="00864897"/>
    <w:rsid w:val="00864942"/>
    <w:rsid w:val="00864BDD"/>
    <w:rsid w:val="00864D2D"/>
    <w:rsid w:val="00864FF3"/>
    <w:rsid w:val="0086505C"/>
    <w:rsid w:val="008651C9"/>
    <w:rsid w:val="00865299"/>
    <w:rsid w:val="0086584A"/>
    <w:rsid w:val="00865B92"/>
    <w:rsid w:val="00865CB2"/>
    <w:rsid w:val="008662DC"/>
    <w:rsid w:val="00866658"/>
    <w:rsid w:val="0086667D"/>
    <w:rsid w:val="00866C11"/>
    <w:rsid w:val="00866D0E"/>
    <w:rsid w:val="00866D2F"/>
    <w:rsid w:val="00866D45"/>
    <w:rsid w:val="00866F5E"/>
    <w:rsid w:val="0086746B"/>
    <w:rsid w:val="00867635"/>
    <w:rsid w:val="008677BA"/>
    <w:rsid w:val="008677F1"/>
    <w:rsid w:val="00867940"/>
    <w:rsid w:val="00867948"/>
    <w:rsid w:val="00867988"/>
    <w:rsid w:val="00867B4F"/>
    <w:rsid w:val="00867C65"/>
    <w:rsid w:val="00867D71"/>
    <w:rsid w:val="00867E66"/>
    <w:rsid w:val="00867EF3"/>
    <w:rsid w:val="00867F6A"/>
    <w:rsid w:val="008700AE"/>
    <w:rsid w:val="008703C7"/>
    <w:rsid w:val="00870585"/>
    <w:rsid w:val="008705FA"/>
    <w:rsid w:val="00870954"/>
    <w:rsid w:val="00870A60"/>
    <w:rsid w:val="00870CA4"/>
    <w:rsid w:val="00870D51"/>
    <w:rsid w:val="00870F14"/>
    <w:rsid w:val="008711FD"/>
    <w:rsid w:val="008712A7"/>
    <w:rsid w:val="008712DF"/>
    <w:rsid w:val="008712ED"/>
    <w:rsid w:val="00871316"/>
    <w:rsid w:val="008713E7"/>
    <w:rsid w:val="008714ED"/>
    <w:rsid w:val="00871537"/>
    <w:rsid w:val="00871605"/>
    <w:rsid w:val="008718FA"/>
    <w:rsid w:val="00871CC4"/>
    <w:rsid w:val="00871DAE"/>
    <w:rsid w:val="00871DF9"/>
    <w:rsid w:val="008720D6"/>
    <w:rsid w:val="008722CB"/>
    <w:rsid w:val="008724CA"/>
    <w:rsid w:val="008727C4"/>
    <w:rsid w:val="00872A7E"/>
    <w:rsid w:val="00872B14"/>
    <w:rsid w:val="00873117"/>
    <w:rsid w:val="008733F4"/>
    <w:rsid w:val="008734B6"/>
    <w:rsid w:val="008737DA"/>
    <w:rsid w:val="008738DC"/>
    <w:rsid w:val="00873970"/>
    <w:rsid w:val="008739A8"/>
    <w:rsid w:val="00873AF7"/>
    <w:rsid w:val="00873B97"/>
    <w:rsid w:val="008744FB"/>
    <w:rsid w:val="00874696"/>
    <w:rsid w:val="00874841"/>
    <w:rsid w:val="00874A96"/>
    <w:rsid w:val="00874CB0"/>
    <w:rsid w:val="00874CCA"/>
    <w:rsid w:val="00874D4F"/>
    <w:rsid w:val="00874EFD"/>
    <w:rsid w:val="0087504F"/>
    <w:rsid w:val="0087527A"/>
    <w:rsid w:val="008752C6"/>
    <w:rsid w:val="008752F3"/>
    <w:rsid w:val="00875484"/>
    <w:rsid w:val="00875536"/>
    <w:rsid w:val="00875B71"/>
    <w:rsid w:val="00875C3D"/>
    <w:rsid w:val="00875C4D"/>
    <w:rsid w:val="00875DDB"/>
    <w:rsid w:val="00875F09"/>
    <w:rsid w:val="00875F9D"/>
    <w:rsid w:val="008760C4"/>
    <w:rsid w:val="00876292"/>
    <w:rsid w:val="00876482"/>
    <w:rsid w:val="008766AE"/>
    <w:rsid w:val="008767E5"/>
    <w:rsid w:val="00876852"/>
    <w:rsid w:val="00876C7F"/>
    <w:rsid w:val="00876CBC"/>
    <w:rsid w:val="00876CBD"/>
    <w:rsid w:val="00877018"/>
    <w:rsid w:val="0087726C"/>
    <w:rsid w:val="0087743A"/>
    <w:rsid w:val="008778F9"/>
    <w:rsid w:val="00877940"/>
    <w:rsid w:val="00877CF5"/>
    <w:rsid w:val="00877DDB"/>
    <w:rsid w:val="00877ED2"/>
    <w:rsid w:val="00877FBB"/>
    <w:rsid w:val="00880044"/>
    <w:rsid w:val="00880117"/>
    <w:rsid w:val="00880119"/>
    <w:rsid w:val="00880187"/>
    <w:rsid w:val="008801E3"/>
    <w:rsid w:val="00880365"/>
    <w:rsid w:val="00880799"/>
    <w:rsid w:val="00880845"/>
    <w:rsid w:val="00880A42"/>
    <w:rsid w:val="008810CD"/>
    <w:rsid w:val="00881160"/>
    <w:rsid w:val="00881317"/>
    <w:rsid w:val="00881379"/>
    <w:rsid w:val="008814A7"/>
    <w:rsid w:val="00881510"/>
    <w:rsid w:val="008816E1"/>
    <w:rsid w:val="00881723"/>
    <w:rsid w:val="008817F8"/>
    <w:rsid w:val="00881845"/>
    <w:rsid w:val="008818A7"/>
    <w:rsid w:val="0088197F"/>
    <w:rsid w:val="008819E3"/>
    <w:rsid w:val="00881A18"/>
    <w:rsid w:val="00881BC9"/>
    <w:rsid w:val="00881C03"/>
    <w:rsid w:val="00881E32"/>
    <w:rsid w:val="00881EDC"/>
    <w:rsid w:val="0088207A"/>
    <w:rsid w:val="00882579"/>
    <w:rsid w:val="00882A68"/>
    <w:rsid w:val="00882E37"/>
    <w:rsid w:val="00882FDC"/>
    <w:rsid w:val="00882FF1"/>
    <w:rsid w:val="008832D3"/>
    <w:rsid w:val="008836F9"/>
    <w:rsid w:val="0088378C"/>
    <w:rsid w:val="0088399C"/>
    <w:rsid w:val="008839AB"/>
    <w:rsid w:val="008839C0"/>
    <w:rsid w:val="00883AFF"/>
    <w:rsid w:val="00883C0A"/>
    <w:rsid w:val="00883C1D"/>
    <w:rsid w:val="00883F53"/>
    <w:rsid w:val="00883F89"/>
    <w:rsid w:val="00884330"/>
    <w:rsid w:val="0088437F"/>
    <w:rsid w:val="00884432"/>
    <w:rsid w:val="0088447C"/>
    <w:rsid w:val="008845C9"/>
    <w:rsid w:val="00884AED"/>
    <w:rsid w:val="00884C32"/>
    <w:rsid w:val="00884C5A"/>
    <w:rsid w:val="00885041"/>
    <w:rsid w:val="00885396"/>
    <w:rsid w:val="008853AB"/>
    <w:rsid w:val="008856DE"/>
    <w:rsid w:val="0088585E"/>
    <w:rsid w:val="00885A50"/>
    <w:rsid w:val="00885A77"/>
    <w:rsid w:val="00885C03"/>
    <w:rsid w:val="00885DB6"/>
    <w:rsid w:val="008862C8"/>
    <w:rsid w:val="008863C6"/>
    <w:rsid w:val="00886409"/>
    <w:rsid w:val="0088675D"/>
    <w:rsid w:val="008867E1"/>
    <w:rsid w:val="008869C6"/>
    <w:rsid w:val="00886A08"/>
    <w:rsid w:val="00886A43"/>
    <w:rsid w:val="00886AEE"/>
    <w:rsid w:val="00886B24"/>
    <w:rsid w:val="00886BFE"/>
    <w:rsid w:val="00886C92"/>
    <w:rsid w:val="00886E5F"/>
    <w:rsid w:val="00886E65"/>
    <w:rsid w:val="0088712F"/>
    <w:rsid w:val="008871CE"/>
    <w:rsid w:val="008876BC"/>
    <w:rsid w:val="008879FA"/>
    <w:rsid w:val="00887DA6"/>
    <w:rsid w:val="00887EA5"/>
    <w:rsid w:val="008900B2"/>
    <w:rsid w:val="00890280"/>
    <w:rsid w:val="0089042C"/>
    <w:rsid w:val="00890691"/>
    <w:rsid w:val="00890848"/>
    <w:rsid w:val="00890999"/>
    <w:rsid w:val="00890E1B"/>
    <w:rsid w:val="00890E5E"/>
    <w:rsid w:val="00890E60"/>
    <w:rsid w:val="008910B8"/>
    <w:rsid w:val="008912BE"/>
    <w:rsid w:val="00891396"/>
    <w:rsid w:val="00891806"/>
    <w:rsid w:val="0089191A"/>
    <w:rsid w:val="0089196F"/>
    <w:rsid w:val="00891DBC"/>
    <w:rsid w:val="0089228B"/>
    <w:rsid w:val="008927E9"/>
    <w:rsid w:val="00892A9B"/>
    <w:rsid w:val="00892AF3"/>
    <w:rsid w:val="00892B6D"/>
    <w:rsid w:val="00892B92"/>
    <w:rsid w:val="00892C0D"/>
    <w:rsid w:val="00892CCB"/>
    <w:rsid w:val="00892D0D"/>
    <w:rsid w:val="00892E6F"/>
    <w:rsid w:val="0089310A"/>
    <w:rsid w:val="00893489"/>
    <w:rsid w:val="008936D3"/>
    <w:rsid w:val="008938BD"/>
    <w:rsid w:val="00893A63"/>
    <w:rsid w:val="00893CB6"/>
    <w:rsid w:val="0089428C"/>
    <w:rsid w:val="008944E5"/>
    <w:rsid w:val="008945AF"/>
    <w:rsid w:val="00894652"/>
    <w:rsid w:val="00894BC5"/>
    <w:rsid w:val="00894E61"/>
    <w:rsid w:val="00894EF9"/>
    <w:rsid w:val="00894FC2"/>
    <w:rsid w:val="00895083"/>
    <w:rsid w:val="008952D7"/>
    <w:rsid w:val="00895318"/>
    <w:rsid w:val="008953F9"/>
    <w:rsid w:val="008954FE"/>
    <w:rsid w:val="0089564D"/>
    <w:rsid w:val="00895867"/>
    <w:rsid w:val="00895A8C"/>
    <w:rsid w:val="00895AFA"/>
    <w:rsid w:val="00895E7E"/>
    <w:rsid w:val="00895EEB"/>
    <w:rsid w:val="00895FB0"/>
    <w:rsid w:val="00896220"/>
    <w:rsid w:val="008964C3"/>
    <w:rsid w:val="008966B3"/>
    <w:rsid w:val="00896979"/>
    <w:rsid w:val="008969C5"/>
    <w:rsid w:val="008970A7"/>
    <w:rsid w:val="00897119"/>
    <w:rsid w:val="00897268"/>
    <w:rsid w:val="00897331"/>
    <w:rsid w:val="008973AF"/>
    <w:rsid w:val="008A035A"/>
    <w:rsid w:val="008A0374"/>
    <w:rsid w:val="008A0862"/>
    <w:rsid w:val="008A096C"/>
    <w:rsid w:val="008A0AB6"/>
    <w:rsid w:val="008A0CA0"/>
    <w:rsid w:val="008A0EA6"/>
    <w:rsid w:val="008A1083"/>
    <w:rsid w:val="008A1091"/>
    <w:rsid w:val="008A1119"/>
    <w:rsid w:val="008A1558"/>
    <w:rsid w:val="008A1648"/>
    <w:rsid w:val="008A170A"/>
    <w:rsid w:val="008A1798"/>
    <w:rsid w:val="008A1AE2"/>
    <w:rsid w:val="008A1D0F"/>
    <w:rsid w:val="008A1F60"/>
    <w:rsid w:val="008A1F87"/>
    <w:rsid w:val="008A2170"/>
    <w:rsid w:val="008A2270"/>
    <w:rsid w:val="008A22C8"/>
    <w:rsid w:val="008A2319"/>
    <w:rsid w:val="008A23AD"/>
    <w:rsid w:val="008A249D"/>
    <w:rsid w:val="008A2827"/>
    <w:rsid w:val="008A2B52"/>
    <w:rsid w:val="008A2C1A"/>
    <w:rsid w:val="008A2C3B"/>
    <w:rsid w:val="008A2FDC"/>
    <w:rsid w:val="008A33CF"/>
    <w:rsid w:val="008A3555"/>
    <w:rsid w:val="008A3573"/>
    <w:rsid w:val="008A376A"/>
    <w:rsid w:val="008A3DAA"/>
    <w:rsid w:val="008A3E24"/>
    <w:rsid w:val="008A3E86"/>
    <w:rsid w:val="008A3E8A"/>
    <w:rsid w:val="008A3ED0"/>
    <w:rsid w:val="008A3ED1"/>
    <w:rsid w:val="008A4302"/>
    <w:rsid w:val="008A4323"/>
    <w:rsid w:val="008A4687"/>
    <w:rsid w:val="008A47FF"/>
    <w:rsid w:val="008A4D19"/>
    <w:rsid w:val="008A51AF"/>
    <w:rsid w:val="008A5294"/>
    <w:rsid w:val="008A53FF"/>
    <w:rsid w:val="008A5540"/>
    <w:rsid w:val="008A5600"/>
    <w:rsid w:val="008A56D8"/>
    <w:rsid w:val="008A5719"/>
    <w:rsid w:val="008A58E1"/>
    <w:rsid w:val="008A593C"/>
    <w:rsid w:val="008A59BD"/>
    <w:rsid w:val="008A6021"/>
    <w:rsid w:val="008A61A7"/>
    <w:rsid w:val="008A631D"/>
    <w:rsid w:val="008A63B7"/>
    <w:rsid w:val="008A6635"/>
    <w:rsid w:val="008A6916"/>
    <w:rsid w:val="008A6A27"/>
    <w:rsid w:val="008A6C90"/>
    <w:rsid w:val="008A6D6D"/>
    <w:rsid w:val="008A6D88"/>
    <w:rsid w:val="008A7077"/>
    <w:rsid w:val="008A70D6"/>
    <w:rsid w:val="008A75C7"/>
    <w:rsid w:val="008A77B3"/>
    <w:rsid w:val="008A7831"/>
    <w:rsid w:val="008A798E"/>
    <w:rsid w:val="008A7A8C"/>
    <w:rsid w:val="008A7BC4"/>
    <w:rsid w:val="008A7D3C"/>
    <w:rsid w:val="008B01F1"/>
    <w:rsid w:val="008B072D"/>
    <w:rsid w:val="008B0747"/>
    <w:rsid w:val="008B0810"/>
    <w:rsid w:val="008B0A9E"/>
    <w:rsid w:val="008B0DCA"/>
    <w:rsid w:val="008B0F69"/>
    <w:rsid w:val="008B1618"/>
    <w:rsid w:val="008B16FD"/>
    <w:rsid w:val="008B1D26"/>
    <w:rsid w:val="008B211F"/>
    <w:rsid w:val="008B2227"/>
    <w:rsid w:val="008B223F"/>
    <w:rsid w:val="008B2400"/>
    <w:rsid w:val="008B295C"/>
    <w:rsid w:val="008B29F5"/>
    <w:rsid w:val="008B29FE"/>
    <w:rsid w:val="008B2BFB"/>
    <w:rsid w:val="008B2C12"/>
    <w:rsid w:val="008B2C4B"/>
    <w:rsid w:val="008B2E59"/>
    <w:rsid w:val="008B2FDA"/>
    <w:rsid w:val="008B30DA"/>
    <w:rsid w:val="008B3140"/>
    <w:rsid w:val="008B3262"/>
    <w:rsid w:val="008B3AE0"/>
    <w:rsid w:val="008B3B06"/>
    <w:rsid w:val="008B3B6A"/>
    <w:rsid w:val="008B3C0B"/>
    <w:rsid w:val="008B3C20"/>
    <w:rsid w:val="008B3C6C"/>
    <w:rsid w:val="008B3C97"/>
    <w:rsid w:val="008B3FB7"/>
    <w:rsid w:val="008B4140"/>
    <w:rsid w:val="008B41F2"/>
    <w:rsid w:val="008B43C3"/>
    <w:rsid w:val="008B4475"/>
    <w:rsid w:val="008B4901"/>
    <w:rsid w:val="008B4A88"/>
    <w:rsid w:val="008B4B8D"/>
    <w:rsid w:val="008B4E24"/>
    <w:rsid w:val="008B523B"/>
    <w:rsid w:val="008B53AE"/>
    <w:rsid w:val="008B5443"/>
    <w:rsid w:val="008B574D"/>
    <w:rsid w:val="008B586C"/>
    <w:rsid w:val="008B5B73"/>
    <w:rsid w:val="008B5B80"/>
    <w:rsid w:val="008B5EA3"/>
    <w:rsid w:val="008B6047"/>
    <w:rsid w:val="008B6764"/>
    <w:rsid w:val="008B6A77"/>
    <w:rsid w:val="008B6D1E"/>
    <w:rsid w:val="008B6E67"/>
    <w:rsid w:val="008B702C"/>
    <w:rsid w:val="008B705C"/>
    <w:rsid w:val="008B728C"/>
    <w:rsid w:val="008B7403"/>
    <w:rsid w:val="008B7447"/>
    <w:rsid w:val="008B78D5"/>
    <w:rsid w:val="008B7B49"/>
    <w:rsid w:val="008B7B9F"/>
    <w:rsid w:val="008B7BCE"/>
    <w:rsid w:val="008C0138"/>
    <w:rsid w:val="008C0154"/>
    <w:rsid w:val="008C0483"/>
    <w:rsid w:val="008C05D9"/>
    <w:rsid w:val="008C08D4"/>
    <w:rsid w:val="008C098C"/>
    <w:rsid w:val="008C0A3C"/>
    <w:rsid w:val="008C0B8F"/>
    <w:rsid w:val="008C13AD"/>
    <w:rsid w:val="008C1679"/>
    <w:rsid w:val="008C17BD"/>
    <w:rsid w:val="008C17D7"/>
    <w:rsid w:val="008C18C0"/>
    <w:rsid w:val="008C18CA"/>
    <w:rsid w:val="008C1974"/>
    <w:rsid w:val="008C1A04"/>
    <w:rsid w:val="008C1F76"/>
    <w:rsid w:val="008C1F8C"/>
    <w:rsid w:val="008C2061"/>
    <w:rsid w:val="008C2064"/>
    <w:rsid w:val="008C2351"/>
    <w:rsid w:val="008C2699"/>
    <w:rsid w:val="008C2AE7"/>
    <w:rsid w:val="008C2DBC"/>
    <w:rsid w:val="008C2F47"/>
    <w:rsid w:val="008C31B7"/>
    <w:rsid w:val="008C3519"/>
    <w:rsid w:val="008C3678"/>
    <w:rsid w:val="008C38C5"/>
    <w:rsid w:val="008C39AC"/>
    <w:rsid w:val="008C39B4"/>
    <w:rsid w:val="008C3A63"/>
    <w:rsid w:val="008C3B4E"/>
    <w:rsid w:val="008C3C47"/>
    <w:rsid w:val="008C4284"/>
    <w:rsid w:val="008C4316"/>
    <w:rsid w:val="008C43BD"/>
    <w:rsid w:val="008C4563"/>
    <w:rsid w:val="008C4705"/>
    <w:rsid w:val="008C47CB"/>
    <w:rsid w:val="008C49D1"/>
    <w:rsid w:val="008C4C89"/>
    <w:rsid w:val="008C4D52"/>
    <w:rsid w:val="008C4E32"/>
    <w:rsid w:val="008C5136"/>
    <w:rsid w:val="008C557D"/>
    <w:rsid w:val="008C559A"/>
    <w:rsid w:val="008C56C2"/>
    <w:rsid w:val="008C58F7"/>
    <w:rsid w:val="008C5A43"/>
    <w:rsid w:val="008C5AB3"/>
    <w:rsid w:val="008C6036"/>
    <w:rsid w:val="008C621A"/>
    <w:rsid w:val="008C629C"/>
    <w:rsid w:val="008C64CA"/>
    <w:rsid w:val="008C65DF"/>
    <w:rsid w:val="008C66C4"/>
    <w:rsid w:val="008C68B6"/>
    <w:rsid w:val="008C68F7"/>
    <w:rsid w:val="008C6914"/>
    <w:rsid w:val="008C697D"/>
    <w:rsid w:val="008C6A01"/>
    <w:rsid w:val="008C6AFE"/>
    <w:rsid w:val="008C6CD1"/>
    <w:rsid w:val="008C6CEB"/>
    <w:rsid w:val="008C6D08"/>
    <w:rsid w:val="008C6FC7"/>
    <w:rsid w:val="008C6FF0"/>
    <w:rsid w:val="008C702F"/>
    <w:rsid w:val="008C70D8"/>
    <w:rsid w:val="008C7594"/>
    <w:rsid w:val="008C7972"/>
    <w:rsid w:val="008C7E05"/>
    <w:rsid w:val="008C7EEB"/>
    <w:rsid w:val="008C7EF7"/>
    <w:rsid w:val="008C7FA0"/>
    <w:rsid w:val="008D0058"/>
    <w:rsid w:val="008D0CAA"/>
    <w:rsid w:val="008D0CAE"/>
    <w:rsid w:val="008D0D01"/>
    <w:rsid w:val="008D0DEF"/>
    <w:rsid w:val="008D1428"/>
    <w:rsid w:val="008D14C5"/>
    <w:rsid w:val="008D1528"/>
    <w:rsid w:val="008D17EE"/>
    <w:rsid w:val="008D1A1F"/>
    <w:rsid w:val="008D1ADC"/>
    <w:rsid w:val="008D1B59"/>
    <w:rsid w:val="008D203E"/>
    <w:rsid w:val="008D21B9"/>
    <w:rsid w:val="008D2256"/>
    <w:rsid w:val="008D25F5"/>
    <w:rsid w:val="008D26CA"/>
    <w:rsid w:val="008D28DC"/>
    <w:rsid w:val="008D2AB8"/>
    <w:rsid w:val="008D2DA0"/>
    <w:rsid w:val="008D2EA7"/>
    <w:rsid w:val="008D32DC"/>
    <w:rsid w:val="008D35D7"/>
    <w:rsid w:val="008D35ED"/>
    <w:rsid w:val="008D3603"/>
    <w:rsid w:val="008D3676"/>
    <w:rsid w:val="008D3C64"/>
    <w:rsid w:val="008D3C7E"/>
    <w:rsid w:val="008D4074"/>
    <w:rsid w:val="008D432F"/>
    <w:rsid w:val="008D440F"/>
    <w:rsid w:val="008D4421"/>
    <w:rsid w:val="008D453A"/>
    <w:rsid w:val="008D4673"/>
    <w:rsid w:val="008D4747"/>
    <w:rsid w:val="008D4809"/>
    <w:rsid w:val="008D49E0"/>
    <w:rsid w:val="008D4A73"/>
    <w:rsid w:val="008D4C5F"/>
    <w:rsid w:val="008D4C76"/>
    <w:rsid w:val="008D4CB6"/>
    <w:rsid w:val="008D4DF8"/>
    <w:rsid w:val="008D5202"/>
    <w:rsid w:val="008D5299"/>
    <w:rsid w:val="008D5379"/>
    <w:rsid w:val="008D550B"/>
    <w:rsid w:val="008D5592"/>
    <w:rsid w:val="008D5B56"/>
    <w:rsid w:val="008D5C9C"/>
    <w:rsid w:val="008D5E3D"/>
    <w:rsid w:val="008D5EE5"/>
    <w:rsid w:val="008D5F85"/>
    <w:rsid w:val="008D5FFB"/>
    <w:rsid w:val="008D601D"/>
    <w:rsid w:val="008D624D"/>
    <w:rsid w:val="008D68EC"/>
    <w:rsid w:val="008D6A7F"/>
    <w:rsid w:val="008D6F31"/>
    <w:rsid w:val="008D6F8E"/>
    <w:rsid w:val="008D75C9"/>
    <w:rsid w:val="008D76FC"/>
    <w:rsid w:val="008D79BC"/>
    <w:rsid w:val="008D7B13"/>
    <w:rsid w:val="008E0053"/>
    <w:rsid w:val="008E016A"/>
    <w:rsid w:val="008E025F"/>
    <w:rsid w:val="008E03DD"/>
    <w:rsid w:val="008E08CF"/>
    <w:rsid w:val="008E0911"/>
    <w:rsid w:val="008E0AC1"/>
    <w:rsid w:val="008E0CF7"/>
    <w:rsid w:val="008E1232"/>
    <w:rsid w:val="008E12D3"/>
    <w:rsid w:val="008E1332"/>
    <w:rsid w:val="008E16DB"/>
    <w:rsid w:val="008E184A"/>
    <w:rsid w:val="008E1860"/>
    <w:rsid w:val="008E18E2"/>
    <w:rsid w:val="008E1B4F"/>
    <w:rsid w:val="008E2076"/>
    <w:rsid w:val="008E21B7"/>
    <w:rsid w:val="008E225B"/>
    <w:rsid w:val="008E22FD"/>
    <w:rsid w:val="008E23FE"/>
    <w:rsid w:val="008E2455"/>
    <w:rsid w:val="008E2718"/>
    <w:rsid w:val="008E2A11"/>
    <w:rsid w:val="008E2A35"/>
    <w:rsid w:val="008E2BA4"/>
    <w:rsid w:val="008E2FB9"/>
    <w:rsid w:val="008E2FBA"/>
    <w:rsid w:val="008E3038"/>
    <w:rsid w:val="008E3150"/>
    <w:rsid w:val="008E3183"/>
    <w:rsid w:val="008E3977"/>
    <w:rsid w:val="008E3ABD"/>
    <w:rsid w:val="008E3EA8"/>
    <w:rsid w:val="008E44B3"/>
    <w:rsid w:val="008E4567"/>
    <w:rsid w:val="008E469C"/>
    <w:rsid w:val="008E48A6"/>
    <w:rsid w:val="008E4A42"/>
    <w:rsid w:val="008E4C00"/>
    <w:rsid w:val="008E4ECB"/>
    <w:rsid w:val="008E4ED1"/>
    <w:rsid w:val="008E4EFE"/>
    <w:rsid w:val="008E51B7"/>
    <w:rsid w:val="008E533A"/>
    <w:rsid w:val="008E56C6"/>
    <w:rsid w:val="008E5BDD"/>
    <w:rsid w:val="008E5FCB"/>
    <w:rsid w:val="008E622D"/>
    <w:rsid w:val="008E62E8"/>
    <w:rsid w:val="008E62FB"/>
    <w:rsid w:val="008E631A"/>
    <w:rsid w:val="008E6463"/>
    <w:rsid w:val="008E6662"/>
    <w:rsid w:val="008E66CD"/>
    <w:rsid w:val="008E671F"/>
    <w:rsid w:val="008E6BE4"/>
    <w:rsid w:val="008E744C"/>
    <w:rsid w:val="008E7B3B"/>
    <w:rsid w:val="008E7F4D"/>
    <w:rsid w:val="008E7F9A"/>
    <w:rsid w:val="008F0102"/>
    <w:rsid w:val="008F0147"/>
    <w:rsid w:val="008F0243"/>
    <w:rsid w:val="008F027A"/>
    <w:rsid w:val="008F02DF"/>
    <w:rsid w:val="008F048F"/>
    <w:rsid w:val="008F05CD"/>
    <w:rsid w:val="008F08CB"/>
    <w:rsid w:val="008F0D98"/>
    <w:rsid w:val="008F0F91"/>
    <w:rsid w:val="008F1073"/>
    <w:rsid w:val="008F12DA"/>
    <w:rsid w:val="008F1ED9"/>
    <w:rsid w:val="008F21FF"/>
    <w:rsid w:val="008F2266"/>
    <w:rsid w:val="008F2846"/>
    <w:rsid w:val="008F284B"/>
    <w:rsid w:val="008F2C28"/>
    <w:rsid w:val="008F2CE4"/>
    <w:rsid w:val="008F337D"/>
    <w:rsid w:val="008F35CA"/>
    <w:rsid w:val="008F3794"/>
    <w:rsid w:val="008F394C"/>
    <w:rsid w:val="008F3AB4"/>
    <w:rsid w:val="008F3D07"/>
    <w:rsid w:val="008F4187"/>
    <w:rsid w:val="008F42DA"/>
    <w:rsid w:val="008F4372"/>
    <w:rsid w:val="008F4C54"/>
    <w:rsid w:val="008F51E1"/>
    <w:rsid w:val="008F51E5"/>
    <w:rsid w:val="008F56C7"/>
    <w:rsid w:val="008F5750"/>
    <w:rsid w:val="008F5939"/>
    <w:rsid w:val="008F5AE1"/>
    <w:rsid w:val="008F618F"/>
    <w:rsid w:val="008F61BB"/>
    <w:rsid w:val="008F61DF"/>
    <w:rsid w:val="008F6206"/>
    <w:rsid w:val="008F6522"/>
    <w:rsid w:val="008F6ABC"/>
    <w:rsid w:val="008F6B48"/>
    <w:rsid w:val="008F6BA7"/>
    <w:rsid w:val="008F70D2"/>
    <w:rsid w:val="008F724B"/>
    <w:rsid w:val="008F76D2"/>
    <w:rsid w:val="008F77D8"/>
    <w:rsid w:val="008F78A2"/>
    <w:rsid w:val="008F79BC"/>
    <w:rsid w:val="008F7A9D"/>
    <w:rsid w:val="008F7F8D"/>
    <w:rsid w:val="009002AA"/>
    <w:rsid w:val="00900480"/>
    <w:rsid w:val="00900724"/>
    <w:rsid w:val="00900769"/>
    <w:rsid w:val="009009C2"/>
    <w:rsid w:val="00900A66"/>
    <w:rsid w:val="00900ABE"/>
    <w:rsid w:val="00900CCA"/>
    <w:rsid w:val="00900FF1"/>
    <w:rsid w:val="0090136C"/>
    <w:rsid w:val="009015EF"/>
    <w:rsid w:val="009019B4"/>
    <w:rsid w:val="00901EC7"/>
    <w:rsid w:val="009022F7"/>
    <w:rsid w:val="0090245E"/>
    <w:rsid w:val="00902465"/>
    <w:rsid w:val="009024DD"/>
    <w:rsid w:val="00902788"/>
    <w:rsid w:val="0090280A"/>
    <w:rsid w:val="00902A02"/>
    <w:rsid w:val="00902C65"/>
    <w:rsid w:val="00902DA3"/>
    <w:rsid w:val="00902E36"/>
    <w:rsid w:val="009031E3"/>
    <w:rsid w:val="0090350E"/>
    <w:rsid w:val="009035A1"/>
    <w:rsid w:val="0090376B"/>
    <w:rsid w:val="009038F6"/>
    <w:rsid w:val="009039A5"/>
    <w:rsid w:val="009039C0"/>
    <w:rsid w:val="00903C4D"/>
    <w:rsid w:val="00903DAB"/>
    <w:rsid w:val="00903E73"/>
    <w:rsid w:val="00904049"/>
    <w:rsid w:val="009041F4"/>
    <w:rsid w:val="00904349"/>
    <w:rsid w:val="00904394"/>
    <w:rsid w:val="0090475E"/>
    <w:rsid w:val="00904932"/>
    <w:rsid w:val="00904B14"/>
    <w:rsid w:val="00904B6E"/>
    <w:rsid w:val="00904D38"/>
    <w:rsid w:val="00905089"/>
    <w:rsid w:val="009054BE"/>
    <w:rsid w:val="00905590"/>
    <w:rsid w:val="0090565A"/>
    <w:rsid w:val="009057ED"/>
    <w:rsid w:val="00905810"/>
    <w:rsid w:val="00905927"/>
    <w:rsid w:val="009059D2"/>
    <w:rsid w:val="00905DC1"/>
    <w:rsid w:val="00905EC4"/>
    <w:rsid w:val="00906118"/>
    <w:rsid w:val="0090613B"/>
    <w:rsid w:val="00906399"/>
    <w:rsid w:val="0090644C"/>
    <w:rsid w:val="00906518"/>
    <w:rsid w:val="0090693A"/>
    <w:rsid w:val="00906BBA"/>
    <w:rsid w:val="00906D60"/>
    <w:rsid w:val="00906DE1"/>
    <w:rsid w:val="00906F8A"/>
    <w:rsid w:val="009070DB"/>
    <w:rsid w:val="0090737A"/>
    <w:rsid w:val="00907381"/>
    <w:rsid w:val="0090763D"/>
    <w:rsid w:val="0090769D"/>
    <w:rsid w:val="009076D9"/>
    <w:rsid w:val="0090776C"/>
    <w:rsid w:val="00907D9C"/>
    <w:rsid w:val="00907F2E"/>
    <w:rsid w:val="00910320"/>
    <w:rsid w:val="009103B3"/>
    <w:rsid w:val="00910403"/>
    <w:rsid w:val="00910521"/>
    <w:rsid w:val="00910653"/>
    <w:rsid w:val="00910723"/>
    <w:rsid w:val="009109AE"/>
    <w:rsid w:val="00910A2A"/>
    <w:rsid w:val="00910B9B"/>
    <w:rsid w:val="00910D06"/>
    <w:rsid w:val="00910E6B"/>
    <w:rsid w:val="009113A9"/>
    <w:rsid w:val="0091150C"/>
    <w:rsid w:val="0091153C"/>
    <w:rsid w:val="00911608"/>
    <w:rsid w:val="0091194F"/>
    <w:rsid w:val="00911AFA"/>
    <w:rsid w:val="00912570"/>
    <w:rsid w:val="0091261C"/>
    <w:rsid w:val="009126C4"/>
    <w:rsid w:val="00912804"/>
    <w:rsid w:val="009129C5"/>
    <w:rsid w:val="00913090"/>
    <w:rsid w:val="00913569"/>
    <w:rsid w:val="009137F7"/>
    <w:rsid w:val="0091391E"/>
    <w:rsid w:val="00913ACC"/>
    <w:rsid w:val="00913B0D"/>
    <w:rsid w:val="00913B16"/>
    <w:rsid w:val="00913DDB"/>
    <w:rsid w:val="00913F6A"/>
    <w:rsid w:val="0091441C"/>
    <w:rsid w:val="009148F1"/>
    <w:rsid w:val="00915220"/>
    <w:rsid w:val="0091545F"/>
    <w:rsid w:val="0091552F"/>
    <w:rsid w:val="0091584E"/>
    <w:rsid w:val="00915DF7"/>
    <w:rsid w:val="0091649D"/>
    <w:rsid w:val="0091668D"/>
    <w:rsid w:val="00916853"/>
    <w:rsid w:val="00916F60"/>
    <w:rsid w:val="0091707B"/>
    <w:rsid w:val="00917127"/>
    <w:rsid w:val="00917304"/>
    <w:rsid w:val="00917442"/>
    <w:rsid w:val="00917587"/>
    <w:rsid w:val="0091780B"/>
    <w:rsid w:val="00917B30"/>
    <w:rsid w:val="00917CE3"/>
    <w:rsid w:val="00917F59"/>
    <w:rsid w:val="00917FC4"/>
    <w:rsid w:val="00917FCC"/>
    <w:rsid w:val="0092088A"/>
    <w:rsid w:val="00921058"/>
    <w:rsid w:val="0092157F"/>
    <w:rsid w:val="00921604"/>
    <w:rsid w:val="009216D9"/>
    <w:rsid w:val="009217B8"/>
    <w:rsid w:val="00921A0C"/>
    <w:rsid w:val="00921C5F"/>
    <w:rsid w:val="00921DEE"/>
    <w:rsid w:val="00921F7E"/>
    <w:rsid w:val="00921FE2"/>
    <w:rsid w:val="00922113"/>
    <w:rsid w:val="00922161"/>
    <w:rsid w:val="0092257D"/>
    <w:rsid w:val="00922610"/>
    <w:rsid w:val="00922711"/>
    <w:rsid w:val="009227F0"/>
    <w:rsid w:val="00922BF6"/>
    <w:rsid w:val="00922E38"/>
    <w:rsid w:val="009231D7"/>
    <w:rsid w:val="009231E7"/>
    <w:rsid w:val="00923211"/>
    <w:rsid w:val="0092324D"/>
    <w:rsid w:val="00923408"/>
    <w:rsid w:val="00923812"/>
    <w:rsid w:val="00923AF5"/>
    <w:rsid w:val="00923C02"/>
    <w:rsid w:val="00923E48"/>
    <w:rsid w:val="00923EA4"/>
    <w:rsid w:val="00923F2E"/>
    <w:rsid w:val="00923F83"/>
    <w:rsid w:val="00924104"/>
    <w:rsid w:val="009242AF"/>
    <w:rsid w:val="0092435E"/>
    <w:rsid w:val="00924694"/>
    <w:rsid w:val="00924728"/>
    <w:rsid w:val="00924DD4"/>
    <w:rsid w:val="0092505A"/>
    <w:rsid w:val="009250B1"/>
    <w:rsid w:val="0092563F"/>
    <w:rsid w:val="0092574F"/>
    <w:rsid w:val="00925763"/>
    <w:rsid w:val="0092576E"/>
    <w:rsid w:val="00925A06"/>
    <w:rsid w:val="00925AAA"/>
    <w:rsid w:val="00925D00"/>
    <w:rsid w:val="0092614F"/>
    <w:rsid w:val="00926155"/>
    <w:rsid w:val="00926254"/>
    <w:rsid w:val="00926285"/>
    <w:rsid w:val="009262FC"/>
    <w:rsid w:val="00926418"/>
    <w:rsid w:val="00926559"/>
    <w:rsid w:val="00926951"/>
    <w:rsid w:val="00926CAF"/>
    <w:rsid w:val="00926FD6"/>
    <w:rsid w:val="009270E8"/>
    <w:rsid w:val="00927120"/>
    <w:rsid w:val="00927419"/>
    <w:rsid w:val="009274BF"/>
    <w:rsid w:val="009275DB"/>
    <w:rsid w:val="00927910"/>
    <w:rsid w:val="009279E1"/>
    <w:rsid w:val="00927B30"/>
    <w:rsid w:val="00927C5B"/>
    <w:rsid w:val="00927C93"/>
    <w:rsid w:val="00927CCC"/>
    <w:rsid w:val="00930049"/>
    <w:rsid w:val="009301DC"/>
    <w:rsid w:val="00930440"/>
    <w:rsid w:val="00930458"/>
    <w:rsid w:val="00930540"/>
    <w:rsid w:val="00930803"/>
    <w:rsid w:val="00930976"/>
    <w:rsid w:val="00930C65"/>
    <w:rsid w:val="009311EF"/>
    <w:rsid w:val="009312BE"/>
    <w:rsid w:val="0093148D"/>
    <w:rsid w:val="0093154A"/>
    <w:rsid w:val="00931692"/>
    <w:rsid w:val="0093169E"/>
    <w:rsid w:val="00931B16"/>
    <w:rsid w:val="00931DB5"/>
    <w:rsid w:val="00932014"/>
    <w:rsid w:val="009323B5"/>
    <w:rsid w:val="00932584"/>
    <w:rsid w:val="00932847"/>
    <w:rsid w:val="00932947"/>
    <w:rsid w:val="00932990"/>
    <w:rsid w:val="00932B2E"/>
    <w:rsid w:val="00932D4B"/>
    <w:rsid w:val="009334B6"/>
    <w:rsid w:val="009334F3"/>
    <w:rsid w:val="00933BA9"/>
    <w:rsid w:val="00933EF1"/>
    <w:rsid w:val="009340D1"/>
    <w:rsid w:val="00934297"/>
    <w:rsid w:val="0093458F"/>
    <w:rsid w:val="00934739"/>
    <w:rsid w:val="009347A4"/>
    <w:rsid w:val="00934852"/>
    <w:rsid w:val="009348DB"/>
    <w:rsid w:val="00934B91"/>
    <w:rsid w:val="00934CE8"/>
    <w:rsid w:val="00934EE1"/>
    <w:rsid w:val="00935059"/>
    <w:rsid w:val="00935179"/>
    <w:rsid w:val="009353B2"/>
    <w:rsid w:val="00935411"/>
    <w:rsid w:val="00935516"/>
    <w:rsid w:val="0093562B"/>
    <w:rsid w:val="009356A1"/>
    <w:rsid w:val="009356CD"/>
    <w:rsid w:val="00935741"/>
    <w:rsid w:val="0093581E"/>
    <w:rsid w:val="00935932"/>
    <w:rsid w:val="00935B34"/>
    <w:rsid w:val="00935C7C"/>
    <w:rsid w:val="00935D56"/>
    <w:rsid w:val="00935EE2"/>
    <w:rsid w:val="00936093"/>
    <w:rsid w:val="009361E6"/>
    <w:rsid w:val="00936497"/>
    <w:rsid w:val="00936719"/>
    <w:rsid w:val="00936867"/>
    <w:rsid w:val="00936C7B"/>
    <w:rsid w:val="00936EE8"/>
    <w:rsid w:val="00936F54"/>
    <w:rsid w:val="00936F90"/>
    <w:rsid w:val="009371C7"/>
    <w:rsid w:val="00937355"/>
    <w:rsid w:val="009373CD"/>
    <w:rsid w:val="009374B5"/>
    <w:rsid w:val="0093756C"/>
    <w:rsid w:val="00937823"/>
    <w:rsid w:val="00937934"/>
    <w:rsid w:val="00937E7A"/>
    <w:rsid w:val="00937E90"/>
    <w:rsid w:val="00940049"/>
    <w:rsid w:val="00940A36"/>
    <w:rsid w:val="00940BFC"/>
    <w:rsid w:val="00941005"/>
    <w:rsid w:val="0094146E"/>
    <w:rsid w:val="00941B40"/>
    <w:rsid w:val="00941F84"/>
    <w:rsid w:val="00942193"/>
    <w:rsid w:val="00942240"/>
    <w:rsid w:val="009422FD"/>
    <w:rsid w:val="00942435"/>
    <w:rsid w:val="009426EC"/>
    <w:rsid w:val="00942861"/>
    <w:rsid w:val="00942862"/>
    <w:rsid w:val="009428F8"/>
    <w:rsid w:val="009429AF"/>
    <w:rsid w:val="009429CD"/>
    <w:rsid w:val="00942C23"/>
    <w:rsid w:val="00943603"/>
    <w:rsid w:val="009437E2"/>
    <w:rsid w:val="009437F4"/>
    <w:rsid w:val="00943BF0"/>
    <w:rsid w:val="00943C9A"/>
    <w:rsid w:val="00943E92"/>
    <w:rsid w:val="00943E94"/>
    <w:rsid w:val="00943FA9"/>
    <w:rsid w:val="009440E4"/>
    <w:rsid w:val="0094418E"/>
    <w:rsid w:val="0094441E"/>
    <w:rsid w:val="00944801"/>
    <w:rsid w:val="00944822"/>
    <w:rsid w:val="00944B58"/>
    <w:rsid w:val="00944CA6"/>
    <w:rsid w:val="009451A3"/>
    <w:rsid w:val="0094533C"/>
    <w:rsid w:val="009453B2"/>
    <w:rsid w:val="009457AC"/>
    <w:rsid w:val="009458CB"/>
    <w:rsid w:val="009458D7"/>
    <w:rsid w:val="00945AF4"/>
    <w:rsid w:val="00945E42"/>
    <w:rsid w:val="00945E72"/>
    <w:rsid w:val="00946174"/>
    <w:rsid w:val="00946D8C"/>
    <w:rsid w:val="0094704E"/>
    <w:rsid w:val="00947233"/>
    <w:rsid w:val="0094723A"/>
    <w:rsid w:val="009472B1"/>
    <w:rsid w:val="0094740C"/>
    <w:rsid w:val="0094745C"/>
    <w:rsid w:val="009478EB"/>
    <w:rsid w:val="00947ADC"/>
    <w:rsid w:val="00947B09"/>
    <w:rsid w:val="00947C09"/>
    <w:rsid w:val="00947C1A"/>
    <w:rsid w:val="00950767"/>
    <w:rsid w:val="009507EF"/>
    <w:rsid w:val="0095083C"/>
    <w:rsid w:val="009508EA"/>
    <w:rsid w:val="0095097C"/>
    <w:rsid w:val="00950983"/>
    <w:rsid w:val="009509A2"/>
    <w:rsid w:val="00950DD2"/>
    <w:rsid w:val="009510E7"/>
    <w:rsid w:val="0095120F"/>
    <w:rsid w:val="0095122B"/>
    <w:rsid w:val="009514B3"/>
    <w:rsid w:val="00951529"/>
    <w:rsid w:val="00951738"/>
    <w:rsid w:val="009518B8"/>
    <w:rsid w:val="00951E88"/>
    <w:rsid w:val="00951F92"/>
    <w:rsid w:val="00951FE2"/>
    <w:rsid w:val="009522EE"/>
    <w:rsid w:val="0095278A"/>
    <w:rsid w:val="009527E3"/>
    <w:rsid w:val="00952808"/>
    <w:rsid w:val="009529A6"/>
    <w:rsid w:val="009529F9"/>
    <w:rsid w:val="00952A0D"/>
    <w:rsid w:val="00952A1B"/>
    <w:rsid w:val="00953017"/>
    <w:rsid w:val="00953701"/>
    <w:rsid w:val="0095371B"/>
    <w:rsid w:val="00953721"/>
    <w:rsid w:val="009538B1"/>
    <w:rsid w:val="009538ED"/>
    <w:rsid w:val="00953AC0"/>
    <w:rsid w:val="00953AF1"/>
    <w:rsid w:val="00953C09"/>
    <w:rsid w:val="00953C7E"/>
    <w:rsid w:val="00953D8A"/>
    <w:rsid w:val="00953E91"/>
    <w:rsid w:val="0095431B"/>
    <w:rsid w:val="009547B9"/>
    <w:rsid w:val="00954807"/>
    <w:rsid w:val="00954A14"/>
    <w:rsid w:val="00954A1C"/>
    <w:rsid w:val="00954EC4"/>
    <w:rsid w:val="00955054"/>
    <w:rsid w:val="0095533E"/>
    <w:rsid w:val="009553C5"/>
    <w:rsid w:val="00955544"/>
    <w:rsid w:val="0095565D"/>
    <w:rsid w:val="00955904"/>
    <w:rsid w:val="0095592D"/>
    <w:rsid w:val="00955AC3"/>
    <w:rsid w:val="00955CCF"/>
    <w:rsid w:val="00955D39"/>
    <w:rsid w:val="00955E8D"/>
    <w:rsid w:val="00956019"/>
    <w:rsid w:val="00956259"/>
    <w:rsid w:val="009567CD"/>
    <w:rsid w:val="0095691C"/>
    <w:rsid w:val="00956A15"/>
    <w:rsid w:val="00956D36"/>
    <w:rsid w:val="00956D5B"/>
    <w:rsid w:val="00956EAD"/>
    <w:rsid w:val="00956FD7"/>
    <w:rsid w:val="0095735B"/>
    <w:rsid w:val="0095766A"/>
    <w:rsid w:val="0095779B"/>
    <w:rsid w:val="00957A81"/>
    <w:rsid w:val="00957B32"/>
    <w:rsid w:val="00957CB0"/>
    <w:rsid w:val="00957D30"/>
    <w:rsid w:val="00957EA5"/>
    <w:rsid w:val="00957EF4"/>
    <w:rsid w:val="00957F11"/>
    <w:rsid w:val="009602BD"/>
    <w:rsid w:val="00960848"/>
    <w:rsid w:val="009608C0"/>
    <w:rsid w:val="00960905"/>
    <w:rsid w:val="009609D3"/>
    <w:rsid w:val="00960A5C"/>
    <w:rsid w:val="00960B7D"/>
    <w:rsid w:val="00960DA0"/>
    <w:rsid w:val="00960DE7"/>
    <w:rsid w:val="00960F43"/>
    <w:rsid w:val="00960FE2"/>
    <w:rsid w:val="0096108C"/>
    <w:rsid w:val="00961211"/>
    <w:rsid w:val="009613F4"/>
    <w:rsid w:val="009615C5"/>
    <w:rsid w:val="00961D9C"/>
    <w:rsid w:val="0096217C"/>
    <w:rsid w:val="009621CC"/>
    <w:rsid w:val="00962401"/>
    <w:rsid w:val="00962412"/>
    <w:rsid w:val="0096245F"/>
    <w:rsid w:val="00962518"/>
    <w:rsid w:val="009627EB"/>
    <w:rsid w:val="009629BE"/>
    <w:rsid w:val="00962BAB"/>
    <w:rsid w:val="00962C85"/>
    <w:rsid w:val="00962D03"/>
    <w:rsid w:val="00962D9B"/>
    <w:rsid w:val="009631BA"/>
    <w:rsid w:val="009632B2"/>
    <w:rsid w:val="00963421"/>
    <w:rsid w:val="0096351D"/>
    <w:rsid w:val="0096368F"/>
    <w:rsid w:val="00963727"/>
    <w:rsid w:val="00963B2F"/>
    <w:rsid w:val="00963BA0"/>
    <w:rsid w:val="00963D82"/>
    <w:rsid w:val="00963DF2"/>
    <w:rsid w:val="00963E16"/>
    <w:rsid w:val="0096417B"/>
    <w:rsid w:val="009649BF"/>
    <w:rsid w:val="00964A2E"/>
    <w:rsid w:val="00964AD3"/>
    <w:rsid w:val="00964B4F"/>
    <w:rsid w:val="00964CAE"/>
    <w:rsid w:val="00964E05"/>
    <w:rsid w:val="00965465"/>
    <w:rsid w:val="00965549"/>
    <w:rsid w:val="009656B9"/>
    <w:rsid w:val="009656C9"/>
    <w:rsid w:val="00965C81"/>
    <w:rsid w:val="00965D95"/>
    <w:rsid w:val="00965EE6"/>
    <w:rsid w:val="00965FB1"/>
    <w:rsid w:val="00966295"/>
    <w:rsid w:val="00966454"/>
    <w:rsid w:val="009665B6"/>
    <w:rsid w:val="009667E5"/>
    <w:rsid w:val="009668C7"/>
    <w:rsid w:val="009669E1"/>
    <w:rsid w:val="00966A4D"/>
    <w:rsid w:val="00966B60"/>
    <w:rsid w:val="00966B84"/>
    <w:rsid w:val="00966DB9"/>
    <w:rsid w:val="00967017"/>
    <w:rsid w:val="009670EA"/>
    <w:rsid w:val="00967550"/>
    <w:rsid w:val="00967625"/>
    <w:rsid w:val="0096762C"/>
    <w:rsid w:val="00967764"/>
    <w:rsid w:val="0096777B"/>
    <w:rsid w:val="00967844"/>
    <w:rsid w:val="009678F8"/>
    <w:rsid w:val="00967D37"/>
    <w:rsid w:val="00967D99"/>
    <w:rsid w:val="00970035"/>
    <w:rsid w:val="0097010E"/>
    <w:rsid w:val="00970113"/>
    <w:rsid w:val="009702E5"/>
    <w:rsid w:val="00970652"/>
    <w:rsid w:val="00970698"/>
    <w:rsid w:val="009706A7"/>
    <w:rsid w:val="009707D3"/>
    <w:rsid w:val="00970994"/>
    <w:rsid w:val="00970E21"/>
    <w:rsid w:val="00970F61"/>
    <w:rsid w:val="00971051"/>
    <w:rsid w:val="009710A3"/>
    <w:rsid w:val="0097117A"/>
    <w:rsid w:val="00971219"/>
    <w:rsid w:val="00971296"/>
    <w:rsid w:val="0097141A"/>
    <w:rsid w:val="0097152F"/>
    <w:rsid w:val="00971C75"/>
    <w:rsid w:val="00971E34"/>
    <w:rsid w:val="00971EF7"/>
    <w:rsid w:val="009721DE"/>
    <w:rsid w:val="00972240"/>
    <w:rsid w:val="0097227B"/>
    <w:rsid w:val="0097228B"/>
    <w:rsid w:val="009722A1"/>
    <w:rsid w:val="009723EE"/>
    <w:rsid w:val="0097241F"/>
    <w:rsid w:val="00972421"/>
    <w:rsid w:val="0097254E"/>
    <w:rsid w:val="00972595"/>
    <w:rsid w:val="0097274C"/>
    <w:rsid w:val="009727F6"/>
    <w:rsid w:val="00972BF4"/>
    <w:rsid w:val="00972CF9"/>
    <w:rsid w:val="00972D71"/>
    <w:rsid w:val="00972D79"/>
    <w:rsid w:val="00972EC0"/>
    <w:rsid w:val="00972EFA"/>
    <w:rsid w:val="00972FFA"/>
    <w:rsid w:val="009732BC"/>
    <w:rsid w:val="0097343F"/>
    <w:rsid w:val="0097387D"/>
    <w:rsid w:val="00973B65"/>
    <w:rsid w:val="00973D3C"/>
    <w:rsid w:val="00973D75"/>
    <w:rsid w:val="00973EB0"/>
    <w:rsid w:val="00973ECC"/>
    <w:rsid w:val="00973F23"/>
    <w:rsid w:val="00974031"/>
    <w:rsid w:val="00974102"/>
    <w:rsid w:val="00974588"/>
    <w:rsid w:val="009746EA"/>
    <w:rsid w:val="0097475D"/>
    <w:rsid w:val="0097485B"/>
    <w:rsid w:val="00974892"/>
    <w:rsid w:val="009748D2"/>
    <w:rsid w:val="0097490A"/>
    <w:rsid w:val="00974A7B"/>
    <w:rsid w:val="00974CA7"/>
    <w:rsid w:val="00975242"/>
    <w:rsid w:val="009753BC"/>
    <w:rsid w:val="0097559D"/>
    <w:rsid w:val="009755A0"/>
    <w:rsid w:val="009756AE"/>
    <w:rsid w:val="00975D8C"/>
    <w:rsid w:val="00975EAB"/>
    <w:rsid w:val="00976541"/>
    <w:rsid w:val="00976621"/>
    <w:rsid w:val="00976A16"/>
    <w:rsid w:val="00976A45"/>
    <w:rsid w:val="00976B58"/>
    <w:rsid w:val="00976BD9"/>
    <w:rsid w:val="00976C28"/>
    <w:rsid w:val="00976D8E"/>
    <w:rsid w:val="00976F7A"/>
    <w:rsid w:val="00977000"/>
    <w:rsid w:val="00977185"/>
    <w:rsid w:val="00977218"/>
    <w:rsid w:val="009773BF"/>
    <w:rsid w:val="00977AAA"/>
    <w:rsid w:val="00977C3E"/>
    <w:rsid w:val="00977CDD"/>
    <w:rsid w:val="00980018"/>
    <w:rsid w:val="0098015D"/>
    <w:rsid w:val="0098016C"/>
    <w:rsid w:val="00980498"/>
    <w:rsid w:val="00980688"/>
    <w:rsid w:val="009808D2"/>
    <w:rsid w:val="009809B8"/>
    <w:rsid w:val="00980B72"/>
    <w:rsid w:val="00980FEF"/>
    <w:rsid w:val="00980FF0"/>
    <w:rsid w:val="009810EE"/>
    <w:rsid w:val="0098125C"/>
    <w:rsid w:val="009812BD"/>
    <w:rsid w:val="0098131C"/>
    <w:rsid w:val="00981406"/>
    <w:rsid w:val="0098167A"/>
    <w:rsid w:val="00981E5F"/>
    <w:rsid w:val="00981EC4"/>
    <w:rsid w:val="00981FA8"/>
    <w:rsid w:val="0098228F"/>
    <w:rsid w:val="00982467"/>
    <w:rsid w:val="0098272A"/>
    <w:rsid w:val="0098281C"/>
    <w:rsid w:val="00982C10"/>
    <w:rsid w:val="00982DA4"/>
    <w:rsid w:val="009833B4"/>
    <w:rsid w:val="00983467"/>
    <w:rsid w:val="00983577"/>
    <w:rsid w:val="00983614"/>
    <w:rsid w:val="00983683"/>
    <w:rsid w:val="009836AE"/>
    <w:rsid w:val="009836B2"/>
    <w:rsid w:val="00983716"/>
    <w:rsid w:val="009839F5"/>
    <w:rsid w:val="00983B30"/>
    <w:rsid w:val="00983B76"/>
    <w:rsid w:val="00983DB9"/>
    <w:rsid w:val="0098424D"/>
    <w:rsid w:val="009849B6"/>
    <w:rsid w:val="00984CC9"/>
    <w:rsid w:val="00984D24"/>
    <w:rsid w:val="00984F9B"/>
    <w:rsid w:val="009854C8"/>
    <w:rsid w:val="009855ED"/>
    <w:rsid w:val="009856DF"/>
    <w:rsid w:val="009859C3"/>
    <w:rsid w:val="00985AEF"/>
    <w:rsid w:val="00985C54"/>
    <w:rsid w:val="00985DCD"/>
    <w:rsid w:val="00986178"/>
    <w:rsid w:val="009861DD"/>
    <w:rsid w:val="0098623F"/>
    <w:rsid w:val="0098670A"/>
    <w:rsid w:val="009867C6"/>
    <w:rsid w:val="00986925"/>
    <w:rsid w:val="00986A16"/>
    <w:rsid w:val="00986D0F"/>
    <w:rsid w:val="00986D21"/>
    <w:rsid w:val="00987302"/>
    <w:rsid w:val="0098771B"/>
    <w:rsid w:val="00987971"/>
    <w:rsid w:val="009879F6"/>
    <w:rsid w:val="00990035"/>
    <w:rsid w:val="0099006D"/>
    <w:rsid w:val="0099018C"/>
    <w:rsid w:val="00990506"/>
    <w:rsid w:val="00990560"/>
    <w:rsid w:val="0099087E"/>
    <w:rsid w:val="009908DA"/>
    <w:rsid w:val="00990A4F"/>
    <w:rsid w:val="00990BA6"/>
    <w:rsid w:val="00990D2B"/>
    <w:rsid w:val="00990D5B"/>
    <w:rsid w:val="00990EC6"/>
    <w:rsid w:val="00991364"/>
    <w:rsid w:val="009914C2"/>
    <w:rsid w:val="00991600"/>
    <w:rsid w:val="0099162D"/>
    <w:rsid w:val="00991700"/>
    <w:rsid w:val="009917BF"/>
    <w:rsid w:val="009917F9"/>
    <w:rsid w:val="00991962"/>
    <w:rsid w:val="00991C79"/>
    <w:rsid w:val="00991FBC"/>
    <w:rsid w:val="0099233F"/>
    <w:rsid w:val="009923A6"/>
    <w:rsid w:val="00992426"/>
    <w:rsid w:val="00992531"/>
    <w:rsid w:val="0099258D"/>
    <w:rsid w:val="00992651"/>
    <w:rsid w:val="009927A3"/>
    <w:rsid w:val="009927AB"/>
    <w:rsid w:val="009928AD"/>
    <w:rsid w:val="00992AB9"/>
    <w:rsid w:val="00993029"/>
    <w:rsid w:val="0099396B"/>
    <w:rsid w:val="00993A02"/>
    <w:rsid w:val="00993CAD"/>
    <w:rsid w:val="00994435"/>
    <w:rsid w:val="00994B07"/>
    <w:rsid w:val="00994D63"/>
    <w:rsid w:val="00994DAA"/>
    <w:rsid w:val="00994E5B"/>
    <w:rsid w:val="00994E94"/>
    <w:rsid w:val="00994FA4"/>
    <w:rsid w:val="009950CE"/>
    <w:rsid w:val="00995121"/>
    <w:rsid w:val="009952D9"/>
    <w:rsid w:val="0099558F"/>
    <w:rsid w:val="0099587D"/>
    <w:rsid w:val="0099598E"/>
    <w:rsid w:val="009959CD"/>
    <w:rsid w:val="00995C03"/>
    <w:rsid w:val="00995C1A"/>
    <w:rsid w:val="00995CE7"/>
    <w:rsid w:val="00995E4D"/>
    <w:rsid w:val="00996195"/>
    <w:rsid w:val="00996324"/>
    <w:rsid w:val="00996552"/>
    <w:rsid w:val="00996729"/>
    <w:rsid w:val="00996A0A"/>
    <w:rsid w:val="00996A66"/>
    <w:rsid w:val="009973CA"/>
    <w:rsid w:val="00997662"/>
    <w:rsid w:val="0099770D"/>
    <w:rsid w:val="00997C7A"/>
    <w:rsid w:val="009A00FC"/>
    <w:rsid w:val="009A0707"/>
    <w:rsid w:val="009A09D9"/>
    <w:rsid w:val="009A0AAD"/>
    <w:rsid w:val="009A0B40"/>
    <w:rsid w:val="009A14AE"/>
    <w:rsid w:val="009A160E"/>
    <w:rsid w:val="009A1688"/>
    <w:rsid w:val="009A1B83"/>
    <w:rsid w:val="009A1C65"/>
    <w:rsid w:val="009A1D97"/>
    <w:rsid w:val="009A1E1C"/>
    <w:rsid w:val="009A1F54"/>
    <w:rsid w:val="009A2111"/>
    <w:rsid w:val="009A22E7"/>
    <w:rsid w:val="009A24C0"/>
    <w:rsid w:val="009A25D7"/>
    <w:rsid w:val="009A28F2"/>
    <w:rsid w:val="009A2C8B"/>
    <w:rsid w:val="009A3153"/>
    <w:rsid w:val="009A3356"/>
    <w:rsid w:val="009A335F"/>
    <w:rsid w:val="009A361B"/>
    <w:rsid w:val="009A3996"/>
    <w:rsid w:val="009A3AE4"/>
    <w:rsid w:val="009A3BDB"/>
    <w:rsid w:val="009A3D80"/>
    <w:rsid w:val="009A4469"/>
    <w:rsid w:val="009A4732"/>
    <w:rsid w:val="009A48AA"/>
    <w:rsid w:val="009A49BF"/>
    <w:rsid w:val="009A4C03"/>
    <w:rsid w:val="009A4D43"/>
    <w:rsid w:val="009A4D9B"/>
    <w:rsid w:val="009A5037"/>
    <w:rsid w:val="009A5188"/>
    <w:rsid w:val="009A539F"/>
    <w:rsid w:val="009A53B9"/>
    <w:rsid w:val="009A53DC"/>
    <w:rsid w:val="009A54D2"/>
    <w:rsid w:val="009A5C63"/>
    <w:rsid w:val="009A5CDB"/>
    <w:rsid w:val="009A5E11"/>
    <w:rsid w:val="009A5F89"/>
    <w:rsid w:val="009A6500"/>
    <w:rsid w:val="009A659F"/>
    <w:rsid w:val="009A66AE"/>
    <w:rsid w:val="009A6760"/>
    <w:rsid w:val="009A6A0E"/>
    <w:rsid w:val="009A6DCC"/>
    <w:rsid w:val="009A6FC4"/>
    <w:rsid w:val="009A72E9"/>
    <w:rsid w:val="009A7335"/>
    <w:rsid w:val="009A752F"/>
    <w:rsid w:val="009A75DF"/>
    <w:rsid w:val="009A7605"/>
    <w:rsid w:val="009A7CC9"/>
    <w:rsid w:val="009A7CD0"/>
    <w:rsid w:val="009B006E"/>
    <w:rsid w:val="009B0092"/>
    <w:rsid w:val="009B06D8"/>
    <w:rsid w:val="009B0811"/>
    <w:rsid w:val="009B091F"/>
    <w:rsid w:val="009B0A08"/>
    <w:rsid w:val="009B0EC0"/>
    <w:rsid w:val="009B0F21"/>
    <w:rsid w:val="009B0FC8"/>
    <w:rsid w:val="009B1038"/>
    <w:rsid w:val="009B1183"/>
    <w:rsid w:val="009B1354"/>
    <w:rsid w:val="009B13E4"/>
    <w:rsid w:val="009B144C"/>
    <w:rsid w:val="009B16EB"/>
    <w:rsid w:val="009B1875"/>
    <w:rsid w:val="009B1881"/>
    <w:rsid w:val="009B19E3"/>
    <w:rsid w:val="009B1A44"/>
    <w:rsid w:val="009B1C4B"/>
    <w:rsid w:val="009B1CB9"/>
    <w:rsid w:val="009B1E36"/>
    <w:rsid w:val="009B1F30"/>
    <w:rsid w:val="009B2432"/>
    <w:rsid w:val="009B24ED"/>
    <w:rsid w:val="009B28AD"/>
    <w:rsid w:val="009B291B"/>
    <w:rsid w:val="009B2F05"/>
    <w:rsid w:val="009B3311"/>
    <w:rsid w:val="009B364D"/>
    <w:rsid w:val="009B37F6"/>
    <w:rsid w:val="009B39EB"/>
    <w:rsid w:val="009B3B76"/>
    <w:rsid w:val="009B3F30"/>
    <w:rsid w:val="009B461E"/>
    <w:rsid w:val="009B467D"/>
    <w:rsid w:val="009B4806"/>
    <w:rsid w:val="009B4B1A"/>
    <w:rsid w:val="009B4E4E"/>
    <w:rsid w:val="009B501E"/>
    <w:rsid w:val="009B5493"/>
    <w:rsid w:val="009B54A0"/>
    <w:rsid w:val="009B5552"/>
    <w:rsid w:val="009B56E9"/>
    <w:rsid w:val="009B573E"/>
    <w:rsid w:val="009B580E"/>
    <w:rsid w:val="009B588D"/>
    <w:rsid w:val="009B593B"/>
    <w:rsid w:val="009B59AA"/>
    <w:rsid w:val="009B5AB2"/>
    <w:rsid w:val="009B5DFE"/>
    <w:rsid w:val="009B6055"/>
    <w:rsid w:val="009B6555"/>
    <w:rsid w:val="009B65D0"/>
    <w:rsid w:val="009B67AF"/>
    <w:rsid w:val="009B6AF3"/>
    <w:rsid w:val="009B6B55"/>
    <w:rsid w:val="009B6D0C"/>
    <w:rsid w:val="009B700C"/>
    <w:rsid w:val="009B70F1"/>
    <w:rsid w:val="009B71B0"/>
    <w:rsid w:val="009B72B2"/>
    <w:rsid w:val="009B7D66"/>
    <w:rsid w:val="009C0491"/>
    <w:rsid w:val="009C055A"/>
    <w:rsid w:val="009C0723"/>
    <w:rsid w:val="009C0A21"/>
    <w:rsid w:val="009C0C4B"/>
    <w:rsid w:val="009C0D1E"/>
    <w:rsid w:val="009C1102"/>
    <w:rsid w:val="009C1ACB"/>
    <w:rsid w:val="009C1C32"/>
    <w:rsid w:val="009C23C9"/>
    <w:rsid w:val="009C24CE"/>
    <w:rsid w:val="009C250E"/>
    <w:rsid w:val="009C29EF"/>
    <w:rsid w:val="009C3048"/>
    <w:rsid w:val="009C30A6"/>
    <w:rsid w:val="009C312C"/>
    <w:rsid w:val="009C348F"/>
    <w:rsid w:val="009C35CA"/>
    <w:rsid w:val="009C3710"/>
    <w:rsid w:val="009C37B9"/>
    <w:rsid w:val="009C39EC"/>
    <w:rsid w:val="009C3A3B"/>
    <w:rsid w:val="009C3A42"/>
    <w:rsid w:val="009C3A8D"/>
    <w:rsid w:val="009C3AE7"/>
    <w:rsid w:val="009C3B21"/>
    <w:rsid w:val="009C3FD2"/>
    <w:rsid w:val="009C4253"/>
    <w:rsid w:val="009C43E4"/>
    <w:rsid w:val="009C44B5"/>
    <w:rsid w:val="009C44D0"/>
    <w:rsid w:val="009C4873"/>
    <w:rsid w:val="009C4897"/>
    <w:rsid w:val="009C4C13"/>
    <w:rsid w:val="009C4DA6"/>
    <w:rsid w:val="009C4EC7"/>
    <w:rsid w:val="009C4F51"/>
    <w:rsid w:val="009C5004"/>
    <w:rsid w:val="009C50B4"/>
    <w:rsid w:val="009C54AB"/>
    <w:rsid w:val="009C55FD"/>
    <w:rsid w:val="009C563B"/>
    <w:rsid w:val="009C5644"/>
    <w:rsid w:val="009C56BB"/>
    <w:rsid w:val="009C59A9"/>
    <w:rsid w:val="009C5AEF"/>
    <w:rsid w:val="009C5B8D"/>
    <w:rsid w:val="009C5CE6"/>
    <w:rsid w:val="009C5EA5"/>
    <w:rsid w:val="009C6181"/>
    <w:rsid w:val="009C6405"/>
    <w:rsid w:val="009C6570"/>
    <w:rsid w:val="009C69DA"/>
    <w:rsid w:val="009C6C47"/>
    <w:rsid w:val="009C70B2"/>
    <w:rsid w:val="009C73B4"/>
    <w:rsid w:val="009C78C6"/>
    <w:rsid w:val="009C78E5"/>
    <w:rsid w:val="009C7ADB"/>
    <w:rsid w:val="009C7BB1"/>
    <w:rsid w:val="009C7DD4"/>
    <w:rsid w:val="009D0043"/>
    <w:rsid w:val="009D02BB"/>
    <w:rsid w:val="009D03B2"/>
    <w:rsid w:val="009D04D3"/>
    <w:rsid w:val="009D0616"/>
    <w:rsid w:val="009D0781"/>
    <w:rsid w:val="009D094B"/>
    <w:rsid w:val="009D0A25"/>
    <w:rsid w:val="009D0AD5"/>
    <w:rsid w:val="009D10B4"/>
    <w:rsid w:val="009D11E7"/>
    <w:rsid w:val="009D1331"/>
    <w:rsid w:val="009D17D3"/>
    <w:rsid w:val="009D18DE"/>
    <w:rsid w:val="009D19BF"/>
    <w:rsid w:val="009D19C6"/>
    <w:rsid w:val="009D1AE0"/>
    <w:rsid w:val="009D1B03"/>
    <w:rsid w:val="009D1E7E"/>
    <w:rsid w:val="009D1F95"/>
    <w:rsid w:val="009D1FDB"/>
    <w:rsid w:val="009D1FF2"/>
    <w:rsid w:val="009D20E1"/>
    <w:rsid w:val="009D225F"/>
    <w:rsid w:val="009D2262"/>
    <w:rsid w:val="009D240C"/>
    <w:rsid w:val="009D243F"/>
    <w:rsid w:val="009D2545"/>
    <w:rsid w:val="009D2591"/>
    <w:rsid w:val="009D2620"/>
    <w:rsid w:val="009D2728"/>
    <w:rsid w:val="009D29EA"/>
    <w:rsid w:val="009D2E3F"/>
    <w:rsid w:val="009D2F79"/>
    <w:rsid w:val="009D3265"/>
    <w:rsid w:val="009D3330"/>
    <w:rsid w:val="009D33BB"/>
    <w:rsid w:val="009D33CC"/>
    <w:rsid w:val="009D33D5"/>
    <w:rsid w:val="009D3400"/>
    <w:rsid w:val="009D34B2"/>
    <w:rsid w:val="009D3812"/>
    <w:rsid w:val="009D381F"/>
    <w:rsid w:val="009D383D"/>
    <w:rsid w:val="009D38CA"/>
    <w:rsid w:val="009D3B90"/>
    <w:rsid w:val="009D3F93"/>
    <w:rsid w:val="009D3F9A"/>
    <w:rsid w:val="009D3FC6"/>
    <w:rsid w:val="009D40C9"/>
    <w:rsid w:val="009D4342"/>
    <w:rsid w:val="009D44E4"/>
    <w:rsid w:val="009D46C0"/>
    <w:rsid w:val="009D48C2"/>
    <w:rsid w:val="009D4B6E"/>
    <w:rsid w:val="009D4E47"/>
    <w:rsid w:val="009D4E7A"/>
    <w:rsid w:val="009D50C6"/>
    <w:rsid w:val="009D520F"/>
    <w:rsid w:val="009D5321"/>
    <w:rsid w:val="009D5483"/>
    <w:rsid w:val="009D571E"/>
    <w:rsid w:val="009D5972"/>
    <w:rsid w:val="009D5B8D"/>
    <w:rsid w:val="009D5C06"/>
    <w:rsid w:val="009D5C94"/>
    <w:rsid w:val="009D5F86"/>
    <w:rsid w:val="009D608D"/>
    <w:rsid w:val="009D60F1"/>
    <w:rsid w:val="009D6363"/>
    <w:rsid w:val="009D63D7"/>
    <w:rsid w:val="009D64BE"/>
    <w:rsid w:val="009D6511"/>
    <w:rsid w:val="009D6730"/>
    <w:rsid w:val="009D6A87"/>
    <w:rsid w:val="009D6B9D"/>
    <w:rsid w:val="009D71F5"/>
    <w:rsid w:val="009D7990"/>
    <w:rsid w:val="009D799D"/>
    <w:rsid w:val="009D7A2D"/>
    <w:rsid w:val="009D7E47"/>
    <w:rsid w:val="009D7F3A"/>
    <w:rsid w:val="009E00B8"/>
    <w:rsid w:val="009E0475"/>
    <w:rsid w:val="009E072B"/>
    <w:rsid w:val="009E09B2"/>
    <w:rsid w:val="009E0B2D"/>
    <w:rsid w:val="009E0DE9"/>
    <w:rsid w:val="009E0EDE"/>
    <w:rsid w:val="009E0F2D"/>
    <w:rsid w:val="009E0F7B"/>
    <w:rsid w:val="009E100E"/>
    <w:rsid w:val="009E11AC"/>
    <w:rsid w:val="009E14F2"/>
    <w:rsid w:val="009E1C0A"/>
    <w:rsid w:val="009E1D92"/>
    <w:rsid w:val="009E2075"/>
    <w:rsid w:val="009E24F1"/>
    <w:rsid w:val="009E2516"/>
    <w:rsid w:val="009E25C7"/>
    <w:rsid w:val="009E2BE5"/>
    <w:rsid w:val="009E2CB1"/>
    <w:rsid w:val="009E2CCF"/>
    <w:rsid w:val="009E2E5A"/>
    <w:rsid w:val="009E33E4"/>
    <w:rsid w:val="009E341B"/>
    <w:rsid w:val="009E35F7"/>
    <w:rsid w:val="009E3D62"/>
    <w:rsid w:val="009E3F44"/>
    <w:rsid w:val="009E3F83"/>
    <w:rsid w:val="009E4080"/>
    <w:rsid w:val="009E4407"/>
    <w:rsid w:val="009E4448"/>
    <w:rsid w:val="009E4479"/>
    <w:rsid w:val="009E44D5"/>
    <w:rsid w:val="009E4577"/>
    <w:rsid w:val="009E45B3"/>
    <w:rsid w:val="009E467F"/>
    <w:rsid w:val="009E4787"/>
    <w:rsid w:val="009E48EE"/>
    <w:rsid w:val="009E48F4"/>
    <w:rsid w:val="009E4A39"/>
    <w:rsid w:val="009E4B36"/>
    <w:rsid w:val="009E4EAE"/>
    <w:rsid w:val="009E510D"/>
    <w:rsid w:val="009E5359"/>
    <w:rsid w:val="009E5384"/>
    <w:rsid w:val="009E544E"/>
    <w:rsid w:val="009E563C"/>
    <w:rsid w:val="009E567E"/>
    <w:rsid w:val="009E5A27"/>
    <w:rsid w:val="009E5CBF"/>
    <w:rsid w:val="009E5ED0"/>
    <w:rsid w:val="009E6079"/>
    <w:rsid w:val="009E60FE"/>
    <w:rsid w:val="009E61AC"/>
    <w:rsid w:val="009E61FD"/>
    <w:rsid w:val="009E6644"/>
    <w:rsid w:val="009E6AAF"/>
    <w:rsid w:val="009E6ED7"/>
    <w:rsid w:val="009E714A"/>
    <w:rsid w:val="009E74C0"/>
    <w:rsid w:val="009E76CA"/>
    <w:rsid w:val="009E7997"/>
    <w:rsid w:val="009E7C62"/>
    <w:rsid w:val="009E7D8F"/>
    <w:rsid w:val="009E7E8C"/>
    <w:rsid w:val="009F0132"/>
    <w:rsid w:val="009F013D"/>
    <w:rsid w:val="009F0143"/>
    <w:rsid w:val="009F0234"/>
    <w:rsid w:val="009F0307"/>
    <w:rsid w:val="009F07D6"/>
    <w:rsid w:val="009F0B75"/>
    <w:rsid w:val="009F0BF7"/>
    <w:rsid w:val="009F0D89"/>
    <w:rsid w:val="009F0DB3"/>
    <w:rsid w:val="009F0DE6"/>
    <w:rsid w:val="009F0DF5"/>
    <w:rsid w:val="009F0F87"/>
    <w:rsid w:val="009F1188"/>
    <w:rsid w:val="009F11E5"/>
    <w:rsid w:val="009F1372"/>
    <w:rsid w:val="009F154A"/>
    <w:rsid w:val="009F15A5"/>
    <w:rsid w:val="009F1655"/>
    <w:rsid w:val="009F1758"/>
    <w:rsid w:val="009F1862"/>
    <w:rsid w:val="009F1972"/>
    <w:rsid w:val="009F1989"/>
    <w:rsid w:val="009F1A40"/>
    <w:rsid w:val="009F1AB3"/>
    <w:rsid w:val="009F1B5C"/>
    <w:rsid w:val="009F1C94"/>
    <w:rsid w:val="009F1F3F"/>
    <w:rsid w:val="009F1FD9"/>
    <w:rsid w:val="009F2057"/>
    <w:rsid w:val="009F2093"/>
    <w:rsid w:val="009F2564"/>
    <w:rsid w:val="009F2634"/>
    <w:rsid w:val="009F286B"/>
    <w:rsid w:val="009F29F6"/>
    <w:rsid w:val="009F2D22"/>
    <w:rsid w:val="009F35FE"/>
    <w:rsid w:val="009F3791"/>
    <w:rsid w:val="009F3847"/>
    <w:rsid w:val="009F3FB3"/>
    <w:rsid w:val="009F422E"/>
    <w:rsid w:val="009F48A7"/>
    <w:rsid w:val="009F494A"/>
    <w:rsid w:val="009F4CC8"/>
    <w:rsid w:val="009F4D9C"/>
    <w:rsid w:val="009F5067"/>
    <w:rsid w:val="009F5125"/>
    <w:rsid w:val="009F532C"/>
    <w:rsid w:val="009F56BA"/>
    <w:rsid w:val="009F59E6"/>
    <w:rsid w:val="009F5A21"/>
    <w:rsid w:val="009F5AE7"/>
    <w:rsid w:val="009F5B24"/>
    <w:rsid w:val="009F5BAF"/>
    <w:rsid w:val="009F5CDB"/>
    <w:rsid w:val="009F6216"/>
    <w:rsid w:val="009F624A"/>
    <w:rsid w:val="009F64B6"/>
    <w:rsid w:val="009F6559"/>
    <w:rsid w:val="009F663C"/>
    <w:rsid w:val="009F6E8E"/>
    <w:rsid w:val="009F7001"/>
    <w:rsid w:val="009F700C"/>
    <w:rsid w:val="009F718D"/>
    <w:rsid w:val="009F722C"/>
    <w:rsid w:val="009F724E"/>
    <w:rsid w:val="009F74A7"/>
    <w:rsid w:val="009F74F3"/>
    <w:rsid w:val="009F756D"/>
    <w:rsid w:val="009F785C"/>
    <w:rsid w:val="009F79EE"/>
    <w:rsid w:val="009F7A62"/>
    <w:rsid w:val="009F7ACC"/>
    <w:rsid w:val="009F7BE0"/>
    <w:rsid w:val="009F7CAE"/>
    <w:rsid w:val="00A002E8"/>
    <w:rsid w:val="00A0042A"/>
    <w:rsid w:val="00A00451"/>
    <w:rsid w:val="00A007DB"/>
    <w:rsid w:val="00A00950"/>
    <w:rsid w:val="00A00A7B"/>
    <w:rsid w:val="00A00F99"/>
    <w:rsid w:val="00A0105A"/>
    <w:rsid w:val="00A01366"/>
    <w:rsid w:val="00A0143B"/>
    <w:rsid w:val="00A014FF"/>
    <w:rsid w:val="00A016DF"/>
    <w:rsid w:val="00A017CD"/>
    <w:rsid w:val="00A0189D"/>
    <w:rsid w:val="00A019FE"/>
    <w:rsid w:val="00A01B9D"/>
    <w:rsid w:val="00A0215B"/>
    <w:rsid w:val="00A0220A"/>
    <w:rsid w:val="00A024C5"/>
    <w:rsid w:val="00A02840"/>
    <w:rsid w:val="00A029BB"/>
    <w:rsid w:val="00A02ADD"/>
    <w:rsid w:val="00A02D93"/>
    <w:rsid w:val="00A02D9F"/>
    <w:rsid w:val="00A02DA1"/>
    <w:rsid w:val="00A02EC0"/>
    <w:rsid w:val="00A02FA5"/>
    <w:rsid w:val="00A03468"/>
    <w:rsid w:val="00A03599"/>
    <w:rsid w:val="00A0359F"/>
    <w:rsid w:val="00A035DD"/>
    <w:rsid w:val="00A036F9"/>
    <w:rsid w:val="00A03959"/>
    <w:rsid w:val="00A03999"/>
    <w:rsid w:val="00A03C34"/>
    <w:rsid w:val="00A03E6B"/>
    <w:rsid w:val="00A0403E"/>
    <w:rsid w:val="00A04482"/>
    <w:rsid w:val="00A04912"/>
    <w:rsid w:val="00A04AF7"/>
    <w:rsid w:val="00A04AFA"/>
    <w:rsid w:val="00A04E60"/>
    <w:rsid w:val="00A052EB"/>
    <w:rsid w:val="00A05695"/>
    <w:rsid w:val="00A05907"/>
    <w:rsid w:val="00A05B2C"/>
    <w:rsid w:val="00A05EBB"/>
    <w:rsid w:val="00A0612B"/>
    <w:rsid w:val="00A06274"/>
    <w:rsid w:val="00A06444"/>
    <w:rsid w:val="00A06530"/>
    <w:rsid w:val="00A06A05"/>
    <w:rsid w:val="00A06C6D"/>
    <w:rsid w:val="00A06D43"/>
    <w:rsid w:val="00A06FEC"/>
    <w:rsid w:val="00A0707B"/>
    <w:rsid w:val="00A070F7"/>
    <w:rsid w:val="00A071B0"/>
    <w:rsid w:val="00A0746A"/>
    <w:rsid w:val="00A079D5"/>
    <w:rsid w:val="00A10177"/>
    <w:rsid w:val="00A10822"/>
    <w:rsid w:val="00A10878"/>
    <w:rsid w:val="00A10C5F"/>
    <w:rsid w:val="00A11146"/>
    <w:rsid w:val="00A11373"/>
    <w:rsid w:val="00A113C5"/>
    <w:rsid w:val="00A1146A"/>
    <w:rsid w:val="00A114C1"/>
    <w:rsid w:val="00A11519"/>
    <w:rsid w:val="00A11C85"/>
    <w:rsid w:val="00A11DD3"/>
    <w:rsid w:val="00A11DE3"/>
    <w:rsid w:val="00A122AD"/>
    <w:rsid w:val="00A12374"/>
    <w:rsid w:val="00A12579"/>
    <w:rsid w:val="00A12A53"/>
    <w:rsid w:val="00A12BCB"/>
    <w:rsid w:val="00A12CBB"/>
    <w:rsid w:val="00A12E18"/>
    <w:rsid w:val="00A13450"/>
    <w:rsid w:val="00A1358D"/>
    <w:rsid w:val="00A135B6"/>
    <w:rsid w:val="00A1379E"/>
    <w:rsid w:val="00A13992"/>
    <w:rsid w:val="00A13E9F"/>
    <w:rsid w:val="00A140AE"/>
    <w:rsid w:val="00A1438D"/>
    <w:rsid w:val="00A14676"/>
    <w:rsid w:val="00A146D2"/>
    <w:rsid w:val="00A148D6"/>
    <w:rsid w:val="00A149AD"/>
    <w:rsid w:val="00A149BB"/>
    <w:rsid w:val="00A14A81"/>
    <w:rsid w:val="00A14B59"/>
    <w:rsid w:val="00A14E02"/>
    <w:rsid w:val="00A155FF"/>
    <w:rsid w:val="00A157A4"/>
    <w:rsid w:val="00A157A6"/>
    <w:rsid w:val="00A157DF"/>
    <w:rsid w:val="00A15811"/>
    <w:rsid w:val="00A159A2"/>
    <w:rsid w:val="00A15AD0"/>
    <w:rsid w:val="00A15D8B"/>
    <w:rsid w:val="00A1618A"/>
    <w:rsid w:val="00A1680A"/>
    <w:rsid w:val="00A1690C"/>
    <w:rsid w:val="00A16B53"/>
    <w:rsid w:val="00A170A2"/>
    <w:rsid w:val="00A17347"/>
    <w:rsid w:val="00A1757F"/>
    <w:rsid w:val="00A175C5"/>
    <w:rsid w:val="00A1781A"/>
    <w:rsid w:val="00A178EB"/>
    <w:rsid w:val="00A17A30"/>
    <w:rsid w:val="00A17C29"/>
    <w:rsid w:val="00A17C51"/>
    <w:rsid w:val="00A17DF1"/>
    <w:rsid w:val="00A17E1E"/>
    <w:rsid w:val="00A201A7"/>
    <w:rsid w:val="00A20231"/>
    <w:rsid w:val="00A202DC"/>
    <w:rsid w:val="00A20441"/>
    <w:rsid w:val="00A20536"/>
    <w:rsid w:val="00A20728"/>
    <w:rsid w:val="00A2078D"/>
    <w:rsid w:val="00A20824"/>
    <w:rsid w:val="00A20B0B"/>
    <w:rsid w:val="00A20B22"/>
    <w:rsid w:val="00A20F7A"/>
    <w:rsid w:val="00A21284"/>
    <w:rsid w:val="00A2152E"/>
    <w:rsid w:val="00A215C4"/>
    <w:rsid w:val="00A21740"/>
    <w:rsid w:val="00A2174B"/>
    <w:rsid w:val="00A21A69"/>
    <w:rsid w:val="00A21AA6"/>
    <w:rsid w:val="00A21C41"/>
    <w:rsid w:val="00A21F63"/>
    <w:rsid w:val="00A21FAB"/>
    <w:rsid w:val="00A222B3"/>
    <w:rsid w:val="00A22898"/>
    <w:rsid w:val="00A228EE"/>
    <w:rsid w:val="00A22D6B"/>
    <w:rsid w:val="00A22E1F"/>
    <w:rsid w:val="00A22ED4"/>
    <w:rsid w:val="00A22F0D"/>
    <w:rsid w:val="00A22F85"/>
    <w:rsid w:val="00A232FF"/>
    <w:rsid w:val="00A23595"/>
    <w:rsid w:val="00A237CC"/>
    <w:rsid w:val="00A239A6"/>
    <w:rsid w:val="00A239AF"/>
    <w:rsid w:val="00A23A7D"/>
    <w:rsid w:val="00A23BE2"/>
    <w:rsid w:val="00A23C7D"/>
    <w:rsid w:val="00A23D59"/>
    <w:rsid w:val="00A23E38"/>
    <w:rsid w:val="00A23EFB"/>
    <w:rsid w:val="00A24091"/>
    <w:rsid w:val="00A240B9"/>
    <w:rsid w:val="00A241C5"/>
    <w:rsid w:val="00A24256"/>
    <w:rsid w:val="00A243CA"/>
    <w:rsid w:val="00A243EA"/>
    <w:rsid w:val="00A24400"/>
    <w:rsid w:val="00A247C0"/>
    <w:rsid w:val="00A24989"/>
    <w:rsid w:val="00A24ABF"/>
    <w:rsid w:val="00A24BD3"/>
    <w:rsid w:val="00A24E1F"/>
    <w:rsid w:val="00A24ECE"/>
    <w:rsid w:val="00A24F7D"/>
    <w:rsid w:val="00A25186"/>
    <w:rsid w:val="00A2537A"/>
    <w:rsid w:val="00A2548F"/>
    <w:rsid w:val="00A2557B"/>
    <w:rsid w:val="00A2561C"/>
    <w:rsid w:val="00A2573F"/>
    <w:rsid w:val="00A25BE0"/>
    <w:rsid w:val="00A25CBD"/>
    <w:rsid w:val="00A25D3D"/>
    <w:rsid w:val="00A25DD4"/>
    <w:rsid w:val="00A261BB"/>
    <w:rsid w:val="00A26447"/>
    <w:rsid w:val="00A26733"/>
    <w:rsid w:val="00A26943"/>
    <w:rsid w:val="00A26A1E"/>
    <w:rsid w:val="00A26A53"/>
    <w:rsid w:val="00A26D2D"/>
    <w:rsid w:val="00A2727B"/>
    <w:rsid w:val="00A272CD"/>
    <w:rsid w:val="00A27336"/>
    <w:rsid w:val="00A2744F"/>
    <w:rsid w:val="00A27513"/>
    <w:rsid w:val="00A275A9"/>
    <w:rsid w:val="00A275BE"/>
    <w:rsid w:val="00A2771F"/>
    <w:rsid w:val="00A2786F"/>
    <w:rsid w:val="00A27BB6"/>
    <w:rsid w:val="00A30130"/>
    <w:rsid w:val="00A3036C"/>
    <w:rsid w:val="00A30510"/>
    <w:rsid w:val="00A30618"/>
    <w:rsid w:val="00A30799"/>
    <w:rsid w:val="00A311D3"/>
    <w:rsid w:val="00A3184D"/>
    <w:rsid w:val="00A31902"/>
    <w:rsid w:val="00A31A19"/>
    <w:rsid w:val="00A31CB3"/>
    <w:rsid w:val="00A31D16"/>
    <w:rsid w:val="00A32113"/>
    <w:rsid w:val="00A322F8"/>
    <w:rsid w:val="00A3260B"/>
    <w:rsid w:val="00A327E8"/>
    <w:rsid w:val="00A32BBC"/>
    <w:rsid w:val="00A32C3A"/>
    <w:rsid w:val="00A32DBD"/>
    <w:rsid w:val="00A32F2C"/>
    <w:rsid w:val="00A332D4"/>
    <w:rsid w:val="00A33AD6"/>
    <w:rsid w:val="00A33B13"/>
    <w:rsid w:val="00A33D19"/>
    <w:rsid w:val="00A33ED0"/>
    <w:rsid w:val="00A3412F"/>
    <w:rsid w:val="00A346E4"/>
    <w:rsid w:val="00A34B32"/>
    <w:rsid w:val="00A34C1C"/>
    <w:rsid w:val="00A3511A"/>
    <w:rsid w:val="00A351FB"/>
    <w:rsid w:val="00A35451"/>
    <w:rsid w:val="00A354F8"/>
    <w:rsid w:val="00A356A5"/>
    <w:rsid w:val="00A356AF"/>
    <w:rsid w:val="00A357E7"/>
    <w:rsid w:val="00A357EA"/>
    <w:rsid w:val="00A35A08"/>
    <w:rsid w:val="00A35D58"/>
    <w:rsid w:val="00A35EBA"/>
    <w:rsid w:val="00A360F9"/>
    <w:rsid w:val="00A3612A"/>
    <w:rsid w:val="00A36477"/>
    <w:rsid w:val="00A36696"/>
    <w:rsid w:val="00A367AD"/>
    <w:rsid w:val="00A36808"/>
    <w:rsid w:val="00A36836"/>
    <w:rsid w:val="00A3699C"/>
    <w:rsid w:val="00A369CF"/>
    <w:rsid w:val="00A36EEB"/>
    <w:rsid w:val="00A3718A"/>
    <w:rsid w:val="00A372FF"/>
    <w:rsid w:val="00A375BC"/>
    <w:rsid w:val="00A375CF"/>
    <w:rsid w:val="00A3780A"/>
    <w:rsid w:val="00A37953"/>
    <w:rsid w:val="00A37A4B"/>
    <w:rsid w:val="00A37AA5"/>
    <w:rsid w:val="00A37AA9"/>
    <w:rsid w:val="00A37CA1"/>
    <w:rsid w:val="00A37FD5"/>
    <w:rsid w:val="00A4065E"/>
    <w:rsid w:val="00A406F4"/>
    <w:rsid w:val="00A40A7F"/>
    <w:rsid w:val="00A410AB"/>
    <w:rsid w:val="00A411B0"/>
    <w:rsid w:val="00A415AA"/>
    <w:rsid w:val="00A415E8"/>
    <w:rsid w:val="00A41782"/>
    <w:rsid w:val="00A4196A"/>
    <w:rsid w:val="00A41987"/>
    <w:rsid w:val="00A41A02"/>
    <w:rsid w:val="00A41A4A"/>
    <w:rsid w:val="00A41AEC"/>
    <w:rsid w:val="00A41CAD"/>
    <w:rsid w:val="00A41D08"/>
    <w:rsid w:val="00A41D84"/>
    <w:rsid w:val="00A41E3C"/>
    <w:rsid w:val="00A41E48"/>
    <w:rsid w:val="00A42141"/>
    <w:rsid w:val="00A4271C"/>
    <w:rsid w:val="00A4271F"/>
    <w:rsid w:val="00A42766"/>
    <w:rsid w:val="00A42B19"/>
    <w:rsid w:val="00A42D44"/>
    <w:rsid w:val="00A42E85"/>
    <w:rsid w:val="00A430AC"/>
    <w:rsid w:val="00A4322D"/>
    <w:rsid w:val="00A43264"/>
    <w:rsid w:val="00A432AE"/>
    <w:rsid w:val="00A436D8"/>
    <w:rsid w:val="00A43869"/>
    <w:rsid w:val="00A43966"/>
    <w:rsid w:val="00A439D4"/>
    <w:rsid w:val="00A43A37"/>
    <w:rsid w:val="00A43B82"/>
    <w:rsid w:val="00A43B89"/>
    <w:rsid w:val="00A43ED4"/>
    <w:rsid w:val="00A44084"/>
    <w:rsid w:val="00A443C0"/>
    <w:rsid w:val="00A4456D"/>
    <w:rsid w:val="00A4483F"/>
    <w:rsid w:val="00A44878"/>
    <w:rsid w:val="00A44989"/>
    <w:rsid w:val="00A44CDD"/>
    <w:rsid w:val="00A44CF2"/>
    <w:rsid w:val="00A44D0C"/>
    <w:rsid w:val="00A44D71"/>
    <w:rsid w:val="00A44DDF"/>
    <w:rsid w:val="00A44E2B"/>
    <w:rsid w:val="00A44FF5"/>
    <w:rsid w:val="00A4513B"/>
    <w:rsid w:val="00A452B3"/>
    <w:rsid w:val="00A454F3"/>
    <w:rsid w:val="00A45631"/>
    <w:rsid w:val="00A458CD"/>
    <w:rsid w:val="00A45A6A"/>
    <w:rsid w:val="00A45AA8"/>
    <w:rsid w:val="00A45F10"/>
    <w:rsid w:val="00A4624A"/>
    <w:rsid w:val="00A46425"/>
    <w:rsid w:val="00A465CE"/>
    <w:rsid w:val="00A46609"/>
    <w:rsid w:val="00A4675E"/>
    <w:rsid w:val="00A46BB1"/>
    <w:rsid w:val="00A46C37"/>
    <w:rsid w:val="00A46D43"/>
    <w:rsid w:val="00A46F68"/>
    <w:rsid w:val="00A47007"/>
    <w:rsid w:val="00A471E6"/>
    <w:rsid w:val="00A47202"/>
    <w:rsid w:val="00A4741E"/>
    <w:rsid w:val="00A4767A"/>
    <w:rsid w:val="00A47B2E"/>
    <w:rsid w:val="00A47DFB"/>
    <w:rsid w:val="00A50196"/>
    <w:rsid w:val="00A501B3"/>
    <w:rsid w:val="00A501F1"/>
    <w:rsid w:val="00A50425"/>
    <w:rsid w:val="00A50DB4"/>
    <w:rsid w:val="00A50F8B"/>
    <w:rsid w:val="00A513A6"/>
    <w:rsid w:val="00A5163E"/>
    <w:rsid w:val="00A517E7"/>
    <w:rsid w:val="00A51862"/>
    <w:rsid w:val="00A51D24"/>
    <w:rsid w:val="00A51DC4"/>
    <w:rsid w:val="00A51F69"/>
    <w:rsid w:val="00A51F9B"/>
    <w:rsid w:val="00A51FDB"/>
    <w:rsid w:val="00A5200A"/>
    <w:rsid w:val="00A52553"/>
    <w:rsid w:val="00A525B4"/>
    <w:rsid w:val="00A52C3B"/>
    <w:rsid w:val="00A52D20"/>
    <w:rsid w:val="00A52E57"/>
    <w:rsid w:val="00A534E4"/>
    <w:rsid w:val="00A535D6"/>
    <w:rsid w:val="00A53734"/>
    <w:rsid w:val="00A53738"/>
    <w:rsid w:val="00A53766"/>
    <w:rsid w:val="00A538CA"/>
    <w:rsid w:val="00A539F2"/>
    <w:rsid w:val="00A53B5B"/>
    <w:rsid w:val="00A53BFE"/>
    <w:rsid w:val="00A53D04"/>
    <w:rsid w:val="00A53F16"/>
    <w:rsid w:val="00A54211"/>
    <w:rsid w:val="00A54687"/>
    <w:rsid w:val="00A549AE"/>
    <w:rsid w:val="00A54AFD"/>
    <w:rsid w:val="00A54C81"/>
    <w:rsid w:val="00A54FCC"/>
    <w:rsid w:val="00A55153"/>
    <w:rsid w:val="00A552B9"/>
    <w:rsid w:val="00A5539E"/>
    <w:rsid w:val="00A555E2"/>
    <w:rsid w:val="00A55919"/>
    <w:rsid w:val="00A55936"/>
    <w:rsid w:val="00A559DC"/>
    <w:rsid w:val="00A5601E"/>
    <w:rsid w:val="00A5603C"/>
    <w:rsid w:val="00A563A5"/>
    <w:rsid w:val="00A56559"/>
    <w:rsid w:val="00A5666F"/>
    <w:rsid w:val="00A566AA"/>
    <w:rsid w:val="00A566BF"/>
    <w:rsid w:val="00A5698D"/>
    <w:rsid w:val="00A56BDF"/>
    <w:rsid w:val="00A56FE0"/>
    <w:rsid w:val="00A57435"/>
    <w:rsid w:val="00A57522"/>
    <w:rsid w:val="00A57531"/>
    <w:rsid w:val="00A5766B"/>
    <w:rsid w:val="00A57A72"/>
    <w:rsid w:val="00A57AF8"/>
    <w:rsid w:val="00A57FE8"/>
    <w:rsid w:val="00A6013B"/>
    <w:rsid w:val="00A60167"/>
    <w:rsid w:val="00A605CA"/>
    <w:rsid w:val="00A605FC"/>
    <w:rsid w:val="00A60608"/>
    <w:rsid w:val="00A6079B"/>
    <w:rsid w:val="00A609ED"/>
    <w:rsid w:val="00A60DC2"/>
    <w:rsid w:val="00A60DFB"/>
    <w:rsid w:val="00A60E6A"/>
    <w:rsid w:val="00A61177"/>
    <w:rsid w:val="00A614A8"/>
    <w:rsid w:val="00A61650"/>
    <w:rsid w:val="00A61DD1"/>
    <w:rsid w:val="00A61F59"/>
    <w:rsid w:val="00A62258"/>
    <w:rsid w:val="00A6245F"/>
    <w:rsid w:val="00A624B7"/>
    <w:rsid w:val="00A628A5"/>
    <w:rsid w:val="00A62B0E"/>
    <w:rsid w:val="00A62D8B"/>
    <w:rsid w:val="00A62F26"/>
    <w:rsid w:val="00A63173"/>
    <w:rsid w:val="00A631A9"/>
    <w:rsid w:val="00A63629"/>
    <w:rsid w:val="00A639DD"/>
    <w:rsid w:val="00A63BBA"/>
    <w:rsid w:val="00A641A1"/>
    <w:rsid w:val="00A6464F"/>
    <w:rsid w:val="00A6483F"/>
    <w:rsid w:val="00A648ED"/>
    <w:rsid w:val="00A64952"/>
    <w:rsid w:val="00A64B88"/>
    <w:rsid w:val="00A64ECE"/>
    <w:rsid w:val="00A64EDB"/>
    <w:rsid w:val="00A64F51"/>
    <w:rsid w:val="00A650F3"/>
    <w:rsid w:val="00A65320"/>
    <w:rsid w:val="00A65476"/>
    <w:rsid w:val="00A655FC"/>
    <w:rsid w:val="00A6581D"/>
    <w:rsid w:val="00A65868"/>
    <w:rsid w:val="00A65957"/>
    <w:rsid w:val="00A65DB3"/>
    <w:rsid w:val="00A65EEB"/>
    <w:rsid w:val="00A65F55"/>
    <w:rsid w:val="00A66156"/>
    <w:rsid w:val="00A66185"/>
    <w:rsid w:val="00A66243"/>
    <w:rsid w:val="00A66395"/>
    <w:rsid w:val="00A664FC"/>
    <w:rsid w:val="00A66846"/>
    <w:rsid w:val="00A6684F"/>
    <w:rsid w:val="00A669FE"/>
    <w:rsid w:val="00A66CF2"/>
    <w:rsid w:val="00A66DA4"/>
    <w:rsid w:val="00A66E94"/>
    <w:rsid w:val="00A670DC"/>
    <w:rsid w:val="00A670F2"/>
    <w:rsid w:val="00A67237"/>
    <w:rsid w:val="00A675C8"/>
    <w:rsid w:val="00A6776B"/>
    <w:rsid w:val="00A67B1B"/>
    <w:rsid w:val="00A67B26"/>
    <w:rsid w:val="00A67B9F"/>
    <w:rsid w:val="00A67CA0"/>
    <w:rsid w:val="00A67FAA"/>
    <w:rsid w:val="00A67FF9"/>
    <w:rsid w:val="00A7015C"/>
    <w:rsid w:val="00A70229"/>
    <w:rsid w:val="00A704C5"/>
    <w:rsid w:val="00A70545"/>
    <w:rsid w:val="00A707C1"/>
    <w:rsid w:val="00A709F1"/>
    <w:rsid w:val="00A70AA0"/>
    <w:rsid w:val="00A70C64"/>
    <w:rsid w:val="00A70D0D"/>
    <w:rsid w:val="00A70DF8"/>
    <w:rsid w:val="00A70E92"/>
    <w:rsid w:val="00A710B3"/>
    <w:rsid w:val="00A71184"/>
    <w:rsid w:val="00A711BD"/>
    <w:rsid w:val="00A715D4"/>
    <w:rsid w:val="00A7180C"/>
    <w:rsid w:val="00A71CAD"/>
    <w:rsid w:val="00A71DC2"/>
    <w:rsid w:val="00A7263E"/>
    <w:rsid w:val="00A72753"/>
    <w:rsid w:val="00A7286E"/>
    <w:rsid w:val="00A72A1E"/>
    <w:rsid w:val="00A72AE9"/>
    <w:rsid w:val="00A72DB8"/>
    <w:rsid w:val="00A72E8D"/>
    <w:rsid w:val="00A72EB6"/>
    <w:rsid w:val="00A731A2"/>
    <w:rsid w:val="00A731A4"/>
    <w:rsid w:val="00A73229"/>
    <w:rsid w:val="00A735E9"/>
    <w:rsid w:val="00A73698"/>
    <w:rsid w:val="00A73787"/>
    <w:rsid w:val="00A73797"/>
    <w:rsid w:val="00A73BFA"/>
    <w:rsid w:val="00A74107"/>
    <w:rsid w:val="00A74194"/>
    <w:rsid w:val="00A7482E"/>
    <w:rsid w:val="00A7497D"/>
    <w:rsid w:val="00A74B9F"/>
    <w:rsid w:val="00A74BAD"/>
    <w:rsid w:val="00A7505E"/>
    <w:rsid w:val="00A75645"/>
    <w:rsid w:val="00A7596C"/>
    <w:rsid w:val="00A75C62"/>
    <w:rsid w:val="00A75CB6"/>
    <w:rsid w:val="00A75DDD"/>
    <w:rsid w:val="00A7604A"/>
    <w:rsid w:val="00A7616C"/>
    <w:rsid w:val="00A7625C"/>
    <w:rsid w:val="00A762EA"/>
    <w:rsid w:val="00A764B9"/>
    <w:rsid w:val="00A76598"/>
    <w:rsid w:val="00A76924"/>
    <w:rsid w:val="00A76B2F"/>
    <w:rsid w:val="00A774D6"/>
    <w:rsid w:val="00A775CB"/>
    <w:rsid w:val="00A77692"/>
    <w:rsid w:val="00A779F2"/>
    <w:rsid w:val="00A77BF7"/>
    <w:rsid w:val="00A80062"/>
    <w:rsid w:val="00A80122"/>
    <w:rsid w:val="00A8013E"/>
    <w:rsid w:val="00A8014A"/>
    <w:rsid w:val="00A80633"/>
    <w:rsid w:val="00A80679"/>
    <w:rsid w:val="00A8093E"/>
    <w:rsid w:val="00A80B58"/>
    <w:rsid w:val="00A80BE6"/>
    <w:rsid w:val="00A80CDC"/>
    <w:rsid w:val="00A80DDC"/>
    <w:rsid w:val="00A815A1"/>
    <w:rsid w:val="00A81927"/>
    <w:rsid w:val="00A819C1"/>
    <w:rsid w:val="00A81BA4"/>
    <w:rsid w:val="00A81CAF"/>
    <w:rsid w:val="00A81F08"/>
    <w:rsid w:val="00A81FFA"/>
    <w:rsid w:val="00A8213F"/>
    <w:rsid w:val="00A824A9"/>
    <w:rsid w:val="00A8258F"/>
    <w:rsid w:val="00A827C1"/>
    <w:rsid w:val="00A8292B"/>
    <w:rsid w:val="00A82A78"/>
    <w:rsid w:val="00A82F92"/>
    <w:rsid w:val="00A8309C"/>
    <w:rsid w:val="00A8313B"/>
    <w:rsid w:val="00A8314A"/>
    <w:rsid w:val="00A83929"/>
    <w:rsid w:val="00A83B5E"/>
    <w:rsid w:val="00A83C39"/>
    <w:rsid w:val="00A83D0C"/>
    <w:rsid w:val="00A83D62"/>
    <w:rsid w:val="00A83D7C"/>
    <w:rsid w:val="00A83FA9"/>
    <w:rsid w:val="00A84163"/>
    <w:rsid w:val="00A841B3"/>
    <w:rsid w:val="00A8435B"/>
    <w:rsid w:val="00A843D7"/>
    <w:rsid w:val="00A84446"/>
    <w:rsid w:val="00A84616"/>
    <w:rsid w:val="00A846EF"/>
    <w:rsid w:val="00A84876"/>
    <w:rsid w:val="00A84D3F"/>
    <w:rsid w:val="00A84D62"/>
    <w:rsid w:val="00A84F86"/>
    <w:rsid w:val="00A85108"/>
    <w:rsid w:val="00A8512D"/>
    <w:rsid w:val="00A8517F"/>
    <w:rsid w:val="00A851BA"/>
    <w:rsid w:val="00A853B7"/>
    <w:rsid w:val="00A85991"/>
    <w:rsid w:val="00A85ACC"/>
    <w:rsid w:val="00A85BE0"/>
    <w:rsid w:val="00A8639D"/>
    <w:rsid w:val="00A8648F"/>
    <w:rsid w:val="00A864A2"/>
    <w:rsid w:val="00A8661A"/>
    <w:rsid w:val="00A866AB"/>
    <w:rsid w:val="00A86762"/>
    <w:rsid w:val="00A86935"/>
    <w:rsid w:val="00A86AC8"/>
    <w:rsid w:val="00A86B71"/>
    <w:rsid w:val="00A86D08"/>
    <w:rsid w:val="00A86DCD"/>
    <w:rsid w:val="00A86E02"/>
    <w:rsid w:val="00A86EEA"/>
    <w:rsid w:val="00A872CC"/>
    <w:rsid w:val="00A872E2"/>
    <w:rsid w:val="00A87655"/>
    <w:rsid w:val="00A876AB"/>
    <w:rsid w:val="00A87742"/>
    <w:rsid w:val="00A87AD8"/>
    <w:rsid w:val="00A87AE6"/>
    <w:rsid w:val="00A87B0D"/>
    <w:rsid w:val="00A87BAF"/>
    <w:rsid w:val="00A903B4"/>
    <w:rsid w:val="00A9063D"/>
    <w:rsid w:val="00A9074A"/>
    <w:rsid w:val="00A9082C"/>
    <w:rsid w:val="00A90923"/>
    <w:rsid w:val="00A90E3C"/>
    <w:rsid w:val="00A9126E"/>
    <w:rsid w:val="00A913D4"/>
    <w:rsid w:val="00A914E5"/>
    <w:rsid w:val="00A918F9"/>
    <w:rsid w:val="00A91A02"/>
    <w:rsid w:val="00A91BF9"/>
    <w:rsid w:val="00A91ED8"/>
    <w:rsid w:val="00A91F98"/>
    <w:rsid w:val="00A92143"/>
    <w:rsid w:val="00A921FD"/>
    <w:rsid w:val="00A9254C"/>
    <w:rsid w:val="00A92560"/>
    <w:rsid w:val="00A92635"/>
    <w:rsid w:val="00A92830"/>
    <w:rsid w:val="00A928FD"/>
    <w:rsid w:val="00A929D1"/>
    <w:rsid w:val="00A92C1F"/>
    <w:rsid w:val="00A92C92"/>
    <w:rsid w:val="00A92EE7"/>
    <w:rsid w:val="00A930D6"/>
    <w:rsid w:val="00A93345"/>
    <w:rsid w:val="00A935CD"/>
    <w:rsid w:val="00A93D30"/>
    <w:rsid w:val="00A93F40"/>
    <w:rsid w:val="00A93FC3"/>
    <w:rsid w:val="00A941C3"/>
    <w:rsid w:val="00A94251"/>
    <w:rsid w:val="00A943C2"/>
    <w:rsid w:val="00A94547"/>
    <w:rsid w:val="00A945A1"/>
    <w:rsid w:val="00A94737"/>
    <w:rsid w:val="00A94B77"/>
    <w:rsid w:val="00A94EB4"/>
    <w:rsid w:val="00A95577"/>
    <w:rsid w:val="00A956DC"/>
    <w:rsid w:val="00A9578C"/>
    <w:rsid w:val="00A95988"/>
    <w:rsid w:val="00A95ED2"/>
    <w:rsid w:val="00A95F6C"/>
    <w:rsid w:val="00A96144"/>
    <w:rsid w:val="00A96339"/>
    <w:rsid w:val="00A9657E"/>
    <w:rsid w:val="00A96606"/>
    <w:rsid w:val="00A96E32"/>
    <w:rsid w:val="00A96F93"/>
    <w:rsid w:val="00A972C2"/>
    <w:rsid w:val="00A975E0"/>
    <w:rsid w:val="00A97600"/>
    <w:rsid w:val="00A97651"/>
    <w:rsid w:val="00A97E49"/>
    <w:rsid w:val="00A97E92"/>
    <w:rsid w:val="00AA068A"/>
    <w:rsid w:val="00AA0869"/>
    <w:rsid w:val="00AA08C5"/>
    <w:rsid w:val="00AA0BE0"/>
    <w:rsid w:val="00AA0C42"/>
    <w:rsid w:val="00AA0C8B"/>
    <w:rsid w:val="00AA0F9F"/>
    <w:rsid w:val="00AA12F0"/>
    <w:rsid w:val="00AA1648"/>
    <w:rsid w:val="00AA19A9"/>
    <w:rsid w:val="00AA1A2D"/>
    <w:rsid w:val="00AA1A51"/>
    <w:rsid w:val="00AA1B32"/>
    <w:rsid w:val="00AA220E"/>
    <w:rsid w:val="00AA223B"/>
    <w:rsid w:val="00AA2674"/>
    <w:rsid w:val="00AA2A18"/>
    <w:rsid w:val="00AA2C18"/>
    <w:rsid w:val="00AA306E"/>
    <w:rsid w:val="00AA30C4"/>
    <w:rsid w:val="00AA31A1"/>
    <w:rsid w:val="00AA322D"/>
    <w:rsid w:val="00AA323D"/>
    <w:rsid w:val="00AA34D9"/>
    <w:rsid w:val="00AA3552"/>
    <w:rsid w:val="00AA364F"/>
    <w:rsid w:val="00AA38F7"/>
    <w:rsid w:val="00AA3E73"/>
    <w:rsid w:val="00AA4028"/>
    <w:rsid w:val="00AA4210"/>
    <w:rsid w:val="00AA44CE"/>
    <w:rsid w:val="00AA454C"/>
    <w:rsid w:val="00AA4584"/>
    <w:rsid w:val="00AA4639"/>
    <w:rsid w:val="00AA4771"/>
    <w:rsid w:val="00AA48C3"/>
    <w:rsid w:val="00AA4B32"/>
    <w:rsid w:val="00AA4B9C"/>
    <w:rsid w:val="00AA4F5A"/>
    <w:rsid w:val="00AA5361"/>
    <w:rsid w:val="00AA54F7"/>
    <w:rsid w:val="00AA555C"/>
    <w:rsid w:val="00AA5566"/>
    <w:rsid w:val="00AA5D5A"/>
    <w:rsid w:val="00AA5E18"/>
    <w:rsid w:val="00AA61C1"/>
    <w:rsid w:val="00AA6492"/>
    <w:rsid w:val="00AA65ED"/>
    <w:rsid w:val="00AA66DC"/>
    <w:rsid w:val="00AA6731"/>
    <w:rsid w:val="00AA68BD"/>
    <w:rsid w:val="00AA69E1"/>
    <w:rsid w:val="00AA6BAE"/>
    <w:rsid w:val="00AA6C81"/>
    <w:rsid w:val="00AA6D00"/>
    <w:rsid w:val="00AA6F93"/>
    <w:rsid w:val="00AA70D7"/>
    <w:rsid w:val="00AA7416"/>
    <w:rsid w:val="00AA7C31"/>
    <w:rsid w:val="00AB00D8"/>
    <w:rsid w:val="00AB0641"/>
    <w:rsid w:val="00AB088A"/>
    <w:rsid w:val="00AB0D8F"/>
    <w:rsid w:val="00AB0E16"/>
    <w:rsid w:val="00AB1171"/>
    <w:rsid w:val="00AB12F3"/>
    <w:rsid w:val="00AB14CC"/>
    <w:rsid w:val="00AB1650"/>
    <w:rsid w:val="00AB185D"/>
    <w:rsid w:val="00AB1907"/>
    <w:rsid w:val="00AB1C92"/>
    <w:rsid w:val="00AB1CCA"/>
    <w:rsid w:val="00AB1CCD"/>
    <w:rsid w:val="00AB1CF9"/>
    <w:rsid w:val="00AB1E72"/>
    <w:rsid w:val="00AB1FBE"/>
    <w:rsid w:val="00AB2004"/>
    <w:rsid w:val="00AB2064"/>
    <w:rsid w:val="00AB26F6"/>
    <w:rsid w:val="00AB2AE7"/>
    <w:rsid w:val="00AB2CFA"/>
    <w:rsid w:val="00AB2DF0"/>
    <w:rsid w:val="00AB2E0D"/>
    <w:rsid w:val="00AB2FD0"/>
    <w:rsid w:val="00AB326C"/>
    <w:rsid w:val="00AB32D2"/>
    <w:rsid w:val="00AB32D8"/>
    <w:rsid w:val="00AB3776"/>
    <w:rsid w:val="00AB37D2"/>
    <w:rsid w:val="00AB3B38"/>
    <w:rsid w:val="00AB3B7E"/>
    <w:rsid w:val="00AB3BDA"/>
    <w:rsid w:val="00AB3D90"/>
    <w:rsid w:val="00AB3EC2"/>
    <w:rsid w:val="00AB3FE2"/>
    <w:rsid w:val="00AB417F"/>
    <w:rsid w:val="00AB42C9"/>
    <w:rsid w:val="00AB43CB"/>
    <w:rsid w:val="00AB445F"/>
    <w:rsid w:val="00AB4684"/>
    <w:rsid w:val="00AB46A4"/>
    <w:rsid w:val="00AB4759"/>
    <w:rsid w:val="00AB4C37"/>
    <w:rsid w:val="00AB4D12"/>
    <w:rsid w:val="00AB4ED4"/>
    <w:rsid w:val="00AB5162"/>
    <w:rsid w:val="00AB55FA"/>
    <w:rsid w:val="00AB5B4C"/>
    <w:rsid w:val="00AB5D26"/>
    <w:rsid w:val="00AB5DFF"/>
    <w:rsid w:val="00AB5F89"/>
    <w:rsid w:val="00AB60CB"/>
    <w:rsid w:val="00AB64D2"/>
    <w:rsid w:val="00AB6595"/>
    <w:rsid w:val="00AB664C"/>
    <w:rsid w:val="00AB6C1D"/>
    <w:rsid w:val="00AB6DCF"/>
    <w:rsid w:val="00AB7073"/>
    <w:rsid w:val="00AB7106"/>
    <w:rsid w:val="00AB762A"/>
    <w:rsid w:val="00AB766F"/>
    <w:rsid w:val="00AB768C"/>
    <w:rsid w:val="00AB7821"/>
    <w:rsid w:val="00AB7ABE"/>
    <w:rsid w:val="00AC120E"/>
    <w:rsid w:val="00AC1303"/>
    <w:rsid w:val="00AC1364"/>
    <w:rsid w:val="00AC160F"/>
    <w:rsid w:val="00AC192E"/>
    <w:rsid w:val="00AC1AF0"/>
    <w:rsid w:val="00AC1CCB"/>
    <w:rsid w:val="00AC1E2B"/>
    <w:rsid w:val="00AC203B"/>
    <w:rsid w:val="00AC2387"/>
    <w:rsid w:val="00AC2679"/>
    <w:rsid w:val="00AC26F6"/>
    <w:rsid w:val="00AC2955"/>
    <w:rsid w:val="00AC2CFA"/>
    <w:rsid w:val="00AC2D6C"/>
    <w:rsid w:val="00AC2D85"/>
    <w:rsid w:val="00AC2DB7"/>
    <w:rsid w:val="00AC2E48"/>
    <w:rsid w:val="00AC3677"/>
    <w:rsid w:val="00AC37D6"/>
    <w:rsid w:val="00AC3BD6"/>
    <w:rsid w:val="00AC3E5D"/>
    <w:rsid w:val="00AC3ED9"/>
    <w:rsid w:val="00AC3EEE"/>
    <w:rsid w:val="00AC4202"/>
    <w:rsid w:val="00AC472D"/>
    <w:rsid w:val="00AC487F"/>
    <w:rsid w:val="00AC4F5B"/>
    <w:rsid w:val="00AC50C4"/>
    <w:rsid w:val="00AC51CA"/>
    <w:rsid w:val="00AC5461"/>
    <w:rsid w:val="00AC54D1"/>
    <w:rsid w:val="00AC55D8"/>
    <w:rsid w:val="00AC5987"/>
    <w:rsid w:val="00AC59D2"/>
    <w:rsid w:val="00AC5A1F"/>
    <w:rsid w:val="00AC5A6A"/>
    <w:rsid w:val="00AC5A7D"/>
    <w:rsid w:val="00AC5D2A"/>
    <w:rsid w:val="00AC5F60"/>
    <w:rsid w:val="00AC5F7E"/>
    <w:rsid w:val="00AC6451"/>
    <w:rsid w:val="00AC64F7"/>
    <w:rsid w:val="00AC656C"/>
    <w:rsid w:val="00AC6778"/>
    <w:rsid w:val="00AC6834"/>
    <w:rsid w:val="00AC68B3"/>
    <w:rsid w:val="00AC68D1"/>
    <w:rsid w:val="00AC69D1"/>
    <w:rsid w:val="00AC6A0C"/>
    <w:rsid w:val="00AC6C55"/>
    <w:rsid w:val="00AC6C98"/>
    <w:rsid w:val="00AC6DDA"/>
    <w:rsid w:val="00AC6F9E"/>
    <w:rsid w:val="00AC7006"/>
    <w:rsid w:val="00AC74D8"/>
    <w:rsid w:val="00AC7510"/>
    <w:rsid w:val="00AC770C"/>
    <w:rsid w:val="00AC7745"/>
    <w:rsid w:val="00AC7843"/>
    <w:rsid w:val="00AC78B2"/>
    <w:rsid w:val="00AC79E2"/>
    <w:rsid w:val="00AC7AB0"/>
    <w:rsid w:val="00AC7B8C"/>
    <w:rsid w:val="00AC7DA2"/>
    <w:rsid w:val="00AC7F1F"/>
    <w:rsid w:val="00AC7F93"/>
    <w:rsid w:val="00AD023A"/>
    <w:rsid w:val="00AD04A2"/>
    <w:rsid w:val="00AD0572"/>
    <w:rsid w:val="00AD063F"/>
    <w:rsid w:val="00AD0AFE"/>
    <w:rsid w:val="00AD0DB7"/>
    <w:rsid w:val="00AD0EA1"/>
    <w:rsid w:val="00AD0EEA"/>
    <w:rsid w:val="00AD0F56"/>
    <w:rsid w:val="00AD1588"/>
    <w:rsid w:val="00AD18E0"/>
    <w:rsid w:val="00AD1946"/>
    <w:rsid w:val="00AD1A51"/>
    <w:rsid w:val="00AD1A92"/>
    <w:rsid w:val="00AD1DAC"/>
    <w:rsid w:val="00AD2214"/>
    <w:rsid w:val="00AD2347"/>
    <w:rsid w:val="00AD23B1"/>
    <w:rsid w:val="00AD2637"/>
    <w:rsid w:val="00AD2728"/>
    <w:rsid w:val="00AD2B86"/>
    <w:rsid w:val="00AD2D3A"/>
    <w:rsid w:val="00AD2DAA"/>
    <w:rsid w:val="00AD2E8F"/>
    <w:rsid w:val="00AD2F84"/>
    <w:rsid w:val="00AD32FB"/>
    <w:rsid w:val="00AD3365"/>
    <w:rsid w:val="00AD3539"/>
    <w:rsid w:val="00AD36A1"/>
    <w:rsid w:val="00AD37CD"/>
    <w:rsid w:val="00AD3988"/>
    <w:rsid w:val="00AD39FC"/>
    <w:rsid w:val="00AD3AD6"/>
    <w:rsid w:val="00AD3FB5"/>
    <w:rsid w:val="00AD41A7"/>
    <w:rsid w:val="00AD434A"/>
    <w:rsid w:val="00AD4526"/>
    <w:rsid w:val="00AD454B"/>
    <w:rsid w:val="00AD47AC"/>
    <w:rsid w:val="00AD4A44"/>
    <w:rsid w:val="00AD50F5"/>
    <w:rsid w:val="00AD51CC"/>
    <w:rsid w:val="00AD5461"/>
    <w:rsid w:val="00AD554D"/>
    <w:rsid w:val="00AD5695"/>
    <w:rsid w:val="00AD5770"/>
    <w:rsid w:val="00AD5946"/>
    <w:rsid w:val="00AD5975"/>
    <w:rsid w:val="00AD59B0"/>
    <w:rsid w:val="00AD5E63"/>
    <w:rsid w:val="00AD63F4"/>
    <w:rsid w:val="00AD64F1"/>
    <w:rsid w:val="00AD66AE"/>
    <w:rsid w:val="00AD689F"/>
    <w:rsid w:val="00AD691D"/>
    <w:rsid w:val="00AD6940"/>
    <w:rsid w:val="00AD69D3"/>
    <w:rsid w:val="00AD6A5E"/>
    <w:rsid w:val="00AD6B58"/>
    <w:rsid w:val="00AD6B92"/>
    <w:rsid w:val="00AD6C1E"/>
    <w:rsid w:val="00AD6C78"/>
    <w:rsid w:val="00AD6DC7"/>
    <w:rsid w:val="00AD6EF0"/>
    <w:rsid w:val="00AD710D"/>
    <w:rsid w:val="00AD722F"/>
    <w:rsid w:val="00AD737D"/>
    <w:rsid w:val="00AD7446"/>
    <w:rsid w:val="00AD75EB"/>
    <w:rsid w:val="00AD7622"/>
    <w:rsid w:val="00AD7933"/>
    <w:rsid w:val="00AD7C09"/>
    <w:rsid w:val="00AD7C6D"/>
    <w:rsid w:val="00AD7CB3"/>
    <w:rsid w:val="00AD7CD3"/>
    <w:rsid w:val="00AD7D7A"/>
    <w:rsid w:val="00AD7F03"/>
    <w:rsid w:val="00AE0079"/>
    <w:rsid w:val="00AE0223"/>
    <w:rsid w:val="00AE0CD6"/>
    <w:rsid w:val="00AE106A"/>
    <w:rsid w:val="00AE1098"/>
    <w:rsid w:val="00AE11B4"/>
    <w:rsid w:val="00AE122A"/>
    <w:rsid w:val="00AE1274"/>
    <w:rsid w:val="00AE1625"/>
    <w:rsid w:val="00AE172E"/>
    <w:rsid w:val="00AE188F"/>
    <w:rsid w:val="00AE1A1A"/>
    <w:rsid w:val="00AE1F3A"/>
    <w:rsid w:val="00AE1F44"/>
    <w:rsid w:val="00AE2598"/>
    <w:rsid w:val="00AE26C6"/>
    <w:rsid w:val="00AE2973"/>
    <w:rsid w:val="00AE2A69"/>
    <w:rsid w:val="00AE2BF7"/>
    <w:rsid w:val="00AE2E6A"/>
    <w:rsid w:val="00AE2EFA"/>
    <w:rsid w:val="00AE3205"/>
    <w:rsid w:val="00AE321E"/>
    <w:rsid w:val="00AE38D9"/>
    <w:rsid w:val="00AE39F9"/>
    <w:rsid w:val="00AE3A55"/>
    <w:rsid w:val="00AE3E61"/>
    <w:rsid w:val="00AE3F25"/>
    <w:rsid w:val="00AE3F60"/>
    <w:rsid w:val="00AE40D3"/>
    <w:rsid w:val="00AE410D"/>
    <w:rsid w:val="00AE43C0"/>
    <w:rsid w:val="00AE43C7"/>
    <w:rsid w:val="00AE43C8"/>
    <w:rsid w:val="00AE458E"/>
    <w:rsid w:val="00AE4695"/>
    <w:rsid w:val="00AE49D8"/>
    <w:rsid w:val="00AE4A21"/>
    <w:rsid w:val="00AE4A61"/>
    <w:rsid w:val="00AE4DD5"/>
    <w:rsid w:val="00AE4DDC"/>
    <w:rsid w:val="00AE52E2"/>
    <w:rsid w:val="00AE5336"/>
    <w:rsid w:val="00AE5772"/>
    <w:rsid w:val="00AE5895"/>
    <w:rsid w:val="00AE5BAE"/>
    <w:rsid w:val="00AE5F22"/>
    <w:rsid w:val="00AE5FE5"/>
    <w:rsid w:val="00AE60C1"/>
    <w:rsid w:val="00AE6356"/>
    <w:rsid w:val="00AE6377"/>
    <w:rsid w:val="00AE63A8"/>
    <w:rsid w:val="00AE63EE"/>
    <w:rsid w:val="00AE66DC"/>
    <w:rsid w:val="00AE6791"/>
    <w:rsid w:val="00AE6931"/>
    <w:rsid w:val="00AE6A14"/>
    <w:rsid w:val="00AE6DA2"/>
    <w:rsid w:val="00AE6ED5"/>
    <w:rsid w:val="00AE71D8"/>
    <w:rsid w:val="00AE7432"/>
    <w:rsid w:val="00AE74F4"/>
    <w:rsid w:val="00AE78ED"/>
    <w:rsid w:val="00AE7D88"/>
    <w:rsid w:val="00AE7E44"/>
    <w:rsid w:val="00AE7E46"/>
    <w:rsid w:val="00AE7EC6"/>
    <w:rsid w:val="00AE7EF1"/>
    <w:rsid w:val="00AE7F5E"/>
    <w:rsid w:val="00AE7F71"/>
    <w:rsid w:val="00AF0072"/>
    <w:rsid w:val="00AF033A"/>
    <w:rsid w:val="00AF077E"/>
    <w:rsid w:val="00AF0C04"/>
    <w:rsid w:val="00AF0D78"/>
    <w:rsid w:val="00AF0E06"/>
    <w:rsid w:val="00AF0E6C"/>
    <w:rsid w:val="00AF10D7"/>
    <w:rsid w:val="00AF120F"/>
    <w:rsid w:val="00AF1215"/>
    <w:rsid w:val="00AF1429"/>
    <w:rsid w:val="00AF14F5"/>
    <w:rsid w:val="00AF1638"/>
    <w:rsid w:val="00AF1868"/>
    <w:rsid w:val="00AF1B62"/>
    <w:rsid w:val="00AF1B63"/>
    <w:rsid w:val="00AF226C"/>
    <w:rsid w:val="00AF22AD"/>
    <w:rsid w:val="00AF22D4"/>
    <w:rsid w:val="00AF2338"/>
    <w:rsid w:val="00AF2352"/>
    <w:rsid w:val="00AF251E"/>
    <w:rsid w:val="00AF2559"/>
    <w:rsid w:val="00AF2659"/>
    <w:rsid w:val="00AF2AB7"/>
    <w:rsid w:val="00AF2AC8"/>
    <w:rsid w:val="00AF2AD9"/>
    <w:rsid w:val="00AF2B05"/>
    <w:rsid w:val="00AF2DDE"/>
    <w:rsid w:val="00AF2EBF"/>
    <w:rsid w:val="00AF2EC9"/>
    <w:rsid w:val="00AF2F48"/>
    <w:rsid w:val="00AF3185"/>
    <w:rsid w:val="00AF3273"/>
    <w:rsid w:val="00AF3351"/>
    <w:rsid w:val="00AF3746"/>
    <w:rsid w:val="00AF3898"/>
    <w:rsid w:val="00AF3E15"/>
    <w:rsid w:val="00AF43AB"/>
    <w:rsid w:val="00AF43F2"/>
    <w:rsid w:val="00AF4D6E"/>
    <w:rsid w:val="00AF4D91"/>
    <w:rsid w:val="00AF5107"/>
    <w:rsid w:val="00AF53B5"/>
    <w:rsid w:val="00AF5A0A"/>
    <w:rsid w:val="00AF5D2A"/>
    <w:rsid w:val="00AF5DE6"/>
    <w:rsid w:val="00AF5E86"/>
    <w:rsid w:val="00AF5EB4"/>
    <w:rsid w:val="00AF5FC7"/>
    <w:rsid w:val="00AF6103"/>
    <w:rsid w:val="00AF629B"/>
    <w:rsid w:val="00AF6303"/>
    <w:rsid w:val="00AF667C"/>
    <w:rsid w:val="00AF6956"/>
    <w:rsid w:val="00AF6BF2"/>
    <w:rsid w:val="00AF6C75"/>
    <w:rsid w:val="00AF6FA8"/>
    <w:rsid w:val="00AF70AA"/>
    <w:rsid w:val="00AF70B8"/>
    <w:rsid w:val="00AF70E2"/>
    <w:rsid w:val="00AF71EF"/>
    <w:rsid w:val="00AF72CF"/>
    <w:rsid w:val="00AF72D8"/>
    <w:rsid w:val="00AF7465"/>
    <w:rsid w:val="00AF7687"/>
    <w:rsid w:val="00AF76ED"/>
    <w:rsid w:val="00AF77F1"/>
    <w:rsid w:val="00AF7804"/>
    <w:rsid w:val="00AF7A95"/>
    <w:rsid w:val="00AF7BDF"/>
    <w:rsid w:val="00B00171"/>
    <w:rsid w:val="00B0021B"/>
    <w:rsid w:val="00B00383"/>
    <w:rsid w:val="00B0073B"/>
    <w:rsid w:val="00B00806"/>
    <w:rsid w:val="00B0087A"/>
    <w:rsid w:val="00B00AE8"/>
    <w:rsid w:val="00B00B62"/>
    <w:rsid w:val="00B00B81"/>
    <w:rsid w:val="00B01045"/>
    <w:rsid w:val="00B01584"/>
    <w:rsid w:val="00B01801"/>
    <w:rsid w:val="00B018CB"/>
    <w:rsid w:val="00B0190E"/>
    <w:rsid w:val="00B01CCA"/>
    <w:rsid w:val="00B01D69"/>
    <w:rsid w:val="00B02127"/>
    <w:rsid w:val="00B0239F"/>
    <w:rsid w:val="00B02757"/>
    <w:rsid w:val="00B028C3"/>
    <w:rsid w:val="00B02923"/>
    <w:rsid w:val="00B02B1A"/>
    <w:rsid w:val="00B02CFD"/>
    <w:rsid w:val="00B02DEC"/>
    <w:rsid w:val="00B02F3F"/>
    <w:rsid w:val="00B02F4C"/>
    <w:rsid w:val="00B0305F"/>
    <w:rsid w:val="00B03131"/>
    <w:rsid w:val="00B0336D"/>
    <w:rsid w:val="00B03592"/>
    <w:rsid w:val="00B03633"/>
    <w:rsid w:val="00B03733"/>
    <w:rsid w:val="00B037CF"/>
    <w:rsid w:val="00B03B3A"/>
    <w:rsid w:val="00B03B4C"/>
    <w:rsid w:val="00B03B55"/>
    <w:rsid w:val="00B03BF6"/>
    <w:rsid w:val="00B03C11"/>
    <w:rsid w:val="00B04045"/>
    <w:rsid w:val="00B04169"/>
    <w:rsid w:val="00B041F7"/>
    <w:rsid w:val="00B04571"/>
    <w:rsid w:val="00B045E5"/>
    <w:rsid w:val="00B048FA"/>
    <w:rsid w:val="00B04911"/>
    <w:rsid w:val="00B04A2A"/>
    <w:rsid w:val="00B05278"/>
    <w:rsid w:val="00B052AF"/>
    <w:rsid w:val="00B05465"/>
    <w:rsid w:val="00B056B8"/>
    <w:rsid w:val="00B0589F"/>
    <w:rsid w:val="00B05A9A"/>
    <w:rsid w:val="00B05B94"/>
    <w:rsid w:val="00B05C8D"/>
    <w:rsid w:val="00B05CD8"/>
    <w:rsid w:val="00B05F71"/>
    <w:rsid w:val="00B06228"/>
    <w:rsid w:val="00B06264"/>
    <w:rsid w:val="00B06519"/>
    <w:rsid w:val="00B06706"/>
    <w:rsid w:val="00B06762"/>
    <w:rsid w:val="00B06916"/>
    <w:rsid w:val="00B06B79"/>
    <w:rsid w:val="00B06D13"/>
    <w:rsid w:val="00B06E97"/>
    <w:rsid w:val="00B07113"/>
    <w:rsid w:val="00B071DF"/>
    <w:rsid w:val="00B0727F"/>
    <w:rsid w:val="00B07371"/>
    <w:rsid w:val="00B073F2"/>
    <w:rsid w:val="00B0746E"/>
    <w:rsid w:val="00B0748E"/>
    <w:rsid w:val="00B075AC"/>
    <w:rsid w:val="00B076A0"/>
    <w:rsid w:val="00B079BD"/>
    <w:rsid w:val="00B079BE"/>
    <w:rsid w:val="00B079D7"/>
    <w:rsid w:val="00B07B8B"/>
    <w:rsid w:val="00B07C8F"/>
    <w:rsid w:val="00B07DFA"/>
    <w:rsid w:val="00B07F2F"/>
    <w:rsid w:val="00B07F7C"/>
    <w:rsid w:val="00B1000A"/>
    <w:rsid w:val="00B10127"/>
    <w:rsid w:val="00B1025A"/>
    <w:rsid w:val="00B102B6"/>
    <w:rsid w:val="00B106C2"/>
    <w:rsid w:val="00B11053"/>
    <w:rsid w:val="00B110D9"/>
    <w:rsid w:val="00B11275"/>
    <w:rsid w:val="00B1141F"/>
    <w:rsid w:val="00B11456"/>
    <w:rsid w:val="00B11531"/>
    <w:rsid w:val="00B11736"/>
    <w:rsid w:val="00B117D9"/>
    <w:rsid w:val="00B118C3"/>
    <w:rsid w:val="00B11C44"/>
    <w:rsid w:val="00B11D05"/>
    <w:rsid w:val="00B11D24"/>
    <w:rsid w:val="00B11E83"/>
    <w:rsid w:val="00B11EC0"/>
    <w:rsid w:val="00B11F4C"/>
    <w:rsid w:val="00B1227F"/>
    <w:rsid w:val="00B1270B"/>
    <w:rsid w:val="00B12AC5"/>
    <w:rsid w:val="00B12BC1"/>
    <w:rsid w:val="00B12E92"/>
    <w:rsid w:val="00B13111"/>
    <w:rsid w:val="00B1326E"/>
    <w:rsid w:val="00B13309"/>
    <w:rsid w:val="00B1379D"/>
    <w:rsid w:val="00B140DF"/>
    <w:rsid w:val="00B14313"/>
    <w:rsid w:val="00B14440"/>
    <w:rsid w:val="00B14498"/>
    <w:rsid w:val="00B14F86"/>
    <w:rsid w:val="00B1501F"/>
    <w:rsid w:val="00B15639"/>
    <w:rsid w:val="00B156E1"/>
    <w:rsid w:val="00B15792"/>
    <w:rsid w:val="00B157A2"/>
    <w:rsid w:val="00B15872"/>
    <w:rsid w:val="00B1588F"/>
    <w:rsid w:val="00B158FE"/>
    <w:rsid w:val="00B159B2"/>
    <w:rsid w:val="00B15A7B"/>
    <w:rsid w:val="00B15DF2"/>
    <w:rsid w:val="00B15FB7"/>
    <w:rsid w:val="00B16072"/>
    <w:rsid w:val="00B16555"/>
    <w:rsid w:val="00B165AD"/>
    <w:rsid w:val="00B16984"/>
    <w:rsid w:val="00B169E8"/>
    <w:rsid w:val="00B171B6"/>
    <w:rsid w:val="00B17717"/>
    <w:rsid w:val="00B178BC"/>
    <w:rsid w:val="00B178C3"/>
    <w:rsid w:val="00B17EA7"/>
    <w:rsid w:val="00B17F5D"/>
    <w:rsid w:val="00B17FAF"/>
    <w:rsid w:val="00B2052E"/>
    <w:rsid w:val="00B205AB"/>
    <w:rsid w:val="00B205C9"/>
    <w:rsid w:val="00B20609"/>
    <w:rsid w:val="00B20612"/>
    <w:rsid w:val="00B207EC"/>
    <w:rsid w:val="00B2094B"/>
    <w:rsid w:val="00B209E5"/>
    <w:rsid w:val="00B20B5E"/>
    <w:rsid w:val="00B20B79"/>
    <w:rsid w:val="00B20CD3"/>
    <w:rsid w:val="00B20EE1"/>
    <w:rsid w:val="00B21042"/>
    <w:rsid w:val="00B212B3"/>
    <w:rsid w:val="00B215AB"/>
    <w:rsid w:val="00B217BC"/>
    <w:rsid w:val="00B218CF"/>
    <w:rsid w:val="00B21A15"/>
    <w:rsid w:val="00B21C9C"/>
    <w:rsid w:val="00B21D28"/>
    <w:rsid w:val="00B21E9E"/>
    <w:rsid w:val="00B21EAD"/>
    <w:rsid w:val="00B224F4"/>
    <w:rsid w:val="00B226A3"/>
    <w:rsid w:val="00B22D74"/>
    <w:rsid w:val="00B22E13"/>
    <w:rsid w:val="00B22FD7"/>
    <w:rsid w:val="00B231B5"/>
    <w:rsid w:val="00B23431"/>
    <w:rsid w:val="00B23516"/>
    <w:rsid w:val="00B235C4"/>
    <w:rsid w:val="00B23A0E"/>
    <w:rsid w:val="00B23AB3"/>
    <w:rsid w:val="00B23C8C"/>
    <w:rsid w:val="00B23CAF"/>
    <w:rsid w:val="00B23CE5"/>
    <w:rsid w:val="00B23DE5"/>
    <w:rsid w:val="00B23EEA"/>
    <w:rsid w:val="00B24167"/>
    <w:rsid w:val="00B241C9"/>
    <w:rsid w:val="00B242CE"/>
    <w:rsid w:val="00B242E6"/>
    <w:rsid w:val="00B24400"/>
    <w:rsid w:val="00B2467C"/>
    <w:rsid w:val="00B246B6"/>
    <w:rsid w:val="00B24DFF"/>
    <w:rsid w:val="00B24F1A"/>
    <w:rsid w:val="00B25310"/>
    <w:rsid w:val="00B253CD"/>
    <w:rsid w:val="00B253D8"/>
    <w:rsid w:val="00B25406"/>
    <w:rsid w:val="00B2547D"/>
    <w:rsid w:val="00B25655"/>
    <w:rsid w:val="00B25816"/>
    <w:rsid w:val="00B259EA"/>
    <w:rsid w:val="00B25AD2"/>
    <w:rsid w:val="00B25B0A"/>
    <w:rsid w:val="00B25BF0"/>
    <w:rsid w:val="00B25C9E"/>
    <w:rsid w:val="00B25CD7"/>
    <w:rsid w:val="00B26435"/>
    <w:rsid w:val="00B2653D"/>
    <w:rsid w:val="00B2657F"/>
    <w:rsid w:val="00B265B5"/>
    <w:rsid w:val="00B266DB"/>
    <w:rsid w:val="00B268F3"/>
    <w:rsid w:val="00B269EC"/>
    <w:rsid w:val="00B26A4E"/>
    <w:rsid w:val="00B26B0E"/>
    <w:rsid w:val="00B2721A"/>
    <w:rsid w:val="00B27572"/>
    <w:rsid w:val="00B275D4"/>
    <w:rsid w:val="00B27730"/>
    <w:rsid w:val="00B277BD"/>
    <w:rsid w:val="00B27A23"/>
    <w:rsid w:val="00B27C9E"/>
    <w:rsid w:val="00B27E00"/>
    <w:rsid w:val="00B30395"/>
    <w:rsid w:val="00B307BB"/>
    <w:rsid w:val="00B307DF"/>
    <w:rsid w:val="00B307FD"/>
    <w:rsid w:val="00B308AB"/>
    <w:rsid w:val="00B309FF"/>
    <w:rsid w:val="00B30D9A"/>
    <w:rsid w:val="00B30ECE"/>
    <w:rsid w:val="00B30FAF"/>
    <w:rsid w:val="00B31064"/>
    <w:rsid w:val="00B31394"/>
    <w:rsid w:val="00B31628"/>
    <w:rsid w:val="00B3182C"/>
    <w:rsid w:val="00B31D35"/>
    <w:rsid w:val="00B31DB0"/>
    <w:rsid w:val="00B31E36"/>
    <w:rsid w:val="00B31EA5"/>
    <w:rsid w:val="00B31F41"/>
    <w:rsid w:val="00B31FE7"/>
    <w:rsid w:val="00B32150"/>
    <w:rsid w:val="00B321EA"/>
    <w:rsid w:val="00B32397"/>
    <w:rsid w:val="00B325C0"/>
    <w:rsid w:val="00B33604"/>
    <w:rsid w:val="00B3364C"/>
    <w:rsid w:val="00B339D5"/>
    <w:rsid w:val="00B33CE3"/>
    <w:rsid w:val="00B33E27"/>
    <w:rsid w:val="00B34031"/>
    <w:rsid w:val="00B341F5"/>
    <w:rsid w:val="00B34982"/>
    <w:rsid w:val="00B34E43"/>
    <w:rsid w:val="00B3535A"/>
    <w:rsid w:val="00B356B2"/>
    <w:rsid w:val="00B35857"/>
    <w:rsid w:val="00B35900"/>
    <w:rsid w:val="00B35A10"/>
    <w:rsid w:val="00B35B0A"/>
    <w:rsid w:val="00B35BBA"/>
    <w:rsid w:val="00B35DE3"/>
    <w:rsid w:val="00B36026"/>
    <w:rsid w:val="00B361BD"/>
    <w:rsid w:val="00B362B8"/>
    <w:rsid w:val="00B363F9"/>
    <w:rsid w:val="00B36458"/>
    <w:rsid w:val="00B365D3"/>
    <w:rsid w:val="00B3664B"/>
    <w:rsid w:val="00B3693B"/>
    <w:rsid w:val="00B36B4E"/>
    <w:rsid w:val="00B36BBE"/>
    <w:rsid w:val="00B36BF3"/>
    <w:rsid w:val="00B36C5E"/>
    <w:rsid w:val="00B36D1E"/>
    <w:rsid w:val="00B36E29"/>
    <w:rsid w:val="00B3735E"/>
    <w:rsid w:val="00B3749B"/>
    <w:rsid w:val="00B37724"/>
    <w:rsid w:val="00B377B8"/>
    <w:rsid w:val="00B378B9"/>
    <w:rsid w:val="00B37BEA"/>
    <w:rsid w:val="00B37C05"/>
    <w:rsid w:val="00B37D61"/>
    <w:rsid w:val="00B37F6E"/>
    <w:rsid w:val="00B4035B"/>
    <w:rsid w:val="00B403EB"/>
    <w:rsid w:val="00B40463"/>
    <w:rsid w:val="00B40780"/>
    <w:rsid w:val="00B4099B"/>
    <w:rsid w:val="00B40B3A"/>
    <w:rsid w:val="00B40C5C"/>
    <w:rsid w:val="00B40E94"/>
    <w:rsid w:val="00B4112D"/>
    <w:rsid w:val="00B41650"/>
    <w:rsid w:val="00B4175D"/>
    <w:rsid w:val="00B41982"/>
    <w:rsid w:val="00B419BC"/>
    <w:rsid w:val="00B41B37"/>
    <w:rsid w:val="00B41F45"/>
    <w:rsid w:val="00B41F60"/>
    <w:rsid w:val="00B41FD6"/>
    <w:rsid w:val="00B42065"/>
    <w:rsid w:val="00B4240F"/>
    <w:rsid w:val="00B4243E"/>
    <w:rsid w:val="00B4265C"/>
    <w:rsid w:val="00B4276E"/>
    <w:rsid w:val="00B42833"/>
    <w:rsid w:val="00B42BE3"/>
    <w:rsid w:val="00B42BE8"/>
    <w:rsid w:val="00B42D3D"/>
    <w:rsid w:val="00B4306C"/>
    <w:rsid w:val="00B4310D"/>
    <w:rsid w:val="00B4312C"/>
    <w:rsid w:val="00B43476"/>
    <w:rsid w:val="00B4349B"/>
    <w:rsid w:val="00B434ED"/>
    <w:rsid w:val="00B4352F"/>
    <w:rsid w:val="00B438E0"/>
    <w:rsid w:val="00B43A5B"/>
    <w:rsid w:val="00B43A79"/>
    <w:rsid w:val="00B43BDC"/>
    <w:rsid w:val="00B43C27"/>
    <w:rsid w:val="00B43E5A"/>
    <w:rsid w:val="00B445BF"/>
    <w:rsid w:val="00B44603"/>
    <w:rsid w:val="00B448E5"/>
    <w:rsid w:val="00B44D3D"/>
    <w:rsid w:val="00B44FD5"/>
    <w:rsid w:val="00B45053"/>
    <w:rsid w:val="00B45314"/>
    <w:rsid w:val="00B45631"/>
    <w:rsid w:val="00B456FE"/>
    <w:rsid w:val="00B45728"/>
    <w:rsid w:val="00B459C0"/>
    <w:rsid w:val="00B45C9C"/>
    <w:rsid w:val="00B45D23"/>
    <w:rsid w:val="00B4614F"/>
    <w:rsid w:val="00B46838"/>
    <w:rsid w:val="00B46A28"/>
    <w:rsid w:val="00B46D5B"/>
    <w:rsid w:val="00B47147"/>
    <w:rsid w:val="00B47395"/>
    <w:rsid w:val="00B4777A"/>
    <w:rsid w:val="00B477E6"/>
    <w:rsid w:val="00B47C4F"/>
    <w:rsid w:val="00B47F2D"/>
    <w:rsid w:val="00B5028E"/>
    <w:rsid w:val="00B502B0"/>
    <w:rsid w:val="00B50366"/>
    <w:rsid w:val="00B505B5"/>
    <w:rsid w:val="00B50C35"/>
    <w:rsid w:val="00B50D55"/>
    <w:rsid w:val="00B50E24"/>
    <w:rsid w:val="00B50F85"/>
    <w:rsid w:val="00B50FBC"/>
    <w:rsid w:val="00B50FE3"/>
    <w:rsid w:val="00B5100C"/>
    <w:rsid w:val="00B5103C"/>
    <w:rsid w:val="00B510EE"/>
    <w:rsid w:val="00B51322"/>
    <w:rsid w:val="00B51673"/>
    <w:rsid w:val="00B5179E"/>
    <w:rsid w:val="00B51852"/>
    <w:rsid w:val="00B518FC"/>
    <w:rsid w:val="00B51935"/>
    <w:rsid w:val="00B51936"/>
    <w:rsid w:val="00B51993"/>
    <w:rsid w:val="00B519D1"/>
    <w:rsid w:val="00B51A55"/>
    <w:rsid w:val="00B51B7D"/>
    <w:rsid w:val="00B5228A"/>
    <w:rsid w:val="00B52491"/>
    <w:rsid w:val="00B52599"/>
    <w:rsid w:val="00B527CD"/>
    <w:rsid w:val="00B5291B"/>
    <w:rsid w:val="00B529DB"/>
    <w:rsid w:val="00B52A17"/>
    <w:rsid w:val="00B52B2B"/>
    <w:rsid w:val="00B52BED"/>
    <w:rsid w:val="00B52C2C"/>
    <w:rsid w:val="00B52E5F"/>
    <w:rsid w:val="00B52EA0"/>
    <w:rsid w:val="00B534D2"/>
    <w:rsid w:val="00B536DB"/>
    <w:rsid w:val="00B53A5B"/>
    <w:rsid w:val="00B53C4E"/>
    <w:rsid w:val="00B53DE7"/>
    <w:rsid w:val="00B53E3A"/>
    <w:rsid w:val="00B53E5F"/>
    <w:rsid w:val="00B53EAF"/>
    <w:rsid w:val="00B53F3D"/>
    <w:rsid w:val="00B54087"/>
    <w:rsid w:val="00B54492"/>
    <w:rsid w:val="00B544D5"/>
    <w:rsid w:val="00B54529"/>
    <w:rsid w:val="00B54596"/>
    <w:rsid w:val="00B5482E"/>
    <w:rsid w:val="00B548A0"/>
    <w:rsid w:val="00B54C23"/>
    <w:rsid w:val="00B54C31"/>
    <w:rsid w:val="00B55056"/>
    <w:rsid w:val="00B555D8"/>
    <w:rsid w:val="00B5568F"/>
    <w:rsid w:val="00B5576F"/>
    <w:rsid w:val="00B5580D"/>
    <w:rsid w:val="00B55AF0"/>
    <w:rsid w:val="00B55E15"/>
    <w:rsid w:val="00B55E31"/>
    <w:rsid w:val="00B55EA6"/>
    <w:rsid w:val="00B55FEF"/>
    <w:rsid w:val="00B56010"/>
    <w:rsid w:val="00B56023"/>
    <w:rsid w:val="00B56043"/>
    <w:rsid w:val="00B569CA"/>
    <w:rsid w:val="00B56AF4"/>
    <w:rsid w:val="00B56C13"/>
    <w:rsid w:val="00B56D55"/>
    <w:rsid w:val="00B56DC9"/>
    <w:rsid w:val="00B56FF2"/>
    <w:rsid w:val="00B57092"/>
    <w:rsid w:val="00B5711D"/>
    <w:rsid w:val="00B5777B"/>
    <w:rsid w:val="00B57806"/>
    <w:rsid w:val="00B578D9"/>
    <w:rsid w:val="00B578F9"/>
    <w:rsid w:val="00B57CB7"/>
    <w:rsid w:val="00B57EEF"/>
    <w:rsid w:val="00B57F5F"/>
    <w:rsid w:val="00B60213"/>
    <w:rsid w:val="00B60453"/>
    <w:rsid w:val="00B605EB"/>
    <w:rsid w:val="00B606DC"/>
    <w:rsid w:val="00B607DF"/>
    <w:rsid w:val="00B60CA1"/>
    <w:rsid w:val="00B60E94"/>
    <w:rsid w:val="00B61030"/>
    <w:rsid w:val="00B61043"/>
    <w:rsid w:val="00B61341"/>
    <w:rsid w:val="00B617A2"/>
    <w:rsid w:val="00B618DF"/>
    <w:rsid w:val="00B619ED"/>
    <w:rsid w:val="00B619FA"/>
    <w:rsid w:val="00B61DF2"/>
    <w:rsid w:val="00B61F17"/>
    <w:rsid w:val="00B6204E"/>
    <w:rsid w:val="00B6209F"/>
    <w:rsid w:val="00B62133"/>
    <w:rsid w:val="00B623AF"/>
    <w:rsid w:val="00B6246C"/>
    <w:rsid w:val="00B6254D"/>
    <w:rsid w:val="00B62694"/>
    <w:rsid w:val="00B628D6"/>
    <w:rsid w:val="00B62BEF"/>
    <w:rsid w:val="00B62DAA"/>
    <w:rsid w:val="00B62E08"/>
    <w:rsid w:val="00B62E1C"/>
    <w:rsid w:val="00B62F88"/>
    <w:rsid w:val="00B63062"/>
    <w:rsid w:val="00B6343A"/>
    <w:rsid w:val="00B635AD"/>
    <w:rsid w:val="00B636B3"/>
    <w:rsid w:val="00B63784"/>
    <w:rsid w:val="00B638A8"/>
    <w:rsid w:val="00B63913"/>
    <w:rsid w:val="00B63AD0"/>
    <w:rsid w:val="00B63BB9"/>
    <w:rsid w:val="00B63C33"/>
    <w:rsid w:val="00B63F5B"/>
    <w:rsid w:val="00B63FE5"/>
    <w:rsid w:val="00B64123"/>
    <w:rsid w:val="00B64317"/>
    <w:rsid w:val="00B64520"/>
    <w:rsid w:val="00B64675"/>
    <w:rsid w:val="00B648F6"/>
    <w:rsid w:val="00B64902"/>
    <w:rsid w:val="00B64979"/>
    <w:rsid w:val="00B64D1E"/>
    <w:rsid w:val="00B64D47"/>
    <w:rsid w:val="00B64DD2"/>
    <w:rsid w:val="00B652D1"/>
    <w:rsid w:val="00B6558A"/>
    <w:rsid w:val="00B6595C"/>
    <w:rsid w:val="00B65D78"/>
    <w:rsid w:val="00B65E19"/>
    <w:rsid w:val="00B65EF4"/>
    <w:rsid w:val="00B661B6"/>
    <w:rsid w:val="00B663D0"/>
    <w:rsid w:val="00B667DB"/>
    <w:rsid w:val="00B66B0C"/>
    <w:rsid w:val="00B66B5F"/>
    <w:rsid w:val="00B66BB4"/>
    <w:rsid w:val="00B671AC"/>
    <w:rsid w:val="00B671C3"/>
    <w:rsid w:val="00B6720E"/>
    <w:rsid w:val="00B67403"/>
    <w:rsid w:val="00B67448"/>
    <w:rsid w:val="00B676DF"/>
    <w:rsid w:val="00B678EA"/>
    <w:rsid w:val="00B70025"/>
    <w:rsid w:val="00B70088"/>
    <w:rsid w:val="00B70343"/>
    <w:rsid w:val="00B70365"/>
    <w:rsid w:val="00B7056C"/>
    <w:rsid w:val="00B7063D"/>
    <w:rsid w:val="00B70726"/>
    <w:rsid w:val="00B70918"/>
    <w:rsid w:val="00B70B15"/>
    <w:rsid w:val="00B70B2C"/>
    <w:rsid w:val="00B70DE5"/>
    <w:rsid w:val="00B710F5"/>
    <w:rsid w:val="00B71149"/>
    <w:rsid w:val="00B71185"/>
    <w:rsid w:val="00B71379"/>
    <w:rsid w:val="00B7147E"/>
    <w:rsid w:val="00B715B4"/>
    <w:rsid w:val="00B71803"/>
    <w:rsid w:val="00B71845"/>
    <w:rsid w:val="00B718D4"/>
    <w:rsid w:val="00B71BAA"/>
    <w:rsid w:val="00B71CFF"/>
    <w:rsid w:val="00B71DE9"/>
    <w:rsid w:val="00B71F51"/>
    <w:rsid w:val="00B72004"/>
    <w:rsid w:val="00B7235F"/>
    <w:rsid w:val="00B7257D"/>
    <w:rsid w:val="00B727CE"/>
    <w:rsid w:val="00B7298F"/>
    <w:rsid w:val="00B729A2"/>
    <w:rsid w:val="00B72BFD"/>
    <w:rsid w:val="00B72D2B"/>
    <w:rsid w:val="00B72E5D"/>
    <w:rsid w:val="00B72F3E"/>
    <w:rsid w:val="00B73686"/>
    <w:rsid w:val="00B7376E"/>
    <w:rsid w:val="00B7396D"/>
    <w:rsid w:val="00B739A3"/>
    <w:rsid w:val="00B73B7B"/>
    <w:rsid w:val="00B73BC0"/>
    <w:rsid w:val="00B73F5C"/>
    <w:rsid w:val="00B73F70"/>
    <w:rsid w:val="00B74219"/>
    <w:rsid w:val="00B7435D"/>
    <w:rsid w:val="00B74424"/>
    <w:rsid w:val="00B7451D"/>
    <w:rsid w:val="00B745EE"/>
    <w:rsid w:val="00B749FF"/>
    <w:rsid w:val="00B74B6D"/>
    <w:rsid w:val="00B74D28"/>
    <w:rsid w:val="00B74D2F"/>
    <w:rsid w:val="00B74D7E"/>
    <w:rsid w:val="00B74F51"/>
    <w:rsid w:val="00B75051"/>
    <w:rsid w:val="00B75097"/>
    <w:rsid w:val="00B75130"/>
    <w:rsid w:val="00B7550E"/>
    <w:rsid w:val="00B75951"/>
    <w:rsid w:val="00B75A25"/>
    <w:rsid w:val="00B75AA7"/>
    <w:rsid w:val="00B75ADD"/>
    <w:rsid w:val="00B75D1A"/>
    <w:rsid w:val="00B76143"/>
    <w:rsid w:val="00B763C1"/>
    <w:rsid w:val="00B76692"/>
    <w:rsid w:val="00B76736"/>
    <w:rsid w:val="00B767F6"/>
    <w:rsid w:val="00B76B5F"/>
    <w:rsid w:val="00B76CD5"/>
    <w:rsid w:val="00B76CE0"/>
    <w:rsid w:val="00B76DE3"/>
    <w:rsid w:val="00B76ECC"/>
    <w:rsid w:val="00B76F24"/>
    <w:rsid w:val="00B77081"/>
    <w:rsid w:val="00B7734F"/>
    <w:rsid w:val="00B7744B"/>
    <w:rsid w:val="00B77749"/>
    <w:rsid w:val="00B77789"/>
    <w:rsid w:val="00B77858"/>
    <w:rsid w:val="00B77971"/>
    <w:rsid w:val="00B77BA3"/>
    <w:rsid w:val="00B77BA4"/>
    <w:rsid w:val="00B77DAD"/>
    <w:rsid w:val="00B77E93"/>
    <w:rsid w:val="00B80586"/>
    <w:rsid w:val="00B80650"/>
    <w:rsid w:val="00B807D9"/>
    <w:rsid w:val="00B80845"/>
    <w:rsid w:val="00B808F6"/>
    <w:rsid w:val="00B80A41"/>
    <w:rsid w:val="00B80F54"/>
    <w:rsid w:val="00B81099"/>
    <w:rsid w:val="00B81139"/>
    <w:rsid w:val="00B813F9"/>
    <w:rsid w:val="00B815D6"/>
    <w:rsid w:val="00B81659"/>
    <w:rsid w:val="00B8187A"/>
    <w:rsid w:val="00B8197F"/>
    <w:rsid w:val="00B819DB"/>
    <w:rsid w:val="00B81A4E"/>
    <w:rsid w:val="00B81AD4"/>
    <w:rsid w:val="00B82172"/>
    <w:rsid w:val="00B822E0"/>
    <w:rsid w:val="00B823DE"/>
    <w:rsid w:val="00B82699"/>
    <w:rsid w:val="00B829B6"/>
    <w:rsid w:val="00B82AF1"/>
    <w:rsid w:val="00B82D06"/>
    <w:rsid w:val="00B82D29"/>
    <w:rsid w:val="00B82D52"/>
    <w:rsid w:val="00B82DD2"/>
    <w:rsid w:val="00B82E9E"/>
    <w:rsid w:val="00B82FC7"/>
    <w:rsid w:val="00B83033"/>
    <w:rsid w:val="00B830E6"/>
    <w:rsid w:val="00B8337F"/>
    <w:rsid w:val="00B83441"/>
    <w:rsid w:val="00B8345A"/>
    <w:rsid w:val="00B83505"/>
    <w:rsid w:val="00B83506"/>
    <w:rsid w:val="00B83611"/>
    <w:rsid w:val="00B8364C"/>
    <w:rsid w:val="00B83944"/>
    <w:rsid w:val="00B83DD3"/>
    <w:rsid w:val="00B83FF7"/>
    <w:rsid w:val="00B84038"/>
    <w:rsid w:val="00B84177"/>
    <w:rsid w:val="00B84281"/>
    <w:rsid w:val="00B84467"/>
    <w:rsid w:val="00B845CB"/>
    <w:rsid w:val="00B84723"/>
    <w:rsid w:val="00B8474A"/>
    <w:rsid w:val="00B8483D"/>
    <w:rsid w:val="00B8494E"/>
    <w:rsid w:val="00B84959"/>
    <w:rsid w:val="00B84A14"/>
    <w:rsid w:val="00B84B9D"/>
    <w:rsid w:val="00B84BBE"/>
    <w:rsid w:val="00B8535A"/>
    <w:rsid w:val="00B85412"/>
    <w:rsid w:val="00B85763"/>
    <w:rsid w:val="00B85787"/>
    <w:rsid w:val="00B859C5"/>
    <w:rsid w:val="00B859DE"/>
    <w:rsid w:val="00B85A2B"/>
    <w:rsid w:val="00B85C6F"/>
    <w:rsid w:val="00B85D5A"/>
    <w:rsid w:val="00B85E89"/>
    <w:rsid w:val="00B85F4C"/>
    <w:rsid w:val="00B8627C"/>
    <w:rsid w:val="00B863C1"/>
    <w:rsid w:val="00B8687A"/>
    <w:rsid w:val="00B868C6"/>
    <w:rsid w:val="00B86944"/>
    <w:rsid w:val="00B86BBC"/>
    <w:rsid w:val="00B86C11"/>
    <w:rsid w:val="00B86C21"/>
    <w:rsid w:val="00B86D3D"/>
    <w:rsid w:val="00B86DFB"/>
    <w:rsid w:val="00B876EE"/>
    <w:rsid w:val="00B87817"/>
    <w:rsid w:val="00B8787C"/>
    <w:rsid w:val="00B8793E"/>
    <w:rsid w:val="00B87F68"/>
    <w:rsid w:val="00B900E1"/>
    <w:rsid w:val="00B90248"/>
    <w:rsid w:val="00B90436"/>
    <w:rsid w:val="00B9044E"/>
    <w:rsid w:val="00B9054C"/>
    <w:rsid w:val="00B905FD"/>
    <w:rsid w:val="00B90617"/>
    <w:rsid w:val="00B90857"/>
    <w:rsid w:val="00B908AA"/>
    <w:rsid w:val="00B90948"/>
    <w:rsid w:val="00B9097E"/>
    <w:rsid w:val="00B90DEA"/>
    <w:rsid w:val="00B90FAB"/>
    <w:rsid w:val="00B91353"/>
    <w:rsid w:val="00B913D7"/>
    <w:rsid w:val="00B91408"/>
    <w:rsid w:val="00B91638"/>
    <w:rsid w:val="00B91966"/>
    <w:rsid w:val="00B91BF4"/>
    <w:rsid w:val="00B91CDE"/>
    <w:rsid w:val="00B92423"/>
    <w:rsid w:val="00B925BA"/>
    <w:rsid w:val="00B925F3"/>
    <w:rsid w:val="00B92633"/>
    <w:rsid w:val="00B92768"/>
    <w:rsid w:val="00B92908"/>
    <w:rsid w:val="00B92A28"/>
    <w:rsid w:val="00B92BDF"/>
    <w:rsid w:val="00B92C6F"/>
    <w:rsid w:val="00B92FAA"/>
    <w:rsid w:val="00B931BB"/>
    <w:rsid w:val="00B936A4"/>
    <w:rsid w:val="00B93743"/>
    <w:rsid w:val="00B9387D"/>
    <w:rsid w:val="00B93896"/>
    <w:rsid w:val="00B939FA"/>
    <w:rsid w:val="00B93D16"/>
    <w:rsid w:val="00B93F7B"/>
    <w:rsid w:val="00B942A7"/>
    <w:rsid w:val="00B94390"/>
    <w:rsid w:val="00B943FE"/>
    <w:rsid w:val="00B94518"/>
    <w:rsid w:val="00B94587"/>
    <w:rsid w:val="00B9458F"/>
    <w:rsid w:val="00B9462B"/>
    <w:rsid w:val="00B94708"/>
    <w:rsid w:val="00B947D4"/>
    <w:rsid w:val="00B94843"/>
    <w:rsid w:val="00B94C41"/>
    <w:rsid w:val="00B94D55"/>
    <w:rsid w:val="00B94F80"/>
    <w:rsid w:val="00B954B3"/>
    <w:rsid w:val="00B956B7"/>
    <w:rsid w:val="00B95773"/>
    <w:rsid w:val="00B95776"/>
    <w:rsid w:val="00B957CB"/>
    <w:rsid w:val="00B959D8"/>
    <w:rsid w:val="00B95C1C"/>
    <w:rsid w:val="00B95C4C"/>
    <w:rsid w:val="00B95EE5"/>
    <w:rsid w:val="00B95FA4"/>
    <w:rsid w:val="00B963CB"/>
    <w:rsid w:val="00B96707"/>
    <w:rsid w:val="00B96727"/>
    <w:rsid w:val="00B9679D"/>
    <w:rsid w:val="00B9684E"/>
    <w:rsid w:val="00B96E4D"/>
    <w:rsid w:val="00B973D4"/>
    <w:rsid w:val="00B97404"/>
    <w:rsid w:val="00B97526"/>
    <w:rsid w:val="00B9772E"/>
    <w:rsid w:val="00B97756"/>
    <w:rsid w:val="00B9782C"/>
    <w:rsid w:val="00B97A9E"/>
    <w:rsid w:val="00B97D3D"/>
    <w:rsid w:val="00BA0393"/>
    <w:rsid w:val="00BA0416"/>
    <w:rsid w:val="00BA07F0"/>
    <w:rsid w:val="00BA08A2"/>
    <w:rsid w:val="00BA0984"/>
    <w:rsid w:val="00BA0CDE"/>
    <w:rsid w:val="00BA0F18"/>
    <w:rsid w:val="00BA0F41"/>
    <w:rsid w:val="00BA103E"/>
    <w:rsid w:val="00BA12C0"/>
    <w:rsid w:val="00BA15FE"/>
    <w:rsid w:val="00BA162C"/>
    <w:rsid w:val="00BA188A"/>
    <w:rsid w:val="00BA1965"/>
    <w:rsid w:val="00BA1A07"/>
    <w:rsid w:val="00BA1F0F"/>
    <w:rsid w:val="00BA2146"/>
    <w:rsid w:val="00BA2165"/>
    <w:rsid w:val="00BA23A4"/>
    <w:rsid w:val="00BA25B7"/>
    <w:rsid w:val="00BA2615"/>
    <w:rsid w:val="00BA2831"/>
    <w:rsid w:val="00BA2958"/>
    <w:rsid w:val="00BA2B14"/>
    <w:rsid w:val="00BA32A8"/>
    <w:rsid w:val="00BA348E"/>
    <w:rsid w:val="00BA34E1"/>
    <w:rsid w:val="00BA3C7D"/>
    <w:rsid w:val="00BA3C7F"/>
    <w:rsid w:val="00BA3D46"/>
    <w:rsid w:val="00BA3E59"/>
    <w:rsid w:val="00BA3F6A"/>
    <w:rsid w:val="00BA41F1"/>
    <w:rsid w:val="00BA4357"/>
    <w:rsid w:val="00BA4664"/>
    <w:rsid w:val="00BA4694"/>
    <w:rsid w:val="00BA4764"/>
    <w:rsid w:val="00BA4818"/>
    <w:rsid w:val="00BA4878"/>
    <w:rsid w:val="00BA49E5"/>
    <w:rsid w:val="00BA4AFA"/>
    <w:rsid w:val="00BA4BF8"/>
    <w:rsid w:val="00BA4CAE"/>
    <w:rsid w:val="00BA5062"/>
    <w:rsid w:val="00BA56BE"/>
    <w:rsid w:val="00BA5D9E"/>
    <w:rsid w:val="00BA61A8"/>
    <w:rsid w:val="00BA6613"/>
    <w:rsid w:val="00BA6933"/>
    <w:rsid w:val="00BA6A31"/>
    <w:rsid w:val="00BA70AF"/>
    <w:rsid w:val="00BA71E9"/>
    <w:rsid w:val="00BA722F"/>
    <w:rsid w:val="00BA738F"/>
    <w:rsid w:val="00BA74DA"/>
    <w:rsid w:val="00BA768E"/>
    <w:rsid w:val="00BA7826"/>
    <w:rsid w:val="00BA7998"/>
    <w:rsid w:val="00BA7A21"/>
    <w:rsid w:val="00BA7B82"/>
    <w:rsid w:val="00BB000B"/>
    <w:rsid w:val="00BB006A"/>
    <w:rsid w:val="00BB0184"/>
    <w:rsid w:val="00BB04F8"/>
    <w:rsid w:val="00BB0ACD"/>
    <w:rsid w:val="00BB0E3F"/>
    <w:rsid w:val="00BB0F08"/>
    <w:rsid w:val="00BB12BF"/>
    <w:rsid w:val="00BB14FC"/>
    <w:rsid w:val="00BB173A"/>
    <w:rsid w:val="00BB1751"/>
    <w:rsid w:val="00BB175E"/>
    <w:rsid w:val="00BB1D64"/>
    <w:rsid w:val="00BB1DE9"/>
    <w:rsid w:val="00BB1FC9"/>
    <w:rsid w:val="00BB2365"/>
    <w:rsid w:val="00BB2401"/>
    <w:rsid w:val="00BB2478"/>
    <w:rsid w:val="00BB254A"/>
    <w:rsid w:val="00BB2675"/>
    <w:rsid w:val="00BB2A2D"/>
    <w:rsid w:val="00BB2D4A"/>
    <w:rsid w:val="00BB2EEF"/>
    <w:rsid w:val="00BB3092"/>
    <w:rsid w:val="00BB313B"/>
    <w:rsid w:val="00BB32F8"/>
    <w:rsid w:val="00BB35F2"/>
    <w:rsid w:val="00BB39FF"/>
    <w:rsid w:val="00BB3ADC"/>
    <w:rsid w:val="00BB3C75"/>
    <w:rsid w:val="00BB3C8F"/>
    <w:rsid w:val="00BB407C"/>
    <w:rsid w:val="00BB4171"/>
    <w:rsid w:val="00BB4194"/>
    <w:rsid w:val="00BB448A"/>
    <w:rsid w:val="00BB48B0"/>
    <w:rsid w:val="00BB4985"/>
    <w:rsid w:val="00BB5341"/>
    <w:rsid w:val="00BB5406"/>
    <w:rsid w:val="00BB5431"/>
    <w:rsid w:val="00BB5748"/>
    <w:rsid w:val="00BB5808"/>
    <w:rsid w:val="00BB59C1"/>
    <w:rsid w:val="00BB5A13"/>
    <w:rsid w:val="00BB5E28"/>
    <w:rsid w:val="00BB5E86"/>
    <w:rsid w:val="00BB5EB5"/>
    <w:rsid w:val="00BB6187"/>
    <w:rsid w:val="00BB6359"/>
    <w:rsid w:val="00BB64E2"/>
    <w:rsid w:val="00BB68C6"/>
    <w:rsid w:val="00BB6EA1"/>
    <w:rsid w:val="00BB7059"/>
    <w:rsid w:val="00BB7197"/>
    <w:rsid w:val="00BB7345"/>
    <w:rsid w:val="00BB73C0"/>
    <w:rsid w:val="00BB74FA"/>
    <w:rsid w:val="00BB75EF"/>
    <w:rsid w:val="00BB76F5"/>
    <w:rsid w:val="00BB78FA"/>
    <w:rsid w:val="00BB7B50"/>
    <w:rsid w:val="00BB7D6B"/>
    <w:rsid w:val="00BB7EE4"/>
    <w:rsid w:val="00BB7F57"/>
    <w:rsid w:val="00BB7F74"/>
    <w:rsid w:val="00BC03B8"/>
    <w:rsid w:val="00BC0630"/>
    <w:rsid w:val="00BC06E9"/>
    <w:rsid w:val="00BC095E"/>
    <w:rsid w:val="00BC0A55"/>
    <w:rsid w:val="00BC0A5A"/>
    <w:rsid w:val="00BC0B06"/>
    <w:rsid w:val="00BC0D85"/>
    <w:rsid w:val="00BC117E"/>
    <w:rsid w:val="00BC11F2"/>
    <w:rsid w:val="00BC122C"/>
    <w:rsid w:val="00BC139E"/>
    <w:rsid w:val="00BC1645"/>
    <w:rsid w:val="00BC1965"/>
    <w:rsid w:val="00BC1C6A"/>
    <w:rsid w:val="00BC1CE7"/>
    <w:rsid w:val="00BC1D30"/>
    <w:rsid w:val="00BC1E2C"/>
    <w:rsid w:val="00BC25D7"/>
    <w:rsid w:val="00BC26D7"/>
    <w:rsid w:val="00BC2B3D"/>
    <w:rsid w:val="00BC2EA5"/>
    <w:rsid w:val="00BC2EAF"/>
    <w:rsid w:val="00BC2F09"/>
    <w:rsid w:val="00BC31E7"/>
    <w:rsid w:val="00BC36BE"/>
    <w:rsid w:val="00BC37D5"/>
    <w:rsid w:val="00BC38E7"/>
    <w:rsid w:val="00BC39B7"/>
    <w:rsid w:val="00BC3A25"/>
    <w:rsid w:val="00BC3A55"/>
    <w:rsid w:val="00BC3B53"/>
    <w:rsid w:val="00BC3E32"/>
    <w:rsid w:val="00BC3EA8"/>
    <w:rsid w:val="00BC3EB6"/>
    <w:rsid w:val="00BC4018"/>
    <w:rsid w:val="00BC402C"/>
    <w:rsid w:val="00BC40DF"/>
    <w:rsid w:val="00BC48E9"/>
    <w:rsid w:val="00BC4A8E"/>
    <w:rsid w:val="00BC51B9"/>
    <w:rsid w:val="00BC5271"/>
    <w:rsid w:val="00BC553A"/>
    <w:rsid w:val="00BC5C30"/>
    <w:rsid w:val="00BC5C33"/>
    <w:rsid w:val="00BC61A7"/>
    <w:rsid w:val="00BC62DD"/>
    <w:rsid w:val="00BC6316"/>
    <w:rsid w:val="00BC65C0"/>
    <w:rsid w:val="00BC66DA"/>
    <w:rsid w:val="00BC674A"/>
    <w:rsid w:val="00BC67E0"/>
    <w:rsid w:val="00BC6862"/>
    <w:rsid w:val="00BC6878"/>
    <w:rsid w:val="00BC68CF"/>
    <w:rsid w:val="00BC68E8"/>
    <w:rsid w:val="00BC6BA2"/>
    <w:rsid w:val="00BC6D61"/>
    <w:rsid w:val="00BC6F11"/>
    <w:rsid w:val="00BC6FF2"/>
    <w:rsid w:val="00BC7066"/>
    <w:rsid w:val="00BC7271"/>
    <w:rsid w:val="00BC72F7"/>
    <w:rsid w:val="00BC738C"/>
    <w:rsid w:val="00BC7639"/>
    <w:rsid w:val="00BC7AA4"/>
    <w:rsid w:val="00BC7B48"/>
    <w:rsid w:val="00BC7C9D"/>
    <w:rsid w:val="00BD00EC"/>
    <w:rsid w:val="00BD026B"/>
    <w:rsid w:val="00BD04BD"/>
    <w:rsid w:val="00BD0849"/>
    <w:rsid w:val="00BD0ACF"/>
    <w:rsid w:val="00BD0E59"/>
    <w:rsid w:val="00BD0EF3"/>
    <w:rsid w:val="00BD1007"/>
    <w:rsid w:val="00BD1489"/>
    <w:rsid w:val="00BD1926"/>
    <w:rsid w:val="00BD19B6"/>
    <w:rsid w:val="00BD1B5F"/>
    <w:rsid w:val="00BD1EBB"/>
    <w:rsid w:val="00BD207F"/>
    <w:rsid w:val="00BD208A"/>
    <w:rsid w:val="00BD22B7"/>
    <w:rsid w:val="00BD22D9"/>
    <w:rsid w:val="00BD247A"/>
    <w:rsid w:val="00BD2534"/>
    <w:rsid w:val="00BD25FD"/>
    <w:rsid w:val="00BD2A17"/>
    <w:rsid w:val="00BD31E8"/>
    <w:rsid w:val="00BD3580"/>
    <w:rsid w:val="00BD3783"/>
    <w:rsid w:val="00BD3976"/>
    <w:rsid w:val="00BD39B5"/>
    <w:rsid w:val="00BD3ACA"/>
    <w:rsid w:val="00BD3D09"/>
    <w:rsid w:val="00BD3E5C"/>
    <w:rsid w:val="00BD406B"/>
    <w:rsid w:val="00BD4478"/>
    <w:rsid w:val="00BD44F9"/>
    <w:rsid w:val="00BD47DC"/>
    <w:rsid w:val="00BD4A0C"/>
    <w:rsid w:val="00BD4B70"/>
    <w:rsid w:val="00BD4C3B"/>
    <w:rsid w:val="00BD4E85"/>
    <w:rsid w:val="00BD4ECF"/>
    <w:rsid w:val="00BD5269"/>
    <w:rsid w:val="00BD537E"/>
    <w:rsid w:val="00BD5717"/>
    <w:rsid w:val="00BD5860"/>
    <w:rsid w:val="00BD58C3"/>
    <w:rsid w:val="00BD5BB9"/>
    <w:rsid w:val="00BD5BDF"/>
    <w:rsid w:val="00BD5C77"/>
    <w:rsid w:val="00BD5D71"/>
    <w:rsid w:val="00BD5EA0"/>
    <w:rsid w:val="00BD62DA"/>
    <w:rsid w:val="00BD64F3"/>
    <w:rsid w:val="00BD667E"/>
    <w:rsid w:val="00BD6A2E"/>
    <w:rsid w:val="00BD6B2C"/>
    <w:rsid w:val="00BD6B3E"/>
    <w:rsid w:val="00BD6D14"/>
    <w:rsid w:val="00BD7584"/>
    <w:rsid w:val="00BD7783"/>
    <w:rsid w:val="00BD77A1"/>
    <w:rsid w:val="00BD7843"/>
    <w:rsid w:val="00BD7899"/>
    <w:rsid w:val="00BD78B9"/>
    <w:rsid w:val="00BD791C"/>
    <w:rsid w:val="00BD7A3E"/>
    <w:rsid w:val="00BD7B0D"/>
    <w:rsid w:val="00BD7EE2"/>
    <w:rsid w:val="00BD7FC3"/>
    <w:rsid w:val="00BE028C"/>
    <w:rsid w:val="00BE02BF"/>
    <w:rsid w:val="00BE07CB"/>
    <w:rsid w:val="00BE080C"/>
    <w:rsid w:val="00BE0B12"/>
    <w:rsid w:val="00BE0B56"/>
    <w:rsid w:val="00BE0E35"/>
    <w:rsid w:val="00BE0E6F"/>
    <w:rsid w:val="00BE1263"/>
    <w:rsid w:val="00BE1356"/>
    <w:rsid w:val="00BE15B5"/>
    <w:rsid w:val="00BE16E2"/>
    <w:rsid w:val="00BE1790"/>
    <w:rsid w:val="00BE1AA2"/>
    <w:rsid w:val="00BE1B90"/>
    <w:rsid w:val="00BE1BE0"/>
    <w:rsid w:val="00BE1D51"/>
    <w:rsid w:val="00BE1DFC"/>
    <w:rsid w:val="00BE1F08"/>
    <w:rsid w:val="00BE25F0"/>
    <w:rsid w:val="00BE297C"/>
    <w:rsid w:val="00BE29D0"/>
    <w:rsid w:val="00BE2A1B"/>
    <w:rsid w:val="00BE2CDB"/>
    <w:rsid w:val="00BE2D62"/>
    <w:rsid w:val="00BE2F66"/>
    <w:rsid w:val="00BE3017"/>
    <w:rsid w:val="00BE3136"/>
    <w:rsid w:val="00BE31B0"/>
    <w:rsid w:val="00BE32AD"/>
    <w:rsid w:val="00BE3442"/>
    <w:rsid w:val="00BE3DE7"/>
    <w:rsid w:val="00BE3F9E"/>
    <w:rsid w:val="00BE3FA3"/>
    <w:rsid w:val="00BE408D"/>
    <w:rsid w:val="00BE4158"/>
    <w:rsid w:val="00BE426A"/>
    <w:rsid w:val="00BE42A2"/>
    <w:rsid w:val="00BE432B"/>
    <w:rsid w:val="00BE4482"/>
    <w:rsid w:val="00BE46EC"/>
    <w:rsid w:val="00BE47E3"/>
    <w:rsid w:val="00BE47E5"/>
    <w:rsid w:val="00BE4979"/>
    <w:rsid w:val="00BE4B03"/>
    <w:rsid w:val="00BE4D34"/>
    <w:rsid w:val="00BE4EED"/>
    <w:rsid w:val="00BE50E1"/>
    <w:rsid w:val="00BE5419"/>
    <w:rsid w:val="00BE5B50"/>
    <w:rsid w:val="00BE5E12"/>
    <w:rsid w:val="00BE5E96"/>
    <w:rsid w:val="00BE5EB8"/>
    <w:rsid w:val="00BE60E5"/>
    <w:rsid w:val="00BE629A"/>
    <w:rsid w:val="00BE676D"/>
    <w:rsid w:val="00BE68A2"/>
    <w:rsid w:val="00BE696F"/>
    <w:rsid w:val="00BE6C02"/>
    <w:rsid w:val="00BE6D66"/>
    <w:rsid w:val="00BE6F43"/>
    <w:rsid w:val="00BE7282"/>
    <w:rsid w:val="00BE7284"/>
    <w:rsid w:val="00BE761C"/>
    <w:rsid w:val="00BE76F0"/>
    <w:rsid w:val="00BE79AE"/>
    <w:rsid w:val="00BE7B63"/>
    <w:rsid w:val="00BE7BA1"/>
    <w:rsid w:val="00BE7CE1"/>
    <w:rsid w:val="00BF0188"/>
    <w:rsid w:val="00BF02B1"/>
    <w:rsid w:val="00BF0453"/>
    <w:rsid w:val="00BF0659"/>
    <w:rsid w:val="00BF09B0"/>
    <w:rsid w:val="00BF0A3C"/>
    <w:rsid w:val="00BF0B22"/>
    <w:rsid w:val="00BF0BD9"/>
    <w:rsid w:val="00BF0C67"/>
    <w:rsid w:val="00BF0C73"/>
    <w:rsid w:val="00BF0D7D"/>
    <w:rsid w:val="00BF0DB3"/>
    <w:rsid w:val="00BF0E69"/>
    <w:rsid w:val="00BF0E7C"/>
    <w:rsid w:val="00BF0F3C"/>
    <w:rsid w:val="00BF101B"/>
    <w:rsid w:val="00BF1B2F"/>
    <w:rsid w:val="00BF1E3A"/>
    <w:rsid w:val="00BF1ECC"/>
    <w:rsid w:val="00BF1F42"/>
    <w:rsid w:val="00BF21D8"/>
    <w:rsid w:val="00BF2344"/>
    <w:rsid w:val="00BF2581"/>
    <w:rsid w:val="00BF27A4"/>
    <w:rsid w:val="00BF2B8E"/>
    <w:rsid w:val="00BF2BBA"/>
    <w:rsid w:val="00BF2E80"/>
    <w:rsid w:val="00BF2EC5"/>
    <w:rsid w:val="00BF3453"/>
    <w:rsid w:val="00BF34DE"/>
    <w:rsid w:val="00BF3829"/>
    <w:rsid w:val="00BF38A3"/>
    <w:rsid w:val="00BF3A6B"/>
    <w:rsid w:val="00BF3AA0"/>
    <w:rsid w:val="00BF3B51"/>
    <w:rsid w:val="00BF3D65"/>
    <w:rsid w:val="00BF3F6D"/>
    <w:rsid w:val="00BF40A0"/>
    <w:rsid w:val="00BF4222"/>
    <w:rsid w:val="00BF42B2"/>
    <w:rsid w:val="00BF42C9"/>
    <w:rsid w:val="00BF4410"/>
    <w:rsid w:val="00BF4882"/>
    <w:rsid w:val="00BF4937"/>
    <w:rsid w:val="00BF4944"/>
    <w:rsid w:val="00BF494D"/>
    <w:rsid w:val="00BF4A0A"/>
    <w:rsid w:val="00BF4A14"/>
    <w:rsid w:val="00BF4BDF"/>
    <w:rsid w:val="00BF4D33"/>
    <w:rsid w:val="00BF505F"/>
    <w:rsid w:val="00BF5061"/>
    <w:rsid w:val="00BF523B"/>
    <w:rsid w:val="00BF5255"/>
    <w:rsid w:val="00BF53FF"/>
    <w:rsid w:val="00BF57B6"/>
    <w:rsid w:val="00BF58BA"/>
    <w:rsid w:val="00BF5935"/>
    <w:rsid w:val="00BF5AA6"/>
    <w:rsid w:val="00BF5B97"/>
    <w:rsid w:val="00BF5D91"/>
    <w:rsid w:val="00BF5F02"/>
    <w:rsid w:val="00BF63C2"/>
    <w:rsid w:val="00BF6405"/>
    <w:rsid w:val="00BF65E0"/>
    <w:rsid w:val="00BF68B9"/>
    <w:rsid w:val="00BF69D2"/>
    <w:rsid w:val="00BF6B1C"/>
    <w:rsid w:val="00BF6E26"/>
    <w:rsid w:val="00BF715D"/>
    <w:rsid w:val="00BF72DE"/>
    <w:rsid w:val="00BF779F"/>
    <w:rsid w:val="00BF78C6"/>
    <w:rsid w:val="00BF7ACD"/>
    <w:rsid w:val="00BF7BEF"/>
    <w:rsid w:val="00C00093"/>
    <w:rsid w:val="00C0035D"/>
    <w:rsid w:val="00C007DD"/>
    <w:rsid w:val="00C00BA9"/>
    <w:rsid w:val="00C00D22"/>
    <w:rsid w:val="00C00DEA"/>
    <w:rsid w:val="00C01094"/>
    <w:rsid w:val="00C012E9"/>
    <w:rsid w:val="00C0142D"/>
    <w:rsid w:val="00C016CC"/>
    <w:rsid w:val="00C0180F"/>
    <w:rsid w:val="00C01963"/>
    <w:rsid w:val="00C019E6"/>
    <w:rsid w:val="00C01B02"/>
    <w:rsid w:val="00C01E71"/>
    <w:rsid w:val="00C0212B"/>
    <w:rsid w:val="00C02143"/>
    <w:rsid w:val="00C021D8"/>
    <w:rsid w:val="00C02631"/>
    <w:rsid w:val="00C02670"/>
    <w:rsid w:val="00C027FA"/>
    <w:rsid w:val="00C02839"/>
    <w:rsid w:val="00C02921"/>
    <w:rsid w:val="00C02C2D"/>
    <w:rsid w:val="00C02DF7"/>
    <w:rsid w:val="00C03187"/>
    <w:rsid w:val="00C03410"/>
    <w:rsid w:val="00C035E6"/>
    <w:rsid w:val="00C03878"/>
    <w:rsid w:val="00C03977"/>
    <w:rsid w:val="00C03D0D"/>
    <w:rsid w:val="00C03D26"/>
    <w:rsid w:val="00C03D55"/>
    <w:rsid w:val="00C03F31"/>
    <w:rsid w:val="00C03F5F"/>
    <w:rsid w:val="00C03FBF"/>
    <w:rsid w:val="00C04412"/>
    <w:rsid w:val="00C04416"/>
    <w:rsid w:val="00C044C2"/>
    <w:rsid w:val="00C04831"/>
    <w:rsid w:val="00C0486B"/>
    <w:rsid w:val="00C04A00"/>
    <w:rsid w:val="00C04A42"/>
    <w:rsid w:val="00C04AD6"/>
    <w:rsid w:val="00C04B36"/>
    <w:rsid w:val="00C04F0E"/>
    <w:rsid w:val="00C04F18"/>
    <w:rsid w:val="00C04F23"/>
    <w:rsid w:val="00C05478"/>
    <w:rsid w:val="00C055F5"/>
    <w:rsid w:val="00C0579B"/>
    <w:rsid w:val="00C057D4"/>
    <w:rsid w:val="00C05A70"/>
    <w:rsid w:val="00C05BE6"/>
    <w:rsid w:val="00C05D0D"/>
    <w:rsid w:val="00C05EDC"/>
    <w:rsid w:val="00C05F7F"/>
    <w:rsid w:val="00C0618A"/>
    <w:rsid w:val="00C0619A"/>
    <w:rsid w:val="00C061EE"/>
    <w:rsid w:val="00C06290"/>
    <w:rsid w:val="00C06436"/>
    <w:rsid w:val="00C06471"/>
    <w:rsid w:val="00C06B05"/>
    <w:rsid w:val="00C06BF1"/>
    <w:rsid w:val="00C06CDA"/>
    <w:rsid w:val="00C06F02"/>
    <w:rsid w:val="00C076E7"/>
    <w:rsid w:val="00C07A8C"/>
    <w:rsid w:val="00C07A90"/>
    <w:rsid w:val="00C07B4B"/>
    <w:rsid w:val="00C07D97"/>
    <w:rsid w:val="00C07DC7"/>
    <w:rsid w:val="00C07FE2"/>
    <w:rsid w:val="00C1008B"/>
    <w:rsid w:val="00C1056C"/>
    <w:rsid w:val="00C106AE"/>
    <w:rsid w:val="00C106F5"/>
    <w:rsid w:val="00C10A0C"/>
    <w:rsid w:val="00C10C85"/>
    <w:rsid w:val="00C10F90"/>
    <w:rsid w:val="00C111AD"/>
    <w:rsid w:val="00C112DA"/>
    <w:rsid w:val="00C1142B"/>
    <w:rsid w:val="00C116D0"/>
    <w:rsid w:val="00C116D3"/>
    <w:rsid w:val="00C116F6"/>
    <w:rsid w:val="00C118AB"/>
    <w:rsid w:val="00C11B84"/>
    <w:rsid w:val="00C11BEC"/>
    <w:rsid w:val="00C11C77"/>
    <w:rsid w:val="00C1207D"/>
    <w:rsid w:val="00C12465"/>
    <w:rsid w:val="00C12629"/>
    <w:rsid w:val="00C12869"/>
    <w:rsid w:val="00C12CD7"/>
    <w:rsid w:val="00C12D2F"/>
    <w:rsid w:val="00C12E6E"/>
    <w:rsid w:val="00C13072"/>
    <w:rsid w:val="00C13356"/>
    <w:rsid w:val="00C1336B"/>
    <w:rsid w:val="00C133A7"/>
    <w:rsid w:val="00C135A5"/>
    <w:rsid w:val="00C13A54"/>
    <w:rsid w:val="00C13E6A"/>
    <w:rsid w:val="00C140AA"/>
    <w:rsid w:val="00C1417E"/>
    <w:rsid w:val="00C142E0"/>
    <w:rsid w:val="00C143DF"/>
    <w:rsid w:val="00C14477"/>
    <w:rsid w:val="00C14513"/>
    <w:rsid w:val="00C14718"/>
    <w:rsid w:val="00C1477A"/>
    <w:rsid w:val="00C15227"/>
    <w:rsid w:val="00C15380"/>
    <w:rsid w:val="00C156CB"/>
    <w:rsid w:val="00C15866"/>
    <w:rsid w:val="00C15C0C"/>
    <w:rsid w:val="00C15E4A"/>
    <w:rsid w:val="00C160E3"/>
    <w:rsid w:val="00C161EC"/>
    <w:rsid w:val="00C168CC"/>
    <w:rsid w:val="00C16C7D"/>
    <w:rsid w:val="00C16D87"/>
    <w:rsid w:val="00C16EE8"/>
    <w:rsid w:val="00C16F6A"/>
    <w:rsid w:val="00C171EC"/>
    <w:rsid w:val="00C1772A"/>
    <w:rsid w:val="00C17A21"/>
    <w:rsid w:val="00C17BCD"/>
    <w:rsid w:val="00C17E17"/>
    <w:rsid w:val="00C17EFD"/>
    <w:rsid w:val="00C17F0B"/>
    <w:rsid w:val="00C17F9F"/>
    <w:rsid w:val="00C17FA0"/>
    <w:rsid w:val="00C200FD"/>
    <w:rsid w:val="00C20265"/>
    <w:rsid w:val="00C206F4"/>
    <w:rsid w:val="00C20A3E"/>
    <w:rsid w:val="00C20B77"/>
    <w:rsid w:val="00C20CC0"/>
    <w:rsid w:val="00C20E8A"/>
    <w:rsid w:val="00C210DC"/>
    <w:rsid w:val="00C2194D"/>
    <w:rsid w:val="00C21A48"/>
    <w:rsid w:val="00C21BF5"/>
    <w:rsid w:val="00C21CAF"/>
    <w:rsid w:val="00C21D3A"/>
    <w:rsid w:val="00C21E0A"/>
    <w:rsid w:val="00C21F9A"/>
    <w:rsid w:val="00C21FB4"/>
    <w:rsid w:val="00C22070"/>
    <w:rsid w:val="00C22457"/>
    <w:rsid w:val="00C22592"/>
    <w:rsid w:val="00C225A1"/>
    <w:rsid w:val="00C225CB"/>
    <w:rsid w:val="00C225E2"/>
    <w:rsid w:val="00C22627"/>
    <w:rsid w:val="00C226EB"/>
    <w:rsid w:val="00C228A1"/>
    <w:rsid w:val="00C22A18"/>
    <w:rsid w:val="00C22BBF"/>
    <w:rsid w:val="00C22BCB"/>
    <w:rsid w:val="00C22F0D"/>
    <w:rsid w:val="00C22F98"/>
    <w:rsid w:val="00C23123"/>
    <w:rsid w:val="00C231B3"/>
    <w:rsid w:val="00C232A6"/>
    <w:rsid w:val="00C23586"/>
    <w:rsid w:val="00C23832"/>
    <w:rsid w:val="00C23966"/>
    <w:rsid w:val="00C239CB"/>
    <w:rsid w:val="00C23B7C"/>
    <w:rsid w:val="00C23C30"/>
    <w:rsid w:val="00C23EE2"/>
    <w:rsid w:val="00C245A1"/>
    <w:rsid w:val="00C2465D"/>
    <w:rsid w:val="00C246C4"/>
    <w:rsid w:val="00C246D2"/>
    <w:rsid w:val="00C2485C"/>
    <w:rsid w:val="00C24E57"/>
    <w:rsid w:val="00C25706"/>
    <w:rsid w:val="00C257B1"/>
    <w:rsid w:val="00C25C45"/>
    <w:rsid w:val="00C25F44"/>
    <w:rsid w:val="00C2653F"/>
    <w:rsid w:val="00C2657C"/>
    <w:rsid w:val="00C26671"/>
    <w:rsid w:val="00C26746"/>
    <w:rsid w:val="00C26BD9"/>
    <w:rsid w:val="00C26DB1"/>
    <w:rsid w:val="00C26FFB"/>
    <w:rsid w:val="00C27085"/>
    <w:rsid w:val="00C2711C"/>
    <w:rsid w:val="00C271DE"/>
    <w:rsid w:val="00C27382"/>
    <w:rsid w:val="00C277A8"/>
    <w:rsid w:val="00C27861"/>
    <w:rsid w:val="00C27BED"/>
    <w:rsid w:val="00C27F91"/>
    <w:rsid w:val="00C27FD9"/>
    <w:rsid w:val="00C30595"/>
    <w:rsid w:val="00C30651"/>
    <w:rsid w:val="00C30817"/>
    <w:rsid w:val="00C309AE"/>
    <w:rsid w:val="00C30A68"/>
    <w:rsid w:val="00C30CEE"/>
    <w:rsid w:val="00C30E9E"/>
    <w:rsid w:val="00C30EA2"/>
    <w:rsid w:val="00C30F03"/>
    <w:rsid w:val="00C313E5"/>
    <w:rsid w:val="00C31421"/>
    <w:rsid w:val="00C31D02"/>
    <w:rsid w:val="00C31D41"/>
    <w:rsid w:val="00C32055"/>
    <w:rsid w:val="00C3224E"/>
    <w:rsid w:val="00C322D7"/>
    <w:rsid w:val="00C328D2"/>
    <w:rsid w:val="00C329C0"/>
    <w:rsid w:val="00C32AE3"/>
    <w:rsid w:val="00C32C11"/>
    <w:rsid w:val="00C32DAF"/>
    <w:rsid w:val="00C33054"/>
    <w:rsid w:val="00C33318"/>
    <w:rsid w:val="00C33344"/>
    <w:rsid w:val="00C333E3"/>
    <w:rsid w:val="00C3349F"/>
    <w:rsid w:val="00C336CA"/>
    <w:rsid w:val="00C33820"/>
    <w:rsid w:val="00C339C2"/>
    <w:rsid w:val="00C33A0B"/>
    <w:rsid w:val="00C33D07"/>
    <w:rsid w:val="00C34022"/>
    <w:rsid w:val="00C340A7"/>
    <w:rsid w:val="00C340A9"/>
    <w:rsid w:val="00C341E3"/>
    <w:rsid w:val="00C341F9"/>
    <w:rsid w:val="00C34431"/>
    <w:rsid w:val="00C3471A"/>
    <w:rsid w:val="00C348C6"/>
    <w:rsid w:val="00C348DB"/>
    <w:rsid w:val="00C34C8B"/>
    <w:rsid w:val="00C34FDF"/>
    <w:rsid w:val="00C35111"/>
    <w:rsid w:val="00C356BD"/>
    <w:rsid w:val="00C356DB"/>
    <w:rsid w:val="00C357A9"/>
    <w:rsid w:val="00C35A6E"/>
    <w:rsid w:val="00C35B29"/>
    <w:rsid w:val="00C35CCC"/>
    <w:rsid w:val="00C36164"/>
    <w:rsid w:val="00C364E5"/>
    <w:rsid w:val="00C365CE"/>
    <w:rsid w:val="00C36AF1"/>
    <w:rsid w:val="00C36C6A"/>
    <w:rsid w:val="00C36CC6"/>
    <w:rsid w:val="00C36CED"/>
    <w:rsid w:val="00C36E04"/>
    <w:rsid w:val="00C36FD7"/>
    <w:rsid w:val="00C37041"/>
    <w:rsid w:val="00C374EE"/>
    <w:rsid w:val="00C375BF"/>
    <w:rsid w:val="00C378DB"/>
    <w:rsid w:val="00C404AE"/>
    <w:rsid w:val="00C4050C"/>
    <w:rsid w:val="00C40686"/>
    <w:rsid w:val="00C40D10"/>
    <w:rsid w:val="00C40E11"/>
    <w:rsid w:val="00C40E1B"/>
    <w:rsid w:val="00C41111"/>
    <w:rsid w:val="00C41156"/>
    <w:rsid w:val="00C4153B"/>
    <w:rsid w:val="00C41709"/>
    <w:rsid w:val="00C417EB"/>
    <w:rsid w:val="00C419D8"/>
    <w:rsid w:val="00C41A68"/>
    <w:rsid w:val="00C41B10"/>
    <w:rsid w:val="00C41B91"/>
    <w:rsid w:val="00C41D9A"/>
    <w:rsid w:val="00C41EE5"/>
    <w:rsid w:val="00C41FE2"/>
    <w:rsid w:val="00C42140"/>
    <w:rsid w:val="00C42210"/>
    <w:rsid w:val="00C4284C"/>
    <w:rsid w:val="00C429C5"/>
    <w:rsid w:val="00C429D5"/>
    <w:rsid w:val="00C42E8B"/>
    <w:rsid w:val="00C42F73"/>
    <w:rsid w:val="00C42FA7"/>
    <w:rsid w:val="00C43146"/>
    <w:rsid w:val="00C434D1"/>
    <w:rsid w:val="00C43785"/>
    <w:rsid w:val="00C439E8"/>
    <w:rsid w:val="00C43D52"/>
    <w:rsid w:val="00C444D2"/>
    <w:rsid w:val="00C4479F"/>
    <w:rsid w:val="00C449FA"/>
    <w:rsid w:val="00C44A7C"/>
    <w:rsid w:val="00C44E58"/>
    <w:rsid w:val="00C44EEE"/>
    <w:rsid w:val="00C4529A"/>
    <w:rsid w:val="00C45501"/>
    <w:rsid w:val="00C4556E"/>
    <w:rsid w:val="00C4577E"/>
    <w:rsid w:val="00C45C26"/>
    <w:rsid w:val="00C45C81"/>
    <w:rsid w:val="00C45D48"/>
    <w:rsid w:val="00C45E38"/>
    <w:rsid w:val="00C45FF5"/>
    <w:rsid w:val="00C4617D"/>
    <w:rsid w:val="00C464E1"/>
    <w:rsid w:val="00C467AC"/>
    <w:rsid w:val="00C46DDF"/>
    <w:rsid w:val="00C471A1"/>
    <w:rsid w:val="00C471CA"/>
    <w:rsid w:val="00C4728E"/>
    <w:rsid w:val="00C47304"/>
    <w:rsid w:val="00C473DE"/>
    <w:rsid w:val="00C47535"/>
    <w:rsid w:val="00C47624"/>
    <w:rsid w:val="00C4766D"/>
    <w:rsid w:val="00C47715"/>
    <w:rsid w:val="00C47770"/>
    <w:rsid w:val="00C47806"/>
    <w:rsid w:val="00C478FD"/>
    <w:rsid w:val="00C47956"/>
    <w:rsid w:val="00C479D0"/>
    <w:rsid w:val="00C479E1"/>
    <w:rsid w:val="00C47DAD"/>
    <w:rsid w:val="00C47E0A"/>
    <w:rsid w:val="00C47FB5"/>
    <w:rsid w:val="00C501D3"/>
    <w:rsid w:val="00C502F5"/>
    <w:rsid w:val="00C503A0"/>
    <w:rsid w:val="00C50569"/>
    <w:rsid w:val="00C505BE"/>
    <w:rsid w:val="00C50838"/>
    <w:rsid w:val="00C5086B"/>
    <w:rsid w:val="00C50912"/>
    <w:rsid w:val="00C50A7C"/>
    <w:rsid w:val="00C50B2F"/>
    <w:rsid w:val="00C50C49"/>
    <w:rsid w:val="00C51123"/>
    <w:rsid w:val="00C512A9"/>
    <w:rsid w:val="00C513F5"/>
    <w:rsid w:val="00C517F9"/>
    <w:rsid w:val="00C51AD6"/>
    <w:rsid w:val="00C51F6E"/>
    <w:rsid w:val="00C5200B"/>
    <w:rsid w:val="00C521DB"/>
    <w:rsid w:val="00C524E5"/>
    <w:rsid w:val="00C526CB"/>
    <w:rsid w:val="00C528AE"/>
    <w:rsid w:val="00C52D4C"/>
    <w:rsid w:val="00C52DE2"/>
    <w:rsid w:val="00C53002"/>
    <w:rsid w:val="00C53766"/>
    <w:rsid w:val="00C537CF"/>
    <w:rsid w:val="00C53D35"/>
    <w:rsid w:val="00C53EB7"/>
    <w:rsid w:val="00C5404E"/>
    <w:rsid w:val="00C5411E"/>
    <w:rsid w:val="00C54164"/>
    <w:rsid w:val="00C54243"/>
    <w:rsid w:val="00C54267"/>
    <w:rsid w:val="00C54418"/>
    <w:rsid w:val="00C5444B"/>
    <w:rsid w:val="00C54499"/>
    <w:rsid w:val="00C5466F"/>
    <w:rsid w:val="00C5486D"/>
    <w:rsid w:val="00C548F5"/>
    <w:rsid w:val="00C548F7"/>
    <w:rsid w:val="00C54A39"/>
    <w:rsid w:val="00C54A96"/>
    <w:rsid w:val="00C54ED2"/>
    <w:rsid w:val="00C54EED"/>
    <w:rsid w:val="00C55636"/>
    <w:rsid w:val="00C558A1"/>
    <w:rsid w:val="00C55900"/>
    <w:rsid w:val="00C55918"/>
    <w:rsid w:val="00C55C44"/>
    <w:rsid w:val="00C55D96"/>
    <w:rsid w:val="00C55DDC"/>
    <w:rsid w:val="00C56CAC"/>
    <w:rsid w:val="00C56F68"/>
    <w:rsid w:val="00C57133"/>
    <w:rsid w:val="00C57176"/>
    <w:rsid w:val="00C572E2"/>
    <w:rsid w:val="00C572E7"/>
    <w:rsid w:val="00C573E4"/>
    <w:rsid w:val="00C573F8"/>
    <w:rsid w:val="00C57435"/>
    <w:rsid w:val="00C57510"/>
    <w:rsid w:val="00C57546"/>
    <w:rsid w:val="00C575F0"/>
    <w:rsid w:val="00C577A0"/>
    <w:rsid w:val="00C578BD"/>
    <w:rsid w:val="00C57946"/>
    <w:rsid w:val="00C579E3"/>
    <w:rsid w:val="00C57BBA"/>
    <w:rsid w:val="00C57BE9"/>
    <w:rsid w:val="00C57DE5"/>
    <w:rsid w:val="00C57E1E"/>
    <w:rsid w:val="00C57E79"/>
    <w:rsid w:val="00C5C140"/>
    <w:rsid w:val="00C601C6"/>
    <w:rsid w:val="00C60341"/>
    <w:rsid w:val="00C608DB"/>
    <w:rsid w:val="00C6096C"/>
    <w:rsid w:val="00C60972"/>
    <w:rsid w:val="00C60AEC"/>
    <w:rsid w:val="00C60C23"/>
    <w:rsid w:val="00C60E18"/>
    <w:rsid w:val="00C60F99"/>
    <w:rsid w:val="00C60FB6"/>
    <w:rsid w:val="00C61222"/>
    <w:rsid w:val="00C61481"/>
    <w:rsid w:val="00C615ED"/>
    <w:rsid w:val="00C61688"/>
    <w:rsid w:val="00C6169D"/>
    <w:rsid w:val="00C6188A"/>
    <w:rsid w:val="00C619C8"/>
    <w:rsid w:val="00C619E1"/>
    <w:rsid w:val="00C61B9D"/>
    <w:rsid w:val="00C61CD6"/>
    <w:rsid w:val="00C61D1C"/>
    <w:rsid w:val="00C61F7B"/>
    <w:rsid w:val="00C62004"/>
    <w:rsid w:val="00C62211"/>
    <w:rsid w:val="00C62336"/>
    <w:rsid w:val="00C624C6"/>
    <w:rsid w:val="00C62721"/>
    <w:rsid w:val="00C627DE"/>
    <w:rsid w:val="00C628EF"/>
    <w:rsid w:val="00C62D6D"/>
    <w:rsid w:val="00C6301F"/>
    <w:rsid w:val="00C63089"/>
    <w:rsid w:val="00C63094"/>
    <w:rsid w:val="00C63102"/>
    <w:rsid w:val="00C63287"/>
    <w:rsid w:val="00C632A9"/>
    <w:rsid w:val="00C63458"/>
    <w:rsid w:val="00C63583"/>
    <w:rsid w:val="00C6361F"/>
    <w:rsid w:val="00C636AD"/>
    <w:rsid w:val="00C6372B"/>
    <w:rsid w:val="00C63801"/>
    <w:rsid w:val="00C63AF3"/>
    <w:rsid w:val="00C63EC2"/>
    <w:rsid w:val="00C642E1"/>
    <w:rsid w:val="00C64609"/>
    <w:rsid w:val="00C64715"/>
    <w:rsid w:val="00C6471D"/>
    <w:rsid w:val="00C64902"/>
    <w:rsid w:val="00C64A24"/>
    <w:rsid w:val="00C64B9E"/>
    <w:rsid w:val="00C65215"/>
    <w:rsid w:val="00C652F3"/>
    <w:rsid w:val="00C65387"/>
    <w:rsid w:val="00C65788"/>
    <w:rsid w:val="00C659D9"/>
    <w:rsid w:val="00C65A20"/>
    <w:rsid w:val="00C65E4F"/>
    <w:rsid w:val="00C65EC4"/>
    <w:rsid w:val="00C65EE4"/>
    <w:rsid w:val="00C65F55"/>
    <w:rsid w:val="00C66047"/>
    <w:rsid w:val="00C6636E"/>
    <w:rsid w:val="00C664D5"/>
    <w:rsid w:val="00C6657B"/>
    <w:rsid w:val="00C6688A"/>
    <w:rsid w:val="00C668B2"/>
    <w:rsid w:val="00C6693A"/>
    <w:rsid w:val="00C669DA"/>
    <w:rsid w:val="00C66D1C"/>
    <w:rsid w:val="00C66D78"/>
    <w:rsid w:val="00C66EE1"/>
    <w:rsid w:val="00C676B9"/>
    <w:rsid w:val="00C67885"/>
    <w:rsid w:val="00C678FE"/>
    <w:rsid w:val="00C679C5"/>
    <w:rsid w:val="00C67A7F"/>
    <w:rsid w:val="00C67D35"/>
    <w:rsid w:val="00C67D39"/>
    <w:rsid w:val="00C70023"/>
    <w:rsid w:val="00C70191"/>
    <w:rsid w:val="00C7019C"/>
    <w:rsid w:val="00C701EF"/>
    <w:rsid w:val="00C706E1"/>
    <w:rsid w:val="00C7079D"/>
    <w:rsid w:val="00C7082A"/>
    <w:rsid w:val="00C70888"/>
    <w:rsid w:val="00C709C1"/>
    <w:rsid w:val="00C70D42"/>
    <w:rsid w:val="00C71283"/>
    <w:rsid w:val="00C7129B"/>
    <w:rsid w:val="00C7130A"/>
    <w:rsid w:val="00C7137B"/>
    <w:rsid w:val="00C7138F"/>
    <w:rsid w:val="00C7145D"/>
    <w:rsid w:val="00C7158A"/>
    <w:rsid w:val="00C71964"/>
    <w:rsid w:val="00C71B1E"/>
    <w:rsid w:val="00C71FA6"/>
    <w:rsid w:val="00C72164"/>
    <w:rsid w:val="00C7220F"/>
    <w:rsid w:val="00C7223A"/>
    <w:rsid w:val="00C7229F"/>
    <w:rsid w:val="00C727F9"/>
    <w:rsid w:val="00C72D45"/>
    <w:rsid w:val="00C72EF7"/>
    <w:rsid w:val="00C7325C"/>
    <w:rsid w:val="00C733CD"/>
    <w:rsid w:val="00C73859"/>
    <w:rsid w:val="00C73B48"/>
    <w:rsid w:val="00C73CE6"/>
    <w:rsid w:val="00C73E9D"/>
    <w:rsid w:val="00C74197"/>
    <w:rsid w:val="00C74200"/>
    <w:rsid w:val="00C74263"/>
    <w:rsid w:val="00C7447C"/>
    <w:rsid w:val="00C745FB"/>
    <w:rsid w:val="00C74910"/>
    <w:rsid w:val="00C74C5F"/>
    <w:rsid w:val="00C74EBC"/>
    <w:rsid w:val="00C751EA"/>
    <w:rsid w:val="00C75437"/>
    <w:rsid w:val="00C75654"/>
    <w:rsid w:val="00C756F1"/>
    <w:rsid w:val="00C7586E"/>
    <w:rsid w:val="00C7589D"/>
    <w:rsid w:val="00C758FE"/>
    <w:rsid w:val="00C75B75"/>
    <w:rsid w:val="00C75C60"/>
    <w:rsid w:val="00C75D42"/>
    <w:rsid w:val="00C76410"/>
    <w:rsid w:val="00C76726"/>
    <w:rsid w:val="00C76823"/>
    <w:rsid w:val="00C768E8"/>
    <w:rsid w:val="00C769C7"/>
    <w:rsid w:val="00C76A98"/>
    <w:rsid w:val="00C76AA7"/>
    <w:rsid w:val="00C76D4C"/>
    <w:rsid w:val="00C770F5"/>
    <w:rsid w:val="00C7738E"/>
    <w:rsid w:val="00C77C5B"/>
    <w:rsid w:val="00C77FE3"/>
    <w:rsid w:val="00C80096"/>
    <w:rsid w:val="00C801AF"/>
    <w:rsid w:val="00C804C9"/>
    <w:rsid w:val="00C8050A"/>
    <w:rsid w:val="00C8050C"/>
    <w:rsid w:val="00C80545"/>
    <w:rsid w:val="00C8055A"/>
    <w:rsid w:val="00C805F4"/>
    <w:rsid w:val="00C807CA"/>
    <w:rsid w:val="00C80E02"/>
    <w:rsid w:val="00C80EA0"/>
    <w:rsid w:val="00C810BD"/>
    <w:rsid w:val="00C811EF"/>
    <w:rsid w:val="00C8129F"/>
    <w:rsid w:val="00C813A0"/>
    <w:rsid w:val="00C81541"/>
    <w:rsid w:val="00C81845"/>
    <w:rsid w:val="00C81870"/>
    <w:rsid w:val="00C81974"/>
    <w:rsid w:val="00C819C1"/>
    <w:rsid w:val="00C81A99"/>
    <w:rsid w:val="00C81F17"/>
    <w:rsid w:val="00C82027"/>
    <w:rsid w:val="00C8204E"/>
    <w:rsid w:val="00C82051"/>
    <w:rsid w:val="00C82362"/>
    <w:rsid w:val="00C82A08"/>
    <w:rsid w:val="00C82B63"/>
    <w:rsid w:val="00C82FB1"/>
    <w:rsid w:val="00C832F8"/>
    <w:rsid w:val="00C833DD"/>
    <w:rsid w:val="00C8340E"/>
    <w:rsid w:val="00C834BE"/>
    <w:rsid w:val="00C835A3"/>
    <w:rsid w:val="00C835EA"/>
    <w:rsid w:val="00C838A0"/>
    <w:rsid w:val="00C838DD"/>
    <w:rsid w:val="00C839DE"/>
    <w:rsid w:val="00C839EB"/>
    <w:rsid w:val="00C83F8D"/>
    <w:rsid w:val="00C84053"/>
    <w:rsid w:val="00C842E5"/>
    <w:rsid w:val="00C842F3"/>
    <w:rsid w:val="00C844A8"/>
    <w:rsid w:val="00C84686"/>
    <w:rsid w:val="00C846C8"/>
    <w:rsid w:val="00C8473F"/>
    <w:rsid w:val="00C84853"/>
    <w:rsid w:val="00C84ABB"/>
    <w:rsid w:val="00C84C5F"/>
    <w:rsid w:val="00C84F23"/>
    <w:rsid w:val="00C850E4"/>
    <w:rsid w:val="00C85780"/>
    <w:rsid w:val="00C858CE"/>
    <w:rsid w:val="00C859BE"/>
    <w:rsid w:val="00C85BA8"/>
    <w:rsid w:val="00C85C37"/>
    <w:rsid w:val="00C85D9C"/>
    <w:rsid w:val="00C8615E"/>
    <w:rsid w:val="00C86576"/>
    <w:rsid w:val="00C8659F"/>
    <w:rsid w:val="00C8672D"/>
    <w:rsid w:val="00C867B2"/>
    <w:rsid w:val="00C8687A"/>
    <w:rsid w:val="00C8689C"/>
    <w:rsid w:val="00C869B6"/>
    <w:rsid w:val="00C86C97"/>
    <w:rsid w:val="00C86E76"/>
    <w:rsid w:val="00C86F1D"/>
    <w:rsid w:val="00C87242"/>
    <w:rsid w:val="00C87462"/>
    <w:rsid w:val="00C875EB"/>
    <w:rsid w:val="00C87693"/>
    <w:rsid w:val="00C878E1"/>
    <w:rsid w:val="00C87A1B"/>
    <w:rsid w:val="00C87B1A"/>
    <w:rsid w:val="00C87CD2"/>
    <w:rsid w:val="00C87EBA"/>
    <w:rsid w:val="00C90105"/>
    <w:rsid w:val="00C902EF"/>
    <w:rsid w:val="00C90338"/>
    <w:rsid w:val="00C904B2"/>
    <w:rsid w:val="00C907C1"/>
    <w:rsid w:val="00C90D21"/>
    <w:rsid w:val="00C90DAD"/>
    <w:rsid w:val="00C90F0F"/>
    <w:rsid w:val="00C90FF4"/>
    <w:rsid w:val="00C9102D"/>
    <w:rsid w:val="00C91068"/>
    <w:rsid w:val="00C91152"/>
    <w:rsid w:val="00C9131F"/>
    <w:rsid w:val="00C9133F"/>
    <w:rsid w:val="00C91437"/>
    <w:rsid w:val="00C91868"/>
    <w:rsid w:val="00C91888"/>
    <w:rsid w:val="00C91A0F"/>
    <w:rsid w:val="00C91BE2"/>
    <w:rsid w:val="00C91C87"/>
    <w:rsid w:val="00C91D0F"/>
    <w:rsid w:val="00C91F49"/>
    <w:rsid w:val="00C924B8"/>
    <w:rsid w:val="00C924CC"/>
    <w:rsid w:val="00C929D9"/>
    <w:rsid w:val="00C92A2A"/>
    <w:rsid w:val="00C92B4E"/>
    <w:rsid w:val="00C92F2C"/>
    <w:rsid w:val="00C92F74"/>
    <w:rsid w:val="00C92FFF"/>
    <w:rsid w:val="00C93363"/>
    <w:rsid w:val="00C934B1"/>
    <w:rsid w:val="00C93589"/>
    <w:rsid w:val="00C937F7"/>
    <w:rsid w:val="00C93882"/>
    <w:rsid w:val="00C93C78"/>
    <w:rsid w:val="00C93E53"/>
    <w:rsid w:val="00C94002"/>
    <w:rsid w:val="00C94094"/>
    <w:rsid w:val="00C944E9"/>
    <w:rsid w:val="00C946CE"/>
    <w:rsid w:val="00C947EF"/>
    <w:rsid w:val="00C948BF"/>
    <w:rsid w:val="00C94BBA"/>
    <w:rsid w:val="00C94CC9"/>
    <w:rsid w:val="00C94E41"/>
    <w:rsid w:val="00C94EAC"/>
    <w:rsid w:val="00C94F13"/>
    <w:rsid w:val="00C95208"/>
    <w:rsid w:val="00C95328"/>
    <w:rsid w:val="00C95405"/>
    <w:rsid w:val="00C9555D"/>
    <w:rsid w:val="00C95825"/>
    <w:rsid w:val="00C95AC0"/>
    <w:rsid w:val="00C95C4F"/>
    <w:rsid w:val="00C95D01"/>
    <w:rsid w:val="00C95D98"/>
    <w:rsid w:val="00C95E0F"/>
    <w:rsid w:val="00C961C0"/>
    <w:rsid w:val="00C9623D"/>
    <w:rsid w:val="00C963F5"/>
    <w:rsid w:val="00C96711"/>
    <w:rsid w:val="00C9675F"/>
    <w:rsid w:val="00C96970"/>
    <w:rsid w:val="00C96C25"/>
    <w:rsid w:val="00C96C81"/>
    <w:rsid w:val="00C96D61"/>
    <w:rsid w:val="00C97085"/>
    <w:rsid w:val="00C971B7"/>
    <w:rsid w:val="00C971CA"/>
    <w:rsid w:val="00C975C7"/>
    <w:rsid w:val="00C9762F"/>
    <w:rsid w:val="00C976F5"/>
    <w:rsid w:val="00C97727"/>
    <w:rsid w:val="00C977EB"/>
    <w:rsid w:val="00C97B66"/>
    <w:rsid w:val="00C97C25"/>
    <w:rsid w:val="00C97C6A"/>
    <w:rsid w:val="00C97F5D"/>
    <w:rsid w:val="00C97F8A"/>
    <w:rsid w:val="00CA01EC"/>
    <w:rsid w:val="00CA02B8"/>
    <w:rsid w:val="00CA03F7"/>
    <w:rsid w:val="00CA05A8"/>
    <w:rsid w:val="00CA0D52"/>
    <w:rsid w:val="00CA0D8F"/>
    <w:rsid w:val="00CA0DB0"/>
    <w:rsid w:val="00CA0E31"/>
    <w:rsid w:val="00CA0E34"/>
    <w:rsid w:val="00CA0E7B"/>
    <w:rsid w:val="00CA10C3"/>
    <w:rsid w:val="00CA10F9"/>
    <w:rsid w:val="00CA1239"/>
    <w:rsid w:val="00CA193C"/>
    <w:rsid w:val="00CA1941"/>
    <w:rsid w:val="00CA1A6E"/>
    <w:rsid w:val="00CA1AED"/>
    <w:rsid w:val="00CA2031"/>
    <w:rsid w:val="00CA20F5"/>
    <w:rsid w:val="00CA2616"/>
    <w:rsid w:val="00CA2C54"/>
    <w:rsid w:val="00CA2C61"/>
    <w:rsid w:val="00CA2FD3"/>
    <w:rsid w:val="00CA3037"/>
    <w:rsid w:val="00CA33A6"/>
    <w:rsid w:val="00CA37EC"/>
    <w:rsid w:val="00CA3922"/>
    <w:rsid w:val="00CA3AB3"/>
    <w:rsid w:val="00CA414C"/>
    <w:rsid w:val="00CA4193"/>
    <w:rsid w:val="00CA4254"/>
    <w:rsid w:val="00CA437E"/>
    <w:rsid w:val="00CA44C2"/>
    <w:rsid w:val="00CA4761"/>
    <w:rsid w:val="00CA485A"/>
    <w:rsid w:val="00CA48B2"/>
    <w:rsid w:val="00CA4A20"/>
    <w:rsid w:val="00CA4A21"/>
    <w:rsid w:val="00CA4BEE"/>
    <w:rsid w:val="00CA4C65"/>
    <w:rsid w:val="00CA4DD6"/>
    <w:rsid w:val="00CA4F83"/>
    <w:rsid w:val="00CA505C"/>
    <w:rsid w:val="00CA50AE"/>
    <w:rsid w:val="00CA5245"/>
    <w:rsid w:val="00CA53C2"/>
    <w:rsid w:val="00CA550F"/>
    <w:rsid w:val="00CA564F"/>
    <w:rsid w:val="00CA5752"/>
    <w:rsid w:val="00CA583D"/>
    <w:rsid w:val="00CA5CEB"/>
    <w:rsid w:val="00CA5E8C"/>
    <w:rsid w:val="00CA634E"/>
    <w:rsid w:val="00CA658A"/>
    <w:rsid w:val="00CA65B3"/>
    <w:rsid w:val="00CA6665"/>
    <w:rsid w:val="00CA69E9"/>
    <w:rsid w:val="00CA6EA5"/>
    <w:rsid w:val="00CA717A"/>
    <w:rsid w:val="00CA73D2"/>
    <w:rsid w:val="00CA76B9"/>
    <w:rsid w:val="00CA7A1B"/>
    <w:rsid w:val="00CA7BB4"/>
    <w:rsid w:val="00CA7C80"/>
    <w:rsid w:val="00CA7C89"/>
    <w:rsid w:val="00CA7E5C"/>
    <w:rsid w:val="00CA7ED6"/>
    <w:rsid w:val="00CB004D"/>
    <w:rsid w:val="00CB02FD"/>
    <w:rsid w:val="00CB0736"/>
    <w:rsid w:val="00CB09B1"/>
    <w:rsid w:val="00CB09C3"/>
    <w:rsid w:val="00CB0E93"/>
    <w:rsid w:val="00CB0FCD"/>
    <w:rsid w:val="00CB1120"/>
    <w:rsid w:val="00CB1211"/>
    <w:rsid w:val="00CB13B5"/>
    <w:rsid w:val="00CB13BA"/>
    <w:rsid w:val="00CB144E"/>
    <w:rsid w:val="00CB1A21"/>
    <w:rsid w:val="00CB1A80"/>
    <w:rsid w:val="00CB1F7E"/>
    <w:rsid w:val="00CB20EE"/>
    <w:rsid w:val="00CB2101"/>
    <w:rsid w:val="00CB23A1"/>
    <w:rsid w:val="00CB2C61"/>
    <w:rsid w:val="00CB2E0C"/>
    <w:rsid w:val="00CB2F31"/>
    <w:rsid w:val="00CB300A"/>
    <w:rsid w:val="00CB3030"/>
    <w:rsid w:val="00CB35C3"/>
    <w:rsid w:val="00CB37B4"/>
    <w:rsid w:val="00CB3AC4"/>
    <w:rsid w:val="00CB3BBA"/>
    <w:rsid w:val="00CB3D49"/>
    <w:rsid w:val="00CB4071"/>
    <w:rsid w:val="00CB40DC"/>
    <w:rsid w:val="00CB4110"/>
    <w:rsid w:val="00CB4235"/>
    <w:rsid w:val="00CB466B"/>
    <w:rsid w:val="00CB4A7E"/>
    <w:rsid w:val="00CB4E61"/>
    <w:rsid w:val="00CB4FAA"/>
    <w:rsid w:val="00CB4FCF"/>
    <w:rsid w:val="00CB5106"/>
    <w:rsid w:val="00CB526D"/>
    <w:rsid w:val="00CB5A4B"/>
    <w:rsid w:val="00CB5A7C"/>
    <w:rsid w:val="00CB5BBE"/>
    <w:rsid w:val="00CB5BC8"/>
    <w:rsid w:val="00CB5DFF"/>
    <w:rsid w:val="00CB6001"/>
    <w:rsid w:val="00CB6117"/>
    <w:rsid w:val="00CB645D"/>
    <w:rsid w:val="00CB6AF3"/>
    <w:rsid w:val="00CB6F95"/>
    <w:rsid w:val="00CB70A8"/>
    <w:rsid w:val="00CB7232"/>
    <w:rsid w:val="00CB7240"/>
    <w:rsid w:val="00CB747B"/>
    <w:rsid w:val="00CB74E1"/>
    <w:rsid w:val="00CB765E"/>
    <w:rsid w:val="00CB7894"/>
    <w:rsid w:val="00CB7991"/>
    <w:rsid w:val="00CB7A6B"/>
    <w:rsid w:val="00CB7D72"/>
    <w:rsid w:val="00CC0608"/>
    <w:rsid w:val="00CC0686"/>
    <w:rsid w:val="00CC07F4"/>
    <w:rsid w:val="00CC0A1B"/>
    <w:rsid w:val="00CC0B53"/>
    <w:rsid w:val="00CC0D19"/>
    <w:rsid w:val="00CC0D65"/>
    <w:rsid w:val="00CC0D76"/>
    <w:rsid w:val="00CC10E4"/>
    <w:rsid w:val="00CC127B"/>
    <w:rsid w:val="00CC1659"/>
    <w:rsid w:val="00CC174E"/>
    <w:rsid w:val="00CC190E"/>
    <w:rsid w:val="00CC1D33"/>
    <w:rsid w:val="00CC1DE1"/>
    <w:rsid w:val="00CC1DE3"/>
    <w:rsid w:val="00CC21A9"/>
    <w:rsid w:val="00CC253E"/>
    <w:rsid w:val="00CC270D"/>
    <w:rsid w:val="00CC29F6"/>
    <w:rsid w:val="00CC30DB"/>
    <w:rsid w:val="00CC31BA"/>
    <w:rsid w:val="00CC32EB"/>
    <w:rsid w:val="00CC3388"/>
    <w:rsid w:val="00CC3758"/>
    <w:rsid w:val="00CC3777"/>
    <w:rsid w:val="00CC3ACC"/>
    <w:rsid w:val="00CC3EE1"/>
    <w:rsid w:val="00CC3F26"/>
    <w:rsid w:val="00CC401C"/>
    <w:rsid w:val="00CC407D"/>
    <w:rsid w:val="00CC4351"/>
    <w:rsid w:val="00CC439B"/>
    <w:rsid w:val="00CC4774"/>
    <w:rsid w:val="00CC4A86"/>
    <w:rsid w:val="00CC4BE1"/>
    <w:rsid w:val="00CC4C9F"/>
    <w:rsid w:val="00CC4D36"/>
    <w:rsid w:val="00CC4F4F"/>
    <w:rsid w:val="00CC5103"/>
    <w:rsid w:val="00CC54FE"/>
    <w:rsid w:val="00CC5567"/>
    <w:rsid w:val="00CC5EA3"/>
    <w:rsid w:val="00CC625E"/>
    <w:rsid w:val="00CC660A"/>
    <w:rsid w:val="00CC6AB5"/>
    <w:rsid w:val="00CC6F95"/>
    <w:rsid w:val="00CC71B9"/>
    <w:rsid w:val="00CC786F"/>
    <w:rsid w:val="00CC795D"/>
    <w:rsid w:val="00CC7C38"/>
    <w:rsid w:val="00CC7C3A"/>
    <w:rsid w:val="00CC7CAD"/>
    <w:rsid w:val="00CC7CDE"/>
    <w:rsid w:val="00CC7DFE"/>
    <w:rsid w:val="00CC7E55"/>
    <w:rsid w:val="00CD0266"/>
    <w:rsid w:val="00CD0326"/>
    <w:rsid w:val="00CD0361"/>
    <w:rsid w:val="00CD04B7"/>
    <w:rsid w:val="00CD06D2"/>
    <w:rsid w:val="00CD0820"/>
    <w:rsid w:val="00CD0A65"/>
    <w:rsid w:val="00CD0D0D"/>
    <w:rsid w:val="00CD0D31"/>
    <w:rsid w:val="00CD0DA2"/>
    <w:rsid w:val="00CD0E19"/>
    <w:rsid w:val="00CD0E2C"/>
    <w:rsid w:val="00CD0E63"/>
    <w:rsid w:val="00CD0E68"/>
    <w:rsid w:val="00CD0E77"/>
    <w:rsid w:val="00CD1100"/>
    <w:rsid w:val="00CD1225"/>
    <w:rsid w:val="00CD124E"/>
    <w:rsid w:val="00CD1269"/>
    <w:rsid w:val="00CD1338"/>
    <w:rsid w:val="00CD141A"/>
    <w:rsid w:val="00CD16A3"/>
    <w:rsid w:val="00CD1947"/>
    <w:rsid w:val="00CD19C3"/>
    <w:rsid w:val="00CD1B3A"/>
    <w:rsid w:val="00CD1E7C"/>
    <w:rsid w:val="00CD1E8D"/>
    <w:rsid w:val="00CD2025"/>
    <w:rsid w:val="00CD2041"/>
    <w:rsid w:val="00CD2316"/>
    <w:rsid w:val="00CD2336"/>
    <w:rsid w:val="00CD2533"/>
    <w:rsid w:val="00CD2539"/>
    <w:rsid w:val="00CD25F5"/>
    <w:rsid w:val="00CD2820"/>
    <w:rsid w:val="00CD282D"/>
    <w:rsid w:val="00CD288B"/>
    <w:rsid w:val="00CD2DB1"/>
    <w:rsid w:val="00CD2DEC"/>
    <w:rsid w:val="00CD31DB"/>
    <w:rsid w:val="00CD324D"/>
    <w:rsid w:val="00CD3721"/>
    <w:rsid w:val="00CD3A39"/>
    <w:rsid w:val="00CD3A4C"/>
    <w:rsid w:val="00CD3A89"/>
    <w:rsid w:val="00CD3D39"/>
    <w:rsid w:val="00CD3DA7"/>
    <w:rsid w:val="00CD3E67"/>
    <w:rsid w:val="00CD421A"/>
    <w:rsid w:val="00CD42DB"/>
    <w:rsid w:val="00CD433F"/>
    <w:rsid w:val="00CD47CB"/>
    <w:rsid w:val="00CD47CC"/>
    <w:rsid w:val="00CD47FD"/>
    <w:rsid w:val="00CD4989"/>
    <w:rsid w:val="00CD4B80"/>
    <w:rsid w:val="00CD4DBD"/>
    <w:rsid w:val="00CD520D"/>
    <w:rsid w:val="00CD52FB"/>
    <w:rsid w:val="00CD5390"/>
    <w:rsid w:val="00CD54E9"/>
    <w:rsid w:val="00CD55AF"/>
    <w:rsid w:val="00CD5ACD"/>
    <w:rsid w:val="00CD5B45"/>
    <w:rsid w:val="00CD5BF5"/>
    <w:rsid w:val="00CD5EC6"/>
    <w:rsid w:val="00CD5EE0"/>
    <w:rsid w:val="00CD5F30"/>
    <w:rsid w:val="00CD5F72"/>
    <w:rsid w:val="00CD64D5"/>
    <w:rsid w:val="00CD6C49"/>
    <w:rsid w:val="00CD7020"/>
    <w:rsid w:val="00CD71BF"/>
    <w:rsid w:val="00CD74A4"/>
    <w:rsid w:val="00CD7965"/>
    <w:rsid w:val="00CD79A7"/>
    <w:rsid w:val="00CD7D3F"/>
    <w:rsid w:val="00CD7F50"/>
    <w:rsid w:val="00CD7F62"/>
    <w:rsid w:val="00CE0024"/>
    <w:rsid w:val="00CE03C3"/>
    <w:rsid w:val="00CE049D"/>
    <w:rsid w:val="00CE0676"/>
    <w:rsid w:val="00CE07CB"/>
    <w:rsid w:val="00CE083B"/>
    <w:rsid w:val="00CE096D"/>
    <w:rsid w:val="00CE0A69"/>
    <w:rsid w:val="00CE0E0E"/>
    <w:rsid w:val="00CE0E86"/>
    <w:rsid w:val="00CE0E97"/>
    <w:rsid w:val="00CE0EAF"/>
    <w:rsid w:val="00CE1011"/>
    <w:rsid w:val="00CE1064"/>
    <w:rsid w:val="00CE1277"/>
    <w:rsid w:val="00CE12CC"/>
    <w:rsid w:val="00CE12F0"/>
    <w:rsid w:val="00CE1438"/>
    <w:rsid w:val="00CE152C"/>
    <w:rsid w:val="00CE1584"/>
    <w:rsid w:val="00CE16C9"/>
    <w:rsid w:val="00CE1798"/>
    <w:rsid w:val="00CE186D"/>
    <w:rsid w:val="00CE18C5"/>
    <w:rsid w:val="00CE19B3"/>
    <w:rsid w:val="00CE1B72"/>
    <w:rsid w:val="00CE1B7A"/>
    <w:rsid w:val="00CE1BEA"/>
    <w:rsid w:val="00CE1C7E"/>
    <w:rsid w:val="00CE1C9E"/>
    <w:rsid w:val="00CE1CBD"/>
    <w:rsid w:val="00CE2478"/>
    <w:rsid w:val="00CE26B2"/>
    <w:rsid w:val="00CE29E2"/>
    <w:rsid w:val="00CE2BD9"/>
    <w:rsid w:val="00CE2DCC"/>
    <w:rsid w:val="00CE2E70"/>
    <w:rsid w:val="00CE31CB"/>
    <w:rsid w:val="00CE3409"/>
    <w:rsid w:val="00CE3419"/>
    <w:rsid w:val="00CE3502"/>
    <w:rsid w:val="00CE3853"/>
    <w:rsid w:val="00CE3BFB"/>
    <w:rsid w:val="00CE3F0B"/>
    <w:rsid w:val="00CE3FD0"/>
    <w:rsid w:val="00CE4130"/>
    <w:rsid w:val="00CE4347"/>
    <w:rsid w:val="00CE45B0"/>
    <w:rsid w:val="00CE47DE"/>
    <w:rsid w:val="00CE4828"/>
    <w:rsid w:val="00CE4B32"/>
    <w:rsid w:val="00CE4D14"/>
    <w:rsid w:val="00CE508D"/>
    <w:rsid w:val="00CE5537"/>
    <w:rsid w:val="00CE578C"/>
    <w:rsid w:val="00CE5805"/>
    <w:rsid w:val="00CE59BC"/>
    <w:rsid w:val="00CE5C0C"/>
    <w:rsid w:val="00CE5D6E"/>
    <w:rsid w:val="00CE5E81"/>
    <w:rsid w:val="00CE5FA0"/>
    <w:rsid w:val="00CE5FCE"/>
    <w:rsid w:val="00CE6183"/>
    <w:rsid w:val="00CE6583"/>
    <w:rsid w:val="00CE6678"/>
    <w:rsid w:val="00CE66F5"/>
    <w:rsid w:val="00CE6B2E"/>
    <w:rsid w:val="00CE6CC3"/>
    <w:rsid w:val="00CE6CCE"/>
    <w:rsid w:val="00CE6F7B"/>
    <w:rsid w:val="00CE7008"/>
    <w:rsid w:val="00CE705E"/>
    <w:rsid w:val="00CE711C"/>
    <w:rsid w:val="00CE72D0"/>
    <w:rsid w:val="00CE79FD"/>
    <w:rsid w:val="00CE7AF8"/>
    <w:rsid w:val="00CE7B08"/>
    <w:rsid w:val="00CE7B49"/>
    <w:rsid w:val="00CE7BE7"/>
    <w:rsid w:val="00CE7FBC"/>
    <w:rsid w:val="00CF01BF"/>
    <w:rsid w:val="00CF0260"/>
    <w:rsid w:val="00CF042C"/>
    <w:rsid w:val="00CF044B"/>
    <w:rsid w:val="00CF04F2"/>
    <w:rsid w:val="00CF0808"/>
    <w:rsid w:val="00CF0920"/>
    <w:rsid w:val="00CF09CA"/>
    <w:rsid w:val="00CF0AE9"/>
    <w:rsid w:val="00CF0CEA"/>
    <w:rsid w:val="00CF0D71"/>
    <w:rsid w:val="00CF0D8A"/>
    <w:rsid w:val="00CF11CF"/>
    <w:rsid w:val="00CF1661"/>
    <w:rsid w:val="00CF19FD"/>
    <w:rsid w:val="00CF1B5B"/>
    <w:rsid w:val="00CF1EA9"/>
    <w:rsid w:val="00CF207A"/>
    <w:rsid w:val="00CF21FB"/>
    <w:rsid w:val="00CF272B"/>
    <w:rsid w:val="00CF2748"/>
    <w:rsid w:val="00CF2888"/>
    <w:rsid w:val="00CF2A67"/>
    <w:rsid w:val="00CF3028"/>
    <w:rsid w:val="00CF3340"/>
    <w:rsid w:val="00CF3B82"/>
    <w:rsid w:val="00CF3C3B"/>
    <w:rsid w:val="00CF3C5D"/>
    <w:rsid w:val="00CF3CDA"/>
    <w:rsid w:val="00CF3E9D"/>
    <w:rsid w:val="00CF40DE"/>
    <w:rsid w:val="00CF412C"/>
    <w:rsid w:val="00CF44BC"/>
    <w:rsid w:val="00CF488E"/>
    <w:rsid w:val="00CF4AC6"/>
    <w:rsid w:val="00CF4B17"/>
    <w:rsid w:val="00CF5128"/>
    <w:rsid w:val="00CF5176"/>
    <w:rsid w:val="00CF58DE"/>
    <w:rsid w:val="00CF59D8"/>
    <w:rsid w:val="00CF59F7"/>
    <w:rsid w:val="00CF5AEB"/>
    <w:rsid w:val="00CF5FEC"/>
    <w:rsid w:val="00CF6040"/>
    <w:rsid w:val="00CF625F"/>
    <w:rsid w:val="00CF63BA"/>
    <w:rsid w:val="00CF63BF"/>
    <w:rsid w:val="00CF6495"/>
    <w:rsid w:val="00CF6684"/>
    <w:rsid w:val="00CF68FC"/>
    <w:rsid w:val="00CF6A5A"/>
    <w:rsid w:val="00CF6C56"/>
    <w:rsid w:val="00CF6DA5"/>
    <w:rsid w:val="00CF6DE0"/>
    <w:rsid w:val="00CF6EDC"/>
    <w:rsid w:val="00CF7706"/>
    <w:rsid w:val="00CF77D3"/>
    <w:rsid w:val="00CF78CD"/>
    <w:rsid w:val="00CF7AD8"/>
    <w:rsid w:val="00CF7BCA"/>
    <w:rsid w:val="00CF7BDF"/>
    <w:rsid w:val="00CF7D0B"/>
    <w:rsid w:val="00CF7F25"/>
    <w:rsid w:val="00D000B0"/>
    <w:rsid w:val="00D0014D"/>
    <w:rsid w:val="00D004AD"/>
    <w:rsid w:val="00D00767"/>
    <w:rsid w:val="00D00841"/>
    <w:rsid w:val="00D00971"/>
    <w:rsid w:val="00D0098E"/>
    <w:rsid w:val="00D00B14"/>
    <w:rsid w:val="00D00C84"/>
    <w:rsid w:val="00D00FAD"/>
    <w:rsid w:val="00D0157E"/>
    <w:rsid w:val="00D0175E"/>
    <w:rsid w:val="00D01813"/>
    <w:rsid w:val="00D019FE"/>
    <w:rsid w:val="00D01CCA"/>
    <w:rsid w:val="00D020B9"/>
    <w:rsid w:val="00D022D8"/>
    <w:rsid w:val="00D025DE"/>
    <w:rsid w:val="00D02817"/>
    <w:rsid w:val="00D02936"/>
    <w:rsid w:val="00D02A47"/>
    <w:rsid w:val="00D02CCD"/>
    <w:rsid w:val="00D02EEE"/>
    <w:rsid w:val="00D02F7A"/>
    <w:rsid w:val="00D031F3"/>
    <w:rsid w:val="00D0335D"/>
    <w:rsid w:val="00D0343D"/>
    <w:rsid w:val="00D034E9"/>
    <w:rsid w:val="00D0351B"/>
    <w:rsid w:val="00D03FB6"/>
    <w:rsid w:val="00D03FD5"/>
    <w:rsid w:val="00D041C7"/>
    <w:rsid w:val="00D0426F"/>
    <w:rsid w:val="00D04305"/>
    <w:rsid w:val="00D043D7"/>
    <w:rsid w:val="00D04439"/>
    <w:rsid w:val="00D04582"/>
    <w:rsid w:val="00D04606"/>
    <w:rsid w:val="00D0462F"/>
    <w:rsid w:val="00D046AF"/>
    <w:rsid w:val="00D048B9"/>
    <w:rsid w:val="00D04965"/>
    <w:rsid w:val="00D04A58"/>
    <w:rsid w:val="00D04C66"/>
    <w:rsid w:val="00D0500E"/>
    <w:rsid w:val="00D0501D"/>
    <w:rsid w:val="00D0512F"/>
    <w:rsid w:val="00D05186"/>
    <w:rsid w:val="00D0523D"/>
    <w:rsid w:val="00D05308"/>
    <w:rsid w:val="00D05A9C"/>
    <w:rsid w:val="00D05C12"/>
    <w:rsid w:val="00D05DF3"/>
    <w:rsid w:val="00D06122"/>
    <w:rsid w:val="00D06183"/>
    <w:rsid w:val="00D061D4"/>
    <w:rsid w:val="00D06687"/>
    <w:rsid w:val="00D06691"/>
    <w:rsid w:val="00D067AC"/>
    <w:rsid w:val="00D067B9"/>
    <w:rsid w:val="00D069FB"/>
    <w:rsid w:val="00D06C91"/>
    <w:rsid w:val="00D06D4F"/>
    <w:rsid w:val="00D06F29"/>
    <w:rsid w:val="00D071BB"/>
    <w:rsid w:val="00D07261"/>
    <w:rsid w:val="00D075F8"/>
    <w:rsid w:val="00D0769B"/>
    <w:rsid w:val="00D07768"/>
    <w:rsid w:val="00D077ED"/>
    <w:rsid w:val="00D07806"/>
    <w:rsid w:val="00D07EE8"/>
    <w:rsid w:val="00D07F40"/>
    <w:rsid w:val="00D10175"/>
    <w:rsid w:val="00D101A6"/>
    <w:rsid w:val="00D103B9"/>
    <w:rsid w:val="00D1061B"/>
    <w:rsid w:val="00D106C1"/>
    <w:rsid w:val="00D108A7"/>
    <w:rsid w:val="00D1099C"/>
    <w:rsid w:val="00D10B42"/>
    <w:rsid w:val="00D10F43"/>
    <w:rsid w:val="00D110C6"/>
    <w:rsid w:val="00D11458"/>
    <w:rsid w:val="00D114AB"/>
    <w:rsid w:val="00D117AE"/>
    <w:rsid w:val="00D119E4"/>
    <w:rsid w:val="00D119E8"/>
    <w:rsid w:val="00D11A77"/>
    <w:rsid w:val="00D11B2C"/>
    <w:rsid w:val="00D11F10"/>
    <w:rsid w:val="00D12004"/>
    <w:rsid w:val="00D12118"/>
    <w:rsid w:val="00D12465"/>
    <w:rsid w:val="00D1246E"/>
    <w:rsid w:val="00D1255A"/>
    <w:rsid w:val="00D1279A"/>
    <w:rsid w:val="00D12941"/>
    <w:rsid w:val="00D13111"/>
    <w:rsid w:val="00D13520"/>
    <w:rsid w:val="00D13554"/>
    <w:rsid w:val="00D135EB"/>
    <w:rsid w:val="00D1377D"/>
    <w:rsid w:val="00D13921"/>
    <w:rsid w:val="00D13A46"/>
    <w:rsid w:val="00D13AF6"/>
    <w:rsid w:val="00D13BB0"/>
    <w:rsid w:val="00D13F0B"/>
    <w:rsid w:val="00D14049"/>
    <w:rsid w:val="00D14223"/>
    <w:rsid w:val="00D14441"/>
    <w:rsid w:val="00D14588"/>
    <w:rsid w:val="00D14679"/>
    <w:rsid w:val="00D1475F"/>
    <w:rsid w:val="00D14A63"/>
    <w:rsid w:val="00D14B63"/>
    <w:rsid w:val="00D14CC1"/>
    <w:rsid w:val="00D15020"/>
    <w:rsid w:val="00D1510B"/>
    <w:rsid w:val="00D15547"/>
    <w:rsid w:val="00D1558D"/>
    <w:rsid w:val="00D155E4"/>
    <w:rsid w:val="00D1560D"/>
    <w:rsid w:val="00D156DB"/>
    <w:rsid w:val="00D15791"/>
    <w:rsid w:val="00D1580F"/>
    <w:rsid w:val="00D1582D"/>
    <w:rsid w:val="00D15884"/>
    <w:rsid w:val="00D15966"/>
    <w:rsid w:val="00D15A94"/>
    <w:rsid w:val="00D15B39"/>
    <w:rsid w:val="00D15BA9"/>
    <w:rsid w:val="00D15BDB"/>
    <w:rsid w:val="00D15C6F"/>
    <w:rsid w:val="00D15F38"/>
    <w:rsid w:val="00D16007"/>
    <w:rsid w:val="00D160D4"/>
    <w:rsid w:val="00D1625E"/>
    <w:rsid w:val="00D162C6"/>
    <w:rsid w:val="00D163C0"/>
    <w:rsid w:val="00D1655E"/>
    <w:rsid w:val="00D16606"/>
    <w:rsid w:val="00D16ACC"/>
    <w:rsid w:val="00D16AE3"/>
    <w:rsid w:val="00D16E63"/>
    <w:rsid w:val="00D171DA"/>
    <w:rsid w:val="00D171EA"/>
    <w:rsid w:val="00D171FF"/>
    <w:rsid w:val="00D179A8"/>
    <w:rsid w:val="00D17B5D"/>
    <w:rsid w:val="00D17BDA"/>
    <w:rsid w:val="00D17E01"/>
    <w:rsid w:val="00D17EEA"/>
    <w:rsid w:val="00D17FF5"/>
    <w:rsid w:val="00D20100"/>
    <w:rsid w:val="00D2043B"/>
    <w:rsid w:val="00D207F8"/>
    <w:rsid w:val="00D21178"/>
    <w:rsid w:val="00D215E7"/>
    <w:rsid w:val="00D21855"/>
    <w:rsid w:val="00D21B77"/>
    <w:rsid w:val="00D221C9"/>
    <w:rsid w:val="00D22464"/>
    <w:rsid w:val="00D225A5"/>
    <w:rsid w:val="00D226FE"/>
    <w:rsid w:val="00D22819"/>
    <w:rsid w:val="00D22886"/>
    <w:rsid w:val="00D228C1"/>
    <w:rsid w:val="00D228D7"/>
    <w:rsid w:val="00D22934"/>
    <w:rsid w:val="00D22B3E"/>
    <w:rsid w:val="00D22E0D"/>
    <w:rsid w:val="00D22F8A"/>
    <w:rsid w:val="00D23318"/>
    <w:rsid w:val="00D23476"/>
    <w:rsid w:val="00D23674"/>
    <w:rsid w:val="00D238A9"/>
    <w:rsid w:val="00D23981"/>
    <w:rsid w:val="00D23A2B"/>
    <w:rsid w:val="00D23E0C"/>
    <w:rsid w:val="00D240BC"/>
    <w:rsid w:val="00D24236"/>
    <w:rsid w:val="00D24304"/>
    <w:rsid w:val="00D243C3"/>
    <w:rsid w:val="00D24536"/>
    <w:rsid w:val="00D24705"/>
    <w:rsid w:val="00D247F6"/>
    <w:rsid w:val="00D24C82"/>
    <w:rsid w:val="00D24D5C"/>
    <w:rsid w:val="00D24F87"/>
    <w:rsid w:val="00D24FCA"/>
    <w:rsid w:val="00D25747"/>
    <w:rsid w:val="00D257D4"/>
    <w:rsid w:val="00D25A09"/>
    <w:rsid w:val="00D25AF0"/>
    <w:rsid w:val="00D25C18"/>
    <w:rsid w:val="00D25C8D"/>
    <w:rsid w:val="00D25D03"/>
    <w:rsid w:val="00D25F9D"/>
    <w:rsid w:val="00D25FD8"/>
    <w:rsid w:val="00D26137"/>
    <w:rsid w:val="00D2627B"/>
    <w:rsid w:val="00D2628C"/>
    <w:rsid w:val="00D26821"/>
    <w:rsid w:val="00D26950"/>
    <w:rsid w:val="00D269CE"/>
    <w:rsid w:val="00D26AFB"/>
    <w:rsid w:val="00D26D92"/>
    <w:rsid w:val="00D26DAD"/>
    <w:rsid w:val="00D26E63"/>
    <w:rsid w:val="00D27077"/>
    <w:rsid w:val="00D2707D"/>
    <w:rsid w:val="00D273CF"/>
    <w:rsid w:val="00D275BD"/>
    <w:rsid w:val="00D27AF0"/>
    <w:rsid w:val="00D30154"/>
    <w:rsid w:val="00D30299"/>
    <w:rsid w:val="00D30558"/>
    <w:rsid w:val="00D30652"/>
    <w:rsid w:val="00D30838"/>
    <w:rsid w:val="00D30936"/>
    <w:rsid w:val="00D30B5F"/>
    <w:rsid w:val="00D30F3A"/>
    <w:rsid w:val="00D31128"/>
    <w:rsid w:val="00D3140D"/>
    <w:rsid w:val="00D314FF"/>
    <w:rsid w:val="00D315BD"/>
    <w:rsid w:val="00D317CB"/>
    <w:rsid w:val="00D31ADC"/>
    <w:rsid w:val="00D32191"/>
    <w:rsid w:val="00D32290"/>
    <w:rsid w:val="00D322E4"/>
    <w:rsid w:val="00D324CC"/>
    <w:rsid w:val="00D325AB"/>
    <w:rsid w:val="00D326A3"/>
    <w:rsid w:val="00D326C9"/>
    <w:rsid w:val="00D32A78"/>
    <w:rsid w:val="00D32A7D"/>
    <w:rsid w:val="00D32CD8"/>
    <w:rsid w:val="00D32D8E"/>
    <w:rsid w:val="00D32E17"/>
    <w:rsid w:val="00D32E51"/>
    <w:rsid w:val="00D32F5F"/>
    <w:rsid w:val="00D32FA0"/>
    <w:rsid w:val="00D33001"/>
    <w:rsid w:val="00D331C5"/>
    <w:rsid w:val="00D3333C"/>
    <w:rsid w:val="00D33435"/>
    <w:rsid w:val="00D335C1"/>
    <w:rsid w:val="00D33993"/>
    <w:rsid w:val="00D33C94"/>
    <w:rsid w:val="00D34223"/>
    <w:rsid w:val="00D34703"/>
    <w:rsid w:val="00D349C3"/>
    <w:rsid w:val="00D34F79"/>
    <w:rsid w:val="00D35062"/>
    <w:rsid w:val="00D350E7"/>
    <w:rsid w:val="00D35132"/>
    <w:rsid w:val="00D35535"/>
    <w:rsid w:val="00D358B9"/>
    <w:rsid w:val="00D359E2"/>
    <w:rsid w:val="00D35F16"/>
    <w:rsid w:val="00D35F5C"/>
    <w:rsid w:val="00D360F4"/>
    <w:rsid w:val="00D361F8"/>
    <w:rsid w:val="00D36473"/>
    <w:rsid w:val="00D364D9"/>
    <w:rsid w:val="00D36587"/>
    <w:rsid w:val="00D3660B"/>
    <w:rsid w:val="00D367C3"/>
    <w:rsid w:val="00D36884"/>
    <w:rsid w:val="00D36C87"/>
    <w:rsid w:val="00D36FBD"/>
    <w:rsid w:val="00D3730D"/>
    <w:rsid w:val="00D37316"/>
    <w:rsid w:val="00D37576"/>
    <w:rsid w:val="00D37616"/>
    <w:rsid w:val="00D3766B"/>
    <w:rsid w:val="00D37992"/>
    <w:rsid w:val="00D37AE6"/>
    <w:rsid w:val="00D37CDF"/>
    <w:rsid w:val="00D37DC2"/>
    <w:rsid w:val="00D4035D"/>
    <w:rsid w:val="00D40697"/>
    <w:rsid w:val="00D40AAC"/>
    <w:rsid w:val="00D40E61"/>
    <w:rsid w:val="00D40FE8"/>
    <w:rsid w:val="00D412CB"/>
    <w:rsid w:val="00D4138C"/>
    <w:rsid w:val="00D4166F"/>
    <w:rsid w:val="00D41B1C"/>
    <w:rsid w:val="00D41F7A"/>
    <w:rsid w:val="00D42071"/>
    <w:rsid w:val="00D42214"/>
    <w:rsid w:val="00D42258"/>
    <w:rsid w:val="00D4267F"/>
    <w:rsid w:val="00D42762"/>
    <w:rsid w:val="00D42881"/>
    <w:rsid w:val="00D42886"/>
    <w:rsid w:val="00D42947"/>
    <w:rsid w:val="00D42B9F"/>
    <w:rsid w:val="00D42CF4"/>
    <w:rsid w:val="00D42D96"/>
    <w:rsid w:val="00D42ED0"/>
    <w:rsid w:val="00D43156"/>
    <w:rsid w:val="00D431AC"/>
    <w:rsid w:val="00D43435"/>
    <w:rsid w:val="00D4355E"/>
    <w:rsid w:val="00D43772"/>
    <w:rsid w:val="00D439DF"/>
    <w:rsid w:val="00D43ACD"/>
    <w:rsid w:val="00D43ED2"/>
    <w:rsid w:val="00D443E9"/>
    <w:rsid w:val="00D44B04"/>
    <w:rsid w:val="00D44B3F"/>
    <w:rsid w:val="00D44B59"/>
    <w:rsid w:val="00D44C02"/>
    <w:rsid w:val="00D45154"/>
    <w:rsid w:val="00D4535D"/>
    <w:rsid w:val="00D453C5"/>
    <w:rsid w:val="00D45620"/>
    <w:rsid w:val="00D458BA"/>
    <w:rsid w:val="00D45A99"/>
    <w:rsid w:val="00D45C79"/>
    <w:rsid w:val="00D460DC"/>
    <w:rsid w:val="00D461B8"/>
    <w:rsid w:val="00D461DE"/>
    <w:rsid w:val="00D462C4"/>
    <w:rsid w:val="00D465B3"/>
    <w:rsid w:val="00D466F2"/>
    <w:rsid w:val="00D468B4"/>
    <w:rsid w:val="00D46D0A"/>
    <w:rsid w:val="00D46E89"/>
    <w:rsid w:val="00D4700E"/>
    <w:rsid w:val="00D4718D"/>
    <w:rsid w:val="00D47208"/>
    <w:rsid w:val="00D475EE"/>
    <w:rsid w:val="00D47680"/>
    <w:rsid w:val="00D476A6"/>
    <w:rsid w:val="00D47741"/>
    <w:rsid w:val="00D477F9"/>
    <w:rsid w:val="00D47C77"/>
    <w:rsid w:val="00D47E6B"/>
    <w:rsid w:val="00D47FA7"/>
    <w:rsid w:val="00D5020B"/>
    <w:rsid w:val="00D50602"/>
    <w:rsid w:val="00D509C5"/>
    <w:rsid w:val="00D50CB6"/>
    <w:rsid w:val="00D51025"/>
    <w:rsid w:val="00D51145"/>
    <w:rsid w:val="00D511F0"/>
    <w:rsid w:val="00D5130D"/>
    <w:rsid w:val="00D51603"/>
    <w:rsid w:val="00D518D3"/>
    <w:rsid w:val="00D5198C"/>
    <w:rsid w:val="00D51C81"/>
    <w:rsid w:val="00D51DF2"/>
    <w:rsid w:val="00D51EC2"/>
    <w:rsid w:val="00D51FF8"/>
    <w:rsid w:val="00D52064"/>
    <w:rsid w:val="00D52823"/>
    <w:rsid w:val="00D52937"/>
    <w:rsid w:val="00D52994"/>
    <w:rsid w:val="00D52C7A"/>
    <w:rsid w:val="00D52CFE"/>
    <w:rsid w:val="00D52EAE"/>
    <w:rsid w:val="00D530E7"/>
    <w:rsid w:val="00D53361"/>
    <w:rsid w:val="00D53550"/>
    <w:rsid w:val="00D53573"/>
    <w:rsid w:val="00D53649"/>
    <w:rsid w:val="00D536DC"/>
    <w:rsid w:val="00D5370D"/>
    <w:rsid w:val="00D5374A"/>
    <w:rsid w:val="00D537DC"/>
    <w:rsid w:val="00D538B5"/>
    <w:rsid w:val="00D538EB"/>
    <w:rsid w:val="00D53DF2"/>
    <w:rsid w:val="00D54015"/>
    <w:rsid w:val="00D540C5"/>
    <w:rsid w:val="00D54130"/>
    <w:rsid w:val="00D54576"/>
    <w:rsid w:val="00D549B1"/>
    <w:rsid w:val="00D54C55"/>
    <w:rsid w:val="00D54D12"/>
    <w:rsid w:val="00D54D4B"/>
    <w:rsid w:val="00D54EE5"/>
    <w:rsid w:val="00D551C1"/>
    <w:rsid w:val="00D55429"/>
    <w:rsid w:val="00D555BE"/>
    <w:rsid w:val="00D55700"/>
    <w:rsid w:val="00D55CCC"/>
    <w:rsid w:val="00D55E04"/>
    <w:rsid w:val="00D55FC1"/>
    <w:rsid w:val="00D5609A"/>
    <w:rsid w:val="00D5610B"/>
    <w:rsid w:val="00D56345"/>
    <w:rsid w:val="00D565A2"/>
    <w:rsid w:val="00D5660F"/>
    <w:rsid w:val="00D5670C"/>
    <w:rsid w:val="00D5672D"/>
    <w:rsid w:val="00D5672E"/>
    <w:rsid w:val="00D568F1"/>
    <w:rsid w:val="00D5699C"/>
    <w:rsid w:val="00D56A6D"/>
    <w:rsid w:val="00D57335"/>
    <w:rsid w:val="00D57477"/>
    <w:rsid w:val="00D574AB"/>
    <w:rsid w:val="00D575F3"/>
    <w:rsid w:val="00D5760E"/>
    <w:rsid w:val="00D5765A"/>
    <w:rsid w:val="00D57734"/>
    <w:rsid w:val="00D57781"/>
    <w:rsid w:val="00D57933"/>
    <w:rsid w:val="00D57B34"/>
    <w:rsid w:val="00D57D0B"/>
    <w:rsid w:val="00D57D0E"/>
    <w:rsid w:val="00D57DFE"/>
    <w:rsid w:val="00D57FD5"/>
    <w:rsid w:val="00D601BA"/>
    <w:rsid w:val="00D6029B"/>
    <w:rsid w:val="00D60505"/>
    <w:rsid w:val="00D60986"/>
    <w:rsid w:val="00D60A11"/>
    <w:rsid w:val="00D60AC9"/>
    <w:rsid w:val="00D60C94"/>
    <w:rsid w:val="00D60E7E"/>
    <w:rsid w:val="00D60ECE"/>
    <w:rsid w:val="00D61184"/>
    <w:rsid w:val="00D6133D"/>
    <w:rsid w:val="00D61707"/>
    <w:rsid w:val="00D617BB"/>
    <w:rsid w:val="00D617D0"/>
    <w:rsid w:val="00D61871"/>
    <w:rsid w:val="00D618B6"/>
    <w:rsid w:val="00D61CD5"/>
    <w:rsid w:val="00D61FA4"/>
    <w:rsid w:val="00D625C3"/>
    <w:rsid w:val="00D62686"/>
    <w:rsid w:val="00D628A8"/>
    <w:rsid w:val="00D628AB"/>
    <w:rsid w:val="00D62969"/>
    <w:rsid w:val="00D62A48"/>
    <w:rsid w:val="00D62AD9"/>
    <w:rsid w:val="00D62FB8"/>
    <w:rsid w:val="00D63303"/>
    <w:rsid w:val="00D633FE"/>
    <w:rsid w:val="00D63567"/>
    <w:rsid w:val="00D6361E"/>
    <w:rsid w:val="00D638D2"/>
    <w:rsid w:val="00D639B1"/>
    <w:rsid w:val="00D63A50"/>
    <w:rsid w:val="00D63A7C"/>
    <w:rsid w:val="00D63B75"/>
    <w:rsid w:val="00D63B82"/>
    <w:rsid w:val="00D63C24"/>
    <w:rsid w:val="00D63C47"/>
    <w:rsid w:val="00D63F82"/>
    <w:rsid w:val="00D640FC"/>
    <w:rsid w:val="00D64236"/>
    <w:rsid w:val="00D64381"/>
    <w:rsid w:val="00D645B1"/>
    <w:rsid w:val="00D64A81"/>
    <w:rsid w:val="00D6512E"/>
    <w:rsid w:val="00D654BB"/>
    <w:rsid w:val="00D657BF"/>
    <w:rsid w:val="00D65BF3"/>
    <w:rsid w:val="00D66102"/>
    <w:rsid w:val="00D66698"/>
    <w:rsid w:val="00D66AA7"/>
    <w:rsid w:val="00D66E90"/>
    <w:rsid w:val="00D66FF8"/>
    <w:rsid w:val="00D670B1"/>
    <w:rsid w:val="00D6723D"/>
    <w:rsid w:val="00D676DE"/>
    <w:rsid w:val="00D67939"/>
    <w:rsid w:val="00D67967"/>
    <w:rsid w:val="00D67B2E"/>
    <w:rsid w:val="00D67BB3"/>
    <w:rsid w:val="00D67BED"/>
    <w:rsid w:val="00D67C9D"/>
    <w:rsid w:val="00D67CC5"/>
    <w:rsid w:val="00D67F03"/>
    <w:rsid w:val="00D7008C"/>
    <w:rsid w:val="00D70109"/>
    <w:rsid w:val="00D7038C"/>
    <w:rsid w:val="00D7049D"/>
    <w:rsid w:val="00D706E4"/>
    <w:rsid w:val="00D70757"/>
    <w:rsid w:val="00D7085B"/>
    <w:rsid w:val="00D70BE3"/>
    <w:rsid w:val="00D70D2A"/>
    <w:rsid w:val="00D70D98"/>
    <w:rsid w:val="00D70F7D"/>
    <w:rsid w:val="00D71004"/>
    <w:rsid w:val="00D71510"/>
    <w:rsid w:val="00D715B4"/>
    <w:rsid w:val="00D71684"/>
    <w:rsid w:val="00D716CE"/>
    <w:rsid w:val="00D7182C"/>
    <w:rsid w:val="00D71846"/>
    <w:rsid w:val="00D719E3"/>
    <w:rsid w:val="00D71B56"/>
    <w:rsid w:val="00D71B9E"/>
    <w:rsid w:val="00D71E84"/>
    <w:rsid w:val="00D72482"/>
    <w:rsid w:val="00D7278F"/>
    <w:rsid w:val="00D72E66"/>
    <w:rsid w:val="00D72F03"/>
    <w:rsid w:val="00D72F20"/>
    <w:rsid w:val="00D7308D"/>
    <w:rsid w:val="00D730BC"/>
    <w:rsid w:val="00D73365"/>
    <w:rsid w:val="00D733F9"/>
    <w:rsid w:val="00D73467"/>
    <w:rsid w:val="00D73604"/>
    <w:rsid w:val="00D736E7"/>
    <w:rsid w:val="00D7371E"/>
    <w:rsid w:val="00D73B49"/>
    <w:rsid w:val="00D73B7B"/>
    <w:rsid w:val="00D73D8C"/>
    <w:rsid w:val="00D73DCA"/>
    <w:rsid w:val="00D73EDA"/>
    <w:rsid w:val="00D748DA"/>
    <w:rsid w:val="00D748FB"/>
    <w:rsid w:val="00D749BD"/>
    <w:rsid w:val="00D74A5F"/>
    <w:rsid w:val="00D74B57"/>
    <w:rsid w:val="00D74B6E"/>
    <w:rsid w:val="00D74E02"/>
    <w:rsid w:val="00D74FA3"/>
    <w:rsid w:val="00D755B7"/>
    <w:rsid w:val="00D75800"/>
    <w:rsid w:val="00D7582E"/>
    <w:rsid w:val="00D75902"/>
    <w:rsid w:val="00D75B01"/>
    <w:rsid w:val="00D75B34"/>
    <w:rsid w:val="00D75D74"/>
    <w:rsid w:val="00D75F31"/>
    <w:rsid w:val="00D75FF2"/>
    <w:rsid w:val="00D76312"/>
    <w:rsid w:val="00D763E4"/>
    <w:rsid w:val="00D764EA"/>
    <w:rsid w:val="00D765BF"/>
    <w:rsid w:val="00D765C3"/>
    <w:rsid w:val="00D7660A"/>
    <w:rsid w:val="00D76682"/>
    <w:rsid w:val="00D76AB6"/>
    <w:rsid w:val="00D76B11"/>
    <w:rsid w:val="00D76D79"/>
    <w:rsid w:val="00D76F16"/>
    <w:rsid w:val="00D76FB4"/>
    <w:rsid w:val="00D77307"/>
    <w:rsid w:val="00D7741C"/>
    <w:rsid w:val="00D775B5"/>
    <w:rsid w:val="00D77695"/>
    <w:rsid w:val="00D777FD"/>
    <w:rsid w:val="00D77C1F"/>
    <w:rsid w:val="00D77DD0"/>
    <w:rsid w:val="00D77E8A"/>
    <w:rsid w:val="00D80030"/>
    <w:rsid w:val="00D803D1"/>
    <w:rsid w:val="00D8087B"/>
    <w:rsid w:val="00D808B2"/>
    <w:rsid w:val="00D8092C"/>
    <w:rsid w:val="00D80AFA"/>
    <w:rsid w:val="00D80BAA"/>
    <w:rsid w:val="00D80D0A"/>
    <w:rsid w:val="00D80D2F"/>
    <w:rsid w:val="00D80FF9"/>
    <w:rsid w:val="00D8109E"/>
    <w:rsid w:val="00D8117A"/>
    <w:rsid w:val="00D814B6"/>
    <w:rsid w:val="00D814DE"/>
    <w:rsid w:val="00D8151A"/>
    <w:rsid w:val="00D817C7"/>
    <w:rsid w:val="00D8181C"/>
    <w:rsid w:val="00D8199B"/>
    <w:rsid w:val="00D819E7"/>
    <w:rsid w:val="00D81C6F"/>
    <w:rsid w:val="00D81D52"/>
    <w:rsid w:val="00D81EC8"/>
    <w:rsid w:val="00D82787"/>
    <w:rsid w:val="00D82C02"/>
    <w:rsid w:val="00D82C61"/>
    <w:rsid w:val="00D82C8B"/>
    <w:rsid w:val="00D82E24"/>
    <w:rsid w:val="00D82FC4"/>
    <w:rsid w:val="00D83051"/>
    <w:rsid w:val="00D83113"/>
    <w:rsid w:val="00D831B8"/>
    <w:rsid w:val="00D8344F"/>
    <w:rsid w:val="00D83884"/>
    <w:rsid w:val="00D83B01"/>
    <w:rsid w:val="00D83CEA"/>
    <w:rsid w:val="00D83F4E"/>
    <w:rsid w:val="00D840AB"/>
    <w:rsid w:val="00D840C9"/>
    <w:rsid w:val="00D842BA"/>
    <w:rsid w:val="00D84370"/>
    <w:rsid w:val="00D8443A"/>
    <w:rsid w:val="00D844E5"/>
    <w:rsid w:val="00D846AF"/>
    <w:rsid w:val="00D846BA"/>
    <w:rsid w:val="00D847B0"/>
    <w:rsid w:val="00D84995"/>
    <w:rsid w:val="00D84B0F"/>
    <w:rsid w:val="00D84B37"/>
    <w:rsid w:val="00D84C18"/>
    <w:rsid w:val="00D84C9D"/>
    <w:rsid w:val="00D84E26"/>
    <w:rsid w:val="00D84E63"/>
    <w:rsid w:val="00D84F45"/>
    <w:rsid w:val="00D8527F"/>
    <w:rsid w:val="00D852A5"/>
    <w:rsid w:val="00D85318"/>
    <w:rsid w:val="00D85475"/>
    <w:rsid w:val="00D85BFE"/>
    <w:rsid w:val="00D85D45"/>
    <w:rsid w:val="00D861FF"/>
    <w:rsid w:val="00D86278"/>
    <w:rsid w:val="00D86294"/>
    <w:rsid w:val="00D864F5"/>
    <w:rsid w:val="00D86584"/>
    <w:rsid w:val="00D86867"/>
    <w:rsid w:val="00D86AFC"/>
    <w:rsid w:val="00D86C45"/>
    <w:rsid w:val="00D870DB"/>
    <w:rsid w:val="00D87199"/>
    <w:rsid w:val="00D87314"/>
    <w:rsid w:val="00D873A2"/>
    <w:rsid w:val="00D873BB"/>
    <w:rsid w:val="00D87575"/>
    <w:rsid w:val="00D875F1"/>
    <w:rsid w:val="00D87853"/>
    <w:rsid w:val="00D87A33"/>
    <w:rsid w:val="00D902B7"/>
    <w:rsid w:val="00D9047E"/>
    <w:rsid w:val="00D907B7"/>
    <w:rsid w:val="00D90961"/>
    <w:rsid w:val="00D90B29"/>
    <w:rsid w:val="00D90BFF"/>
    <w:rsid w:val="00D90C1B"/>
    <w:rsid w:val="00D90DA3"/>
    <w:rsid w:val="00D90E3F"/>
    <w:rsid w:val="00D910B2"/>
    <w:rsid w:val="00D9121A"/>
    <w:rsid w:val="00D9130E"/>
    <w:rsid w:val="00D9137F"/>
    <w:rsid w:val="00D9145E"/>
    <w:rsid w:val="00D915A5"/>
    <w:rsid w:val="00D916B0"/>
    <w:rsid w:val="00D918A7"/>
    <w:rsid w:val="00D91B33"/>
    <w:rsid w:val="00D91CFD"/>
    <w:rsid w:val="00D91D17"/>
    <w:rsid w:val="00D91FC2"/>
    <w:rsid w:val="00D91FF6"/>
    <w:rsid w:val="00D920FE"/>
    <w:rsid w:val="00D921C4"/>
    <w:rsid w:val="00D92574"/>
    <w:rsid w:val="00D92695"/>
    <w:rsid w:val="00D926E3"/>
    <w:rsid w:val="00D92929"/>
    <w:rsid w:val="00D929D0"/>
    <w:rsid w:val="00D92B90"/>
    <w:rsid w:val="00D92D16"/>
    <w:rsid w:val="00D92D6D"/>
    <w:rsid w:val="00D92F00"/>
    <w:rsid w:val="00D92F11"/>
    <w:rsid w:val="00D92F5B"/>
    <w:rsid w:val="00D934AD"/>
    <w:rsid w:val="00D93524"/>
    <w:rsid w:val="00D937CF"/>
    <w:rsid w:val="00D93B36"/>
    <w:rsid w:val="00D93B7D"/>
    <w:rsid w:val="00D93C2E"/>
    <w:rsid w:val="00D93DB1"/>
    <w:rsid w:val="00D93E93"/>
    <w:rsid w:val="00D93F74"/>
    <w:rsid w:val="00D93FC6"/>
    <w:rsid w:val="00D9417E"/>
    <w:rsid w:val="00D94249"/>
    <w:rsid w:val="00D943CC"/>
    <w:rsid w:val="00D94CEB"/>
    <w:rsid w:val="00D94F92"/>
    <w:rsid w:val="00D94FCF"/>
    <w:rsid w:val="00D950AB"/>
    <w:rsid w:val="00D954F8"/>
    <w:rsid w:val="00D95834"/>
    <w:rsid w:val="00D958D1"/>
    <w:rsid w:val="00D96181"/>
    <w:rsid w:val="00D96233"/>
    <w:rsid w:val="00D96418"/>
    <w:rsid w:val="00D96471"/>
    <w:rsid w:val="00D9690D"/>
    <w:rsid w:val="00D969A4"/>
    <w:rsid w:val="00D970A5"/>
    <w:rsid w:val="00D972E8"/>
    <w:rsid w:val="00D979CA"/>
    <w:rsid w:val="00D97A64"/>
    <w:rsid w:val="00D97B9C"/>
    <w:rsid w:val="00D97C8F"/>
    <w:rsid w:val="00D97F1E"/>
    <w:rsid w:val="00D97F51"/>
    <w:rsid w:val="00D97F8B"/>
    <w:rsid w:val="00D97FB7"/>
    <w:rsid w:val="00DA0079"/>
    <w:rsid w:val="00DA01AB"/>
    <w:rsid w:val="00DA020B"/>
    <w:rsid w:val="00DA09FA"/>
    <w:rsid w:val="00DA0ECA"/>
    <w:rsid w:val="00DA0F27"/>
    <w:rsid w:val="00DA1296"/>
    <w:rsid w:val="00DA1350"/>
    <w:rsid w:val="00DA13CB"/>
    <w:rsid w:val="00DA1412"/>
    <w:rsid w:val="00DA1986"/>
    <w:rsid w:val="00DA1BE3"/>
    <w:rsid w:val="00DA1CDC"/>
    <w:rsid w:val="00DA1E42"/>
    <w:rsid w:val="00DA1F8F"/>
    <w:rsid w:val="00DA206D"/>
    <w:rsid w:val="00DA212A"/>
    <w:rsid w:val="00DA2233"/>
    <w:rsid w:val="00DA2273"/>
    <w:rsid w:val="00DA22C7"/>
    <w:rsid w:val="00DA2832"/>
    <w:rsid w:val="00DA2973"/>
    <w:rsid w:val="00DA2988"/>
    <w:rsid w:val="00DA2998"/>
    <w:rsid w:val="00DA29B1"/>
    <w:rsid w:val="00DA2BCA"/>
    <w:rsid w:val="00DA3124"/>
    <w:rsid w:val="00DA31A7"/>
    <w:rsid w:val="00DA3519"/>
    <w:rsid w:val="00DA3900"/>
    <w:rsid w:val="00DA3DBF"/>
    <w:rsid w:val="00DA3E25"/>
    <w:rsid w:val="00DA4272"/>
    <w:rsid w:val="00DA42BF"/>
    <w:rsid w:val="00DA4436"/>
    <w:rsid w:val="00DA45E4"/>
    <w:rsid w:val="00DA46C8"/>
    <w:rsid w:val="00DA4771"/>
    <w:rsid w:val="00DA4811"/>
    <w:rsid w:val="00DA4B10"/>
    <w:rsid w:val="00DA4C98"/>
    <w:rsid w:val="00DA4CB4"/>
    <w:rsid w:val="00DA4D0A"/>
    <w:rsid w:val="00DA4D32"/>
    <w:rsid w:val="00DA4DBA"/>
    <w:rsid w:val="00DA4E13"/>
    <w:rsid w:val="00DA4E3E"/>
    <w:rsid w:val="00DA4E9C"/>
    <w:rsid w:val="00DA50E1"/>
    <w:rsid w:val="00DA523D"/>
    <w:rsid w:val="00DA5260"/>
    <w:rsid w:val="00DA5446"/>
    <w:rsid w:val="00DA5692"/>
    <w:rsid w:val="00DA5750"/>
    <w:rsid w:val="00DA5F2F"/>
    <w:rsid w:val="00DA60A6"/>
    <w:rsid w:val="00DA6368"/>
    <w:rsid w:val="00DA6609"/>
    <w:rsid w:val="00DA66F9"/>
    <w:rsid w:val="00DA695B"/>
    <w:rsid w:val="00DA6A15"/>
    <w:rsid w:val="00DA6B5B"/>
    <w:rsid w:val="00DA6B81"/>
    <w:rsid w:val="00DA6BFD"/>
    <w:rsid w:val="00DA6DFD"/>
    <w:rsid w:val="00DA72B5"/>
    <w:rsid w:val="00DA7310"/>
    <w:rsid w:val="00DA7624"/>
    <w:rsid w:val="00DA762F"/>
    <w:rsid w:val="00DA7842"/>
    <w:rsid w:val="00DA786E"/>
    <w:rsid w:val="00DA7B6E"/>
    <w:rsid w:val="00DA7BBD"/>
    <w:rsid w:val="00DA7D67"/>
    <w:rsid w:val="00DB0067"/>
    <w:rsid w:val="00DB032A"/>
    <w:rsid w:val="00DB0345"/>
    <w:rsid w:val="00DB0AD4"/>
    <w:rsid w:val="00DB0C65"/>
    <w:rsid w:val="00DB0F36"/>
    <w:rsid w:val="00DB0FE2"/>
    <w:rsid w:val="00DB12F1"/>
    <w:rsid w:val="00DB1362"/>
    <w:rsid w:val="00DB173D"/>
    <w:rsid w:val="00DB17A7"/>
    <w:rsid w:val="00DB196B"/>
    <w:rsid w:val="00DB1D08"/>
    <w:rsid w:val="00DB1D3E"/>
    <w:rsid w:val="00DB1DAE"/>
    <w:rsid w:val="00DB2037"/>
    <w:rsid w:val="00DB211C"/>
    <w:rsid w:val="00DB2142"/>
    <w:rsid w:val="00DB23F5"/>
    <w:rsid w:val="00DB2415"/>
    <w:rsid w:val="00DB27E4"/>
    <w:rsid w:val="00DB291F"/>
    <w:rsid w:val="00DB2AAC"/>
    <w:rsid w:val="00DB2BAF"/>
    <w:rsid w:val="00DB2C2B"/>
    <w:rsid w:val="00DB2C3E"/>
    <w:rsid w:val="00DB2C99"/>
    <w:rsid w:val="00DB2D68"/>
    <w:rsid w:val="00DB30EF"/>
    <w:rsid w:val="00DB3194"/>
    <w:rsid w:val="00DB3303"/>
    <w:rsid w:val="00DB34D9"/>
    <w:rsid w:val="00DB3508"/>
    <w:rsid w:val="00DB35F7"/>
    <w:rsid w:val="00DB3680"/>
    <w:rsid w:val="00DB36CE"/>
    <w:rsid w:val="00DB394D"/>
    <w:rsid w:val="00DB3AB8"/>
    <w:rsid w:val="00DB3E2F"/>
    <w:rsid w:val="00DB3E4E"/>
    <w:rsid w:val="00DB427C"/>
    <w:rsid w:val="00DB42F3"/>
    <w:rsid w:val="00DB4468"/>
    <w:rsid w:val="00DB47B8"/>
    <w:rsid w:val="00DB4967"/>
    <w:rsid w:val="00DB4AE2"/>
    <w:rsid w:val="00DB4B0F"/>
    <w:rsid w:val="00DB4C49"/>
    <w:rsid w:val="00DB502E"/>
    <w:rsid w:val="00DB5077"/>
    <w:rsid w:val="00DB516C"/>
    <w:rsid w:val="00DB51AF"/>
    <w:rsid w:val="00DB531D"/>
    <w:rsid w:val="00DB5599"/>
    <w:rsid w:val="00DB55C3"/>
    <w:rsid w:val="00DB595A"/>
    <w:rsid w:val="00DB5D9C"/>
    <w:rsid w:val="00DB5E37"/>
    <w:rsid w:val="00DB5EF5"/>
    <w:rsid w:val="00DB61A6"/>
    <w:rsid w:val="00DB61E2"/>
    <w:rsid w:val="00DB63E1"/>
    <w:rsid w:val="00DB6438"/>
    <w:rsid w:val="00DB6585"/>
    <w:rsid w:val="00DB66B1"/>
    <w:rsid w:val="00DB6800"/>
    <w:rsid w:val="00DB6A7C"/>
    <w:rsid w:val="00DB6B5A"/>
    <w:rsid w:val="00DB6C07"/>
    <w:rsid w:val="00DB6CED"/>
    <w:rsid w:val="00DB6D61"/>
    <w:rsid w:val="00DB719A"/>
    <w:rsid w:val="00DB7248"/>
    <w:rsid w:val="00DB7365"/>
    <w:rsid w:val="00DB7427"/>
    <w:rsid w:val="00DB7775"/>
    <w:rsid w:val="00DB7BE9"/>
    <w:rsid w:val="00DB7D33"/>
    <w:rsid w:val="00DB7F49"/>
    <w:rsid w:val="00DC0257"/>
    <w:rsid w:val="00DC0497"/>
    <w:rsid w:val="00DC0813"/>
    <w:rsid w:val="00DC0C35"/>
    <w:rsid w:val="00DC1254"/>
    <w:rsid w:val="00DC1362"/>
    <w:rsid w:val="00DC145A"/>
    <w:rsid w:val="00DC1654"/>
    <w:rsid w:val="00DC168C"/>
    <w:rsid w:val="00DC16F7"/>
    <w:rsid w:val="00DC17E8"/>
    <w:rsid w:val="00DC1AC1"/>
    <w:rsid w:val="00DC1B3C"/>
    <w:rsid w:val="00DC1D2E"/>
    <w:rsid w:val="00DC1EB3"/>
    <w:rsid w:val="00DC2053"/>
    <w:rsid w:val="00DC20A7"/>
    <w:rsid w:val="00DC22BF"/>
    <w:rsid w:val="00DC22EC"/>
    <w:rsid w:val="00DC2A28"/>
    <w:rsid w:val="00DC2A8B"/>
    <w:rsid w:val="00DC2BD3"/>
    <w:rsid w:val="00DC2D72"/>
    <w:rsid w:val="00DC2DFF"/>
    <w:rsid w:val="00DC2E7F"/>
    <w:rsid w:val="00DC2F24"/>
    <w:rsid w:val="00DC2F91"/>
    <w:rsid w:val="00DC2FC4"/>
    <w:rsid w:val="00DC3082"/>
    <w:rsid w:val="00DC310A"/>
    <w:rsid w:val="00DC332E"/>
    <w:rsid w:val="00DC358F"/>
    <w:rsid w:val="00DC384A"/>
    <w:rsid w:val="00DC38D9"/>
    <w:rsid w:val="00DC3D61"/>
    <w:rsid w:val="00DC4052"/>
    <w:rsid w:val="00DC41BF"/>
    <w:rsid w:val="00DC4326"/>
    <w:rsid w:val="00DC4344"/>
    <w:rsid w:val="00DC4491"/>
    <w:rsid w:val="00DC4AD1"/>
    <w:rsid w:val="00DC4C6D"/>
    <w:rsid w:val="00DC4C85"/>
    <w:rsid w:val="00DC4C98"/>
    <w:rsid w:val="00DC4DA0"/>
    <w:rsid w:val="00DC4DF6"/>
    <w:rsid w:val="00DC4EBD"/>
    <w:rsid w:val="00DC50F5"/>
    <w:rsid w:val="00DC5150"/>
    <w:rsid w:val="00DC563D"/>
    <w:rsid w:val="00DC57D9"/>
    <w:rsid w:val="00DC5BB0"/>
    <w:rsid w:val="00DC5E24"/>
    <w:rsid w:val="00DC607C"/>
    <w:rsid w:val="00DC63DE"/>
    <w:rsid w:val="00DC663F"/>
    <w:rsid w:val="00DC66C5"/>
    <w:rsid w:val="00DC6744"/>
    <w:rsid w:val="00DC68D6"/>
    <w:rsid w:val="00DC6AFF"/>
    <w:rsid w:val="00DC6B55"/>
    <w:rsid w:val="00DC6CCD"/>
    <w:rsid w:val="00DC6EBE"/>
    <w:rsid w:val="00DC6F14"/>
    <w:rsid w:val="00DC70AD"/>
    <w:rsid w:val="00DC72B8"/>
    <w:rsid w:val="00DC72EB"/>
    <w:rsid w:val="00DC79E3"/>
    <w:rsid w:val="00DC7B16"/>
    <w:rsid w:val="00DC7C08"/>
    <w:rsid w:val="00DC7C41"/>
    <w:rsid w:val="00DC7EDA"/>
    <w:rsid w:val="00DD0102"/>
    <w:rsid w:val="00DD0468"/>
    <w:rsid w:val="00DD05C6"/>
    <w:rsid w:val="00DD0634"/>
    <w:rsid w:val="00DD0725"/>
    <w:rsid w:val="00DD0CF1"/>
    <w:rsid w:val="00DD0F3F"/>
    <w:rsid w:val="00DD0F7C"/>
    <w:rsid w:val="00DD1122"/>
    <w:rsid w:val="00DD115E"/>
    <w:rsid w:val="00DD1319"/>
    <w:rsid w:val="00DD1433"/>
    <w:rsid w:val="00DD1622"/>
    <w:rsid w:val="00DD181B"/>
    <w:rsid w:val="00DD18FD"/>
    <w:rsid w:val="00DD1DAB"/>
    <w:rsid w:val="00DD1DB7"/>
    <w:rsid w:val="00DD1E0F"/>
    <w:rsid w:val="00DD1E98"/>
    <w:rsid w:val="00DD1EFB"/>
    <w:rsid w:val="00DD20D5"/>
    <w:rsid w:val="00DD21EA"/>
    <w:rsid w:val="00DD23D6"/>
    <w:rsid w:val="00DD297D"/>
    <w:rsid w:val="00DD2C5B"/>
    <w:rsid w:val="00DD3138"/>
    <w:rsid w:val="00DD3204"/>
    <w:rsid w:val="00DD3476"/>
    <w:rsid w:val="00DD3564"/>
    <w:rsid w:val="00DD36D6"/>
    <w:rsid w:val="00DD3996"/>
    <w:rsid w:val="00DD3B54"/>
    <w:rsid w:val="00DD3BF6"/>
    <w:rsid w:val="00DD3F56"/>
    <w:rsid w:val="00DD3F88"/>
    <w:rsid w:val="00DD4424"/>
    <w:rsid w:val="00DD4439"/>
    <w:rsid w:val="00DD495F"/>
    <w:rsid w:val="00DD4B54"/>
    <w:rsid w:val="00DD4BA5"/>
    <w:rsid w:val="00DD4CEF"/>
    <w:rsid w:val="00DD4DDE"/>
    <w:rsid w:val="00DD50A4"/>
    <w:rsid w:val="00DD515C"/>
    <w:rsid w:val="00DD538A"/>
    <w:rsid w:val="00DD5461"/>
    <w:rsid w:val="00DD54E1"/>
    <w:rsid w:val="00DD5523"/>
    <w:rsid w:val="00DD57E6"/>
    <w:rsid w:val="00DD5908"/>
    <w:rsid w:val="00DD593E"/>
    <w:rsid w:val="00DD5E44"/>
    <w:rsid w:val="00DD617D"/>
    <w:rsid w:val="00DD64CA"/>
    <w:rsid w:val="00DD659D"/>
    <w:rsid w:val="00DD677B"/>
    <w:rsid w:val="00DD6C75"/>
    <w:rsid w:val="00DD6D54"/>
    <w:rsid w:val="00DD6DFD"/>
    <w:rsid w:val="00DD70DD"/>
    <w:rsid w:val="00DD70EB"/>
    <w:rsid w:val="00DD7381"/>
    <w:rsid w:val="00DD7578"/>
    <w:rsid w:val="00DD7A6D"/>
    <w:rsid w:val="00DD7B40"/>
    <w:rsid w:val="00DD7E06"/>
    <w:rsid w:val="00DD7E2C"/>
    <w:rsid w:val="00DE003B"/>
    <w:rsid w:val="00DE0110"/>
    <w:rsid w:val="00DE021F"/>
    <w:rsid w:val="00DE03F7"/>
    <w:rsid w:val="00DE040C"/>
    <w:rsid w:val="00DE04AC"/>
    <w:rsid w:val="00DE073B"/>
    <w:rsid w:val="00DE0959"/>
    <w:rsid w:val="00DE09BC"/>
    <w:rsid w:val="00DE0C77"/>
    <w:rsid w:val="00DE1494"/>
    <w:rsid w:val="00DE14F2"/>
    <w:rsid w:val="00DE1508"/>
    <w:rsid w:val="00DE1A0E"/>
    <w:rsid w:val="00DE1B17"/>
    <w:rsid w:val="00DE1C23"/>
    <w:rsid w:val="00DE1FA1"/>
    <w:rsid w:val="00DE21ED"/>
    <w:rsid w:val="00DE21FF"/>
    <w:rsid w:val="00DE2494"/>
    <w:rsid w:val="00DE2976"/>
    <w:rsid w:val="00DE29A2"/>
    <w:rsid w:val="00DE3276"/>
    <w:rsid w:val="00DE3530"/>
    <w:rsid w:val="00DE3887"/>
    <w:rsid w:val="00DE3D8F"/>
    <w:rsid w:val="00DE4002"/>
    <w:rsid w:val="00DE423C"/>
    <w:rsid w:val="00DE4382"/>
    <w:rsid w:val="00DE43CB"/>
    <w:rsid w:val="00DE451C"/>
    <w:rsid w:val="00DE4558"/>
    <w:rsid w:val="00DE4681"/>
    <w:rsid w:val="00DE4C36"/>
    <w:rsid w:val="00DE4CF5"/>
    <w:rsid w:val="00DE4FDF"/>
    <w:rsid w:val="00DE50CB"/>
    <w:rsid w:val="00DE510D"/>
    <w:rsid w:val="00DE5114"/>
    <w:rsid w:val="00DE558A"/>
    <w:rsid w:val="00DE565E"/>
    <w:rsid w:val="00DE5777"/>
    <w:rsid w:val="00DE589F"/>
    <w:rsid w:val="00DE594B"/>
    <w:rsid w:val="00DE5DEF"/>
    <w:rsid w:val="00DE5EE9"/>
    <w:rsid w:val="00DE60CE"/>
    <w:rsid w:val="00DE6313"/>
    <w:rsid w:val="00DE6768"/>
    <w:rsid w:val="00DE709C"/>
    <w:rsid w:val="00DE70B0"/>
    <w:rsid w:val="00DE774F"/>
    <w:rsid w:val="00DE7A0E"/>
    <w:rsid w:val="00DE7A6F"/>
    <w:rsid w:val="00DE7A72"/>
    <w:rsid w:val="00DE7C86"/>
    <w:rsid w:val="00DE7DBB"/>
    <w:rsid w:val="00DE7F57"/>
    <w:rsid w:val="00DF007A"/>
    <w:rsid w:val="00DF020A"/>
    <w:rsid w:val="00DF026D"/>
    <w:rsid w:val="00DF026F"/>
    <w:rsid w:val="00DF02F9"/>
    <w:rsid w:val="00DF0314"/>
    <w:rsid w:val="00DF035D"/>
    <w:rsid w:val="00DF04D4"/>
    <w:rsid w:val="00DF0655"/>
    <w:rsid w:val="00DF06E4"/>
    <w:rsid w:val="00DF098F"/>
    <w:rsid w:val="00DF0ABF"/>
    <w:rsid w:val="00DF0C48"/>
    <w:rsid w:val="00DF0E51"/>
    <w:rsid w:val="00DF10D1"/>
    <w:rsid w:val="00DF1163"/>
    <w:rsid w:val="00DF1555"/>
    <w:rsid w:val="00DF17FD"/>
    <w:rsid w:val="00DF1A3C"/>
    <w:rsid w:val="00DF1A9B"/>
    <w:rsid w:val="00DF1C57"/>
    <w:rsid w:val="00DF1CAF"/>
    <w:rsid w:val="00DF1DA6"/>
    <w:rsid w:val="00DF20A6"/>
    <w:rsid w:val="00DF2860"/>
    <w:rsid w:val="00DF2B58"/>
    <w:rsid w:val="00DF2CB6"/>
    <w:rsid w:val="00DF33CC"/>
    <w:rsid w:val="00DF37CE"/>
    <w:rsid w:val="00DF398F"/>
    <w:rsid w:val="00DF3B9C"/>
    <w:rsid w:val="00DF3BA8"/>
    <w:rsid w:val="00DF3D17"/>
    <w:rsid w:val="00DF3EB3"/>
    <w:rsid w:val="00DF3F67"/>
    <w:rsid w:val="00DF412F"/>
    <w:rsid w:val="00DF42F0"/>
    <w:rsid w:val="00DF437B"/>
    <w:rsid w:val="00DF4516"/>
    <w:rsid w:val="00DF4549"/>
    <w:rsid w:val="00DF45AA"/>
    <w:rsid w:val="00DF45BF"/>
    <w:rsid w:val="00DF491B"/>
    <w:rsid w:val="00DF4A41"/>
    <w:rsid w:val="00DF4DFF"/>
    <w:rsid w:val="00DF526E"/>
    <w:rsid w:val="00DF52FE"/>
    <w:rsid w:val="00DF5525"/>
    <w:rsid w:val="00DF57E7"/>
    <w:rsid w:val="00DF59A6"/>
    <w:rsid w:val="00DF59AA"/>
    <w:rsid w:val="00DF59B6"/>
    <w:rsid w:val="00DF5A42"/>
    <w:rsid w:val="00DF624C"/>
    <w:rsid w:val="00DF6338"/>
    <w:rsid w:val="00DF64AB"/>
    <w:rsid w:val="00DF685B"/>
    <w:rsid w:val="00DF6F1C"/>
    <w:rsid w:val="00DF6FC1"/>
    <w:rsid w:val="00DF7196"/>
    <w:rsid w:val="00DF730D"/>
    <w:rsid w:val="00DF738A"/>
    <w:rsid w:val="00DF742A"/>
    <w:rsid w:val="00DF7460"/>
    <w:rsid w:val="00DF75C0"/>
    <w:rsid w:val="00DF7806"/>
    <w:rsid w:val="00DF7CA1"/>
    <w:rsid w:val="00DF7CC2"/>
    <w:rsid w:val="00DF7DF9"/>
    <w:rsid w:val="00DF7E29"/>
    <w:rsid w:val="00DF7E79"/>
    <w:rsid w:val="00DF7EA4"/>
    <w:rsid w:val="00E001CF"/>
    <w:rsid w:val="00E00243"/>
    <w:rsid w:val="00E0059F"/>
    <w:rsid w:val="00E006C0"/>
    <w:rsid w:val="00E006DB"/>
    <w:rsid w:val="00E00D8D"/>
    <w:rsid w:val="00E01123"/>
    <w:rsid w:val="00E01395"/>
    <w:rsid w:val="00E01A9F"/>
    <w:rsid w:val="00E01B43"/>
    <w:rsid w:val="00E01BC9"/>
    <w:rsid w:val="00E01C52"/>
    <w:rsid w:val="00E01CD4"/>
    <w:rsid w:val="00E01CF7"/>
    <w:rsid w:val="00E01D7B"/>
    <w:rsid w:val="00E01DF9"/>
    <w:rsid w:val="00E02023"/>
    <w:rsid w:val="00E02199"/>
    <w:rsid w:val="00E02220"/>
    <w:rsid w:val="00E023C2"/>
    <w:rsid w:val="00E025E1"/>
    <w:rsid w:val="00E02901"/>
    <w:rsid w:val="00E029E7"/>
    <w:rsid w:val="00E02EDD"/>
    <w:rsid w:val="00E03232"/>
    <w:rsid w:val="00E033DF"/>
    <w:rsid w:val="00E034EB"/>
    <w:rsid w:val="00E034EC"/>
    <w:rsid w:val="00E03728"/>
    <w:rsid w:val="00E039E2"/>
    <w:rsid w:val="00E03B4E"/>
    <w:rsid w:val="00E03DB7"/>
    <w:rsid w:val="00E03E31"/>
    <w:rsid w:val="00E03ED0"/>
    <w:rsid w:val="00E04164"/>
    <w:rsid w:val="00E041A7"/>
    <w:rsid w:val="00E044A4"/>
    <w:rsid w:val="00E04617"/>
    <w:rsid w:val="00E04746"/>
    <w:rsid w:val="00E047D9"/>
    <w:rsid w:val="00E049D6"/>
    <w:rsid w:val="00E04BE4"/>
    <w:rsid w:val="00E04C56"/>
    <w:rsid w:val="00E04EB3"/>
    <w:rsid w:val="00E04F45"/>
    <w:rsid w:val="00E05068"/>
    <w:rsid w:val="00E050CB"/>
    <w:rsid w:val="00E050F9"/>
    <w:rsid w:val="00E0510B"/>
    <w:rsid w:val="00E05214"/>
    <w:rsid w:val="00E052DF"/>
    <w:rsid w:val="00E05856"/>
    <w:rsid w:val="00E05C77"/>
    <w:rsid w:val="00E05D19"/>
    <w:rsid w:val="00E05E19"/>
    <w:rsid w:val="00E06150"/>
    <w:rsid w:val="00E0621C"/>
    <w:rsid w:val="00E067B4"/>
    <w:rsid w:val="00E068F4"/>
    <w:rsid w:val="00E06999"/>
    <w:rsid w:val="00E069C1"/>
    <w:rsid w:val="00E06A8D"/>
    <w:rsid w:val="00E070D9"/>
    <w:rsid w:val="00E07700"/>
    <w:rsid w:val="00E07733"/>
    <w:rsid w:val="00E07825"/>
    <w:rsid w:val="00E07A67"/>
    <w:rsid w:val="00E07B19"/>
    <w:rsid w:val="00E07B9B"/>
    <w:rsid w:val="00E07DEF"/>
    <w:rsid w:val="00E07F04"/>
    <w:rsid w:val="00E10302"/>
    <w:rsid w:val="00E10363"/>
    <w:rsid w:val="00E10622"/>
    <w:rsid w:val="00E10943"/>
    <w:rsid w:val="00E10947"/>
    <w:rsid w:val="00E10972"/>
    <w:rsid w:val="00E109EA"/>
    <w:rsid w:val="00E10A01"/>
    <w:rsid w:val="00E10D25"/>
    <w:rsid w:val="00E10DB2"/>
    <w:rsid w:val="00E10EF2"/>
    <w:rsid w:val="00E11232"/>
    <w:rsid w:val="00E11298"/>
    <w:rsid w:val="00E1158B"/>
    <w:rsid w:val="00E11804"/>
    <w:rsid w:val="00E11CB5"/>
    <w:rsid w:val="00E11EDE"/>
    <w:rsid w:val="00E11F01"/>
    <w:rsid w:val="00E12278"/>
    <w:rsid w:val="00E124AB"/>
    <w:rsid w:val="00E124AE"/>
    <w:rsid w:val="00E129E7"/>
    <w:rsid w:val="00E12B1B"/>
    <w:rsid w:val="00E12DF0"/>
    <w:rsid w:val="00E132EC"/>
    <w:rsid w:val="00E13319"/>
    <w:rsid w:val="00E13333"/>
    <w:rsid w:val="00E13351"/>
    <w:rsid w:val="00E13554"/>
    <w:rsid w:val="00E13628"/>
    <w:rsid w:val="00E13D6A"/>
    <w:rsid w:val="00E13DB8"/>
    <w:rsid w:val="00E1403A"/>
    <w:rsid w:val="00E1479E"/>
    <w:rsid w:val="00E149A5"/>
    <w:rsid w:val="00E14ABA"/>
    <w:rsid w:val="00E14B0C"/>
    <w:rsid w:val="00E14D5E"/>
    <w:rsid w:val="00E14F21"/>
    <w:rsid w:val="00E14F9C"/>
    <w:rsid w:val="00E1517B"/>
    <w:rsid w:val="00E153FA"/>
    <w:rsid w:val="00E15436"/>
    <w:rsid w:val="00E15532"/>
    <w:rsid w:val="00E15621"/>
    <w:rsid w:val="00E15637"/>
    <w:rsid w:val="00E157C2"/>
    <w:rsid w:val="00E15A2D"/>
    <w:rsid w:val="00E15C02"/>
    <w:rsid w:val="00E15FC5"/>
    <w:rsid w:val="00E1643D"/>
    <w:rsid w:val="00E16625"/>
    <w:rsid w:val="00E1663D"/>
    <w:rsid w:val="00E16AD3"/>
    <w:rsid w:val="00E16BBA"/>
    <w:rsid w:val="00E16C8A"/>
    <w:rsid w:val="00E16E0D"/>
    <w:rsid w:val="00E1737D"/>
    <w:rsid w:val="00E173D5"/>
    <w:rsid w:val="00E1750D"/>
    <w:rsid w:val="00E17517"/>
    <w:rsid w:val="00E17578"/>
    <w:rsid w:val="00E178B8"/>
    <w:rsid w:val="00E17BCF"/>
    <w:rsid w:val="00E17C0F"/>
    <w:rsid w:val="00E17DF4"/>
    <w:rsid w:val="00E20069"/>
    <w:rsid w:val="00E200A5"/>
    <w:rsid w:val="00E2058F"/>
    <w:rsid w:val="00E206AE"/>
    <w:rsid w:val="00E207A0"/>
    <w:rsid w:val="00E2086D"/>
    <w:rsid w:val="00E20AF8"/>
    <w:rsid w:val="00E20B38"/>
    <w:rsid w:val="00E20CA4"/>
    <w:rsid w:val="00E20D41"/>
    <w:rsid w:val="00E20DB2"/>
    <w:rsid w:val="00E20EB4"/>
    <w:rsid w:val="00E21090"/>
    <w:rsid w:val="00E210FE"/>
    <w:rsid w:val="00E2142D"/>
    <w:rsid w:val="00E21433"/>
    <w:rsid w:val="00E21492"/>
    <w:rsid w:val="00E215DF"/>
    <w:rsid w:val="00E21A07"/>
    <w:rsid w:val="00E21A1F"/>
    <w:rsid w:val="00E21B5C"/>
    <w:rsid w:val="00E21C84"/>
    <w:rsid w:val="00E22272"/>
    <w:rsid w:val="00E2257A"/>
    <w:rsid w:val="00E225C3"/>
    <w:rsid w:val="00E227FC"/>
    <w:rsid w:val="00E22A8A"/>
    <w:rsid w:val="00E22C72"/>
    <w:rsid w:val="00E230AF"/>
    <w:rsid w:val="00E23397"/>
    <w:rsid w:val="00E234FE"/>
    <w:rsid w:val="00E2383F"/>
    <w:rsid w:val="00E23A9E"/>
    <w:rsid w:val="00E23B30"/>
    <w:rsid w:val="00E23D6F"/>
    <w:rsid w:val="00E2401B"/>
    <w:rsid w:val="00E242F7"/>
    <w:rsid w:val="00E246AB"/>
    <w:rsid w:val="00E24864"/>
    <w:rsid w:val="00E248ED"/>
    <w:rsid w:val="00E24BFE"/>
    <w:rsid w:val="00E24C9A"/>
    <w:rsid w:val="00E24D00"/>
    <w:rsid w:val="00E24F81"/>
    <w:rsid w:val="00E2540C"/>
    <w:rsid w:val="00E2540E"/>
    <w:rsid w:val="00E25447"/>
    <w:rsid w:val="00E256EC"/>
    <w:rsid w:val="00E2576D"/>
    <w:rsid w:val="00E25B91"/>
    <w:rsid w:val="00E25E41"/>
    <w:rsid w:val="00E25E6E"/>
    <w:rsid w:val="00E25EBD"/>
    <w:rsid w:val="00E26472"/>
    <w:rsid w:val="00E26553"/>
    <w:rsid w:val="00E26A9D"/>
    <w:rsid w:val="00E26AC3"/>
    <w:rsid w:val="00E26BA7"/>
    <w:rsid w:val="00E26D28"/>
    <w:rsid w:val="00E26D8D"/>
    <w:rsid w:val="00E26DA5"/>
    <w:rsid w:val="00E27A28"/>
    <w:rsid w:val="00E27B9C"/>
    <w:rsid w:val="00E27EA6"/>
    <w:rsid w:val="00E30486"/>
    <w:rsid w:val="00E307DD"/>
    <w:rsid w:val="00E308C6"/>
    <w:rsid w:val="00E308D7"/>
    <w:rsid w:val="00E30AB9"/>
    <w:rsid w:val="00E30BE2"/>
    <w:rsid w:val="00E30D9F"/>
    <w:rsid w:val="00E30E24"/>
    <w:rsid w:val="00E30E62"/>
    <w:rsid w:val="00E3110F"/>
    <w:rsid w:val="00E3164F"/>
    <w:rsid w:val="00E31A4A"/>
    <w:rsid w:val="00E31A9B"/>
    <w:rsid w:val="00E31B1A"/>
    <w:rsid w:val="00E31C1E"/>
    <w:rsid w:val="00E31C62"/>
    <w:rsid w:val="00E31E37"/>
    <w:rsid w:val="00E31F0E"/>
    <w:rsid w:val="00E31FD2"/>
    <w:rsid w:val="00E31FE8"/>
    <w:rsid w:val="00E320B7"/>
    <w:rsid w:val="00E32383"/>
    <w:rsid w:val="00E3244E"/>
    <w:rsid w:val="00E3268D"/>
    <w:rsid w:val="00E32809"/>
    <w:rsid w:val="00E329DF"/>
    <w:rsid w:val="00E32B70"/>
    <w:rsid w:val="00E32CD7"/>
    <w:rsid w:val="00E32E97"/>
    <w:rsid w:val="00E33214"/>
    <w:rsid w:val="00E3328F"/>
    <w:rsid w:val="00E3380D"/>
    <w:rsid w:val="00E3388F"/>
    <w:rsid w:val="00E33935"/>
    <w:rsid w:val="00E339F5"/>
    <w:rsid w:val="00E33D96"/>
    <w:rsid w:val="00E33DE5"/>
    <w:rsid w:val="00E3425F"/>
    <w:rsid w:val="00E3466E"/>
    <w:rsid w:val="00E34B58"/>
    <w:rsid w:val="00E34BFE"/>
    <w:rsid w:val="00E352C4"/>
    <w:rsid w:val="00E35565"/>
    <w:rsid w:val="00E356A6"/>
    <w:rsid w:val="00E35F49"/>
    <w:rsid w:val="00E35F4E"/>
    <w:rsid w:val="00E361AF"/>
    <w:rsid w:val="00E36411"/>
    <w:rsid w:val="00E367E4"/>
    <w:rsid w:val="00E369EA"/>
    <w:rsid w:val="00E36B23"/>
    <w:rsid w:val="00E36E62"/>
    <w:rsid w:val="00E36EA4"/>
    <w:rsid w:val="00E36F13"/>
    <w:rsid w:val="00E372A7"/>
    <w:rsid w:val="00E3751C"/>
    <w:rsid w:val="00E37642"/>
    <w:rsid w:val="00E37682"/>
    <w:rsid w:val="00E376DC"/>
    <w:rsid w:val="00E3776B"/>
    <w:rsid w:val="00E37917"/>
    <w:rsid w:val="00E37B03"/>
    <w:rsid w:val="00E37C28"/>
    <w:rsid w:val="00E4007F"/>
    <w:rsid w:val="00E401E4"/>
    <w:rsid w:val="00E4026D"/>
    <w:rsid w:val="00E404C1"/>
    <w:rsid w:val="00E40521"/>
    <w:rsid w:val="00E40634"/>
    <w:rsid w:val="00E407C2"/>
    <w:rsid w:val="00E408FF"/>
    <w:rsid w:val="00E40AC4"/>
    <w:rsid w:val="00E40DD3"/>
    <w:rsid w:val="00E40F0D"/>
    <w:rsid w:val="00E412CF"/>
    <w:rsid w:val="00E413DB"/>
    <w:rsid w:val="00E416F1"/>
    <w:rsid w:val="00E41729"/>
    <w:rsid w:val="00E41870"/>
    <w:rsid w:val="00E41A39"/>
    <w:rsid w:val="00E41BD2"/>
    <w:rsid w:val="00E4208E"/>
    <w:rsid w:val="00E42B07"/>
    <w:rsid w:val="00E42B0B"/>
    <w:rsid w:val="00E42B30"/>
    <w:rsid w:val="00E4308E"/>
    <w:rsid w:val="00E43175"/>
    <w:rsid w:val="00E43252"/>
    <w:rsid w:val="00E4334D"/>
    <w:rsid w:val="00E43638"/>
    <w:rsid w:val="00E43837"/>
    <w:rsid w:val="00E438E7"/>
    <w:rsid w:val="00E43C58"/>
    <w:rsid w:val="00E43D38"/>
    <w:rsid w:val="00E43D45"/>
    <w:rsid w:val="00E43E88"/>
    <w:rsid w:val="00E43F21"/>
    <w:rsid w:val="00E4441D"/>
    <w:rsid w:val="00E446C3"/>
    <w:rsid w:val="00E44B0F"/>
    <w:rsid w:val="00E44BDB"/>
    <w:rsid w:val="00E44BF4"/>
    <w:rsid w:val="00E44D82"/>
    <w:rsid w:val="00E44EC6"/>
    <w:rsid w:val="00E44EE1"/>
    <w:rsid w:val="00E45255"/>
    <w:rsid w:val="00E45395"/>
    <w:rsid w:val="00E45668"/>
    <w:rsid w:val="00E45A17"/>
    <w:rsid w:val="00E45AB9"/>
    <w:rsid w:val="00E45AEE"/>
    <w:rsid w:val="00E45D3E"/>
    <w:rsid w:val="00E45E32"/>
    <w:rsid w:val="00E45F07"/>
    <w:rsid w:val="00E461F1"/>
    <w:rsid w:val="00E46235"/>
    <w:rsid w:val="00E462AA"/>
    <w:rsid w:val="00E4657C"/>
    <w:rsid w:val="00E466C9"/>
    <w:rsid w:val="00E469AB"/>
    <w:rsid w:val="00E46D8F"/>
    <w:rsid w:val="00E46DF2"/>
    <w:rsid w:val="00E4740D"/>
    <w:rsid w:val="00E47526"/>
    <w:rsid w:val="00E47B66"/>
    <w:rsid w:val="00E47C30"/>
    <w:rsid w:val="00E47D54"/>
    <w:rsid w:val="00E47D86"/>
    <w:rsid w:val="00E5016A"/>
    <w:rsid w:val="00E50321"/>
    <w:rsid w:val="00E50416"/>
    <w:rsid w:val="00E5047C"/>
    <w:rsid w:val="00E5070C"/>
    <w:rsid w:val="00E50720"/>
    <w:rsid w:val="00E50B88"/>
    <w:rsid w:val="00E50E8F"/>
    <w:rsid w:val="00E51097"/>
    <w:rsid w:val="00E51223"/>
    <w:rsid w:val="00E512CC"/>
    <w:rsid w:val="00E513F6"/>
    <w:rsid w:val="00E51442"/>
    <w:rsid w:val="00E518AE"/>
    <w:rsid w:val="00E5195C"/>
    <w:rsid w:val="00E51BC3"/>
    <w:rsid w:val="00E51BCC"/>
    <w:rsid w:val="00E51BF0"/>
    <w:rsid w:val="00E51ED2"/>
    <w:rsid w:val="00E51FBE"/>
    <w:rsid w:val="00E52090"/>
    <w:rsid w:val="00E522E5"/>
    <w:rsid w:val="00E5241D"/>
    <w:rsid w:val="00E5259D"/>
    <w:rsid w:val="00E52891"/>
    <w:rsid w:val="00E5293E"/>
    <w:rsid w:val="00E5298E"/>
    <w:rsid w:val="00E531C5"/>
    <w:rsid w:val="00E53221"/>
    <w:rsid w:val="00E53493"/>
    <w:rsid w:val="00E534C9"/>
    <w:rsid w:val="00E53734"/>
    <w:rsid w:val="00E53836"/>
    <w:rsid w:val="00E53937"/>
    <w:rsid w:val="00E53B43"/>
    <w:rsid w:val="00E53E03"/>
    <w:rsid w:val="00E53EB5"/>
    <w:rsid w:val="00E53EDB"/>
    <w:rsid w:val="00E5407A"/>
    <w:rsid w:val="00E5415F"/>
    <w:rsid w:val="00E54245"/>
    <w:rsid w:val="00E545F9"/>
    <w:rsid w:val="00E549DB"/>
    <w:rsid w:val="00E54F56"/>
    <w:rsid w:val="00E555B7"/>
    <w:rsid w:val="00E55A75"/>
    <w:rsid w:val="00E55B56"/>
    <w:rsid w:val="00E55E47"/>
    <w:rsid w:val="00E55EBB"/>
    <w:rsid w:val="00E55FEC"/>
    <w:rsid w:val="00E56009"/>
    <w:rsid w:val="00E56041"/>
    <w:rsid w:val="00E5620C"/>
    <w:rsid w:val="00E563D4"/>
    <w:rsid w:val="00E5680C"/>
    <w:rsid w:val="00E56D2D"/>
    <w:rsid w:val="00E57014"/>
    <w:rsid w:val="00E57A65"/>
    <w:rsid w:val="00E57B0F"/>
    <w:rsid w:val="00E57C66"/>
    <w:rsid w:val="00E57CE7"/>
    <w:rsid w:val="00E60263"/>
    <w:rsid w:val="00E6029B"/>
    <w:rsid w:val="00E602CD"/>
    <w:rsid w:val="00E602FD"/>
    <w:rsid w:val="00E60482"/>
    <w:rsid w:val="00E60682"/>
    <w:rsid w:val="00E606FE"/>
    <w:rsid w:val="00E607EA"/>
    <w:rsid w:val="00E60C60"/>
    <w:rsid w:val="00E61642"/>
    <w:rsid w:val="00E61790"/>
    <w:rsid w:val="00E6179E"/>
    <w:rsid w:val="00E617BA"/>
    <w:rsid w:val="00E61916"/>
    <w:rsid w:val="00E61A16"/>
    <w:rsid w:val="00E61A60"/>
    <w:rsid w:val="00E61BAB"/>
    <w:rsid w:val="00E61BD6"/>
    <w:rsid w:val="00E620FB"/>
    <w:rsid w:val="00E62107"/>
    <w:rsid w:val="00E6213A"/>
    <w:rsid w:val="00E6230F"/>
    <w:rsid w:val="00E62775"/>
    <w:rsid w:val="00E62B98"/>
    <w:rsid w:val="00E62BAC"/>
    <w:rsid w:val="00E62CBD"/>
    <w:rsid w:val="00E62EB0"/>
    <w:rsid w:val="00E62F0C"/>
    <w:rsid w:val="00E63229"/>
    <w:rsid w:val="00E63466"/>
    <w:rsid w:val="00E634AE"/>
    <w:rsid w:val="00E636B5"/>
    <w:rsid w:val="00E63964"/>
    <w:rsid w:val="00E63AF2"/>
    <w:rsid w:val="00E63C0D"/>
    <w:rsid w:val="00E63DA6"/>
    <w:rsid w:val="00E642DD"/>
    <w:rsid w:val="00E643E2"/>
    <w:rsid w:val="00E64D0E"/>
    <w:rsid w:val="00E64D3F"/>
    <w:rsid w:val="00E64D4B"/>
    <w:rsid w:val="00E64F23"/>
    <w:rsid w:val="00E650C5"/>
    <w:rsid w:val="00E650CF"/>
    <w:rsid w:val="00E650D1"/>
    <w:rsid w:val="00E652F6"/>
    <w:rsid w:val="00E652FA"/>
    <w:rsid w:val="00E65374"/>
    <w:rsid w:val="00E6559D"/>
    <w:rsid w:val="00E655F3"/>
    <w:rsid w:val="00E656F3"/>
    <w:rsid w:val="00E65A2B"/>
    <w:rsid w:val="00E65BF3"/>
    <w:rsid w:val="00E65CAF"/>
    <w:rsid w:val="00E65CFA"/>
    <w:rsid w:val="00E65DBB"/>
    <w:rsid w:val="00E6656B"/>
    <w:rsid w:val="00E66862"/>
    <w:rsid w:val="00E66A45"/>
    <w:rsid w:val="00E66CEF"/>
    <w:rsid w:val="00E66D8A"/>
    <w:rsid w:val="00E67638"/>
    <w:rsid w:val="00E6794A"/>
    <w:rsid w:val="00E67959"/>
    <w:rsid w:val="00E6795D"/>
    <w:rsid w:val="00E67CBB"/>
    <w:rsid w:val="00E67CDE"/>
    <w:rsid w:val="00E67D39"/>
    <w:rsid w:val="00E70335"/>
    <w:rsid w:val="00E7036A"/>
    <w:rsid w:val="00E704CB"/>
    <w:rsid w:val="00E7061D"/>
    <w:rsid w:val="00E70735"/>
    <w:rsid w:val="00E70AF5"/>
    <w:rsid w:val="00E70B55"/>
    <w:rsid w:val="00E70C03"/>
    <w:rsid w:val="00E70E9A"/>
    <w:rsid w:val="00E71054"/>
    <w:rsid w:val="00E71542"/>
    <w:rsid w:val="00E716A9"/>
    <w:rsid w:val="00E7188A"/>
    <w:rsid w:val="00E71B04"/>
    <w:rsid w:val="00E71B7A"/>
    <w:rsid w:val="00E71EB5"/>
    <w:rsid w:val="00E71F59"/>
    <w:rsid w:val="00E7218D"/>
    <w:rsid w:val="00E721A6"/>
    <w:rsid w:val="00E722E3"/>
    <w:rsid w:val="00E727A6"/>
    <w:rsid w:val="00E72997"/>
    <w:rsid w:val="00E72EBF"/>
    <w:rsid w:val="00E72EE1"/>
    <w:rsid w:val="00E72EE9"/>
    <w:rsid w:val="00E73054"/>
    <w:rsid w:val="00E7305B"/>
    <w:rsid w:val="00E73133"/>
    <w:rsid w:val="00E73163"/>
    <w:rsid w:val="00E73281"/>
    <w:rsid w:val="00E73322"/>
    <w:rsid w:val="00E7342D"/>
    <w:rsid w:val="00E734B2"/>
    <w:rsid w:val="00E73515"/>
    <w:rsid w:val="00E73C05"/>
    <w:rsid w:val="00E74033"/>
    <w:rsid w:val="00E74151"/>
    <w:rsid w:val="00E74774"/>
    <w:rsid w:val="00E749B2"/>
    <w:rsid w:val="00E74B8E"/>
    <w:rsid w:val="00E74E12"/>
    <w:rsid w:val="00E75054"/>
    <w:rsid w:val="00E7522D"/>
    <w:rsid w:val="00E7524D"/>
    <w:rsid w:val="00E752BC"/>
    <w:rsid w:val="00E7546E"/>
    <w:rsid w:val="00E7547F"/>
    <w:rsid w:val="00E757DD"/>
    <w:rsid w:val="00E7594E"/>
    <w:rsid w:val="00E75CE3"/>
    <w:rsid w:val="00E75DAC"/>
    <w:rsid w:val="00E75DE4"/>
    <w:rsid w:val="00E76022"/>
    <w:rsid w:val="00E76055"/>
    <w:rsid w:val="00E76267"/>
    <w:rsid w:val="00E76304"/>
    <w:rsid w:val="00E76457"/>
    <w:rsid w:val="00E764A4"/>
    <w:rsid w:val="00E765E5"/>
    <w:rsid w:val="00E76DAC"/>
    <w:rsid w:val="00E76E00"/>
    <w:rsid w:val="00E76E65"/>
    <w:rsid w:val="00E76F7D"/>
    <w:rsid w:val="00E77062"/>
    <w:rsid w:val="00E77150"/>
    <w:rsid w:val="00E772B4"/>
    <w:rsid w:val="00E77424"/>
    <w:rsid w:val="00E77489"/>
    <w:rsid w:val="00E77731"/>
    <w:rsid w:val="00E77836"/>
    <w:rsid w:val="00E778B4"/>
    <w:rsid w:val="00E77BAE"/>
    <w:rsid w:val="00E80137"/>
    <w:rsid w:val="00E803EE"/>
    <w:rsid w:val="00E80567"/>
    <w:rsid w:val="00E806AD"/>
    <w:rsid w:val="00E806E3"/>
    <w:rsid w:val="00E808B8"/>
    <w:rsid w:val="00E80ED4"/>
    <w:rsid w:val="00E81208"/>
    <w:rsid w:val="00E8151A"/>
    <w:rsid w:val="00E8186E"/>
    <w:rsid w:val="00E81AD1"/>
    <w:rsid w:val="00E81AE4"/>
    <w:rsid w:val="00E81CA5"/>
    <w:rsid w:val="00E81D1B"/>
    <w:rsid w:val="00E81D90"/>
    <w:rsid w:val="00E81F6F"/>
    <w:rsid w:val="00E8204D"/>
    <w:rsid w:val="00E821F0"/>
    <w:rsid w:val="00E8226A"/>
    <w:rsid w:val="00E8258B"/>
    <w:rsid w:val="00E82A2E"/>
    <w:rsid w:val="00E82D2D"/>
    <w:rsid w:val="00E82E50"/>
    <w:rsid w:val="00E82F9E"/>
    <w:rsid w:val="00E83313"/>
    <w:rsid w:val="00E83391"/>
    <w:rsid w:val="00E833F1"/>
    <w:rsid w:val="00E8353D"/>
    <w:rsid w:val="00E8385F"/>
    <w:rsid w:val="00E83D5C"/>
    <w:rsid w:val="00E83DDB"/>
    <w:rsid w:val="00E83F0B"/>
    <w:rsid w:val="00E83FC8"/>
    <w:rsid w:val="00E841B1"/>
    <w:rsid w:val="00E841D4"/>
    <w:rsid w:val="00E843D8"/>
    <w:rsid w:val="00E8453A"/>
    <w:rsid w:val="00E84A84"/>
    <w:rsid w:val="00E84AF6"/>
    <w:rsid w:val="00E84E91"/>
    <w:rsid w:val="00E8512C"/>
    <w:rsid w:val="00E85185"/>
    <w:rsid w:val="00E851A0"/>
    <w:rsid w:val="00E853A4"/>
    <w:rsid w:val="00E85555"/>
    <w:rsid w:val="00E85B28"/>
    <w:rsid w:val="00E86041"/>
    <w:rsid w:val="00E86058"/>
    <w:rsid w:val="00E86686"/>
    <w:rsid w:val="00E86ADC"/>
    <w:rsid w:val="00E86C11"/>
    <w:rsid w:val="00E870C4"/>
    <w:rsid w:val="00E877AE"/>
    <w:rsid w:val="00E87BAA"/>
    <w:rsid w:val="00E9022E"/>
    <w:rsid w:val="00E90330"/>
    <w:rsid w:val="00E90350"/>
    <w:rsid w:val="00E903E9"/>
    <w:rsid w:val="00E90577"/>
    <w:rsid w:val="00E90611"/>
    <w:rsid w:val="00E906E6"/>
    <w:rsid w:val="00E90BA3"/>
    <w:rsid w:val="00E90E2D"/>
    <w:rsid w:val="00E90E47"/>
    <w:rsid w:val="00E913ED"/>
    <w:rsid w:val="00E91470"/>
    <w:rsid w:val="00E914F5"/>
    <w:rsid w:val="00E9153C"/>
    <w:rsid w:val="00E917B4"/>
    <w:rsid w:val="00E91807"/>
    <w:rsid w:val="00E91944"/>
    <w:rsid w:val="00E919E1"/>
    <w:rsid w:val="00E91B06"/>
    <w:rsid w:val="00E91C51"/>
    <w:rsid w:val="00E91CEB"/>
    <w:rsid w:val="00E91D21"/>
    <w:rsid w:val="00E91E30"/>
    <w:rsid w:val="00E920B1"/>
    <w:rsid w:val="00E9213E"/>
    <w:rsid w:val="00E92174"/>
    <w:rsid w:val="00E92195"/>
    <w:rsid w:val="00E921A3"/>
    <w:rsid w:val="00E922EA"/>
    <w:rsid w:val="00E92680"/>
    <w:rsid w:val="00E92AA4"/>
    <w:rsid w:val="00E92C84"/>
    <w:rsid w:val="00E92DF9"/>
    <w:rsid w:val="00E92F55"/>
    <w:rsid w:val="00E931DE"/>
    <w:rsid w:val="00E935B2"/>
    <w:rsid w:val="00E9399C"/>
    <w:rsid w:val="00E93DAA"/>
    <w:rsid w:val="00E93DB8"/>
    <w:rsid w:val="00E93E27"/>
    <w:rsid w:val="00E941C0"/>
    <w:rsid w:val="00E94362"/>
    <w:rsid w:val="00E9439E"/>
    <w:rsid w:val="00E94533"/>
    <w:rsid w:val="00E94758"/>
    <w:rsid w:val="00E94A92"/>
    <w:rsid w:val="00E9532F"/>
    <w:rsid w:val="00E95365"/>
    <w:rsid w:val="00E95401"/>
    <w:rsid w:val="00E95625"/>
    <w:rsid w:val="00E95727"/>
    <w:rsid w:val="00E95772"/>
    <w:rsid w:val="00E957EB"/>
    <w:rsid w:val="00E95A69"/>
    <w:rsid w:val="00E95B1E"/>
    <w:rsid w:val="00E95C22"/>
    <w:rsid w:val="00E95D59"/>
    <w:rsid w:val="00E95E27"/>
    <w:rsid w:val="00E9605D"/>
    <w:rsid w:val="00E96491"/>
    <w:rsid w:val="00E965D8"/>
    <w:rsid w:val="00E967D0"/>
    <w:rsid w:val="00E967F6"/>
    <w:rsid w:val="00E96B6C"/>
    <w:rsid w:val="00E96E66"/>
    <w:rsid w:val="00E96FFA"/>
    <w:rsid w:val="00E970FC"/>
    <w:rsid w:val="00E971C9"/>
    <w:rsid w:val="00E97206"/>
    <w:rsid w:val="00E97238"/>
    <w:rsid w:val="00E9728C"/>
    <w:rsid w:val="00E972EF"/>
    <w:rsid w:val="00E97369"/>
    <w:rsid w:val="00E9751E"/>
    <w:rsid w:val="00E97861"/>
    <w:rsid w:val="00E97910"/>
    <w:rsid w:val="00E97C27"/>
    <w:rsid w:val="00E97F6F"/>
    <w:rsid w:val="00E97F7D"/>
    <w:rsid w:val="00EA05F7"/>
    <w:rsid w:val="00EA0657"/>
    <w:rsid w:val="00EA094E"/>
    <w:rsid w:val="00EA0A0F"/>
    <w:rsid w:val="00EA0B6C"/>
    <w:rsid w:val="00EA0E38"/>
    <w:rsid w:val="00EA0F08"/>
    <w:rsid w:val="00EA0F71"/>
    <w:rsid w:val="00EA109D"/>
    <w:rsid w:val="00EA129F"/>
    <w:rsid w:val="00EA1326"/>
    <w:rsid w:val="00EA1721"/>
    <w:rsid w:val="00EA179A"/>
    <w:rsid w:val="00EA1874"/>
    <w:rsid w:val="00EA18F6"/>
    <w:rsid w:val="00EA19FC"/>
    <w:rsid w:val="00EA1AAA"/>
    <w:rsid w:val="00EA1D69"/>
    <w:rsid w:val="00EA204B"/>
    <w:rsid w:val="00EA20A4"/>
    <w:rsid w:val="00EA22DA"/>
    <w:rsid w:val="00EA236F"/>
    <w:rsid w:val="00EA2682"/>
    <w:rsid w:val="00EA275C"/>
    <w:rsid w:val="00EA27F4"/>
    <w:rsid w:val="00EA2AFB"/>
    <w:rsid w:val="00EA2E4C"/>
    <w:rsid w:val="00EA2EF8"/>
    <w:rsid w:val="00EA3094"/>
    <w:rsid w:val="00EA30E0"/>
    <w:rsid w:val="00EA3169"/>
    <w:rsid w:val="00EA33F4"/>
    <w:rsid w:val="00EA3745"/>
    <w:rsid w:val="00EA3772"/>
    <w:rsid w:val="00EA37DA"/>
    <w:rsid w:val="00EA3B5C"/>
    <w:rsid w:val="00EA3D7F"/>
    <w:rsid w:val="00EA3FAD"/>
    <w:rsid w:val="00EA402B"/>
    <w:rsid w:val="00EA41CC"/>
    <w:rsid w:val="00EA4393"/>
    <w:rsid w:val="00EA4758"/>
    <w:rsid w:val="00EA47AF"/>
    <w:rsid w:val="00EA4A01"/>
    <w:rsid w:val="00EA4C65"/>
    <w:rsid w:val="00EA4E49"/>
    <w:rsid w:val="00EA4F56"/>
    <w:rsid w:val="00EA5158"/>
    <w:rsid w:val="00EA52F8"/>
    <w:rsid w:val="00EA535B"/>
    <w:rsid w:val="00EA55A6"/>
    <w:rsid w:val="00EA55E6"/>
    <w:rsid w:val="00EA58EC"/>
    <w:rsid w:val="00EA5A08"/>
    <w:rsid w:val="00EA5F4D"/>
    <w:rsid w:val="00EA5FAB"/>
    <w:rsid w:val="00EA65FD"/>
    <w:rsid w:val="00EA6617"/>
    <w:rsid w:val="00EA6B0B"/>
    <w:rsid w:val="00EA6CFB"/>
    <w:rsid w:val="00EA713A"/>
    <w:rsid w:val="00EA7712"/>
    <w:rsid w:val="00EA7732"/>
    <w:rsid w:val="00EA7A2F"/>
    <w:rsid w:val="00EA7CCE"/>
    <w:rsid w:val="00EA7D26"/>
    <w:rsid w:val="00EA7D49"/>
    <w:rsid w:val="00EA7F06"/>
    <w:rsid w:val="00EB00B0"/>
    <w:rsid w:val="00EB00F5"/>
    <w:rsid w:val="00EB0113"/>
    <w:rsid w:val="00EB01A0"/>
    <w:rsid w:val="00EB062A"/>
    <w:rsid w:val="00EB09C4"/>
    <w:rsid w:val="00EB0B79"/>
    <w:rsid w:val="00EB0C4E"/>
    <w:rsid w:val="00EB0E1F"/>
    <w:rsid w:val="00EB0E95"/>
    <w:rsid w:val="00EB103D"/>
    <w:rsid w:val="00EB1080"/>
    <w:rsid w:val="00EB1182"/>
    <w:rsid w:val="00EB133F"/>
    <w:rsid w:val="00EB141A"/>
    <w:rsid w:val="00EB148B"/>
    <w:rsid w:val="00EB220B"/>
    <w:rsid w:val="00EB2439"/>
    <w:rsid w:val="00EB2440"/>
    <w:rsid w:val="00EB25DB"/>
    <w:rsid w:val="00EB2662"/>
    <w:rsid w:val="00EB2724"/>
    <w:rsid w:val="00EB2D18"/>
    <w:rsid w:val="00EB2E88"/>
    <w:rsid w:val="00EB2FB5"/>
    <w:rsid w:val="00EB3080"/>
    <w:rsid w:val="00EB3164"/>
    <w:rsid w:val="00EB3336"/>
    <w:rsid w:val="00EB33FE"/>
    <w:rsid w:val="00EB342F"/>
    <w:rsid w:val="00EB3440"/>
    <w:rsid w:val="00EB34AB"/>
    <w:rsid w:val="00EB34ED"/>
    <w:rsid w:val="00EB3549"/>
    <w:rsid w:val="00EB357E"/>
    <w:rsid w:val="00EB3693"/>
    <w:rsid w:val="00EB3804"/>
    <w:rsid w:val="00EB3B08"/>
    <w:rsid w:val="00EB3C48"/>
    <w:rsid w:val="00EB3F45"/>
    <w:rsid w:val="00EB46EE"/>
    <w:rsid w:val="00EB478C"/>
    <w:rsid w:val="00EB483A"/>
    <w:rsid w:val="00EB4C55"/>
    <w:rsid w:val="00EB4D01"/>
    <w:rsid w:val="00EB4D39"/>
    <w:rsid w:val="00EB4F71"/>
    <w:rsid w:val="00EB51C0"/>
    <w:rsid w:val="00EB5274"/>
    <w:rsid w:val="00EB5351"/>
    <w:rsid w:val="00EB553A"/>
    <w:rsid w:val="00EB5572"/>
    <w:rsid w:val="00EB5A2C"/>
    <w:rsid w:val="00EB5AF2"/>
    <w:rsid w:val="00EB606F"/>
    <w:rsid w:val="00EB6074"/>
    <w:rsid w:val="00EB60B0"/>
    <w:rsid w:val="00EB6325"/>
    <w:rsid w:val="00EB63B6"/>
    <w:rsid w:val="00EB6964"/>
    <w:rsid w:val="00EB69E0"/>
    <w:rsid w:val="00EB6CBE"/>
    <w:rsid w:val="00EB7337"/>
    <w:rsid w:val="00EB77E5"/>
    <w:rsid w:val="00EB78C4"/>
    <w:rsid w:val="00EB7902"/>
    <w:rsid w:val="00EB79A0"/>
    <w:rsid w:val="00EB7B1F"/>
    <w:rsid w:val="00EB7D01"/>
    <w:rsid w:val="00EB7E07"/>
    <w:rsid w:val="00EC001A"/>
    <w:rsid w:val="00EC0206"/>
    <w:rsid w:val="00EC02E5"/>
    <w:rsid w:val="00EC0417"/>
    <w:rsid w:val="00EC068A"/>
    <w:rsid w:val="00EC0790"/>
    <w:rsid w:val="00EC07A1"/>
    <w:rsid w:val="00EC0A01"/>
    <w:rsid w:val="00EC0A58"/>
    <w:rsid w:val="00EC0B0D"/>
    <w:rsid w:val="00EC0C36"/>
    <w:rsid w:val="00EC0ED4"/>
    <w:rsid w:val="00EC101F"/>
    <w:rsid w:val="00EC12CF"/>
    <w:rsid w:val="00EC1703"/>
    <w:rsid w:val="00EC1920"/>
    <w:rsid w:val="00EC194A"/>
    <w:rsid w:val="00EC2010"/>
    <w:rsid w:val="00EC221B"/>
    <w:rsid w:val="00EC24AF"/>
    <w:rsid w:val="00EC282C"/>
    <w:rsid w:val="00EC2A71"/>
    <w:rsid w:val="00EC2E39"/>
    <w:rsid w:val="00EC2E63"/>
    <w:rsid w:val="00EC2F88"/>
    <w:rsid w:val="00EC3134"/>
    <w:rsid w:val="00EC3160"/>
    <w:rsid w:val="00EC3645"/>
    <w:rsid w:val="00EC37A4"/>
    <w:rsid w:val="00EC3834"/>
    <w:rsid w:val="00EC3ACC"/>
    <w:rsid w:val="00EC3CE2"/>
    <w:rsid w:val="00EC3DAD"/>
    <w:rsid w:val="00EC3E3D"/>
    <w:rsid w:val="00EC3F37"/>
    <w:rsid w:val="00EC41BE"/>
    <w:rsid w:val="00EC41F2"/>
    <w:rsid w:val="00EC427A"/>
    <w:rsid w:val="00EC44FB"/>
    <w:rsid w:val="00EC4569"/>
    <w:rsid w:val="00EC4770"/>
    <w:rsid w:val="00EC483C"/>
    <w:rsid w:val="00EC49C1"/>
    <w:rsid w:val="00EC4A02"/>
    <w:rsid w:val="00EC4C45"/>
    <w:rsid w:val="00EC50F6"/>
    <w:rsid w:val="00EC574B"/>
    <w:rsid w:val="00EC577C"/>
    <w:rsid w:val="00EC579D"/>
    <w:rsid w:val="00EC5904"/>
    <w:rsid w:val="00EC59C4"/>
    <w:rsid w:val="00EC59CE"/>
    <w:rsid w:val="00EC5AA5"/>
    <w:rsid w:val="00EC5C97"/>
    <w:rsid w:val="00EC5FA8"/>
    <w:rsid w:val="00EC5FE5"/>
    <w:rsid w:val="00EC633B"/>
    <w:rsid w:val="00EC6346"/>
    <w:rsid w:val="00EC664C"/>
    <w:rsid w:val="00EC6C7D"/>
    <w:rsid w:val="00EC6CF3"/>
    <w:rsid w:val="00EC7095"/>
    <w:rsid w:val="00EC71CA"/>
    <w:rsid w:val="00EC74AD"/>
    <w:rsid w:val="00EC7591"/>
    <w:rsid w:val="00EC78C2"/>
    <w:rsid w:val="00EC7ADE"/>
    <w:rsid w:val="00EC7B77"/>
    <w:rsid w:val="00EC7BBF"/>
    <w:rsid w:val="00EC7C7F"/>
    <w:rsid w:val="00EC7F8E"/>
    <w:rsid w:val="00ED0031"/>
    <w:rsid w:val="00ED017B"/>
    <w:rsid w:val="00ED0193"/>
    <w:rsid w:val="00ED020D"/>
    <w:rsid w:val="00ED0225"/>
    <w:rsid w:val="00ED0254"/>
    <w:rsid w:val="00ED040C"/>
    <w:rsid w:val="00ED041D"/>
    <w:rsid w:val="00ED0CFD"/>
    <w:rsid w:val="00ED14D7"/>
    <w:rsid w:val="00ED1729"/>
    <w:rsid w:val="00ED1933"/>
    <w:rsid w:val="00ED19AA"/>
    <w:rsid w:val="00ED1B7E"/>
    <w:rsid w:val="00ED1C2D"/>
    <w:rsid w:val="00ED1D15"/>
    <w:rsid w:val="00ED1E5E"/>
    <w:rsid w:val="00ED2157"/>
    <w:rsid w:val="00ED21A3"/>
    <w:rsid w:val="00ED23F2"/>
    <w:rsid w:val="00ED2425"/>
    <w:rsid w:val="00ED245E"/>
    <w:rsid w:val="00ED2BCE"/>
    <w:rsid w:val="00ED2F2C"/>
    <w:rsid w:val="00ED3093"/>
    <w:rsid w:val="00ED315E"/>
    <w:rsid w:val="00ED3300"/>
    <w:rsid w:val="00ED345A"/>
    <w:rsid w:val="00ED3975"/>
    <w:rsid w:val="00ED3E88"/>
    <w:rsid w:val="00ED3F20"/>
    <w:rsid w:val="00ED40C0"/>
    <w:rsid w:val="00ED412D"/>
    <w:rsid w:val="00ED43B9"/>
    <w:rsid w:val="00ED45B5"/>
    <w:rsid w:val="00ED4636"/>
    <w:rsid w:val="00ED47BF"/>
    <w:rsid w:val="00ED480F"/>
    <w:rsid w:val="00ED4874"/>
    <w:rsid w:val="00ED48B2"/>
    <w:rsid w:val="00ED49F7"/>
    <w:rsid w:val="00ED4A90"/>
    <w:rsid w:val="00ED4E72"/>
    <w:rsid w:val="00ED4F9F"/>
    <w:rsid w:val="00ED5041"/>
    <w:rsid w:val="00ED56A5"/>
    <w:rsid w:val="00ED56E1"/>
    <w:rsid w:val="00ED58AC"/>
    <w:rsid w:val="00ED5925"/>
    <w:rsid w:val="00ED59A2"/>
    <w:rsid w:val="00ED59D5"/>
    <w:rsid w:val="00ED5BDC"/>
    <w:rsid w:val="00ED61FF"/>
    <w:rsid w:val="00ED6247"/>
    <w:rsid w:val="00ED6766"/>
    <w:rsid w:val="00ED69D9"/>
    <w:rsid w:val="00ED6B50"/>
    <w:rsid w:val="00ED6FB7"/>
    <w:rsid w:val="00ED7434"/>
    <w:rsid w:val="00ED7840"/>
    <w:rsid w:val="00ED7878"/>
    <w:rsid w:val="00ED79B8"/>
    <w:rsid w:val="00ED7DAC"/>
    <w:rsid w:val="00EE0202"/>
    <w:rsid w:val="00EE0409"/>
    <w:rsid w:val="00EE0A52"/>
    <w:rsid w:val="00EE0D9F"/>
    <w:rsid w:val="00EE0DBC"/>
    <w:rsid w:val="00EE0EEE"/>
    <w:rsid w:val="00EE1122"/>
    <w:rsid w:val="00EE15CF"/>
    <w:rsid w:val="00EE17A3"/>
    <w:rsid w:val="00EE17B4"/>
    <w:rsid w:val="00EE1A92"/>
    <w:rsid w:val="00EE1AE3"/>
    <w:rsid w:val="00EE1C4B"/>
    <w:rsid w:val="00EE1D93"/>
    <w:rsid w:val="00EE1E94"/>
    <w:rsid w:val="00EE1F10"/>
    <w:rsid w:val="00EE209D"/>
    <w:rsid w:val="00EE2231"/>
    <w:rsid w:val="00EE2475"/>
    <w:rsid w:val="00EE2621"/>
    <w:rsid w:val="00EE2733"/>
    <w:rsid w:val="00EE29B4"/>
    <w:rsid w:val="00EE2A0C"/>
    <w:rsid w:val="00EE2B66"/>
    <w:rsid w:val="00EE2C23"/>
    <w:rsid w:val="00EE2CA7"/>
    <w:rsid w:val="00EE31C5"/>
    <w:rsid w:val="00EE323C"/>
    <w:rsid w:val="00EE3368"/>
    <w:rsid w:val="00EE3535"/>
    <w:rsid w:val="00EE3895"/>
    <w:rsid w:val="00EE39BD"/>
    <w:rsid w:val="00EE3CC4"/>
    <w:rsid w:val="00EE40D3"/>
    <w:rsid w:val="00EE4119"/>
    <w:rsid w:val="00EE43A3"/>
    <w:rsid w:val="00EE459D"/>
    <w:rsid w:val="00EE46ED"/>
    <w:rsid w:val="00EE47AF"/>
    <w:rsid w:val="00EE49CE"/>
    <w:rsid w:val="00EE4AE6"/>
    <w:rsid w:val="00EE4C4B"/>
    <w:rsid w:val="00EE4C82"/>
    <w:rsid w:val="00EE4EC7"/>
    <w:rsid w:val="00EE4ECB"/>
    <w:rsid w:val="00EE4F84"/>
    <w:rsid w:val="00EE50E4"/>
    <w:rsid w:val="00EE5526"/>
    <w:rsid w:val="00EE595D"/>
    <w:rsid w:val="00EE5A62"/>
    <w:rsid w:val="00EE5D24"/>
    <w:rsid w:val="00EE5D87"/>
    <w:rsid w:val="00EE5D93"/>
    <w:rsid w:val="00EE6074"/>
    <w:rsid w:val="00EE60C0"/>
    <w:rsid w:val="00EE6306"/>
    <w:rsid w:val="00EE6644"/>
    <w:rsid w:val="00EE67D1"/>
    <w:rsid w:val="00EE67EC"/>
    <w:rsid w:val="00EE6A76"/>
    <w:rsid w:val="00EE6A86"/>
    <w:rsid w:val="00EE6E82"/>
    <w:rsid w:val="00EE6F15"/>
    <w:rsid w:val="00EE7052"/>
    <w:rsid w:val="00EE7214"/>
    <w:rsid w:val="00EE72E2"/>
    <w:rsid w:val="00EE7356"/>
    <w:rsid w:val="00EE756C"/>
    <w:rsid w:val="00EE77EB"/>
    <w:rsid w:val="00EE7E47"/>
    <w:rsid w:val="00EE7FF7"/>
    <w:rsid w:val="00EF0361"/>
    <w:rsid w:val="00EF03CD"/>
    <w:rsid w:val="00EF04FB"/>
    <w:rsid w:val="00EF0818"/>
    <w:rsid w:val="00EF0977"/>
    <w:rsid w:val="00EF09BC"/>
    <w:rsid w:val="00EF0A0B"/>
    <w:rsid w:val="00EF0C1F"/>
    <w:rsid w:val="00EF0C71"/>
    <w:rsid w:val="00EF0CA8"/>
    <w:rsid w:val="00EF0D1C"/>
    <w:rsid w:val="00EF1147"/>
    <w:rsid w:val="00EF128C"/>
    <w:rsid w:val="00EF128D"/>
    <w:rsid w:val="00EF1305"/>
    <w:rsid w:val="00EF146F"/>
    <w:rsid w:val="00EF1948"/>
    <w:rsid w:val="00EF1A13"/>
    <w:rsid w:val="00EF1B5B"/>
    <w:rsid w:val="00EF1B64"/>
    <w:rsid w:val="00EF1F56"/>
    <w:rsid w:val="00EF21D1"/>
    <w:rsid w:val="00EF272A"/>
    <w:rsid w:val="00EF2C6B"/>
    <w:rsid w:val="00EF2DCB"/>
    <w:rsid w:val="00EF34B6"/>
    <w:rsid w:val="00EF37FB"/>
    <w:rsid w:val="00EF3BE2"/>
    <w:rsid w:val="00EF3D03"/>
    <w:rsid w:val="00EF3F31"/>
    <w:rsid w:val="00EF3FA6"/>
    <w:rsid w:val="00EF411F"/>
    <w:rsid w:val="00EF456C"/>
    <w:rsid w:val="00EF47F2"/>
    <w:rsid w:val="00EF4A82"/>
    <w:rsid w:val="00EF4C9D"/>
    <w:rsid w:val="00EF4FD4"/>
    <w:rsid w:val="00EF5081"/>
    <w:rsid w:val="00EF50E1"/>
    <w:rsid w:val="00EF51C8"/>
    <w:rsid w:val="00EF522C"/>
    <w:rsid w:val="00EF55C0"/>
    <w:rsid w:val="00EF56A5"/>
    <w:rsid w:val="00EF59D9"/>
    <w:rsid w:val="00EF5ACC"/>
    <w:rsid w:val="00EF5C0E"/>
    <w:rsid w:val="00EF5D01"/>
    <w:rsid w:val="00EF5EB6"/>
    <w:rsid w:val="00EF5EFD"/>
    <w:rsid w:val="00EF5F42"/>
    <w:rsid w:val="00EF5F9D"/>
    <w:rsid w:val="00EF6131"/>
    <w:rsid w:val="00EF614C"/>
    <w:rsid w:val="00EF61BF"/>
    <w:rsid w:val="00EF62B6"/>
    <w:rsid w:val="00EF6429"/>
    <w:rsid w:val="00EF6543"/>
    <w:rsid w:val="00EF6D9E"/>
    <w:rsid w:val="00EF73A7"/>
    <w:rsid w:val="00EF73BB"/>
    <w:rsid w:val="00EF75D9"/>
    <w:rsid w:val="00EF78F5"/>
    <w:rsid w:val="00EF7D8D"/>
    <w:rsid w:val="00EF7ECF"/>
    <w:rsid w:val="00F00325"/>
    <w:rsid w:val="00F0062F"/>
    <w:rsid w:val="00F006E4"/>
    <w:rsid w:val="00F008A7"/>
    <w:rsid w:val="00F008AB"/>
    <w:rsid w:val="00F008CF"/>
    <w:rsid w:val="00F00E02"/>
    <w:rsid w:val="00F00EC7"/>
    <w:rsid w:val="00F00FE0"/>
    <w:rsid w:val="00F010DA"/>
    <w:rsid w:val="00F01364"/>
    <w:rsid w:val="00F01386"/>
    <w:rsid w:val="00F013CC"/>
    <w:rsid w:val="00F013F9"/>
    <w:rsid w:val="00F015D7"/>
    <w:rsid w:val="00F01D6D"/>
    <w:rsid w:val="00F01DB8"/>
    <w:rsid w:val="00F01E18"/>
    <w:rsid w:val="00F01F58"/>
    <w:rsid w:val="00F0207A"/>
    <w:rsid w:val="00F021ED"/>
    <w:rsid w:val="00F021F6"/>
    <w:rsid w:val="00F02548"/>
    <w:rsid w:val="00F02604"/>
    <w:rsid w:val="00F0261D"/>
    <w:rsid w:val="00F0278E"/>
    <w:rsid w:val="00F03116"/>
    <w:rsid w:val="00F03300"/>
    <w:rsid w:val="00F03480"/>
    <w:rsid w:val="00F03525"/>
    <w:rsid w:val="00F0368D"/>
    <w:rsid w:val="00F0378C"/>
    <w:rsid w:val="00F037FD"/>
    <w:rsid w:val="00F0394D"/>
    <w:rsid w:val="00F039D3"/>
    <w:rsid w:val="00F03BD8"/>
    <w:rsid w:val="00F03CCF"/>
    <w:rsid w:val="00F03FC7"/>
    <w:rsid w:val="00F03FD2"/>
    <w:rsid w:val="00F04284"/>
    <w:rsid w:val="00F04817"/>
    <w:rsid w:val="00F04976"/>
    <w:rsid w:val="00F04A1F"/>
    <w:rsid w:val="00F04D38"/>
    <w:rsid w:val="00F04F99"/>
    <w:rsid w:val="00F04FB2"/>
    <w:rsid w:val="00F05039"/>
    <w:rsid w:val="00F0518D"/>
    <w:rsid w:val="00F05258"/>
    <w:rsid w:val="00F0563C"/>
    <w:rsid w:val="00F05659"/>
    <w:rsid w:val="00F057C8"/>
    <w:rsid w:val="00F058CD"/>
    <w:rsid w:val="00F05A02"/>
    <w:rsid w:val="00F05B99"/>
    <w:rsid w:val="00F060C2"/>
    <w:rsid w:val="00F063D1"/>
    <w:rsid w:val="00F064D0"/>
    <w:rsid w:val="00F067A6"/>
    <w:rsid w:val="00F06F86"/>
    <w:rsid w:val="00F070F2"/>
    <w:rsid w:val="00F07242"/>
    <w:rsid w:val="00F0749F"/>
    <w:rsid w:val="00F07648"/>
    <w:rsid w:val="00F079CB"/>
    <w:rsid w:val="00F07A83"/>
    <w:rsid w:val="00F07B09"/>
    <w:rsid w:val="00F07D45"/>
    <w:rsid w:val="00F10092"/>
    <w:rsid w:val="00F101C3"/>
    <w:rsid w:val="00F10335"/>
    <w:rsid w:val="00F1036D"/>
    <w:rsid w:val="00F10439"/>
    <w:rsid w:val="00F1046C"/>
    <w:rsid w:val="00F10636"/>
    <w:rsid w:val="00F1093C"/>
    <w:rsid w:val="00F10944"/>
    <w:rsid w:val="00F10ADF"/>
    <w:rsid w:val="00F10CA6"/>
    <w:rsid w:val="00F1127C"/>
    <w:rsid w:val="00F114E3"/>
    <w:rsid w:val="00F11538"/>
    <w:rsid w:val="00F11726"/>
    <w:rsid w:val="00F11926"/>
    <w:rsid w:val="00F11A0E"/>
    <w:rsid w:val="00F11B20"/>
    <w:rsid w:val="00F11B72"/>
    <w:rsid w:val="00F11BA1"/>
    <w:rsid w:val="00F11DCB"/>
    <w:rsid w:val="00F1215F"/>
    <w:rsid w:val="00F125DF"/>
    <w:rsid w:val="00F12653"/>
    <w:rsid w:val="00F1273C"/>
    <w:rsid w:val="00F129BD"/>
    <w:rsid w:val="00F12CDF"/>
    <w:rsid w:val="00F12FF7"/>
    <w:rsid w:val="00F1351C"/>
    <w:rsid w:val="00F137AF"/>
    <w:rsid w:val="00F1384C"/>
    <w:rsid w:val="00F1391F"/>
    <w:rsid w:val="00F139D7"/>
    <w:rsid w:val="00F13CED"/>
    <w:rsid w:val="00F13D90"/>
    <w:rsid w:val="00F13F51"/>
    <w:rsid w:val="00F140EE"/>
    <w:rsid w:val="00F14197"/>
    <w:rsid w:val="00F14366"/>
    <w:rsid w:val="00F143F7"/>
    <w:rsid w:val="00F14610"/>
    <w:rsid w:val="00F1465B"/>
    <w:rsid w:val="00F14861"/>
    <w:rsid w:val="00F149B5"/>
    <w:rsid w:val="00F149E3"/>
    <w:rsid w:val="00F14B57"/>
    <w:rsid w:val="00F15177"/>
    <w:rsid w:val="00F15355"/>
    <w:rsid w:val="00F1539B"/>
    <w:rsid w:val="00F153CB"/>
    <w:rsid w:val="00F15444"/>
    <w:rsid w:val="00F158E9"/>
    <w:rsid w:val="00F15B15"/>
    <w:rsid w:val="00F160A6"/>
    <w:rsid w:val="00F16339"/>
    <w:rsid w:val="00F163BC"/>
    <w:rsid w:val="00F16473"/>
    <w:rsid w:val="00F164F6"/>
    <w:rsid w:val="00F1680B"/>
    <w:rsid w:val="00F1689D"/>
    <w:rsid w:val="00F16BF8"/>
    <w:rsid w:val="00F16DED"/>
    <w:rsid w:val="00F174EA"/>
    <w:rsid w:val="00F17553"/>
    <w:rsid w:val="00F1774D"/>
    <w:rsid w:val="00F17AC5"/>
    <w:rsid w:val="00F17B7B"/>
    <w:rsid w:val="00F17CD3"/>
    <w:rsid w:val="00F17D5F"/>
    <w:rsid w:val="00F17DF4"/>
    <w:rsid w:val="00F200CF"/>
    <w:rsid w:val="00F20441"/>
    <w:rsid w:val="00F20B25"/>
    <w:rsid w:val="00F211EC"/>
    <w:rsid w:val="00F21313"/>
    <w:rsid w:val="00F213A1"/>
    <w:rsid w:val="00F2149C"/>
    <w:rsid w:val="00F21A34"/>
    <w:rsid w:val="00F21B52"/>
    <w:rsid w:val="00F21CE3"/>
    <w:rsid w:val="00F21F37"/>
    <w:rsid w:val="00F22403"/>
    <w:rsid w:val="00F2257A"/>
    <w:rsid w:val="00F227F0"/>
    <w:rsid w:val="00F22932"/>
    <w:rsid w:val="00F22A3A"/>
    <w:rsid w:val="00F23046"/>
    <w:rsid w:val="00F23133"/>
    <w:rsid w:val="00F236B8"/>
    <w:rsid w:val="00F236BA"/>
    <w:rsid w:val="00F2389A"/>
    <w:rsid w:val="00F23C05"/>
    <w:rsid w:val="00F23CE5"/>
    <w:rsid w:val="00F23E62"/>
    <w:rsid w:val="00F23FBE"/>
    <w:rsid w:val="00F24306"/>
    <w:rsid w:val="00F24781"/>
    <w:rsid w:val="00F24951"/>
    <w:rsid w:val="00F249EF"/>
    <w:rsid w:val="00F249FA"/>
    <w:rsid w:val="00F24B50"/>
    <w:rsid w:val="00F24E59"/>
    <w:rsid w:val="00F25259"/>
    <w:rsid w:val="00F252F7"/>
    <w:rsid w:val="00F253F5"/>
    <w:rsid w:val="00F2550F"/>
    <w:rsid w:val="00F25568"/>
    <w:rsid w:val="00F255D6"/>
    <w:rsid w:val="00F258B9"/>
    <w:rsid w:val="00F25C37"/>
    <w:rsid w:val="00F25DD3"/>
    <w:rsid w:val="00F25E52"/>
    <w:rsid w:val="00F25EEE"/>
    <w:rsid w:val="00F260EC"/>
    <w:rsid w:val="00F263D1"/>
    <w:rsid w:val="00F26453"/>
    <w:rsid w:val="00F264FD"/>
    <w:rsid w:val="00F26510"/>
    <w:rsid w:val="00F265A4"/>
    <w:rsid w:val="00F265D1"/>
    <w:rsid w:val="00F2695B"/>
    <w:rsid w:val="00F26C69"/>
    <w:rsid w:val="00F26CCF"/>
    <w:rsid w:val="00F26DC7"/>
    <w:rsid w:val="00F26E1B"/>
    <w:rsid w:val="00F26ED3"/>
    <w:rsid w:val="00F2715D"/>
    <w:rsid w:val="00F27629"/>
    <w:rsid w:val="00F27D3A"/>
    <w:rsid w:val="00F27ECB"/>
    <w:rsid w:val="00F27F70"/>
    <w:rsid w:val="00F3017C"/>
    <w:rsid w:val="00F30214"/>
    <w:rsid w:val="00F30300"/>
    <w:rsid w:val="00F3038E"/>
    <w:rsid w:val="00F308F5"/>
    <w:rsid w:val="00F308FB"/>
    <w:rsid w:val="00F30921"/>
    <w:rsid w:val="00F30A8B"/>
    <w:rsid w:val="00F30C0F"/>
    <w:rsid w:val="00F30FFB"/>
    <w:rsid w:val="00F310F9"/>
    <w:rsid w:val="00F31291"/>
    <w:rsid w:val="00F31415"/>
    <w:rsid w:val="00F316B3"/>
    <w:rsid w:val="00F31800"/>
    <w:rsid w:val="00F318FB"/>
    <w:rsid w:val="00F319F9"/>
    <w:rsid w:val="00F31A03"/>
    <w:rsid w:val="00F31A7D"/>
    <w:rsid w:val="00F31BB1"/>
    <w:rsid w:val="00F31C35"/>
    <w:rsid w:val="00F31F00"/>
    <w:rsid w:val="00F320AA"/>
    <w:rsid w:val="00F32391"/>
    <w:rsid w:val="00F323B9"/>
    <w:rsid w:val="00F32441"/>
    <w:rsid w:val="00F32625"/>
    <w:rsid w:val="00F32627"/>
    <w:rsid w:val="00F32692"/>
    <w:rsid w:val="00F327F9"/>
    <w:rsid w:val="00F32ABC"/>
    <w:rsid w:val="00F32CD7"/>
    <w:rsid w:val="00F32F08"/>
    <w:rsid w:val="00F33120"/>
    <w:rsid w:val="00F3313D"/>
    <w:rsid w:val="00F33153"/>
    <w:rsid w:val="00F334D6"/>
    <w:rsid w:val="00F3358B"/>
    <w:rsid w:val="00F33803"/>
    <w:rsid w:val="00F33859"/>
    <w:rsid w:val="00F33C23"/>
    <w:rsid w:val="00F33C29"/>
    <w:rsid w:val="00F33D8C"/>
    <w:rsid w:val="00F3496F"/>
    <w:rsid w:val="00F34971"/>
    <w:rsid w:val="00F34A04"/>
    <w:rsid w:val="00F35623"/>
    <w:rsid w:val="00F35630"/>
    <w:rsid w:val="00F359B8"/>
    <w:rsid w:val="00F35AE7"/>
    <w:rsid w:val="00F35C53"/>
    <w:rsid w:val="00F35CD3"/>
    <w:rsid w:val="00F35D1A"/>
    <w:rsid w:val="00F36017"/>
    <w:rsid w:val="00F362B1"/>
    <w:rsid w:val="00F362F7"/>
    <w:rsid w:val="00F363F3"/>
    <w:rsid w:val="00F36567"/>
    <w:rsid w:val="00F368AE"/>
    <w:rsid w:val="00F36952"/>
    <w:rsid w:val="00F36A0E"/>
    <w:rsid w:val="00F36C1B"/>
    <w:rsid w:val="00F36D4E"/>
    <w:rsid w:val="00F37636"/>
    <w:rsid w:val="00F3769E"/>
    <w:rsid w:val="00F376B8"/>
    <w:rsid w:val="00F377CB"/>
    <w:rsid w:val="00F37A84"/>
    <w:rsid w:val="00F37F5A"/>
    <w:rsid w:val="00F40049"/>
    <w:rsid w:val="00F40183"/>
    <w:rsid w:val="00F401E5"/>
    <w:rsid w:val="00F40916"/>
    <w:rsid w:val="00F40AB9"/>
    <w:rsid w:val="00F40B3D"/>
    <w:rsid w:val="00F40C39"/>
    <w:rsid w:val="00F40EB1"/>
    <w:rsid w:val="00F40F69"/>
    <w:rsid w:val="00F4142B"/>
    <w:rsid w:val="00F41455"/>
    <w:rsid w:val="00F41489"/>
    <w:rsid w:val="00F416BF"/>
    <w:rsid w:val="00F4179A"/>
    <w:rsid w:val="00F417E7"/>
    <w:rsid w:val="00F41CB0"/>
    <w:rsid w:val="00F41D9F"/>
    <w:rsid w:val="00F41E09"/>
    <w:rsid w:val="00F420AA"/>
    <w:rsid w:val="00F422D2"/>
    <w:rsid w:val="00F4233D"/>
    <w:rsid w:val="00F42ABC"/>
    <w:rsid w:val="00F42D05"/>
    <w:rsid w:val="00F42D27"/>
    <w:rsid w:val="00F4305C"/>
    <w:rsid w:val="00F430B9"/>
    <w:rsid w:val="00F4310D"/>
    <w:rsid w:val="00F43442"/>
    <w:rsid w:val="00F4360B"/>
    <w:rsid w:val="00F43669"/>
    <w:rsid w:val="00F43852"/>
    <w:rsid w:val="00F43FE0"/>
    <w:rsid w:val="00F440E9"/>
    <w:rsid w:val="00F440F2"/>
    <w:rsid w:val="00F4415C"/>
    <w:rsid w:val="00F441C3"/>
    <w:rsid w:val="00F4449B"/>
    <w:rsid w:val="00F4489A"/>
    <w:rsid w:val="00F4490F"/>
    <w:rsid w:val="00F449C9"/>
    <w:rsid w:val="00F44D60"/>
    <w:rsid w:val="00F44DF1"/>
    <w:rsid w:val="00F44E55"/>
    <w:rsid w:val="00F450BB"/>
    <w:rsid w:val="00F45706"/>
    <w:rsid w:val="00F45855"/>
    <w:rsid w:val="00F45D38"/>
    <w:rsid w:val="00F45D7F"/>
    <w:rsid w:val="00F45E8B"/>
    <w:rsid w:val="00F46053"/>
    <w:rsid w:val="00F46069"/>
    <w:rsid w:val="00F46126"/>
    <w:rsid w:val="00F46465"/>
    <w:rsid w:val="00F464B6"/>
    <w:rsid w:val="00F465DC"/>
    <w:rsid w:val="00F468CC"/>
    <w:rsid w:val="00F46969"/>
    <w:rsid w:val="00F46CE1"/>
    <w:rsid w:val="00F46F5C"/>
    <w:rsid w:val="00F470C1"/>
    <w:rsid w:val="00F47140"/>
    <w:rsid w:val="00F4714D"/>
    <w:rsid w:val="00F471EF"/>
    <w:rsid w:val="00F472F1"/>
    <w:rsid w:val="00F4750E"/>
    <w:rsid w:val="00F4754B"/>
    <w:rsid w:val="00F4781B"/>
    <w:rsid w:val="00F47A9F"/>
    <w:rsid w:val="00F47B33"/>
    <w:rsid w:val="00F47B9D"/>
    <w:rsid w:val="00F47CE1"/>
    <w:rsid w:val="00F50269"/>
    <w:rsid w:val="00F50398"/>
    <w:rsid w:val="00F5067D"/>
    <w:rsid w:val="00F507D5"/>
    <w:rsid w:val="00F507FA"/>
    <w:rsid w:val="00F50B7D"/>
    <w:rsid w:val="00F50EAF"/>
    <w:rsid w:val="00F50ECA"/>
    <w:rsid w:val="00F50F91"/>
    <w:rsid w:val="00F50FD1"/>
    <w:rsid w:val="00F5128C"/>
    <w:rsid w:val="00F5151D"/>
    <w:rsid w:val="00F51591"/>
    <w:rsid w:val="00F516ED"/>
    <w:rsid w:val="00F51830"/>
    <w:rsid w:val="00F51860"/>
    <w:rsid w:val="00F519EC"/>
    <w:rsid w:val="00F51B39"/>
    <w:rsid w:val="00F51C93"/>
    <w:rsid w:val="00F52247"/>
    <w:rsid w:val="00F52343"/>
    <w:rsid w:val="00F5237D"/>
    <w:rsid w:val="00F5247C"/>
    <w:rsid w:val="00F52610"/>
    <w:rsid w:val="00F52666"/>
    <w:rsid w:val="00F52697"/>
    <w:rsid w:val="00F526FF"/>
    <w:rsid w:val="00F5278B"/>
    <w:rsid w:val="00F52CAA"/>
    <w:rsid w:val="00F52EF7"/>
    <w:rsid w:val="00F53134"/>
    <w:rsid w:val="00F5329C"/>
    <w:rsid w:val="00F532B9"/>
    <w:rsid w:val="00F5330E"/>
    <w:rsid w:val="00F53456"/>
    <w:rsid w:val="00F5347D"/>
    <w:rsid w:val="00F5357E"/>
    <w:rsid w:val="00F53582"/>
    <w:rsid w:val="00F53696"/>
    <w:rsid w:val="00F537E8"/>
    <w:rsid w:val="00F538C0"/>
    <w:rsid w:val="00F538ED"/>
    <w:rsid w:val="00F5408D"/>
    <w:rsid w:val="00F5422E"/>
    <w:rsid w:val="00F54449"/>
    <w:rsid w:val="00F54468"/>
    <w:rsid w:val="00F545CE"/>
    <w:rsid w:val="00F5486B"/>
    <w:rsid w:val="00F54BD1"/>
    <w:rsid w:val="00F54E30"/>
    <w:rsid w:val="00F5510B"/>
    <w:rsid w:val="00F55397"/>
    <w:rsid w:val="00F5570A"/>
    <w:rsid w:val="00F55925"/>
    <w:rsid w:val="00F55BD7"/>
    <w:rsid w:val="00F55E7F"/>
    <w:rsid w:val="00F55F1B"/>
    <w:rsid w:val="00F55F62"/>
    <w:rsid w:val="00F5628C"/>
    <w:rsid w:val="00F563ED"/>
    <w:rsid w:val="00F567F2"/>
    <w:rsid w:val="00F569D0"/>
    <w:rsid w:val="00F56C86"/>
    <w:rsid w:val="00F56CDA"/>
    <w:rsid w:val="00F56F7C"/>
    <w:rsid w:val="00F574C7"/>
    <w:rsid w:val="00F57512"/>
    <w:rsid w:val="00F5758E"/>
    <w:rsid w:val="00F57747"/>
    <w:rsid w:val="00F578EB"/>
    <w:rsid w:val="00F57D22"/>
    <w:rsid w:val="00F57D43"/>
    <w:rsid w:val="00F57E92"/>
    <w:rsid w:val="00F6015D"/>
    <w:rsid w:val="00F604F3"/>
    <w:rsid w:val="00F6052E"/>
    <w:rsid w:val="00F60595"/>
    <w:rsid w:val="00F605CF"/>
    <w:rsid w:val="00F6086C"/>
    <w:rsid w:val="00F6090D"/>
    <w:rsid w:val="00F6099E"/>
    <w:rsid w:val="00F60F8B"/>
    <w:rsid w:val="00F60FA2"/>
    <w:rsid w:val="00F6102A"/>
    <w:rsid w:val="00F61103"/>
    <w:rsid w:val="00F61481"/>
    <w:rsid w:val="00F61489"/>
    <w:rsid w:val="00F616DE"/>
    <w:rsid w:val="00F617DB"/>
    <w:rsid w:val="00F61C85"/>
    <w:rsid w:val="00F625F5"/>
    <w:rsid w:val="00F627AD"/>
    <w:rsid w:val="00F628AB"/>
    <w:rsid w:val="00F62A21"/>
    <w:rsid w:val="00F62AEB"/>
    <w:rsid w:val="00F62D3E"/>
    <w:rsid w:val="00F62D85"/>
    <w:rsid w:val="00F62DB3"/>
    <w:rsid w:val="00F62FD1"/>
    <w:rsid w:val="00F6303C"/>
    <w:rsid w:val="00F6305F"/>
    <w:rsid w:val="00F6325A"/>
    <w:rsid w:val="00F6342B"/>
    <w:rsid w:val="00F634A6"/>
    <w:rsid w:val="00F635DB"/>
    <w:rsid w:val="00F635E9"/>
    <w:rsid w:val="00F63C50"/>
    <w:rsid w:val="00F6405A"/>
    <w:rsid w:val="00F6413E"/>
    <w:rsid w:val="00F6417E"/>
    <w:rsid w:val="00F64188"/>
    <w:rsid w:val="00F64483"/>
    <w:rsid w:val="00F647D3"/>
    <w:rsid w:val="00F647E9"/>
    <w:rsid w:val="00F649BD"/>
    <w:rsid w:val="00F64AE5"/>
    <w:rsid w:val="00F64E7D"/>
    <w:rsid w:val="00F64F38"/>
    <w:rsid w:val="00F652F0"/>
    <w:rsid w:val="00F65307"/>
    <w:rsid w:val="00F6553F"/>
    <w:rsid w:val="00F655C6"/>
    <w:rsid w:val="00F655C9"/>
    <w:rsid w:val="00F65820"/>
    <w:rsid w:val="00F659D2"/>
    <w:rsid w:val="00F65AD5"/>
    <w:rsid w:val="00F65B11"/>
    <w:rsid w:val="00F65BC0"/>
    <w:rsid w:val="00F65C24"/>
    <w:rsid w:val="00F65CE7"/>
    <w:rsid w:val="00F65EB0"/>
    <w:rsid w:val="00F6611B"/>
    <w:rsid w:val="00F66357"/>
    <w:rsid w:val="00F6643B"/>
    <w:rsid w:val="00F665C3"/>
    <w:rsid w:val="00F666C4"/>
    <w:rsid w:val="00F6687D"/>
    <w:rsid w:val="00F66A50"/>
    <w:rsid w:val="00F67166"/>
    <w:rsid w:val="00F6749F"/>
    <w:rsid w:val="00F67798"/>
    <w:rsid w:val="00F6790D"/>
    <w:rsid w:val="00F67B03"/>
    <w:rsid w:val="00F67B0A"/>
    <w:rsid w:val="00F67C61"/>
    <w:rsid w:val="00F67C67"/>
    <w:rsid w:val="00F67D02"/>
    <w:rsid w:val="00F7021A"/>
    <w:rsid w:val="00F7069E"/>
    <w:rsid w:val="00F706B6"/>
    <w:rsid w:val="00F706D1"/>
    <w:rsid w:val="00F70C03"/>
    <w:rsid w:val="00F70D3B"/>
    <w:rsid w:val="00F70E24"/>
    <w:rsid w:val="00F70FCB"/>
    <w:rsid w:val="00F71113"/>
    <w:rsid w:val="00F71330"/>
    <w:rsid w:val="00F71390"/>
    <w:rsid w:val="00F7155E"/>
    <w:rsid w:val="00F71748"/>
    <w:rsid w:val="00F717EA"/>
    <w:rsid w:val="00F71808"/>
    <w:rsid w:val="00F7194B"/>
    <w:rsid w:val="00F71C61"/>
    <w:rsid w:val="00F71D66"/>
    <w:rsid w:val="00F71E91"/>
    <w:rsid w:val="00F72091"/>
    <w:rsid w:val="00F720DB"/>
    <w:rsid w:val="00F726BF"/>
    <w:rsid w:val="00F72A2D"/>
    <w:rsid w:val="00F72B41"/>
    <w:rsid w:val="00F72D7C"/>
    <w:rsid w:val="00F72DE1"/>
    <w:rsid w:val="00F72F6A"/>
    <w:rsid w:val="00F72F83"/>
    <w:rsid w:val="00F73314"/>
    <w:rsid w:val="00F733ED"/>
    <w:rsid w:val="00F738AE"/>
    <w:rsid w:val="00F73B53"/>
    <w:rsid w:val="00F73D7C"/>
    <w:rsid w:val="00F73FC0"/>
    <w:rsid w:val="00F74064"/>
    <w:rsid w:val="00F7433C"/>
    <w:rsid w:val="00F746F6"/>
    <w:rsid w:val="00F74757"/>
    <w:rsid w:val="00F74D43"/>
    <w:rsid w:val="00F74D9B"/>
    <w:rsid w:val="00F751C0"/>
    <w:rsid w:val="00F75535"/>
    <w:rsid w:val="00F75581"/>
    <w:rsid w:val="00F755AD"/>
    <w:rsid w:val="00F75678"/>
    <w:rsid w:val="00F759D0"/>
    <w:rsid w:val="00F75C81"/>
    <w:rsid w:val="00F75D5E"/>
    <w:rsid w:val="00F76004"/>
    <w:rsid w:val="00F760A1"/>
    <w:rsid w:val="00F761C7"/>
    <w:rsid w:val="00F76264"/>
    <w:rsid w:val="00F76809"/>
    <w:rsid w:val="00F7687F"/>
    <w:rsid w:val="00F769C8"/>
    <w:rsid w:val="00F769D9"/>
    <w:rsid w:val="00F76B1F"/>
    <w:rsid w:val="00F76B68"/>
    <w:rsid w:val="00F76E8C"/>
    <w:rsid w:val="00F77018"/>
    <w:rsid w:val="00F77033"/>
    <w:rsid w:val="00F7714C"/>
    <w:rsid w:val="00F77263"/>
    <w:rsid w:val="00F773BF"/>
    <w:rsid w:val="00F7745F"/>
    <w:rsid w:val="00F776C7"/>
    <w:rsid w:val="00F778CE"/>
    <w:rsid w:val="00F77A9A"/>
    <w:rsid w:val="00F77C2E"/>
    <w:rsid w:val="00F77E93"/>
    <w:rsid w:val="00F77EA0"/>
    <w:rsid w:val="00F77F4D"/>
    <w:rsid w:val="00F8013A"/>
    <w:rsid w:val="00F8014E"/>
    <w:rsid w:val="00F8021A"/>
    <w:rsid w:val="00F802BB"/>
    <w:rsid w:val="00F80937"/>
    <w:rsid w:val="00F809C9"/>
    <w:rsid w:val="00F80A3E"/>
    <w:rsid w:val="00F80A96"/>
    <w:rsid w:val="00F80D76"/>
    <w:rsid w:val="00F80F31"/>
    <w:rsid w:val="00F811CC"/>
    <w:rsid w:val="00F81259"/>
    <w:rsid w:val="00F812F3"/>
    <w:rsid w:val="00F81327"/>
    <w:rsid w:val="00F81B4C"/>
    <w:rsid w:val="00F81C29"/>
    <w:rsid w:val="00F8204D"/>
    <w:rsid w:val="00F82187"/>
    <w:rsid w:val="00F82639"/>
    <w:rsid w:val="00F82699"/>
    <w:rsid w:val="00F8280E"/>
    <w:rsid w:val="00F82978"/>
    <w:rsid w:val="00F83246"/>
    <w:rsid w:val="00F832D2"/>
    <w:rsid w:val="00F8371D"/>
    <w:rsid w:val="00F8374D"/>
    <w:rsid w:val="00F83BA3"/>
    <w:rsid w:val="00F83DA2"/>
    <w:rsid w:val="00F83E31"/>
    <w:rsid w:val="00F83E3D"/>
    <w:rsid w:val="00F83EAE"/>
    <w:rsid w:val="00F84060"/>
    <w:rsid w:val="00F84063"/>
    <w:rsid w:val="00F840D6"/>
    <w:rsid w:val="00F84280"/>
    <w:rsid w:val="00F84607"/>
    <w:rsid w:val="00F84A93"/>
    <w:rsid w:val="00F84D1E"/>
    <w:rsid w:val="00F85044"/>
    <w:rsid w:val="00F85144"/>
    <w:rsid w:val="00F852C3"/>
    <w:rsid w:val="00F852D1"/>
    <w:rsid w:val="00F85490"/>
    <w:rsid w:val="00F855BD"/>
    <w:rsid w:val="00F855C4"/>
    <w:rsid w:val="00F8566D"/>
    <w:rsid w:val="00F857DC"/>
    <w:rsid w:val="00F85BDB"/>
    <w:rsid w:val="00F85CC0"/>
    <w:rsid w:val="00F85E6B"/>
    <w:rsid w:val="00F86210"/>
    <w:rsid w:val="00F8628B"/>
    <w:rsid w:val="00F86379"/>
    <w:rsid w:val="00F86392"/>
    <w:rsid w:val="00F86459"/>
    <w:rsid w:val="00F86501"/>
    <w:rsid w:val="00F86AC2"/>
    <w:rsid w:val="00F86E02"/>
    <w:rsid w:val="00F86E51"/>
    <w:rsid w:val="00F86FE7"/>
    <w:rsid w:val="00F870A1"/>
    <w:rsid w:val="00F870BB"/>
    <w:rsid w:val="00F87208"/>
    <w:rsid w:val="00F8720D"/>
    <w:rsid w:val="00F87250"/>
    <w:rsid w:val="00F876CF"/>
    <w:rsid w:val="00F87745"/>
    <w:rsid w:val="00F87A38"/>
    <w:rsid w:val="00F87E70"/>
    <w:rsid w:val="00F9035D"/>
    <w:rsid w:val="00F9065F"/>
    <w:rsid w:val="00F9076A"/>
    <w:rsid w:val="00F90787"/>
    <w:rsid w:val="00F90833"/>
    <w:rsid w:val="00F9084A"/>
    <w:rsid w:val="00F91065"/>
    <w:rsid w:val="00F91685"/>
    <w:rsid w:val="00F9196B"/>
    <w:rsid w:val="00F919B8"/>
    <w:rsid w:val="00F91A0C"/>
    <w:rsid w:val="00F91A7E"/>
    <w:rsid w:val="00F91CFE"/>
    <w:rsid w:val="00F91D02"/>
    <w:rsid w:val="00F92095"/>
    <w:rsid w:val="00F9222E"/>
    <w:rsid w:val="00F92415"/>
    <w:rsid w:val="00F924C1"/>
    <w:rsid w:val="00F92791"/>
    <w:rsid w:val="00F929BB"/>
    <w:rsid w:val="00F92A5A"/>
    <w:rsid w:val="00F92BE6"/>
    <w:rsid w:val="00F92C87"/>
    <w:rsid w:val="00F92D0C"/>
    <w:rsid w:val="00F92DFD"/>
    <w:rsid w:val="00F931AF"/>
    <w:rsid w:val="00F937CA"/>
    <w:rsid w:val="00F93BCB"/>
    <w:rsid w:val="00F93C2B"/>
    <w:rsid w:val="00F93E17"/>
    <w:rsid w:val="00F94071"/>
    <w:rsid w:val="00F94083"/>
    <w:rsid w:val="00F942AB"/>
    <w:rsid w:val="00F94370"/>
    <w:rsid w:val="00F94466"/>
    <w:rsid w:val="00F94860"/>
    <w:rsid w:val="00F94CE4"/>
    <w:rsid w:val="00F95083"/>
    <w:rsid w:val="00F95124"/>
    <w:rsid w:val="00F9520B"/>
    <w:rsid w:val="00F95358"/>
    <w:rsid w:val="00F953B3"/>
    <w:rsid w:val="00F95B0E"/>
    <w:rsid w:val="00F95DA3"/>
    <w:rsid w:val="00F95DF4"/>
    <w:rsid w:val="00F960E2"/>
    <w:rsid w:val="00F964A5"/>
    <w:rsid w:val="00F96856"/>
    <w:rsid w:val="00F96EB3"/>
    <w:rsid w:val="00F9717E"/>
    <w:rsid w:val="00F97253"/>
    <w:rsid w:val="00F97340"/>
    <w:rsid w:val="00F975B7"/>
    <w:rsid w:val="00F97740"/>
    <w:rsid w:val="00F97829"/>
    <w:rsid w:val="00F9791E"/>
    <w:rsid w:val="00F9795A"/>
    <w:rsid w:val="00F97B9C"/>
    <w:rsid w:val="00F97BB7"/>
    <w:rsid w:val="00F97F8C"/>
    <w:rsid w:val="00FA006C"/>
    <w:rsid w:val="00FA0326"/>
    <w:rsid w:val="00FA03F1"/>
    <w:rsid w:val="00FA0418"/>
    <w:rsid w:val="00FA0436"/>
    <w:rsid w:val="00FA05B7"/>
    <w:rsid w:val="00FA0701"/>
    <w:rsid w:val="00FA088D"/>
    <w:rsid w:val="00FA0E3B"/>
    <w:rsid w:val="00FA0EBB"/>
    <w:rsid w:val="00FA107D"/>
    <w:rsid w:val="00FA10AF"/>
    <w:rsid w:val="00FA112E"/>
    <w:rsid w:val="00FA12FA"/>
    <w:rsid w:val="00FA134A"/>
    <w:rsid w:val="00FA154D"/>
    <w:rsid w:val="00FA16E5"/>
    <w:rsid w:val="00FA1DFD"/>
    <w:rsid w:val="00FA287F"/>
    <w:rsid w:val="00FA2905"/>
    <w:rsid w:val="00FA2C54"/>
    <w:rsid w:val="00FA2E3E"/>
    <w:rsid w:val="00FA30E0"/>
    <w:rsid w:val="00FA3177"/>
    <w:rsid w:val="00FA3186"/>
    <w:rsid w:val="00FA34A3"/>
    <w:rsid w:val="00FA36C9"/>
    <w:rsid w:val="00FA3960"/>
    <w:rsid w:val="00FA3DEC"/>
    <w:rsid w:val="00FA40DB"/>
    <w:rsid w:val="00FA415F"/>
    <w:rsid w:val="00FA41E2"/>
    <w:rsid w:val="00FA423A"/>
    <w:rsid w:val="00FA44AE"/>
    <w:rsid w:val="00FA4C9A"/>
    <w:rsid w:val="00FA4EEA"/>
    <w:rsid w:val="00FA50C4"/>
    <w:rsid w:val="00FA5162"/>
    <w:rsid w:val="00FA523C"/>
    <w:rsid w:val="00FA535B"/>
    <w:rsid w:val="00FA5410"/>
    <w:rsid w:val="00FA55A6"/>
    <w:rsid w:val="00FA562C"/>
    <w:rsid w:val="00FA5804"/>
    <w:rsid w:val="00FA5F90"/>
    <w:rsid w:val="00FA62DF"/>
    <w:rsid w:val="00FA68FA"/>
    <w:rsid w:val="00FA695D"/>
    <w:rsid w:val="00FA6D1E"/>
    <w:rsid w:val="00FA6DC3"/>
    <w:rsid w:val="00FA72B9"/>
    <w:rsid w:val="00FA755B"/>
    <w:rsid w:val="00FA75B6"/>
    <w:rsid w:val="00FA7943"/>
    <w:rsid w:val="00FA7ABA"/>
    <w:rsid w:val="00FB05A6"/>
    <w:rsid w:val="00FB064D"/>
    <w:rsid w:val="00FB068D"/>
    <w:rsid w:val="00FB0745"/>
    <w:rsid w:val="00FB08FD"/>
    <w:rsid w:val="00FB0A6B"/>
    <w:rsid w:val="00FB11F9"/>
    <w:rsid w:val="00FB1473"/>
    <w:rsid w:val="00FB17DA"/>
    <w:rsid w:val="00FB199C"/>
    <w:rsid w:val="00FB1C7A"/>
    <w:rsid w:val="00FB1F26"/>
    <w:rsid w:val="00FB210B"/>
    <w:rsid w:val="00FB238F"/>
    <w:rsid w:val="00FB253D"/>
    <w:rsid w:val="00FB2897"/>
    <w:rsid w:val="00FB2D96"/>
    <w:rsid w:val="00FB2E12"/>
    <w:rsid w:val="00FB2E1E"/>
    <w:rsid w:val="00FB2F1A"/>
    <w:rsid w:val="00FB314F"/>
    <w:rsid w:val="00FB3283"/>
    <w:rsid w:val="00FB33F6"/>
    <w:rsid w:val="00FB340E"/>
    <w:rsid w:val="00FB3411"/>
    <w:rsid w:val="00FB35DF"/>
    <w:rsid w:val="00FB38E3"/>
    <w:rsid w:val="00FB3A0F"/>
    <w:rsid w:val="00FB3B12"/>
    <w:rsid w:val="00FB4090"/>
    <w:rsid w:val="00FB41BF"/>
    <w:rsid w:val="00FB470A"/>
    <w:rsid w:val="00FB4815"/>
    <w:rsid w:val="00FB486C"/>
    <w:rsid w:val="00FB493E"/>
    <w:rsid w:val="00FB49A8"/>
    <w:rsid w:val="00FB4A33"/>
    <w:rsid w:val="00FB4B6A"/>
    <w:rsid w:val="00FB4FFB"/>
    <w:rsid w:val="00FB51C8"/>
    <w:rsid w:val="00FB5345"/>
    <w:rsid w:val="00FB547B"/>
    <w:rsid w:val="00FB553B"/>
    <w:rsid w:val="00FB58C4"/>
    <w:rsid w:val="00FB58D3"/>
    <w:rsid w:val="00FB59ED"/>
    <w:rsid w:val="00FB59FB"/>
    <w:rsid w:val="00FB5C6A"/>
    <w:rsid w:val="00FB60CC"/>
    <w:rsid w:val="00FB68EE"/>
    <w:rsid w:val="00FB6937"/>
    <w:rsid w:val="00FB6AA3"/>
    <w:rsid w:val="00FB6BB6"/>
    <w:rsid w:val="00FB6CB7"/>
    <w:rsid w:val="00FB6E40"/>
    <w:rsid w:val="00FB6E78"/>
    <w:rsid w:val="00FB6F98"/>
    <w:rsid w:val="00FB720C"/>
    <w:rsid w:val="00FB726B"/>
    <w:rsid w:val="00FB7663"/>
    <w:rsid w:val="00FB79E7"/>
    <w:rsid w:val="00FB7CBE"/>
    <w:rsid w:val="00FC0363"/>
    <w:rsid w:val="00FC04A9"/>
    <w:rsid w:val="00FC0781"/>
    <w:rsid w:val="00FC079C"/>
    <w:rsid w:val="00FC0EA5"/>
    <w:rsid w:val="00FC0F70"/>
    <w:rsid w:val="00FC1026"/>
    <w:rsid w:val="00FC106C"/>
    <w:rsid w:val="00FC109A"/>
    <w:rsid w:val="00FC1368"/>
    <w:rsid w:val="00FC15AD"/>
    <w:rsid w:val="00FC15CC"/>
    <w:rsid w:val="00FC16CA"/>
    <w:rsid w:val="00FC16E7"/>
    <w:rsid w:val="00FC174C"/>
    <w:rsid w:val="00FC1B05"/>
    <w:rsid w:val="00FC21B9"/>
    <w:rsid w:val="00FC232B"/>
    <w:rsid w:val="00FC247F"/>
    <w:rsid w:val="00FC2672"/>
    <w:rsid w:val="00FC2980"/>
    <w:rsid w:val="00FC2B0F"/>
    <w:rsid w:val="00FC3049"/>
    <w:rsid w:val="00FC31EE"/>
    <w:rsid w:val="00FC31FD"/>
    <w:rsid w:val="00FC323A"/>
    <w:rsid w:val="00FC34C4"/>
    <w:rsid w:val="00FC3530"/>
    <w:rsid w:val="00FC3602"/>
    <w:rsid w:val="00FC3625"/>
    <w:rsid w:val="00FC3649"/>
    <w:rsid w:val="00FC3738"/>
    <w:rsid w:val="00FC37FE"/>
    <w:rsid w:val="00FC399D"/>
    <w:rsid w:val="00FC3B7F"/>
    <w:rsid w:val="00FC3CA8"/>
    <w:rsid w:val="00FC3F31"/>
    <w:rsid w:val="00FC40BE"/>
    <w:rsid w:val="00FC4403"/>
    <w:rsid w:val="00FC4462"/>
    <w:rsid w:val="00FC49EB"/>
    <w:rsid w:val="00FC4A8B"/>
    <w:rsid w:val="00FC50A6"/>
    <w:rsid w:val="00FC52A4"/>
    <w:rsid w:val="00FC567C"/>
    <w:rsid w:val="00FC5AD8"/>
    <w:rsid w:val="00FC5CF0"/>
    <w:rsid w:val="00FC5F6E"/>
    <w:rsid w:val="00FC62A7"/>
    <w:rsid w:val="00FC6315"/>
    <w:rsid w:val="00FC65F8"/>
    <w:rsid w:val="00FC684F"/>
    <w:rsid w:val="00FC68C2"/>
    <w:rsid w:val="00FC6907"/>
    <w:rsid w:val="00FC6C25"/>
    <w:rsid w:val="00FC6FA8"/>
    <w:rsid w:val="00FC71BB"/>
    <w:rsid w:val="00FC771A"/>
    <w:rsid w:val="00FC7766"/>
    <w:rsid w:val="00FC7A56"/>
    <w:rsid w:val="00FD0284"/>
    <w:rsid w:val="00FD056A"/>
    <w:rsid w:val="00FD08A6"/>
    <w:rsid w:val="00FD0B76"/>
    <w:rsid w:val="00FD0C14"/>
    <w:rsid w:val="00FD0DEE"/>
    <w:rsid w:val="00FD107C"/>
    <w:rsid w:val="00FD144A"/>
    <w:rsid w:val="00FD19B8"/>
    <w:rsid w:val="00FD1CCB"/>
    <w:rsid w:val="00FD1D08"/>
    <w:rsid w:val="00FD2108"/>
    <w:rsid w:val="00FD222D"/>
    <w:rsid w:val="00FD24EA"/>
    <w:rsid w:val="00FD260C"/>
    <w:rsid w:val="00FD2775"/>
    <w:rsid w:val="00FD28A0"/>
    <w:rsid w:val="00FD2B2A"/>
    <w:rsid w:val="00FD2D3D"/>
    <w:rsid w:val="00FD3455"/>
    <w:rsid w:val="00FD3522"/>
    <w:rsid w:val="00FD3650"/>
    <w:rsid w:val="00FD3733"/>
    <w:rsid w:val="00FD3D6C"/>
    <w:rsid w:val="00FD405A"/>
    <w:rsid w:val="00FD40ED"/>
    <w:rsid w:val="00FD41FE"/>
    <w:rsid w:val="00FD4429"/>
    <w:rsid w:val="00FD446D"/>
    <w:rsid w:val="00FD45A6"/>
    <w:rsid w:val="00FD4603"/>
    <w:rsid w:val="00FD5147"/>
    <w:rsid w:val="00FD517E"/>
    <w:rsid w:val="00FD52D7"/>
    <w:rsid w:val="00FD5442"/>
    <w:rsid w:val="00FD5861"/>
    <w:rsid w:val="00FD5942"/>
    <w:rsid w:val="00FD5947"/>
    <w:rsid w:val="00FD5991"/>
    <w:rsid w:val="00FD5A1A"/>
    <w:rsid w:val="00FD5AEC"/>
    <w:rsid w:val="00FD5B2D"/>
    <w:rsid w:val="00FD5BB1"/>
    <w:rsid w:val="00FD5F93"/>
    <w:rsid w:val="00FD60D7"/>
    <w:rsid w:val="00FD627F"/>
    <w:rsid w:val="00FD63AE"/>
    <w:rsid w:val="00FD63F3"/>
    <w:rsid w:val="00FD6944"/>
    <w:rsid w:val="00FD6984"/>
    <w:rsid w:val="00FD6BAA"/>
    <w:rsid w:val="00FD6FC6"/>
    <w:rsid w:val="00FD72AB"/>
    <w:rsid w:val="00FD73D9"/>
    <w:rsid w:val="00FD765E"/>
    <w:rsid w:val="00FD76C8"/>
    <w:rsid w:val="00FD79B6"/>
    <w:rsid w:val="00FD79C8"/>
    <w:rsid w:val="00FD7A7E"/>
    <w:rsid w:val="00FD7EF1"/>
    <w:rsid w:val="00FE0112"/>
    <w:rsid w:val="00FE0346"/>
    <w:rsid w:val="00FE056A"/>
    <w:rsid w:val="00FE0729"/>
    <w:rsid w:val="00FE07A9"/>
    <w:rsid w:val="00FE09DC"/>
    <w:rsid w:val="00FE0BA5"/>
    <w:rsid w:val="00FE1159"/>
    <w:rsid w:val="00FE14D5"/>
    <w:rsid w:val="00FE16C7"/>
    <w:rsid w:val="00FE16D5"/>
    <w:rsid w:val="00FE1781"/>
    <w:rsid w:val="00FE17FC"/>
    <w:rsid w:val="00FE198A"/>
    <w:rsid w:val="00FE2010"/>
    <w:rsid w:val="00FE2183"/>
    <w:rsid w:val="00FE247F"/>
    <w:rsid w:val="00FE25E8"/>
    <w:rsid w:val="00FE28D5"/>
    <w:rsid w:val="00FE2B3B"/>
    <w:rsid w:val="00FE2BB0"/>
    <w:rsid w:val="00FE3065"/>
    <w:rsid w:val="00FE33B3"/>
    <w:rsid w:val="00FE34ED"/>
    <w:rsid w:val="00FE3646"/>
    <w:rsid w:val="00FE3721"/>
    <w:rsid w:val="00FE38AB"/>
    <w:rsid w:val="00FE3A55"/>
    <w:rsid w:val="00FE3A80"/>
    <w:rsid w:val="00FE3B8F"/>
    <w:rsid w:val="00FE3C62"/>
    <w:rsid w:val="00FE3E12"/>
    <w:rsid w:val="00FE3EEB"/>
    <w:rsid w:val="00FE3EEF"/>
    <w:rsid w:val="00FE3F85"/>
    <w:rsid w:val="00FE425B"/>
    <w:rsid w:val="00FE4374"/>
    <w:rsid w:val="00FE4400"/>
    <w:rsid w:val="00FE4B11"/>
    <w:rsid w:val="00FE4B60"/>
    <w:rsid w:val="00FE4EA1"/>
    <w:rsid w:val="00FE4FF3"/>
    <w:rsid w:val="00FE50BF"/>
    <w:rsid w:val="00FE54B4"/>
    <w:rsid w:val="00FE561F"/>
    <w:rsid w:val="00FE56DF"/>
    <w:rsid w:val="00FE58DA"/>
    <w:rsid w:val="00FE5963"/>
    <w:rsid w:val="00FE5A6B"/>
    <w:rsid w:val="00FE5C32"/>
    <w:rsid w:val="00FE5E14"/>
    <w:rsid w:val="00FE5F2F"/>
    <w:rsid w:val="00FE63A0"/>
    <w:rsid w:val="00FE6592"/>
    <w:rsid w:val="00FE66DB"/>
    <w:rsid w:val="00FE6754"/>
    <w:rsid w:val="00FE67D1"/>
    <w:rsid w:val="00FE68ED"/>
    <w:rsid w:val="00FE6934"/>
    <w:rsid w:val="00FE6B6E"/>
    <w:rsid w:val="00FE6D24"/>
    <w:rsid w:val="00FE6DF3"/>
    <w:rsid w:val="00FE6EAC"/>
    <w:rsid w:val="00FE72F1"/>
    <w:rsid w:val="00FE776C"/>
    <w:rsid w:val="00FE784D"/>
    <w:rsid w:val="00FE7AA2"/>
    <w:rsid w:val="00FE7D72"/>
    <w:rsid w:val="00FE7E60"/>
    <w:rsid w:val="00FF03E6"/>
    <w:rsid w:val="00FF03FE"/>
    <w:rsid w:val="00FF05CF"/>
    <w:rsid w:val="00FF0AB0"/>
    <w:rsid w:val="00FF0EBF"/>
    <w:rsid w:val="00FF10A8"/>
    <w:rsid w:val="00FF147D"/>
    <w:rsid w:val="00FF1757"/>
    <w:rsid w:val="00FF1CC2"/>
    <w:rsid w:val="00FF1CC3"/>
    <w:rsid w:val="00FF1D43"/>
    <w:rsid w:val="00FF20DC"/>
    <w:rsid w:val="00FF2313"/>
    <w:rsid w:val="00FF25F0"/>
    <w:rsid w:val="00FF2899"/>
    <w:rsid w:val="00FF2B54"/>
    <w:rsid w:val="00FF2B59"/>
    <w:rsid w:val="00FF2C24"/>
    <w:rsid w:val="00FF2EDF"/>
    <w:rsid w:val="00FF3104"/>
    <w:rsid w:val="00FF31FD"/>
    <w:rsid w:val="00FF3322"/>
    <w:rsid w:val="00FF332D"/>
    <w:rsid w:val="00FF3410"/>
    <w:rsid w:val="00FF3717"/>
    <w:rsid w:val="00FF37A1"/>
    <w:rsid w:val="00FF37D1"/>
    <w:rsid w:val="00FF3830"/>
    <w:rsid w:val="00FF39A8"/>
    <w:rsid w:val="00FF3AE9"/>
    <w:rsid w:val="00FF3C4F"/>
    <w:rsid w:val="00FF3ECC"/>
    <w:rsid w:val="00FF3F89"/>
    <w:rsid w:val="00FF404D"/>
    <w:rsid w:val="00FF4646"/>
    <w:rsid w:val="00FF46FD"/>
    <w:rsid w:val="00FF4756"/>
    <w:rsid w:val="00FF4935"/>
    <w:rsid w:val="00FF4945"/>
    <w:rsid w:val="00FF4B14"/>
    <w:rsid w:val="00FF4CAC"/>
    <w:rsid w:val="00FF4D08"/>
    <w:rsid w:val="00FF4EE9"/>
    <w:rsid w:val="00FF4F1E"/>
    <w:rsid w:val="00FF50B9"/>
    <w:rsid w:val="00FF5191"/>
    <w:rsid w:val="00FF5379"/>
    <w:rsid w:val="00FF5881"/>
    <w:rsid w:val="00FF58A1"/>
    <w:rsid w:val="00FF597B"/>
    <w:rsid w:val="00FF5A44"/>
    <w:rsid w:val="00FF5A6F"/>
    <w:rsid w:val="00FF5B68"/>
    <w:rsid w:val="00FF5E98"/>
    <w:rsid w:val="00FF60B0"/>
    <w:rsid w:val="00FF62F1"/>
    <w:rsid w:val="00FF65FB"/>
    <w:rsid w:val="00FF67A7"/>
    <w:rsid w:val="00FF687D"/>
    <w:rsid w:val="00FF68D0"/>
    <w:rsid w:val="00FF69F0"/>
    <w:rsid w:val="00FF69F2"/>
    <w:rsid w:val="00FF6A08"/>
    <w:rsid w:val="00FF6A5F"/>
    <w:rsid w:val="00FF6C44"/>
    <w:rsid w:val="00FF6CD2"/>
    <w:rsid w:val="00FF6D77"/>
    <w:rsid w:val="00FF6E2D"/>
    <w:rsid w:val="00FF6EE5"/>
    <w:rsid w:val="00FF7143"/>
    <w:rsid w:val="00FF722F"/>
    <w:rsid w:val="00FF74DE"/>
    <w:rsid w:val="00FF7608"/>
    <w:rsid w:val="00FF7884"/>
    <w:rsid w:val="00FF7B5C"/>
    <w:rsid w:val="00FF7C86"/>
    <w:rsid w:val="00FF7F00"/>
    <w:rsid w:val="0141968C"/>
    <w:rsid w:val="02E602B4"/>
    <w:rsid w:val="0306DF63"/>
    <w:rsid w:val="0344562C"/>
    <w:rsid w:val="041F86F8"/>
    <w:rsid w:val="04510897"/>
    <w:rsid w:val="058CE89F"/>
    <w:rsid w:val="067EB965"/>
    <w:rsid w:val="06AB354C"/>
    <w:rsid w:val="0788E7FB"/>
    <w:rsid w:val="08637CF8"/>
    <w:rsid w:val="08A1CFB6"/>
    <w:rsid w:val="091E8303"/>
    <w:rsid w:val="0979DF7D"/>
    <w:rsid w:val="0A2C6953"/>
    <w:rsid w:val="0AE744E1"/>
    <w:rsid w:val="0B289926"/>
    <w:rsid w:val="0D26D3B4"/>
    <w:rsid w:val="0E87F8F4"/>
    <w:rsid w:val="0EDE38FE"/>
    <w:rsid w:val="100766F6"/>
    <w:rsid w:val="11C47610"/>
    <w:rsid w:val="120FDDF1"/>
    <w:rsid w:val="12C47724"/>
    <w:rsid w:val="131E6C18"/>
    <w:rsid w:val="13D1794A"/>
    <w:rsid w:val="17497AA9"/>
    <w:rsid w:val="17BD3206"/>
    <w:rsid w:val="17E1EA7A"/>
    <w:rsid w:val="19023ED2"/>
    <w:rsid w:val="1AA4995F"/>
    <w:rsid w:val="1AD6E0A1"/>
    <w:rsid w:val="1B2D6393"/>
    <w:rsid w:val="1B69B7A9"/>
    <w:rsid w:val="1B9C8950"/>
    <w:rsid w:val="1BA9DE66"/>
    <w:rsid w:val="1C8F88AE"/>
    <w:rsid w:val="1CFCA6A8"/>
    <w:rsid w:val="1D1C9655"/>
    <w:rsid w:val="1DE0923E"/>
    <w:rsid w:val="1E0FFEAC"/>
    <w:rsid w:val="1E174404"/>
    <w:rsid w:val="1F2EBEFB"/>
    <w:rsid w:val="214A5DAC"/>
    <w:rsid w:val="22B457CD"/>
    <w:rsid w:val="2332D10E"/>
    <w:rsid w:val="25B87B66"/>
    <w:rsid w:val="26E6738E"/>
    <w:rsid w:val="271D2163"/>
    <w:rsid w:val="27EC6B47"/>
    <w:rsid w:val="286B3A92"/>
    <w:rsid w:val="2874FC03"/>
    <w:rsid w:val="290CA688"/>
    <w:rsid w:val="2AA8E641"/>
    <w:rsid w:val="2B379B84"/>
    <w:rsid w:val="2CE40E37"/>
    <w:rsid w:val="2E00AC71"/>
    <w:rsid w:val="2E5943B7"/>
    <w:rsid w:val="30425DB2"/>
    <w:rsid w:val="312A9BF5"/>
    <w:rsid w:val="32F459A0"/>
    <w:rsid w:val="3311141F"/>
    <w:rsid w:val="358AED6A"/>
    <w:rsid w:val="35A5F8F8"/>
    <w:rsid w:val="35AF6B9B"/>
    <w:rsid w:val="36DBCA35"/>
    <w:rsid w:val="38E4D323"/>
    <w:rsid w:val="38EA002B"/>
    <w:rsid w:val="39372438"/>
    <w:rsid w:val="3B2F8089"/>
    <w:rsid w:val="3EEF4A69"/>
    <w:rsid w:val="3F7290B6"/>
    <w:rsid w:val="3FA470F3"/>
    <w:rsid w:val="4023915E"/>
    <w:rsid w:val="4059ECCD"/>
    <w:rsid w:val="41050C87"/>
    <w:rsid w:val="4139C2AC"/>
    <w:rsid w:val="41A5A7B1"/>
    <w:rsid w:val="43018179"/>
    <w:rsid w:val="4319002C"/>
    <w:rsid w:val="445CBD9E"/>
    <w:rsid w:val="449E6919"/>
    <w:rsid w:val="44C3CD45"/>
    <w:rsid w:val="456DBE6A"/>
    <w:rsid w:val="45BD2580"/>
    <w:rsid w:val="4725BEC2"/>
    <w:rsid w:val="473C3AE3"/>
    <w:rsid w:val="47A366F9"/>
    <w:rsid w:val="47D06F5F"/>
    <w:rsid w:val="4828CF9E"/>
    <w:rsid w:val="4834C5D4"/>
    <w:rsid w:val="48F01BB5"/>
    <w:rsid w:val="49B1B7A6"/>
    <w:rsid w:val="4A9EDBC5"/>
    <w:rsid w:val="4B705D16"/>
    <w:rsid w:val="4BAD97E0"/>
    <w:rsid w:val="4CEBB935"/>
    <w:rsid w:val="4D5B14B4"/>
    <w:rsid w:val="4E45FF13"/>
    <w:rsid w:val="4F658ABA"/>
    <w:rsid w:val="4F903019"/>
    <w:rsid w:val="504A31D0"/>
    <w:rsid w:val="5060B965"/>
    <w:rsid w:val="51730506"/>
    <w:rsid w:val="51C0CD3E"/>
    <w:rsid w:val="52318B80"/>
    <w:rsid w:val="52F2B8CF"/>
    <w:rsid w:val="54E76A39"/>
    <w:rsid w:val="55DC63FD"/>
    <w:rsid w:val="56ABDEC6"/>
    <w:rsid w:val="577247F3"/>
    <w:rsid w:val="593ECD4B"/>
    <w:rsid w:val="5A417B8F"/>
    <w:rsid w:val="5B15A6B7"/>
    <w:rsid w:val="5B2A9467"/>
    <w:rsid w:val="5B5DBC8E"/>
    <w:rsid w:val="5D34D622"/>
    <w:rsid w:val="5D9C903B"/>
    <w:rsid w:val="5FA386D3"/>
    <w:rsid w:val="5FE8E1C0"/>
    <w:rsid w:val="6052DA4E"/>
    <w:rsid w:val="60918C09"/>
    <w:rsid w:val="6133FB81"/>
    <w:rsid w:val="613EA9B4"/>
    <w:rsid w:val="617C48A6"/>
    <w:rsid w:val="63CCE331"/>
    <w:rsid w:val="645FCAC2"/>
    <w:rsid w:val="64F172D3"/>
    <w:rsid w:val="650DB48E"/>
    <w:rsid w:val="65511175"/>
    <w:rsid w:val="65FFFE6B"/>
    <w:rsid w:val="670AFCCB"/>
    <w:rsid w:val="67470B94"/>
    <w:rsid w:val="676C5621"/>
    <w:rsid w:val="67850B69"/>
    <w:rsid w:val="67C2A8F3"/>
    <w:rsid w:val="67D4D100"/>
    <w:rsid w:val="68348C8D"/>
    <w:rsid w:val="6A2B866B"/>
    <w:rsid w:val="6A362A4C"/>
    <w:rsid w:val="6AC0252E"/>
    <w:rsid w:val="6AFB8EA9"/>
    <w:rsid w:val="6B299459"/>
    <w:rsid w:val="6BF03A2E"/>
    <w:rsid w:val="6C126588"/>
    <w:rsid w:val="6DCF47EE"/>
    <w:rsid w:val="6DFDEE81"/>
    <w:rsid w:val="6E302232"/>
    <w:rsid w:val="6E47A7B3"/>
    <w:rsid w:val="6FCE8C06"/>
    <w:rsid w:val="703018A2"/>
    <w:rsid w:val="708C5004"/>
    <w:rsid w:val="71152FDE"/>
    <w:rsid w:val="71591B25"/>
    <w:rsid w:val="7178FA20"/>
    <w:rsid w:val="7243D350"/>
    <w:rsid w:val="7283DF22"/>
    <w:rsid w:val="735F9274"/>
    <w:rsid w:val="7371F6CC"/>
    <w:rsid w:val="73ABF135"/>
    <w:rsid w:val="7409EFE0"/>
    <w:rsid w:val="745F0E48"/>
    <w:rsid w:val="75D15DF4"/>
    <w:rsid w:val="7653E1DD"/>
    <w:rsid w:val="773089A9"/>
    <w:rsid w:val="776AE5C1"/>
    <w:rsid w:val="778372CD"/>
    <w:rsid w:val="7784CC81"/>
    <w:rsid w:val="77C0C644"/>
    <w:rsid w:val="79949C1D"/>
    <w:rsid w:val="7B5FC5CF"/>
    <w:rsid w:val="7DC71045"/>
    <w:rsid w:val="7E1CC575"/>
    <w:rsid w:val="7E418B7B"/>
    <w:rsid w:val="7F1AF257"/>
    <w:rsid w:val="7FFA9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E44A3"/>
  <w15:docId w15:val="{9C38BA65-8E45-463A-A4CE-4231FAC6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9" w:qFormat="1"/>
    <w:lsdException w:name="heading 4" w:uiPriority="9"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B85"/>
    <w:pPr>
      <w:spacing w:before="200" w:after="200" w:line="259" w:lineRule="auto"/>
    </w:pPr>
  </w:style>
  <w:style w:type="paragraph" w:styleId="Heading1">
    <w:name w:val="heading 1"/>
    <w:basedOn w:val="Normal"/>
    <w:next w:val="Normal"/>
    <w:link w:val="Heading1Char"/>
    <w:uiPriority w:val="1"/>
    <w:qFormat/>
    <w:rsid w:val="00506A2C"/>
    <w:pPr>
      <w:keepNext/>
      <w:keepLines/>
      <w:pBdr>
        <w:top w:val="single" w:sz="4" w:space="12" w:color="auto"/>
      </w:pBdr>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5D3020"/>
    <w:pPr>
      <w:keepNext/>
      <w:keepLines/>
      <w:numPr>
        <w:numId w:val="2"/>
      </w:numPr>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qFormat/>
    <w:rsid w:val="005D3020"/>
    <w:pPr>
      <w:keepNext/>
      <w:numPr>
        <w:ilvl w:val="1"/>
        <w:numId w:val="2"/>
      </w:numPr>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qFormat/>
    <w:rsid w:val="00E31E37"/>
    <w:pPr>
      <w:keepNext/>
      <w:spacing w:before="240" w:after="60" w:line="240" w:lineRule="auto"/>
      <w:outlineLvl w:val="3"/>
    </w:pPr>
    <w:rPr>
      <w:rFonts w:eastAsiaTheme="majorEastAsia" w:cstheme="majorBidi"/>
      <w:b/>
      <w:bCs/>
      <w:iCs/>
      <w:color w:val="003865" w:themeColor="accent1"/>
      <w:sz w:val="24"/>
      <w:szCs w:val="28"/>
    </w:rPr>
  </w:style>
  <w:style w:type="paragraph" w:styleId="Heading5">
    <w:name w:val="heading 5"/>
    <w:basedOn w:val="Appendix"/>
    <w:next w:val="Normal"/>
    <w:link w:val="Heading5Char"/>
    <w:uiPriority w:val="1"/>
    <w:unhideWhenUsed/>
    <w:qFormat/>
    <w:rsid w:val="00211460"/>
    <w:pPr>
      <w:numPr>
        <w:numId w:val="0"/>
      </w:numPr>
      <w:spacing w:before="240" w:after="120"/>
      <w:ind w:left="1800" w:hanging="1800"/>
      <w:outlineLvl w:val="4"/>
    </w:pPr>
    <w:rPr>
      <w:color w:val="auto"/>
      <w:sz w:val="22"/>
      <w:szCs w:val="22"/>
    </w:rPr>
  </w:style>
  <w:style w:type="paragraph" w:styleId="Heading6">
    <w:name w:val="heading 6"/>
    <w:basedOn w:val="Normal"/>
    <w:next w:val="Normal"/>
    <w:link w:val="Heading6Char"/>
    <w:uiPriority w:val="1"/>
    <w:unhideWhenUsed/>
    <w:rsid w:val="003C033A"/>
    <w:pPr>
      <w:keepNext/>
      <w:keepLines/>
      <w:numPr>
        <w:ilvl w:val="5"/>
        <w:numId w:val="2"/>
      </w:numPr>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numPr>
        <w:ilvl w:val="6"/>
        <w:numId w:val="2"/>
      </w:numPr>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numPr>
        <w:ilvl w:val="7"/>
        <w:numId w:val="2"/>
      </w:numPr>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numPr>
        <w:ilvl w:val="8"/>
        <w:numId w:val="2"/>
      </w:numPr>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12B1B"/>
    <w:rPr>
      <w:b/>
      <w:color w:val="003865"/>
      <w:sz w:val="48"/>
      <w:szCs w:val="48"/>
    </w:rPr>
  </w:style>
  <w:style w:type="character" w:customStyle="1" w:styleId="Heading2Char">
    <w:name w:val="Heading 2 Char"/>
    <w:basedOn w:val="DefaultParagraphFont"/>
    <w:link w:val="Heading2"/>
    <w:uiPriority w:val="1"/>
    <w:rsid w:val="005D3020"/>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5D3020"/>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E31E37"/>
    <w:rPr>
      <w:rFonts w:eastAsiaTheme="majorEastAsia" w:cstheme="majorBidi"/>
      <w:b/>
      <w:bCs/>
      <w:iCs/>
      <w:color w:val="003865" w:themeColor="accent1"/>
      <w:sz w:val="24"/>
      <w:szCs w:val="28"/>
    </w:rPr>
  </w:style>
  <w:style w:type="character" w:customStyle="1" w:styleId="Heading5Char">
    <w:name w:val="Heading 5 Char"/>
    <w:basedOn w:val="DefaultParagraphFont"/>
    <w:link w:val="Heading5"/>
    <w:uiPriority w:val="1"/>
    <w:rsid w:val="00211460"/>
    <w:rPr>
      <w:rFonts w:asciiTheme="minorHAnsi" w:eastAsiaTheme="majorEastAsia" w:hAnsiTheme="minorHAnsi" w:cstheme="majorBidi"/>
      <w:b/>
    </w:rPr>
  </w:style>
  <w:style w:type="character" w:customStyle="1" w:styleId="Heading6Char">
    <w:name w:val="Heading 6 Char"/>
    <w:basedOn w:val="DefaultParagraphFont"/>
    <w:link w:val="Heading6"/>
    <w:uiPriority w:val="1"/>
    <w:rsid w:val="003C033A"/>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EE756C"/>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rsid w:val="001E5ECF"/>
    <w:pPr>
      <w:spacing w:before="0" w:line="240" w:lineRule="auto"/>
    </w:pPr>
  </w:style>
  <w:style w:type="character" w:customStyle="1" w:styleId="FootnoteTextChar">
    <w:name w:val="Footnote Text Char"/>
    <w:basedOn w:val="DefaultParagraphFont"/>
    <w:link w:val="FootnoteText"/>
    <w:uiPriority w:val="99"/>
    <w:rsid w:val="006C0E45"/>
    <w:rPr>
      <w:rFonts w:ascii="Arial" w:hAnsi="Arial"/>
      <w:sz w:val="20"/>
    </w:rPr>
  </w:style>
  <w:style w:type="character" w:styleId="IntenseEmphasis">
    <w:name w:val="Intense Emphasis"/>
    <w:basedOn w:val="DefaultParagraphFont"/>
    <w:uiPriority w:val="2"/>
    <w:qFormat/>
    <w:rsid w:val="00EE756C"/>
    <w:rPr>
      <w:b/>
      <w:i/>
      <w:iCs/>
      <w:color w:val="auto"/>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4418E"/>
    <w:pPr>
      <w:spacing w:line="240" w:lineRule="auto"/>
      <w:jc w:val="center"/>
    </w:pPr>
    <w:rPr>
      <w:szCs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pPr>
        <w:jc w:val="center"/>
      </w:pPr>
      <w:rPr>
        <w:rFonts w:ascii="Calibri" w:hAnsi="Calibri"/>
        <w:b w:val="0"/>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aliases w:val="ICF Exhibit Title"/>
    <w:basedOn w:val="Normal"/>
    <w:next w:val="Normal"/>
    <w:link w:val="CaptionChar"/>
    <w:uiPriority w:val="35"/>
    <w:qFormat/>
    <w:rsid w:val="005E1892"/>
    <w:pPr>
      <w:keepNext/>
      <w:spacing w:after="60" w:line="240" w:lineRule="auto"/>
    </w:pPr>
    <w:rPr>
      <w:b/>
      <w:bCs/>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link w:val="ListParagraphChar"/>
    <w:uiPriority w:val="34"/>
    <w:qFormat/>
    <w:rsid w:val="001F5493"/>
    <w:p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021DF"/>
  </w:style>
  <w:style w:type="paragraph" w:styleId="TOC1">
    <w:name w:val="toc 1"/>
    <w:basedOn w:val="Normal"/>
    <w:next w:val="Normal"/>
    <w:autoRedefine/>
    <w:uiPriority w:val="39"/>
    <w:unhideWhenUsed/>
    <w:rsid w:val="00AE7EC6"/>
    <w:pPr>
      <w:spacing w:after="100"/>
    </w:pPr>
  </w:style>
  <w:style w:type="paragraph" w:styleId="TOC2">
    <w:name w:val="toc 2"/>
    <w:basedOn w:val="Normal"/>
    <w:next w:val="Normal"/>
    <w:autoRedefine/>
    <w:uiPriority w:val="39"/>
    <w:unhideWhenUsed/>
    <w:rsid w:val="00AE7EC6"/>
    <w:pPr>
      <w:spacing w:after="100"/>
      <w:ind w:left="220"/>
    </w:pPr>
  </w:style>
  <w:style w:type="paragraph" w:styleId="TOC3">
    <w:name w:val="toc 3"/>
    <w:basedOn w:val="Normal"/>
    <w:next w:val="Normal"/>
    <w:autoRedefine/>
    <w:uiPriority w:val="39"/>
    <w:unhideWhenUsed/>
    <w:rsid w:val="003C3AD6"/>
    <w:pPr>
      <w:tabs>
        <w:tab w:val="left" w:pos="990"/>
        <w:tab w:val="right" w:leader="dot" w:pos="10070"/>
      </w:tabs>
      <w:spacing w:before="40" w:after="40"/>
      <w:ind w:left="440"/>
    </w:p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E12B1B"/>
    <w:pPr>
      <w:pBdr>
        <w:bottom w:val="single" w:sz="4" w:space="15" w:color="auto"/>
      </w:pBdr>
      <w:jc w:val="right"/>
    </w:pPr>
    <w:rPr>
      <w:color w:val="003865" w:themeColor="accent1"/>
      <w:sz w:val="28"/>
      <w:szCs w:val="28"/>
    </w:rPr>
  </w:style>
  <w:style w:type="paragraph" w:customStyle="1" w:styleId="ReportSubtitle">
    <w:name w:val="Report Subtitle"/>
    <w:basedOn w:val="Normal"/>
    <w:link w:val="ReportSubtitleChar"/>
    <w:qFormat/>
    <w:rsid w:val="00E12B1B"/>
    <w:pPr>
      <w:jc w:val="right"/>
    </w:pPr>
    <w:rPr>
      <w:color w:val="003865" w:themeColor="accent1"/>
      <w:sz w:val="28"/>
      <w:szCs w:val="28"/>
    </w:rPr>
  </w:style>
  <w:style w:type="character" w:customStyle="1" w:styleId="ReportDateChar">
    <w:name w:val="Report Date Char"/>
    <w:basedOn w:val="DefaultParagraphFont"/>
    <w:link w:val="ReportDate"/>
    <w:rsid w:val="00E12B1B"/>
    <w:rPr>
      <w:color w:val="003865" w:themeColor="accent1"/>
      <w:sz w:val="28"/>
      <w:szCs w:val="28"/>
    </w:rPr>
  </w:style>
  <w:style w:type="character" w:customStyle="1" w:styleId="ReportSubtitleChar">
    <w:name w:val="Report Subtitle Char"/>
    <w:basedOn w:val="DefaultParagraphFont"/>
    <w:link w:val="ReportSubtitle"/>
    <w:rsid w:val="00E12B1B"/>
    <w:rPr>
      <w:color w:val="003865" w:themeColor="accent1"/>
      <w:sz w:val="28"/>
      <w:szCs w:val="28"/>
    </w:rPr>
  </w:style>
  <w:style w:type="paragraph" w:styleId="TOCHeading">
    <w:name w:val="TOC Heading"/>
    <w:basedOn w:val="Heading2"/>
    <w:next w:val="Normal"/>
    <w:uiPriority w:val="39"/>
    <w:semiHidden/>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34"/>
    <w:rsid w:val="001F5493"/>
  </w:style>
  <w:style w:type="character" w:styleId="CommentReference">
    <w:name w:val="annotation reference"/>
    <w:basedOn w:val="DefaultParagraphFont"/>
    <w:uiPriority w:val="99"/>
    <w:semiHidden/>
    <w:unhideWhenUsed/>
    <w:rsid w:val="00776DA1"/>
    <w:rPr>
      <w:sz w:val="16"/>
      <w:szCs w:val="16"/>
    </w:rPr>
  </w:style>
  <w:style w:type="paragraph" w:styleId="CommentText">
    <w:name w:val="annotation text"/>
    <w:basedOn w:val="Normal"/>
    <w:link w:val="CommentTextChar"/>
    <w:uiPriority w:val="99"/>
    <w:unhideWhenUsed/>
    <w:rsid w:val="00776DA1"/>
    <w:pPr>
      <w:spacing w:line="240" w:lineRule="auto"/>
    </w:pPr>
    <w:rPr>
      <w:sz w:val="20"/>
      <w:szCs w:val="20"/>
    </w:rPr>
  </w:style>
  <w:style w:type="character" w:customStyle="1" w:styleId="CommentTextChar">
    <w:name w:val="Comment Text Char"/>
    <w:basedOn w:val="DefaultParagraphFont"/>
    <w:link w:val="CommentText"/>
    <w:uiPriority w:val="99"/>
    <w:rsid w:val="00776DA1"/>
    <w:rPr>
      <w:sz w:val="20"/>
      <w:szCs w:val="20"/>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character" w:styleId="UnresolvedMention">
    <w:name w:val="Unresolved Mention"/>
    <w:basedOn w:val="DefaultParagraphFont"/>
    <w:uiPriority w:val="99"/>
    <w:unhideWhenUsed/>
    <w:rsid w:val="004C5F12"/>
    <w:rPr>
      <w:color w:val="605E5C"/>
      <w:shd w:val="clear" w:color="auto" w:fill="E1DFDD"/>
    </w:rPr>
  </w:style>
  <w:style w:type="paragraph" w:customStyle="1" w:styleId="Default">
    <w:name w:val="Default"/>
    <w:rsid w:val="002757BA"/>
    <w:pPr>
      <w:autoSpaceDE w:val="0"/>
      <w:autoSpaceDN w:val="0"/>
      <w:adjustRightInd w:val="0"/>
      <w:spacing w:before="0" w:line="240" w:lineRule="auto"/>
    </w:pPr>
    <w:rPr>
      <w:rFonts w:cs="Calibri"/>
      <w:color w:val="000000"/>
      <w:sz w:val="24"/>
      <w:szCs w:val="24"/>
      <w:lang w:bidi="ar-SA"/>
    </w:rPr>
  </w:style>
  <w:style w:type="paragraph" w:styleId="CommentSubject">
    <w:name w:val="annotation subject"/>
    <w:basedOn w:val="CommentText"/>
    <w:next w:val="CommentText"/>
    <w:link w:val="CommentSubjectChar"/>
    <w:semiHidden/>
    <w:unhideWhenUsed/>
    <w:rsid w:val="008051FC"/>
    <w:rPr>
      <w:b/>
      <w:bCs/>
    </w:rPr>
  </w:style>
  <w:style w:type="character" w:customStyle="1" w:styleId="CommentSubjectChar">
    <w:name w:val="Comment Subject Char"/>
    <w:basedOn w:val="CommentTextChar"/>
    <w:link w:val="CommentSubject"/>
    <w:semiHidden/>
    <w:rsid w:val="008051FC"/>
    <w:rPr>
      <w:b/>
      <w:bCs/>
      <w:sz w:val="20"/>
      <w:szCs w:val="20"/>
    </w:rPr>
  </w:style>
  <w:style w:type="paragraph" w:customStyle="1" w:styleId="ICFHeading4">
    <w:name w:val="ICF Heading 4"/>
    <w:basedOn w:val="Normal"/>
    <w:next w:val="Normal"/>
    <w:qFormat/>
    <w:rsid w:val="00955904"/>
    <w:pPr>
      <w:keepNext/>
      <w:spacing w:before="240" w:after="120" w:line="240" w:lineRule="auto"/>
    </w:pPr>
    <w:rPr>
      <w:rFonts w:asciiTheme="minorHAnsi" w:eastAsiaTheme="minorEastAsia" w:hAnsiTheme="minorHAnsi" w:cstheme="minorHAnsi"/>
      <w:b/>
      <w:bCs/>
      <w:sz w:val="24"/>
      <w:szCs w:val="24"/>
      <w:lang w:bidi="ar-SA"/>
    </w:rPr>
  </w:style>
  <w:style w:type="paragraph" w:customStyle="1" w:styleId="ICFText">
    <w:name w:val="ICF Text"/>
    <w:basedOn w:val="Normal"/>
    <w:link w:val="ICFTextChar"/>
    <w:qFormat/>
    <w:rsid w:val="00BF1ECC"/>
    <w:pPr>
      <w:spacing w:before="0" w:after="120" w:line="240" w:lineRule="auto"/>
    </w:pPr>
    <w:rPr>
      <w:rFonts w:ascii="DM Sans" w:eastAsiaTheme="minorEastAsia" w:hAnsi="DM Sans" w:cs="Arial"/>
      <w:sz w:val="21"/>
      <w:szCs w:val="21"/>
      <w:lang w:bidi="ar-SA"/>
    </w:rPr>
  </w:style>
  <w:style w:type="character" w:customStyle="1" w:styleId="ICFTextChar">
    <w:name w:val="ICF Text Char"/>
    <w:basedOn w:val="DefaultParagraphFont"/>
    <w:link w:val="ICFText"/>
    <w:rsid w:val="00BF1ECC"/>
    <w:rPr>
      <w:rFonts w:ascii="DM Sans" w:eastAsiaTheme="minorEastAsia" w:hAnsi="DM Sans" w:cs="Arial"/>
      <w:sz w:val="21"/>
      <w:szCs w:val="21"/>
      <w:lang w:bidi="ar-SA"/>
    </w:rPr>
  </w:style>
  <w:style w:type="paragraph" w:customStyle="1" w:styleId="ICFHeading1">
    <w:name w:val="ICF Heading 1"/>
    <w:basedOn w:val="Heading1"/>
    <w:next w:val="ICFText"/>
    <w:qFormat/>
    <w:rsid w:val="00092330"/>
    <w:pPr>
      <w:pBdr>
        <w:top w:val="none" w:sz="0" w:space="0" w:color="auto"/>
      </w:pBdr>
      <w:tabs>
        <w:tab w:val="clear" w:pos="3345"/>
      </w:tabs>
      <w:spacing w:before="0" w:line="288" w:lineRule="auto"/>
      <w:ind w:left="432" w:hanging="432"/>
      <w:jc w:val="left"/>
    </w:pPr>
    <w:rPr>
      <w:rFonts w:asciiTheme="majorHAnsi" w:eastAsiaTheme="majorEastAsia" w:hAnsiTheme="majorHAnsi" w:cstheme="majorBidi"/>
      <w:color w:val="003865" w:themeColor="text1"/>
      <w:sz w:val="36"/>
      <w:szCs w:val="36"/>
      <w:lang w:bidi="ar-SA"/>
    </w:rPr>
  </w:style>
  <w:style w:type="paragraph" w:customStyle="1" w:styleId="ICFTableTItle">
    <w:name w:val="ICF Table TItle"/>
    <w:basedOn w:val="Caption"/>
    <w:qFormat/>
    <w:rsid w:val="00F94CE4"/>
    <w:rPr>
      <w:rFonts w:asciiTheme="minorHAnsi" w:eastAsiaTheme="minorEastAsia" w:hAnsiTheme="minorHAnsi" w:cstheme="minorBidi"/>
      <w:b w:val="0"/>
      <w:bCs w:val="0"/>
      <w:i/>
      <w:color w:val="414041"/>
      <w:sz w:val="18"/>
      <w:szCs w:val="18"/>
      <w:lang w:bidi="ar-SA"/>
    </w:rPr>
  </w:style>
  <w:style w:type="paragraph" w:customStyle="1" w:styleId="ICFTabletext">
    <w:name w:val="ICF Table text"/>
    <w:basedOn w:val="TableText"/>
    <w:uiPriority w:val="3"/>
    <w:qFormat/>
    <w:rsid w:val="00097C38"/>
  </w:style>
  <w:style w:type="paragraph" w:customStyle="1" w:styleId="ICFTableHeading">
    <w:name w:val="ICF Table Heading"/>
    <w:basedOn w:val="TableText"/>
    <w:uiPriority w:val="3"/>
    <w:qFormat/>
    <w:rsid w:val="00097C38"/>
    <w:pPr>
      <w:jc w:val="center"/>
    </w:pPr>
    <w:rPr>
      <w:b/>
    </w:rPr>
  </w:style>
  <w:style w:type="paragraph" w:customStyle="1" w:styleId="Heading1A">
    <w:name w:val="Heading 1A"/>
    <w:basedOn w:val="Heading2"/>
    <w:link w:val="Heading1AChar"/>
    <w:qFormat/>
    <w:rsid w:val="002F7398"/>
    <w:pPr>
      <w:numPr>
        <w:numId w:val="0"/>
      </w:numPr>
      <w:ind w:left="432" w:hanging="432"/>
    </w:pPr>
  </w:style>
  <w:style w:type="character" w:customStyle="1" w:styleId="Heading1AChar">
    <w:name w:val="Heading 1A Char"/>
    <w:basedOn w:val="Heading2Char"/>
    <w:link w:val="Heading1A"/>
    <w:rsid w:val="002F7398"/>
    <w:rPr>
      <w:rFonts w:asciiTheme="minorHAnsi" w:eastAsiaTheme="majorEastAsia" w:hAnsiTheme="minorHAnsi" w:cstheme="majorBidi"/>
      <w:b/>
      <w:color w:val="003865" w:themeColor="accent1"/>
      <w:sz w:val="32"/>
      <w:szCs w:val="32"/>
    </w:rPr>
  </w:style>
  <w:style w:type="paragraph" w:customStyle="1" w:styleId="Appendix">
    <w:name w:val="Appendix"/>
    <w:basedOn w:val="Heading2"/>
    <w:link w:val="AppendixChar"/>
    <w:qFormat/>
    <w:rsid w:val="00511754"/>
    <w:pPr>
      <w:numPr>
        <w:numId w:val="3"/>
      </w:numPr>
      <w:ind w:left="1800" w:hanging="1800"/>
    </w:pPr>
  </w:style>
  <w:style w:type="character" w:customStyle="1" w:styleId="AppendixChar">
    <w:name w:val="Appendix Char"/>
    <w:basedOn w:val="Heading2Char"/>
    <w:link w:val="Appendix"/>
    <w:rsid w:val="00511754"/>
    <w:rPr>
      <w:rFonts w:asciiTheme="minorHAnsi" w:eastAsiaTheme="majorEastAsia" w:hAnsiTheme="minorHAnsi" w:cstheme="majorBidi"/>
      <w:b/>
      <w:color w:val="003865" w:themeColor="accent1"/>
      <w:sz w:val="32"/>
      <w:szCs w:val="32"/>
    </w:rPr>
  </w:style>
  <w:style w:type="paragraph" w:customStyle="1" w:styleId="Appendix2">
    <w:name w:val="Appendix 2"/>
    <w:basedOn w:val="Heading3"/>
    <w:link w:val="Appendix2Char"/>
    <w:qFormat/>
    <w:rsid w:val="007F736B"/>
    <w:pPr>
      <w:numPr>
        <w:ilvl w:val="0"/>
        <w:numId w:val="38"/>
      </w:numPr>
    </w:pPr>
  </w:style>
  <w:style w:type="character" w:customStyle="1" w:styleId="Appendix2Char">
    <w:name w:val="Appendix 2 Char"/>
    <w:basedOn w:val="Heading3Char"/>
    <w:link w:val="Appendix2"/>
    <w:rsid w:val="007F736B"/>
    <w:rPr>
      <w:rFonts w:asciiTheme="minorHAnsi" w:eastAsiaTheme="majorEastAsia" w:hAnsiTheme="minorHAnsi" w:cs="Arial"/>
      <w:b/>
      <w:color w:val="003865" w:themeColor="accent1"/>
      <w:sz w:val="26"/>
      <w:szCs w:val="24"/>
    </w:rPr>
  </w:style>
  <w:style w:type="character" w:customStyle="1" w:styleId="EquationChar">
    <w:name w:val="Equation Char"/>
    <w:basedOn w:val="DefaultParagraphFont"/>
    <w:link w:val="Equation"/>
    <w:locked/>
    <w:rsid w:val="008C64CA"/>
    <w:rPr>
      <w:rFonts w:ascii="Cambria Math" w:hAnsi="Cambria Math"/>
      <w:bCs/>
      <w:i/>
      <w:noProof/>
      <w:color w:val="000000" w:themeColor="text2"/>
      <w:sz w:val="18"/>
      <w:szCs w:val="18"/>
      <w:shd w:val="clear" w:color="auto" w:fill="F2F2F2" w:themeFill="background1" w:themeFillShade="F2"/>
    </w:rPr>
  </w:style>
  <w:style w:type="paragraph" w:customStyle="1" w:styleId="Equation">
    <w:name w:val="Equation"/>
    <w:basedOn w:val="Caption"/>
    <w:link w:val="EquationChar"/>
    <w:qFormat/>
    <w:rsid w:val="008C64CA"/>
    <w:pPr>
      <w:keepNext w:val="0"/>
      <w:shd w:val="clear" w:color="auto" w:fill="F2F2F2" w:themeFill="background1" w:themeFillShade="F2"/>
      <w:spacing w:before="240" w:after="240"/>
      <w:jc w:val="center"/>
    </w:pPr>
    <w:rPr>
      <w:rFonts w:ascii="Cambria Math" w:hAnsi="Cambria Math"/>
      <w:b w:val="0"/>
      <w:i/>
      <w:iCs w:val="0"/>
      <w:noProof/>
      <w:sz w:val="18"/>
      <w:szCs w:val="18"/>
    </w:rPr>
  </w:style>
  <w:style w:type="character" w:customStyle="1" w:styleId="CaptionChar">
    <w:name w:val="Caption Char"/>
    <w:aliases w:val="ICF Exhibit Title Char"/>
    <w:basedOn w:val="DefaultParagraphFont"/>
    <w:link w:val="Caption"/>
    <w:uiPriority w:val="35"/>
    <w:locked/>
    <w:rsid w:val="00DA1986"/>
    <w:rPr>
      <w:b/>
      <w:bCs/>
      <w:iCs/>
      <w:color w:val="000000" w:themeColor="text2"/>
      <w:sz w:val="20"/>
      <w:szCs w:val="20"/>
    </w:rPr>
  </w:style>
  <w:style w:type="table" w:styleId="TableGridLight">
    <w:name w:val="Grid Table Light"/>
    <w:basedOn w:val="TableNormal"/>
    <w:uiPriority w:val="40"/>
    <w:rsid w:val="00364502"/>
    <w:pPr>
      <w:spacing w:before="0" w:line="240" w:lineRule="auto"/>
    </w:pPr>
    <w:rPr>
      <w:rFonts w:asciiTheme="minorHAnsi" w:eastAsiaTheme="minorEastAsia" w:hAnsiTheme="minorHAnsi" w:cstheme="minorBidi"/>
      <w:sz w:val="24"/>
      <w:szCs w:val="24"/>
      <w:lang w:eastAsia="ja-JP"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qFormat/>
    <w:rsid w:val="00010683"/>
  </w:style>
  <w:style w:type="character" w:customStyle="1" w:styleId="Style1Char">
    <w:name w:val="Style1 Char"/>
    <w:basedOn w:val="DefaultParagraphFont"/>
    <w:link w:val="Style1"/>
    <w:rsid w:val="004F4664"/>
  </w:style>
  <w:style w:type="table" w:styleId="GridTable4-Accent4">
    <w:name w:val="Grid Table 4 Accent 4"/>
    <w:basedOn w:val="TableNormal"/>
    <w:uiPriority w:val="49"/>
    <w:rsid w:val="00EA3FAD"/>
    <w:pPr>
      <w:spacing w:before="0" w:line="240" w:lineRule="auto"/>
    </w:pPr>
    <w:rPr>
      <w:rFonts w:asciiTheme="minorHAnsi" w:eastAsiaTheme="minorEastAsia" w:hAnsiTheme="minorHAnsi" w:cstheme="minorBidi"/>
      <w:sz w:val="24"/>
      <w:szCs w:val="24"/>
      <w:lang w:eastAsia="ja-JP" w:bidi="ar-SA"/>
    </w:rPr>
    <w:tblPr>
      <w:tblStyleRowBandSize w:val="1"/>
      <w:tblStyleColBandSize w:val="1"/>
      <w:tblBorders>
        <w:top w:val="single" w:sz="4" w:space="0" w:color="D17E69" w:themeColor="accent4" w:themeTint="99"/>
        <w:left w:val="single" w:sz="4" w:space="0" w:color="D17E69" w:themeColor="accent4" w:themeTint="99"/>
        <w:bottom w:val="single" w:sz="4" w:space="0" w:color="D17E69" w:themeColor="accent4" w:themeTint="99"/>
        <w:right w:val="single" w:sz="4" w:space="0" w:color="D17E69" w:themeColor="accent4" w:themeTint="99"/>
        <w:insideH w:val="single" w:sz="4" w:space="0" w:color="D17E69" w:themeColor="accent4" w:themeTint="99"/>
        <w:insideV w:val="single" w:sz="4" w:space="0" w:color="D17E69" w:themeColor="accent4" w:themeTint="99"/>
      </w:tblBorders>
    </w:tblPr>
    <w:tblStylePr w:type="firstRow">
      <w:rPr>
        <w:b/>
        <w:bCs/>
        <w:color w:val="FFFFFF" w:themeColor="background1"/>
      </w:rPr>
      <w:tblPr/>
      <w:tcPr>
        <w:tcBorders>
          <w:top w:val="single" w:sz="4" w:space="0" w:color="8D3F2B" w:themeColor="accent4"/>
          <w:left w:val="single" w:sz="4" w:space="0" w:color="8D3F2B" w:themeColor="accent4"/>
          <w:bottom w:val="single" w:sz="4" w:space="0" w:color="8D3F2B" w:themeColor="accent4"/>
          <w:right w:val="single" w:sz="4" w:space="0" w:color="8D3F2B" w:themeColor="accent4"/>
          <w:insideH w:val="nil"/>
          <w:insideV w:val="nil"/>
        </w:tcBorders>
        <w:shd w:val="clear" w:color="auto" w:fill="8D3F2B" w:themeFill="accent4"/>
      </w:tcPr>
    </w:tblStylePr>
    <w:tblStylePr w:type="lastRow">
      <w:rPr>
        <w:b/>
        <w:bCs/>
      </w:rPr>
      <w:tblPr/>
      <w:tcPr>
        <w:tcBorders>
          <w:top w:val="double" w:sz="4" w:space="0" w:color="8D3F2B" w:themeColor="accent4"/>
        </w:tcBorders>
      </w:tcPr>
    </w:tblStylePr>
    <w:tblStylePr w:type="firstCol">
      <w:rPr>
        <w:b/>
        <w:bCs/>
      </w:rPr>
    </w:tblStylePr>
    <w:tblStylePr w:type="lastCol">
      <w:rPr>
        <w:b/>
        <w:bCs/>
      </w:rPr>
    </w:tblStylePr>
    <w:tblStylePr w:type="band1Vert">
      <w:tblPr/>
      <w:tcPr>
        <w:shd w:val="clear" w:color="auto" w:fill="EFD3CC" w:themeFill="accent4" w:themeFillTint="33"/>
      </w:tcPr>
    </w:tblStylePr>
    <w:tblStylePr w:type="band1Horz">
      <w:tblPr/>
      <w:tcPr>
        <w:shd w:val="clear" w:color="auto" w:fill="EFD3CC" w:themeFill="accent4" w:themeFillTint="33"/>
      </w:tcPr>
    </w:tblStylePr>
  </w:style>
  <w:style w:type="character" w:styleId="Mention">
    <w:name w:val="Mention"/>
    <w:basedOn w:val="DefaultParagraphFont"/>
    <w:uiPriority w:val="99"/>
    <w:unhideWhenUsed/>
    <w:rsid w:val="00C23B7C"/>
    <w:rPr>
      <w:color w:val="2B579A"/>
      <w:shd w:val="clear" w:color="auto" w:fill="E1DFDD"/>
    </w:rPr>
  </w:style>
  <w:style w:type="character" w:styleId="FollowedHyperlink">
    <w:name w:val="FollowedHyperlink"/>
    <w:basedOn w:val="DefaultParagraphFont"/>
    <w:semiHidden/>
    <w:unhideWhenUsed/>
    <w:rsid w:val="00BD58C3"/>
    <w:rPr>
      <w:color w:val="5D295F" w:themeColor="followedHyperlink"/>
      <w:u w:val="single"/>
    </w:rPr>
  </w:style>
  <w:style w:type="paragraph" w:styleId="NoSpacing">
    <w:name w:val="No Spacing"/>
    <w:uiPriority w:val="1"/>
    <w:qFormat/>
    <w:rsid w:val="006E470A"/>
    <w:pPr>
      <w:spacing w:before="0" w:line="240" w:lineRule="auto"/>
    </w:pPr>
    <w:rPr>
      <w:rFonts w:asciiTheme="minorHAnsi" w:eastAsiaTheme="minorEastAsia" w:hAnsiTheme="minorHAnsi" w:cstheme="minorBidi"/>
      <w:lang w:eastAsia="ja-JP" w:bidi="ar-SA"/>
    </w:rPr>
  </w:style>
  <w:style w:type="paragraph" w:styleId="ListBullet">
    <w:name w:val="List Bullet"/>
    <w:basedOn w:val="Normal"/>
    <w:rsid w:val="002B21D3"/>
    <w:pPr>
      <w:numPr>
        <w:numId w:val="8"/>
      </w:numPr>
      <w:spacing w:before="0" w:after="240" w:line="240" w:lineRule="auto"/>
    </w:pPr>
    <w:rPr>
      <w:rFonts w:ascii="Verdana" w:hAnsi="Verdana"/>
      <w:sz w:val="20"/>
      <w:szCs w:val="24"/>
      <w:lang w:eastAsia="ja-JP" w:bidi="ar-SA"/>
    </w:rPr>
  </w:style>
  <w:style w:type="character" w:customStyle="1" w:styleId="StyleComicSansMS">
    <w:name w:val="Style Comic Sans MS"/>
    <w:rsid w:val="00CA717A"/>
    <w:rPr>
      <w:rFonts w:ascii="Comic Sans MS" w:hAnsi="Comic Sans MS"/>
      <w:sz w:val="20"/>
    </w:rPr>
  </w:style>
  <w:style w:type="paragraph" w:customStyle="1" w:styleId="ICFBullet1">
    <w:name w:val="ICF Bullet 1"/>
    <w:basedOn w:val="ICFText"/>
    <w:qFormat/>
    <w:rsid w:val="002B21D3"/>
    <w:pPr>
      <w:numPr>
        <w:numId w:val="9"/>
      </w:numPr>
    </w:pPr>
  </w:style>
  <w:style w:type="character" w:styleId="PageNumber">
    <w:name w:val="page number"/>
    <w:basedOn w:val="DefaultParagraphFont"/>
    <w:uiPriority w:val="99"/>
    <w:semiHidden/>
    <w:unhideWhenUsed/>
    <w:rsid w:val="00BE0B56"/>
  </w:style>
  <w:style w:type="paragraph" w:customStyle="1" w:styleId="TableFooter">
    <w:name w:val="Table Footer"/>
    <w:basedOn w:val="Normal"/>
    <w:link w:val="TableFooterChar"/>
    <w:qFormat/>
    <w:rsid w:val="00DD515C"/>
    <w:pPr>
      <w:spacing w:before="0" w:after="360"/>
      <w:contextualSpacing/>
    </w:pPr>
    <w:rPr>
      <w:sz w:val="18"/>
      <w:szCs w:val="18"/>
    </w:rPr>
  </w:style>
  <w:style w:type="character" w:customStyle="1" w:styleId="TableFooterChar">
    <w:name w:val="Table Footer Char"/>
    <w:basedOn w:val="DefaultParagraphFont"/>
    <w:link w:val="TableFooter"/>
    <w:rsid w:val="0020098B"/>
    <w:rPr>
      <w:sz w:val="18"/>
      <w:szCs w:val="18"/>
    </w:rPr>
  </w:style>
  <w:style w:type="paragraph" w:customStyle="1" w:styleId="footnote">
    <w:name w:val="footnote"/>
    <w:basedOn w:val="FootnoteText"/>
    <w:link w:val="footnoteChar"/>
    <w:qFormat/>
    <w:rsid w:val="003E06F5"/>
    <w:pPr>
      <w:spacing w:after="0"/>
      <w:contextualSpacing/>
    </w:pPr>
    <w:rPr>
      <w:rFonts w:asciiTheme="minorHAnsi" w:hAnsiTheme="minorHAnsi" w:cstheme="minorHAnsi"/>
      <w:sz w:val="20"/>
      <w:szCs w:val="20"/>
    </w:rPr>
  </w:style>
  <w:style w:type="character" w:customStyle="1" w:styleId="footnoteChar">
    <w:name w:val="footnote Char"/>
    <w:basedOn w:val="FootnoteTextChar"/>
    <w:link w:val="footnote"/>
    <w:rsid w:val="00546877"/>
    <w:rPr>
      <w:rFonts w:asciiTheme="minorHAnsi" w:hAnsiTheme="minorHAnsi" w:cstheme="minorHAnsi"/>
      <w:sz w:val="20"/>
      <w:szCs w:val="20"/>
    </w:rPr>
  </w:style>
  <w:style w:type="table" w:styleId="GridTable4-Accent1">
    <w:name w:val="Grid Table 4 Accent 1"/>
    <w:basedOn w:val="TableNormal"/>
    <w:uiPriority w:val="49"/>
    <w:rsid w:val="00CB5106"/>
    <w:pPr>
      <w:spacing w:before="0" w:line="240" w:lineRule="auto"/>
    </w:pPr>
    <w:rPr>
      <w:rFonts w:asciiTheme="minorHAnsi" w:eastAsiaTheme="minorHAnsi" w:hAnsiTheme="minorHAnsi" w:cstheme="minorBidi"/>
      <w:kern w:val="2"/>
      <w:lang w:bidi="ar-SA"/>
      <w14:ligatures w14:val="standardContextual"/>
    </w:rPr>
    <w:tblPr>
      <w:tblStyleRowBandSize w:val="1"/>
      <w:tblStyleColBandSize w:val="1"/>
      <w:tblBorders>
        <w:top w:val="single" w:sz="4" w:space="0" w:color="0991FF" w:themeColor="accent1" w:themeTint="99"/>
        <w:left w:val="single" w:sz="4" w:space="0" w:color="0991FF" w:themeColor="accent1" w:themeTint="99"/>
        <w:bottom w:val="single" w:sz="4" w:space="0" w:color="0991FF" w:themeColor="accent1" w:themeTint="99"/>
        <w:right w:val="single" w:sz="4" w:space="0" w:color="0991FF" w:themeColor="accent1" w:themeTint="99"/>
        <w:insideH w:val="single" w:sz="4" w:space="0" w:color="0991FF" w:themeColor="accent1" w:themeTint="99"/>
        <w:insideV w:val="single" w:sz="4" w:space="0" w:color="0991FF" w:themeColor="accent1" w:themeTint="99"/>
      </w:tblBorders>
    </w:tblPr>
    <w:tblStylePr w:type="firstRow">
      <w:rPr>
        <w:b/>
        <w:bCs/>
        <w:color w:val="FFFFFF" w:themeColor="background1"/>
      </w:rPr>
      <w:tblPr/>
      <w:tcPr>
        <w:tcBorders>
          <w:top w:val="single" w:sz="4" w:space="0" w:color="003865" w:themeColor="accent1"/>
          <w:left w:val="single" w:sz="4" w:space="0" w:color="003865" w:themeColor="accent1"/>
          <w:bottom w:val="single" w:sz="4" w:space="0" w:color="003865" w:themeColor="accent1"/>
          <w:right w:val="single" w:sz="4" w:space="0" w:color="003865" w:themeColor="accent1"/>
          <w:insideH w:val="nil"/>
          <w:insideV w:val="nil"/>
        </w:tcBorders>
        <w:shd w:val="clear" w:color="auto" w:fill="003865" w:themeFill="accent1"/>
      </w:tcPr>
    </w:tblStylePr>
    <w:tblStylePr w:type="lastRow">
      <w:rPr>
        <w:b/>
        <w:bCs/>
      </w:rPr>
      <w:tblPr/>
      <w:tcPr>
        <w:tcBorders>
          <w:top w:val="double" w:sz="4" w:space="0" w:color="003865" w:themeColor="accent1"/>
        </w:tcBorders>
      </w:tcPr>
    </w:tblStylePr>
    <w:tblStylePr w:type="firstCol">
      <w:rPr>
        <w:b/>
        <w:bCs/>
      </w:rPr>
    </w:tblStylePr>
    <w:tblStylePr w:type="lastCol">
      <w:rPr>
        <w:b/>
        <w:bCs/>
      </w:rPr>
    </w:tblStylePr>
    <w:tblStylePr w:type="band1Vert">
      <w:tblPr/>
      <w:tcPr>
        <w:shd w:val="clear" w:color="auto" w:fill="ADDAFF" w:themeFill="accent1" w:themeFillTint="33"/>
      </w:tcPr>
    </w:tblStylePr>
    <w:tblStylePr w:type="band1Horz">
      <w:tblPr/>
      <w:tcPr>
        <w:shd w:val="clear" w:color="auto" w:fill="ADDAFF" w:themeFill="accent1" w:themeFillTint="33"/>
      </w:tcPr>
    </w:tblStylePr>
  </w:style>
  <w:style w:type="paragraph" w:styleId="Revision">
    <w:name w:val="Revision"/>
    <w:hidden/>
    <w:uiPriority w:val="99"/>
    <w:semiHidden/>
    <w:rsid w:val="0027649A"/>
    <w:pPr>
      <w:spacing w:before="0" w:line="240" w:lineRule="auto"/>
    </w:pPr>
  </w:style>
  <w:style w:type="paragraph" w:styleId="Bibliography">
    <w:name w:val="Bibliography"/>
    <w:basedOn w:val="Normal"/>
    <w:next w:val="Normal"/>
    <w:uiPriority w:val="37"/>
    <w:semiHidden/>
    <w:unhideWhenUsed/>
    <w:rsid w:val="003C3CA0"/>
  </w:style>
  <w:style w:type="paragraph" w:styleId="BlockText">
    <w:name w:val="Block Text"/>
    <w:basedOn w:val="Normal"/>
    <w:semiHidden/>
    <w:unhideWhenUsed/>
    <w:rsid w:val="003C3CA0"/>
    <w:pPr>
      <w:pBdr>
        <w:top w:val="single" w:sz="2" w:space="10" w:color="003865" w:themeColor="accent1"/>
        <w:left w:val="single" w:sz="2" w:space="10" w:color="003865" w:themeColor="accent1"/>
        <w:bottom w:val="single" w:sz="2" w:space="10" w:color="003865" w:themeColor="accent1"/>
        <w:right w:val="single" w:sz="2" w:space="10" w:color="003865" w:themeColor="accent1"/>
      </w:pBdr>
      <w:ind w:left="1152" w:right="1152"/>
    </w:pPr>
    <w:rPr>
      <w:rFonts w:asciiTheme="minorHAnsi" w:eastAsiaTheme="minorEastAsia" w:hAnsiTheme="minorHAnsi" w:cstheme="minorBidi"/>
      <w:i/>
      <w:iCs/>
      <w:color w:val="003865" w:themeColor="accent1"/>
    </w:rPr>
  </w:style>
  <w:style w:type="paragraph" w:styleId="BodyText">
    <w:name w:val="Body Text"/>
    <w:basedOn w:val="Normal"/>
    <w:link w:val="BodyTextChar"/>
    <w:semiHidden/>
    <w:unhideWhenUsed/>
    <w:rsid w:val="003C3CA0"/>
    <w:pPr>
      <w:spacing w:after="120"/>
    </w:pPr>
  </w:style>
  <w:style w:type="character" w:customStyle="1" w:styleId="BodyTextChar">
    <w:name w:val="Body Text Char"/>
    <w:basedOn w:val="DefaultParagraphFont"/>
    <w:link w:val="BodyText"/>
    <w:semiHidden/>
    <w:rsid w:val="003C3CA0"/>
  </w:style>
  <w:style w:type="paragraph" w:styleId="BodyText2">
    <w:name w:val="Body Text 2"/>
    <w:basedOn w:val="Normal"/>
    <w:link w:val="BodyText2Char"/>
    <w:semiHidden/>
    <w:unhideWhenUsed/>
    <w:qFormat/>
    <w:rsid w:val="003C3CA0"/>
    <w:pPr>
      <w:spacing w:after="120" w:line="480" w:lineRule="auto"/>
    </w:pPr>
  </w:style>
  <w:style w:type="character" w:customStyle="1" w:styleId="BodyText2Char">
    <w:name w:val="Body Text 2 Char"/>
    <w:basedOn w:val="DefaultParagraphFont"/>
    <w:link w:val="BodyText2"/>
    <w:semiHidden/>
    <w:rsid w:val="003C3CA0"/>
  </w:style>
  <w:style w:type="paragraph" w:styleId="BodyTextFirstIndent">
    <w:name w:val="Body Text First Indent"/>
    <w:basedOn w:val="BodyText"/>
    <w:link w:val="BodyTextFirstIndentChar"/>
    <w:semiHidden/>
    <w:rsid w:val="003C3CA0"/>
    <w:pPr>
      <w:spacing w:after="200"/>
      <w:ind w:firstLine="360"/>
    </w:pPr>
  </w:style>
  <w:style w:type="character" w:customStyle="1" w:styleId="BodyTextFirstIndentChar">
    <w:name w:val="Body Text First Indent Char"/>
    <w:basedOn w:val="BodyTextChar"/>
    <w:link w:val="BodyTextFirstIndent"/>
    <w:semiHidden/>
    <w:rsid w:val="003C3CA0"/>
  </w:style>
  <w:style w:type="paragraph" w:styleId="BodyTextIndent">
    <w:name w:val="Body Text Indent"/>
    <w:basedOn w:val="Normal"/>
    <w:link w:val="BodyTextIndentChar"/>
    <w:semiHidden/>
    <w:unhideWhenUsed/>
    <w:rsid w:val="003C3CA0"/>
    <w:pPr>
      <w:spacing w:after="120"/>
      <w:ind w:left="360"/>
    </w:pPr>
  </w:style>
  <w:style w:type="character" w:customStyle="1" w:styleId="BodyTextIndentChar">
    <w:name w:val="Body Text Indent Char"/>
    <w:basedOn w:val="DefaultParagraphFont"/>
    <w:link w:val="BodyTextIndent"/>
    <w:semiHidden/>
    <w:rsid w:val="003C3CA0"/>
  </w:style>
  <w:style w:type="paragraph" w:styleId="BodyTextFirstIndent2">
    <w:name w:val="Body Text First Indent 2"/>
    <w:basedOn w:val="BodyTextIndent"/>
    <w:link w:val="BodyTextFirstIndent2Char"/>
    <w:semiHidden/>
    <w:unhideWhenUsed/>
    <w:rsid w:val="003C3CA0"/>
    <w:pPr>
      <w:spacing w:after="200"/>
      <w:ind w:firstLine="360"/>
    </w:pPr>
  </w:style>
  <w:style w:type="character" w:customStyle="1" w:styleId="BodyTextFirstIndent2Char">
    <w:name w:val="Body Text First Indent 2 Char"/>
    <w:basedOn w:val="BodyTextIndentChar"/>
    <w:link w:val="BodyTextFirstIndent2"/>
    <w:semiHidden/>
    <w:rsid w:val="003C3CA0"/>
  </w:style>
  <w:style w:type="paragraph" w:styleId="BodyTextIndent2">
    <w:name w:val="Body Text Indent 2"/>
    <w:basedOn w:val="Normal"/>
    <w:link w:val="BodyTextIndent2Char"/>
    <w:semiHidden/>
    <w:unhideWhenUsed/>
    <w:rsid w:val="003C3CA0"/>
    <w:pPr>
      <w:spacing w:after="120" w:line="480" w:lineRule="auto"/>
      <w:ind w:left="360"/>
    </w:pPr>
  </w:style>
  <w:style w:type="character" w:customStyle="1" w:styleId="BodyTextIndent2Char">
    <w:name w:val="Body Text Indent 2 Char"/>
    <w:basedOn w:val="DefaultParagraphFont"/>
    <w:link w:val="BodyTextIndent2"/>
    <w:semiHidden/>
    <w:rsid w:val="003C3CA0"/>
  </w:style>
  <w:style w:type="paragraph" w:styleId="BodyTextIndent3">
    <w:name w:val="Body Text Indent 3"/>
    <w:basedOn w:val="Normal"/>
    <w:link w:val="BodyTextIndent3Char"/>
    <w:semiHidden/>
    <w:unhideWhenUsed/>
    <w:rsid w:val="003C3CA0"/>
    <w:pPr>
      <w:spacing w:after="120"/>
      <w:ind w:left="360"/>
    </w:pPr>
    <w:rPr>
      <w:sz w:val="16"/>
      <w:szCs w:val="16"/>
    </w:rPr>
  </w:style>
  <w:style w:type="character" w:customStyle="1" w:styleId="BodyTextIndent3Char">
    <w:name w:val="Body Text Indent 3 Char"/>
    <w:basedOn w:val="DefaultParagraphFont"/>
    <w:link w:val="BodyTextIndent3"/>
    <w:semiHidden/>
    <w:rsid w:val="003C3CA0"/>
    <w:rPr>
      <w:sz w:val="16"/>
      <w:szCs w:val="16"/>
    </w:rPr>
  </w:style>
  <w:style w:type="paragraph" w:styleId="Date">
    <w:name w:val="Date"/>
    <w:basedOn w:val="Normal"/>
    <w:next w:val="Normal"/>
    <w:link w:val="DateChar"/>
    <w:semiHidden/>
    <w:rsid w:val="003C3CA0"/>
  </w:style>
  <w:style w:type="character" w:customStyle="1" w:styleId="DateChar">
    <w:name w:val="Date Char"/>
    <w:basedOn w:val="DefaultParagraphFont"/>
    <w:link w:val="Date"/>
    <w:semiHidden/>
    <w:rsid w:val="003C3CA0"/>
  </w:style>
  <w:style w:type="paragraph" w:styleId="DocumentMap">
    <w:name w:val="Document Map"/>
    <w:basedOn w:val="Normal"/>
    <w:link w:val="DocumentMapChar"/>
    <w:semiHidden/>
    <w:unhideWhenUsed/>
    <w:rsid w:val="003C3CA0"/>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C3CA0"/>
    <w:rPr>
      <w:rFonts w:ascii="Segoe UI" w:hAnsi="Segoe UI" w:cs="Segoe UI"/>
      <w:sz w:val="16"/>
      <w:szCs w:val="16"/>
    </w:rPr>
  </w:style>
  <w:style w:type="paragraph" w:styleId="E-mailSignature">
    <w:name w:val="E-mail Signature"/>
    <w:basedOn w:val="Normal"/>
    <w:link w:val="E-mailSignatureChar"/>
    <w:semiHidden/>
    <w:unhideWhenUsed/>
    <w:rsid w:val="003C3CA0"/>
    <w:pPr>
      <w:spacing w:before="0" w:after="0" w:line="240" w:lineRule="auto"/>
    </w:pPr>
  </w:style>
  <w:style w:type="character" w:customStyle="1" w:styleId="E-mailSignatureChar">
    <w:name w:val="E-mail Signature Char"/>
    <w:basedOn w:val="DefaultParagraphFont"/>
    <w:link w:val="E-mailSignature"/>
    <w:semiHidden/>
    <w:rsid w:val="003C3CA0"/>
  </w:style>
  <w:style w:type="paragraph" w:styleId="EndnoteText">
    <w:name w:val="endnote text"/>
    <w:basedOn w:val="Normal"/>
    <w:link w:val="EndnoteTextChar"/>
    <w:semiHidden/>
    <w:unhideWhenUsed/>
    <w:rsid w:val="003C3CA0"/>
    <w:pPr>
      <w:spacing w:before="0" w:after="0" w:line="240" w:lineRule="auto"/>
    </w:pPr>
    <w:rPr>
      <w:sz w:val="20"/>
      <w:szCs w:val="20"/>
    </w:rPr>
  </w:style>
  <w:style w:type="character" w:customStyle="1" w:styleId="EndnoteTextChar">
    <w:name w:val="Endnote Text Char"/>
    <w:basedOn w:val="DefaultParagraphFont"/>
    <w:link w:val="EndnoteText"/>
    <w:semiHidden/>
    <w:rsid w:val="003C3CA0"/>
    <w:rPr>
      <w:sz w:val="20"/>
      <w:szCs w:val="20"/>
    </w:rPr>
  </w:style>
  <w:style w:type="paragraph" w:styleId="EnvelopeAddress">
    <w:name w:val="envelope address"/>
    <w:basedOn w:val="Normal"/>
    <w:semiHidden/>
    <w:unhideWhenUsed/>
    <w:rsid w:val="003C3CA0"/>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C3CA0"/>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C3CA0"/>
    <w:pPr>
      <w:spacing w:before="0" w:after="0" w:line="240" w:lineRule="auto"/>
    </w:pPr>
    <w:rPr>
      <w:i/>
      <w:iCs/>
    </w:rPr>
  </w:style>
  <w:style w:type="character" w:customStyle="1" w:styleId="HTMLAddressChar">
    <w:name w:val="HTML Address Char"/>
    <w:basedOn w:val="DefaultParagraphFont"/>
    <w:link w:val="HTMLAddress"/>
    <w:semiHidden/>
    <w:rsid w:val="003C3CA0"/>
    <w:rPr>
      <w:i/>
      <w:iCs/>
    </w:rPr>
  </w:style>
  <w:style w:type="paragraph" w:styleId="HTMLPreformatted">
    <w:name w:val="HTML Preformatted"/>
    <w:basedOn w:val="Normal"/>
    <w:link w:val="HTMLPreformattedChar"/>
    <w:semiHidden/>
    <w:unhideWhenUsed/>
    <w:rsid w:val="003C3CA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C3CA0"/>
    <w:rPr>
      <w:rFonts w:ascii="Consolas" w:hAnsi="Consolas"/>
      <w:sz w:val="20"/>
      <w:szCs w:val="20"/>
    </w:rPr>
  </w:style>
  <w:style w:type="paragraph" w:styleId="Index1">
    <w:name w:val="index 1"/>
    <w:basedOn w:val="Normal"/>
    <w:next w:val="Normal"/>
    <w:autoRedefine/>
    <w:uiPriority w:val="9"/>
    <w:semiHidden/>
    <w:unhideWhenUsed/>
    <w:rsid w:val="003C3CA0"/>
    <w:pPr>
      <w:spacing w:before="0" w:after="0" w:line="240" w:lineRule="auto"/>
      <w:ind w:left="220" w:hanging="220"/>
    </w:pPr>
  </w:style>
  <w:style w:type="paragraph" w:styleId="Index2">
    <w:name w:val="index 2"/>
    <w:basedOn w:val="Normal"/>
    <w:next w:val="Normal"/>
    <w:autoRedefine/>
    <w:uiPriority w:val="9"/>
    <w:semiHidden/>
    <w:unhideWhenUsed/>
    <w:rsid w:val="003C3CA0"/>
    <w:pPr>
      <w:spacing w:before="0" w:after="0" w:line="240" w:lineRule="auto"/>
      <w:ind w:left="440" w:hanging="220"/>
    </w:pPr>
  </w:style>
  <w:style w:type="paragraph" w:styleId="Index3">
    <w:name w:val="index 3"/>
    <w:basedOn w:val="Normal"/>
    <w:next w:val="Normal"/>
    <w:autoRedefine/>
    <w:uiPriority w:val="9"/>
    <w:semiHidden/>
    <w:unhideWhenUsed/>
    <w:rsid w:val="003C3CA0"/>
    <w:pPr>
      <w:spacing w:before="0" w:after="0" w:line="240" w:lineRule="auto"/>
      <w:ind w:left="660" w:hanging="220"/>
    </w:pPr>
  </w:style>
  <w:style w:type="paragraph" w:styleId="Index4">
    <w:name w:val="index 4"/>
    <w:basedOn w:val="Normal"/>
    <w:next w:val="Normal"/>
    <w:autoRedefine/>
    <w:uiPriority w:val="9"/>
    <w:semiHidden/>
    <w:unhideWhenUsed/>
    <w:rsid w:val="003C3CA0"/>
    <w:pPr>
      <w:spacing w:before="0" w:after="0" w:line="240" w:lineRule="auto"/>
      <w:ind w:left="880" w:hanging="220"/>
    </w:pPr>
  </w:style>
  <w:style w:type="paragraph" w:styleId="Index5">
    <w:name w:val="index 5"/>
    <w:basedOn w:val="Normal"/>
    <w:next w:val="Normal"/>
    <w:autoRedefine/>
    <w:uiPriority w:val="9"/>
    <w:semiHidden/>
    <w:unhideWhenUsed/>
    <w:rsid w:val="003C3CA0"/>
    <w:pPr>
      <w:spacing w:before="0" w:after="0" w:line="240" w:lineRule="auto"/>
      <w:ind w:left="1100" w:hanging="220"/>
    </w:pPr>
  </w:style>
  <w:style w:type="paragraph" w:styleId="Index6">
    <w:name w:val="index 6"/>
    <w:basedOn w:val="Normal"/>
    <w:next w:val="Normal"/>
    <w:autoRedefine/>
    <w:uiPriority w:val="9"/>
    <w:semiHidden/>
    <w:unhideWhenUsed/>
    <w:rsid w:val="003C3CA0"/>
    <w:pPr>
      <w:spacing w:before="0" w:after="0" w:line="240" w:lineRule="auto"/>
      <w:ind w:left="1320" w:hanging="220"/>
    </w:pPr>
  </w:style>
  <w:style w:type="paragraph" w:styleId="Index7">
    <w:name w:val="index 7"/>
    <w:basedOn w:val="Normal"/>
    <w:next w:val="Normal"/>
    <w:autoRedefine/>
    <w:uiPriority w:val="9"/>
    <w:semiHidden/>
    <w:unhideWhenUsed/>
    <w:rsid w:val="003C3CA0"/>
    <w:pPr>
      <w:spacing w:before="0" w:after="0" w:line="240" w:lineRule="auto"/>
      <w:ind w:left="1540" w:hanging="220"/>
    </w:pPr>
  </w:style>
  <w:style w:type="paragraph" w:styleId="Index8">
    <w:name w:val="index 8"/>
    <w:basedOn w:val="Normal"/>
    <w:next w:val="Normal"/>
    <w:autoRedefine/>
    <w:uiPriority w:val="9"/>
    <w:semiHidden/>
    <w:unhideWhenUsed/>
    <w:rsid w:val="003C3CA0"/>
    <w:pPr>
      <w:spacing w:before="0" w:after="0" w:line="240" w:lineRule="auto"/>
      <w:ind w:left="1760" w:hanging="220"/>
    </w:pPr>
  </w:style>
  <w:style w:type="paragraph" w:styleId="Index9">
    <w:name w:val="index 9"/>
    <w:basedOn w:val="Normal"/>
    <w:next w:val="Normal"/>
    <w:autoRedefine/>
    <w:uiPriority w:val="9"/>
    <w:semiHidden/>
    <w:unhideWhenUsed/>
    <w:rsid w:val="003C3CA0"/>
    <w:pPr>
      <w:spacing w:before="0" w:after="0" w:line="240" w:lineRule="auto"/>
      <w:ind w:left="1980" w:hanging="220"/>
    </w:pPr>
  </w:style>
  <w:style w:type="paragraph" w:styleId="IndexHeading">
    <w:name w:val="index heading"/>
    <w:basedOn w:val="Normal"/>
    <w:next w:val="Index1"/>
    <w:uiPriority w:val="9"/>
    <w:semiHidden/>
    <w:unhideWhenUsed/>
    <w:rsid w:val="003C3CA0"/>
    <w:rPr>
      <w:rFonts w:asciiTheme="majorHAnsi" w:eastAsiaTheme="majorEastAsia" w:hAnsiTheme="majorHAnsi" w:cstheme="majorBidi"/>
      <w:b/>
      <w:bCs/>
    </w:rPr>
  </w:style>
  <w:style w:type="paragraph" w:styleId="List">
    <w:name w:val="List"/>
    <w:basedOn w:val="Normal"/>
    <w:semiHidden/>
    <w:unhideWhenUsed/>
    <w:rsid w:val="003C3CA0"/>
    <w:pPr>
      <w:ind w:left="360" w:hanging="360"/>
      <w:contextualSpacing/>
    </w:pPr>
  </w:style>
  <w:style w:type="paragraph" w:styleId="List2">
    <w:name w:val="List 2"/>
    <w:basedOn w:val="Normal"/>
    <w:semiHidden/>
    <w:unhideWhenUsed/>
    <w:rsid w:val="003C3CA0"/>
    <w:pPr>
      <w:ind w:left="720" w:hanging="360"/>
      <w:contextualSpacing/>
    </w:pPr>
  </w:style>
  <w:style w:type="paragraph" w:styleId="List3">
    <w:name w:val="List 3"/>
    <w:basedOn w:val="Normal"/>
    <w:semiHidden/>
    <w:unhideWhenUsed/>
    <w:rsid w:val="003C3CA0"/>
    <w:pPr>
      <w:ind w:left="1080" w:hanging="360"/>
      <w:contextualSpacing/>
    </w:pPr>
  </w:style>
  <w:style w:type="paragraph" w:styleId="List4">
    <w:name w:val="List 4"/>
    <w:basedOn w:val="Normal"/>
    <w:semiHidden/>
    <w:rsid w:val="003C3CA0"/>
    <w:pPr>
      <w:ind w:left="1440" w:hanging="360"/>
      <w:contextualSpacing/>
    </w:pPr>
  </w:style>
  <w:style w:type="paragraph" w:styleId="List5">
    <w:name w:val="List 5"/>
    <w:basedOn w:val="Normal"/>
    <w:semiHidden/>
    <w:rsid w:val="003C3CA0"/>
    <w:pPr>
      <w:ind w:left="1800" w:hanging="360"/>
      <w:contextualSpacing/>
    </w:pPr>
  </w:style>
  <w:style w:type="paragraph" w:styleId="ListBullet2">
    <w:name w:val="List Bullet 2"/>
    <w:basedOn w:val="Normal"/>
    <w:semiHidden/>
    <w:unhideWhenUsed/>
    <w:rsid w:val="003C3CA0"/>
    <w:pPr>
      <w:numPr>
        <w:numId w:val="47"/>
      </w:numPr>
      <w:contextualSpacing/>
    </w:pPr>
  </w:style>
  <w:style w:type="paragraph" w:styleId="ListBullet3">
    <w:name w:val="List Bullet 3"/>
    <w:basedOn w:val="Normal"/>
    <w:semiHidden/>
    <w:unhideWhenUsed/>
    <w:rsid w:val="003C3CA0"/>
    <w:pPr>
      <w:numPr>
        <w:numId w:val="48"/>
      </w:numPr>
      <w:contextualSpacing/>
    </w:pPr>
  </w:style>
  <w:style w:type="paragraph" w:styleId="ListBullet4">
    <w:name w:val="List Bullet 4"/>
    <w:basedOn w:val="Normal"/>
    <w:semiHidden/>
    <w:unhideWhenUsed/>
    <w:rsid w:val="003C3CA0"/>
    <w:pPr>
      <w:numPr>
        <w:numId w:val="49"/>
      </w:numPr>
      <w:contextualSpacing/>
    </w:pPr>
  </w:style>
  <w:style w:type="paragraph" w:styleId="ListBullet5">
    <w:name w:val="List Bullet 5"/>
    <w:basedOn w:val="Normal"/>
    <w:semiHidden/>
    <w:unhideWhenUsed/>
    <w:rsid w:val="003C3CA0"/>
    <w:pPr>
      <w:numPr>
        <w:numId w:val="50"/>
      </w:numPr>
      <w:contextualSpacing/>
    </w:pPr>
  </w:style>
  <w:style w:type="paragraph" w:styleId="ListContinue">
    <w:name w:val="List Continue"/>
    <w:basedOn w:val="Normal"/>
    <w:semiHidden/>
    <w:unhideWhenUsed/>
    <w:rsid w:val="003C3CA0"/>
    <w:pPr>
      <w:spacing w:after="120"/>
      <w:ind w:left="360"/>
      <w:contextualSpacing/>
    </w:pPr>
  </w:style>
  <w:style w:type="paragraph" w:styleId="ListContinue2">
    <w:name w:val="List Continue 2"/>
    <w:basedOn w:val="Normal"/>
    <w:semiHidden/>
    <w:unhideWhenUsed/>
    <w:rsid w:val="003C3CA0"/>
    <w:pPr>
      <w:spacing w:after="120"/>
      <w:ind w:left="720"/>
      <w:contextualSpacing/>
    </w:pPr>
  </w:style>
  <w:style w:type="paragraph" w:styleId="ListContinue3">
    <w:name w:val="List Continue 3"/>
    <w:basedOn w:val="Normal"/>
    <w:semiHidden/>
    <w:unhideWhenUsed/>
    <w:rsid w:val="003C3CA0"/>
    <w:pPr>
      <w:spacing w:after="120"/>
      <w:ind w:left="1080"/>
      <w:contextualSpacing/>
    </w:pPr>
  </w:style>
  <w:style w:type="paragraph" w:styleId="ListContinue4">
    <w:name w:val="List Continue 4"/>
    <w:basedOn w:val="Normal"/>
    <w:semiHidden/>
    <w:unhideWhenUsed/>
    <w:rsid w:val="003C3CA0"/>
    <w:pPr>
      <w:spacing w:after="120"/>
      <w:ind w:left="1440"/>
      <w:contextualSpacing/>
    </w:pPr>
  </w:style>
  <w:style w:type="paragraph" w:styleId="ListContinue5">
    <w:name w:val="List Continue 5"/>
    <w:basedOn w:val="Normal"/>
    <w:semiHidden/>
    <w:unhideWhenUsed/>
    <w:rsid w:val="003C3CA0"/>
    <w:pPr>
      <w:spacing w:after="120"/>
      <w:ind w:left="1800"/>
      <w:contextualSpacing/>
    </w:pPr>
  </w:style>
  <w:style w:type="paragraph" w:styleId="ListNumber2">
    <w:name w:val="List Number 2"/>
    <w:basedOn w:val="Normal"/>
    <w:semiHidden/>
    <w:unhideWhenUsed/>
    <w:rsid w:val="003C3CA0"/>
    <w:pPr>
      <w:numPr>
        <w:numId w:val="51"/>
      </w:numPr>
      <w:contextualSpacing/>
    </w:pPr>
  </w:style>
  <w:style w:type="paragraph" w:styleId="ListNumber3">
    <w:name w:val="List Number 3"/>
    <w:basedOn w:val="Normal"/>
    <w:semiHidden/>
    <w:unhideWhenUsed/>
    <w:rsid w:val="003C3CA0"/>
    <w:pPr>
      <w:numPr>
        <w:numId w:val="52"/>
      </w:numPr>
      <w:contextualSpacing/>
    </w:pPr>
  </w:style>
  <w:style w:type="paragraph" w:styleId="ListNumber4">
    <w:name w:val="List Number 4"/>
    <w:basedOn w:val="Normal"/>
    <w:semiHidden/>
    <w:unhideWhenUsed/>
    <w:rsid w:val="003C3CA0"/>
    <w:pPr>
      <w:numPr>
        <w:numId w:val="53"/>
      </w:numPr>
      <w:contextualSpacing/>
    </w:pPr>
  </w:style>
  <w:style w:type="paragraph" w:styleId="ListNumber5">
    <w:name w:val="List Number 5"/>
    <w:basedOn w:val="Normal"/>
    <w:semiHidden/>
    <w:unhideWhenUsed/>
    <w:rsid w:val="003C3CA0"/>
    <w:pPr>
      <w:numPr>
        <w:numId w:val="54"/>
      </w:numPr>
      <w:contextualSpacing/>
    </w:pPr>
  </w:style>
  <w:style w:type="paragraph" w:styleId="MacroText">
    <w:name w:val="macro"/>
    <w:link w:val="MacroTextChar"/>
    <w:semiHidden/>
    <w:unhideWhenUsed/>
    <w:rsid w:val="003C3CA0"/>
    <w:pPr>
      <w:tabs>
        <w:tab w:val="left" w:pos="480"/>
        <w:tab w:val="left" w:pos="960"/>
        <w:tab w:val="left" w:pos="1440"/>
        <w:tab w:val="left" w:pos="1920"/>
        <w:tab w:val="left" w:pos="2400"/>
        <w:tab w:val="left" w:pos="2880"/>
        <w:tab w:val="left" w:pos="3360"/>
        <w:tab w:val="left" w:pos="3840"/>
        <w:tab w:val="left" w:pos="4320"/>
      </w:tabs>
      <w:spacing w:before="200" w:line="259" w:lineRule="auto"/>
    </w:pPr>
    <w:rPr>
      <w:rFonts w:ascii="Consolas" w:hAnsi="Consolas"/>
      <w:sz w:val="20"/>
      <w:szCs w:val="20"/>
    </w:rPr>
  </w:style>
  <w:style w:type="character" w:customStyle="1" w:styleId="MacroTextChar">
    <w:name w:val="Macro Text Char"/>
    <w:basedOn w:val="DefaultParagraphFont"/>
    <w:link w:val="MacroText"/>
    <w:semiHidden/>
    <w:rsid w:val="003C3CA0"/>
    <w:rPr>
      <w:rFonts w:ascii="Consolas" w:hAnsi="Consolas"/>
      <w:sz w:val="20"/>
      <w:szCs w:val="20"/>
    </w:rPr>
  </w:style>
  <w:style w:type="paragraph" w:styleId="MessageHeader">
    <w:name w:val="Message Header"/>
    <w:basedOn w:val="Normal"/>
    <w:link w:val="MessageHeaderChar"/>
    <w:semiHidden/>
    <w:unhideWhenUsed/>
    <w:rsid w:val="003C3CA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C3CA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C3CA0"/>
    <w:pPr>
      <w:ind w:left="720"/>
    </w:pPr>
  </w:style>
  <w:style w:type="paragraph" w:styleId="NoteHeading">
    <w:name w:val="Note Heading"/>
    <w:basedOn w:val="Normal"/>
    <w:next w:val="Normal"/>
    <w:link w:val="NoteHeadingChar"/>
    <w:semiHidden/>
    <w:unhideWhenUsed/>
    <w:rsid w:val="003C3CA0"/>
    <w:pPr>
      <w:spacing w:before="0" w:after="0" w:line="240" w:lineRule="auto"/>
    </w:pPr>
  </w:style>
  <w:style w:type="character" w:customStyle="1" w:styleId="NoteHeadingChar">
    <w:name w:val="Note Heading Char"/>
    <w:basedOn w:val="DefaultParagraphFont"/>
    <w:link w:val="NoteHeading"/>
    <w:semiHidden/>
    <w:rsid w:val="003C3CA0"/>
  </w:style>
  <w:style w:type="paragraph" w:styleId="PlainText">
    <w:name w:val="Plain Text"/>
    <w:basedOn w:val="Normal"/>
    <w:link w:val="PlainTextChar"/>
    <w:semiHidden/>
    <w:unhideWhenUsed/>
    <w:rsid w:val="003C3CA0"/>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3C3CA0"/>
    <w:rPr>
      <w:rFonts w:ascii="Consolas" w:hAnsi="Consolas"/>
      <w:sz w:val="21"/>
      <w:szCs w:val="21"/>
    </w:rPr>
  </w:style>
  <w:style w:type="paragraph" w:styleId="Salutation">
    <w:name w:val="Salutation"/>
    <w:basedOn w:val="Normal"/>
    <w:next w:val="Normal"/>
    <w:link w:val="SalutationChar"/>
    <w:semiHidden/>
    <w:qFormat/>
    <w:rsid w:val="003C3CA0"/>
  </w:style>
  <w:style w:type="character" w:customStyle="1" w:styleId="SalutationChar">
    <w:name w:val="Salutation Char"/>
    <w:basedOn w:val="DefaultParagraphFont"/>
    <w:link w:val="Salutation"/>
    <w:semiHidden/>
    <w:rsid w:val="003C3CA0"/>
  </w:style>
  <w:style w:type="paragraph" w:styleId="Signature">
    <w:name w:val="Signature"/>
    <w:basedOn w:val="Normal"/>
    <w:link w:val="SignatureChar"/>
    <w:semiHidden/>
    <w:unhideWhenUsed/>
    <w:qFormat/>
    <w:rsid w:val="003C3CA0"/>
    <w:pPr>
      <w:spacing w:before="0" w:after="0" w:line="240" w:lineRule="auto"/>
      <w:ind w:left="4320"/>
    </w:pPr>
  </w:style>
  <w:style w:type="character" w:customStyle="1" w:styleId="SignatureChar">
    <w:name w:val="Signature Char"/>
    <w:basedOn w:val="DefaultParagraphFont"/>
    <w:link w:val="Signature"/>
    <w:semiHidden/>
    <w:rsid w:val="003C3CA0"/>
  </w:style>
  <w:style w:type="paragraph" w:styleId="Subtitle">
    <w:name w:val="Subtitle"/>
    <w:basedOn w:val="Normal"/>
    <w:next w:val="Normal"/>
    <w:link w:val="SubtitleChar"/>
    <w:uiPriority w:val="11"/>
    <w:semiHidden/>
    <w:rsid w:val="003C3CA0"/>
    <w:pPr>
      <w:numPr>
        <w:ilvl w:val="1"/>
      </w:numPr>
      <w:spacing w:after="160"/>
    </w:pPr>
    <w:rPr>
      <w:rFonts w:asciiTheme="minorHAnsi" w:eastAsiaTheme="minorEastAsia" w:hAnsiTheme="minorHAnsi" w:cstheme="minorBidi"/>
      <w:color w:val="0087F5" w:themeColor="text1" w:themeTint="A5"/>
      <w:spacing w:val="15"/>
    </w:rPr>
  </w:style>
  <w:style w:type="character" w:customStyle="1" w:styleId="SubtitleChar">
    <w:name w:val="Subtitle Char"/>
    <w:basedOn w:val="DefaultParagraphFont"/>
    <w:link w:val="Subtitle"/>
    <w:uiPriority w:val="11"/>
    <w:semiHidden/>
    <w:rsid w:val="003C3CA0"/>
    <w:rPr>
      <w:rFonts w:asciiTheme="minorHAnsi" w:eastAsiaTheme="minorEastAsia" w:hAnsiTheme="minorHAnsi" w:cstheme="minorBidi"/>
      <w:color w:val="0087F5" w:themeColor="text1" w:themeTint="A5"/>
      <w:spacing w:val="15"/>
    </w:rPr>
  </w:style>
  <w:style w:type="paragraph" w:styleId="TableofAuthorities">
    <w:name w:val="table of authorities"/>
    <w:basedOn w:val="Normal"/>
    <w:next w:val="Normal"/>
    <w:semiHidden/>
    <w:unhideWhenUsed/>
    <w:rsid w:val="003C3CA0"/>
    <w:pPr>
      <w:spacing w:after="0"/>
      <w:ind w:left="220" w:hanging="220"/>
    </w:pPr>
  </w:style>
  <w:style w:type="paragraph" w:styleId="TableofFigures">
    <w:name w:val="table of figures"/>
    <w:basedOn w:val="Normal"/>
    <w:next w:val="Normal"/>
    <w:semiHidden/>
    <w:unhideWhenUsed/>
    <w:rsid w:val="003C3CA0"/>
    <w:pPr>
      <w:spacing w:after="0"/>
    </w:pPr>
  </w:style>
  <w:style w:type="paragraph" w:styleId="Title">
    <w:name w:val="Title"/>
    <w:basedOn w:val="Normal"/>
    <w:next w:val="Normal"/>
    <w:link w:val="TitleChar"/>
    <w:uiPriority w:val="10"/>
    <w:rsid w:val="003C3CA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CA0"/>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C3CA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semiHidden/>
    <w:unhideWhenUsed/>
    <w:rsid w:val="003C3CA0"/>
    <w:pPr>
      <w:spacing w:after="100"/>
      <w:ind w:left="660"/>
    </w:pPr>
  </w:style>
  <w:style w:type="paragraph" w:styleId="TOC5">
    <w:name w:val="toc 5"/>
    <w:basedOn w:val="Normal"/>
    <w:next w:val="Normal"/>
    <w:autoRedefine/>
    <w:semiHidden/>
    <w:unhideWhenUsed/>
    <w:rsid w:val="003C3CA0"/>
    <w:pPr>
      <w:spacing w:after="100"/>
      <w:ind w:left="880"/>
    </w:pPr>
  </w:style>
  <w:style w:type="paragraph" w:styleId="TOC6">
    <w:name w:val="toc 6"/>
    <w:basedOn w:val="Normal"/>
    <w:next w:val="Normal"/>
    <w:autoRedefine/>
    <w:semiHidden/>
    <w:unhideWhenUsed/>
    <w:rsid w:val="003C3CA0"/>
    <w:pPr>
      <w:spacing w:after="100"/>
      <w:ind w:left="1100"/>
    </w:pPr>
  </w:style>
  <w:style w:type="paragraph" w:styleId="TOC7">
    <w:name w:val="toc 7"/>
    <w:basedOn w:val="Normal"/>
    <w:next w:val="Normal"/>
    <w:autoRedefine/>
    <w:semiHidden/>
    <w:unhideWhenUsed/>
    <w:rsid w:val="003C3CA0"/>
    <w:pPr>
      <w:spacing w:after="100"/>
      <w:ind w:left="1320"/>
    </w:pPr>
  </w:style>
  <w:style w:type="paragraph" w:styleId="TOC8">
    <w:name w:val="toc 8"/>
    <w:basedOn w:val="Normal"/>
    <w:next w:val="Normal"/>
    <w:autoRedefine/>
    <w:semiHidden/>
    <w:unhideWhenUsed/>
    <w:rsid w:val="003C3CA0"/>
    <w:pPr>
      <w:spacing w:after="100"/>
      <w:ind w:left="1540"/>
    </w:pPr>
  </w:style>
  <w:style w:type="paragraph" w:styleId="TOC9">
    <w:name w:val="toc 9"/>
    <w:basedOn w:val="Normal"/>
    <w:next w:val="Normal"/>
    <w:autoRedefine/>
    <w:semiHidden/>
    <w:unhideWhenUsed/>
    <w:rsid w:val="003C3CA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710">
      <w:bodyDiv w:val="1"/>
      <w:marLeft w:val="0"/>
      <w:marRight w:val="0"/>
      <w:marTop w:val="0"/>
      <w:marBottom w:val="0"/>
      <w:divBdr>
        <w:top w:val="none" w:sz="0" w:space="0" w:color="auto"/>
        <w:left w:val="none" w:sz="0" w:space="0" w:color="auto"/>
        <w:bottom w:val="none" w:sz="0" w:space="0" w:color="auto"/>
        <w:right w:val="none" w:sz="0" w:space="0" w:color="auto"/>
      </w:divBdr>
    </w:div>
    <w:div w:id="3828314">
      <w:bodyDiv w:val="1"/>
      <w:marLeft w:val="0"/>
      <w:marRight w:val="0"/>
      <w:marTop w:val="0"/>
      <w:marBottom w:val="0"/>
      <w:divBdr>
        <w:top w:val="none" w:sz="0" w:space="0" w:color="auto"/>
        <w:left w:val="none" w:sz="0" w:space="0" w:color="auto"/>
        <w:bottom w:val="none" w:sz="0" w:space="0" w:color="auto"/>
        <w:right w:val="none" w:sz="0" w:space="0" w:color="auto"/>
      </w:divBdr>
      <w:divsChild>
        <w:div w:id="1894653694">
          <w:marLeft w:val="480"/>
          <w:marRight w:val="0"/>
          <w:marTop w:val="0"/>
          <w:marBottom w:val="0"/>
          <w:divBdr>
            <w:top w:val="none" w:sz="0" w:space="0" w:color="auto"/>
            <w:left w:val="none" w:sz="0" w:space="0" w:color="auto"/>
            <w:bottom w:val="none" w:sz="0" w:space="0" w:color="auto"/>
            <w:right w:val="none" w:sz="0" w:space="0" w:color="auto"/>
          </w:divBdr>
          <w:divsChild>
            <w:div w:id="1767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95950354">
      <w:bodyDiv w:val="1"/>
      <w:marLeft w:val="0"/>
      <w:marRight w:val="0"/>
      <w:marTop w:val="0"/>
      <w:marBottom w:val="0"/>
      <w:divBdr>
        <w:top w:val="none" w:sz="0" w:space="0" w:color="auto"/>
        <w:left w:val="none" w:sz="0" w:space="0" w:color="auto"/>
        <w:bottom w:val="none" w:sz="0" w:space="0" w:color="auto"/>
        <w:right w:val="none" w:sz="0" w:space="0" w:color="auto"/>
      </w:divBdr>
      <w:divsChild>
        <w:div w:id="1542552058">
          <w:marLeft w:val="480"/>
          <w:marRight w:val="0"/>
          <w:marTop w:val="0"/>
          <w:marBottom w:val="0"/>
          <w:divBdr>
            <w:top w:val="none" w:sz="0" w:space="0" w:color="auto"/>
            <w:left w:val="none" w:sz="0" w:space="0" w:color="auto"/>
            <w:bottom w:val="none" w:sz="0" w:space="0" w:color="auto"/>
            <w:right w:val="none" w:sz="0" w:space="0" w:color="auto"/>
          </w:divBdr>
          <w:divsChild>
            <w:div w:id="8138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7232">
      <w:bodyDiv w:val="1"/>
      <w:marLeft w:val="0"/>
      <w:marRight w:val="0"/>
      <w:marTop w:val="0"/>
      <w:marBottom w:val="0"/>
      <w:divBdr>
        <w:top w:val="none" w:sz="0" w:space="0" w:color="auto"/>
        <w:left w:val="none" w:sz="0" w:space="0" w:color="auto"/>
        <w:bottom w:val="none" w:sz="0" w:space="0" w:color="auto"/>
        <w:right w:val="none" w:sz="0" w:space="0" w:color="auto"/>
      </w:divBdr>
      <w:divsChild>
        <w:div w:id="1912229997">
          <w:marLeft w:val="480"/>
          <w:marRight w:val="0"/>
          <w:marTop w:val="0"/>
          <w:marBottom w:val="0"/>
          <w:divBdr>
            <w:top w:val="none" w:sz="0" w:space="0" w:color="auto"/>
            <w:left w:val="none" w:sz="0" w:space="0" w:color="auto"/>
            <w:bottom w:val="none" w:sz="0" w:space="0" w:color="auto"/>
            <w:right w:val="none" w:sz="0" w:space="0" w:color="auto"/>
          </w:divBdr>
          <w:divsChild>
            <w:div w:id="1006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6395">
      <w:bodyDiv w:val="1"/>
      <w:marLeft w:val="0"/>
      <w:marRight w:val="0"/>
      <w:marTop w:val="0"/>
      <w:marBottom w:val="0"/>
      <w:divBdr>
        <w:top w:val="none" w:sz="0" w:space="0" w:color="auto"/>
        <w:left w:val="none" w:sz="0" w:space="0" w:color="auto"/>
        <w:bottom w:val="none" w:sz="0" w:space="0" w:color="auto"/>
        <w:right w:val="none" w:sz="0" w:space="0" w:color="auto"/>
      </w:divBdr>
      <w:divsChild>
        <w:div w:id="266081522">
          <w:marLeft w:val="480"/>
          <w:marRight w:val="0"/>
          <w:marTop w:val="0"/>
          <w:marBottom w:val="0"/>
          <w:divBdr>
            <w:top w:val="none" w:sz="0" w:space="0" w:color="auto"/>
            <w:left w:val="none" w:sz="0" w:space="0" w:color="auto"/>
            <w:bottom w:val="none" w:sz="0" w:space="0" w:color="auto"/>
            <w:right w:val="none" w:sz="0" w:space="0" w:color="auto"/>
          </w:divBdr>
          <w:divsChild>
            <w:div w:id="16251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582">
      <w:bodyDiv w:val="1"/>
      <w:marLeft w:val="0"/>
      <w:marRight w:val="0"/>
      <w:marTop w:val="0"/>
      <w:marBottom w:val="0"/>
      <w:divBdr>
        <w:top w:val="none" w:sz="0" w:space="0" w:color="auto"/>
        <w:left w:val="none" w:sz="0" w:space="0" w:color="auto"/>
        <w:bottom w:val="none" w:sz="0" w:space="0" w:color="auto"/>
        <w:right w:val="none" w:sz="0" w:space="0" w:color="auto"/>
      </w:divBdr>
    </w:div>
    <w:div w:id="169831554">
      <w:bodyDiv w:val="1"/>
      <w:marLeft w:val="0"/>
      <w:marRight w:val="0"/>
      <w:marTop w:val="0"/>
      <w:marBottom w:val="0"/>
      <w:divBdr>
        <w:top w:val="none" w:sz="0" w:space="0" w:color="auto"/>
        <w:left w:val="none" w:sz="0" w:space="0" w:color="auto"/>
        <w:bottom w:val="none" w:sz="0" w:space="0" w:color="auto"/>
        <w:right w:val="none" w:sz="0" w:space="0" w:color="auto"/>
      </w:divBdr>
    </w:div>
    <w:div w:id="186717513">
      <w:bodyDiv w:val="1"/>
      <w:marLeft w:val="0"/>
      <w:marRight w:val="0"/>
      <w:marTop w:val="0"/>
      <w:marBottom w:val="0"/>
      <w:divBdr>
        <w:top w:val="none" w:sz="0" w:space="0" w:color="auto"/>
        <w:left w:val="none" w:sz="0" w:space="0" w:color="auto"/>
        <w:bottom w:val="none" w:sz="0" w:space="0" w:color="auto"/>
        <w:right w:val="none" w:sz="0" w:space="0" w:color="auto"/>
      </w:divBdr>
      <w:divsChild>
        <w:div w:id="661348105">
          <w:marLeft w:val="0"/>
          <w:marRight w:val="0"/>
          <w:marTop w:val="0"/>
          <w:marBottom w:val="0"/>
          <w:divBdr>
            <w:top w:val="none" w:sz="0" w:space="0" w:color="242424"/>
            <w:left w:val="none" w:sz="0" w:space="0" w:color="242424"/>
            <w:bottom w:val="none" w:sz="0" w:space="0" w:color="242424"/>
            <w:right w:val="none" w:sz="0" w:space="0" w:color="242424"/>
          </w:divBdr>
          <w:divsChild>
            <w:div w:id="1422335069">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203644567">
      <w:bodyDiv w:val="1"/>
      <w:marLeft w:val="0"/>
      <w:marRight w:val="0"/>
      <w:marTop w:val="0"/>
      <w:marBottom w:val="0"/>
      <w:divBdr>
        <w:top w:val="none" w:sz="0" w:space="0" w:color="auto"/>
        <w:left w:val="none" w:sz="0" w:space="0" w:color="auto"/>
        <w:bottom w:val="none" w:sz="0" w:space="0" w:color="auto"/>
        <w:right w:val="none" w:sz="0" w:space="0" w:color="auto"/>
      </w:divBdr>
      <w:divsChild>
        <w:div w:id="88503241">
          <w:marLeft w:val="480"/>
          <w:marRight w:val="0"/>
          <w:marTop w:val="0"/>
          <w:marBottom w:val="0"/>
          <w:divBdr>
            <w:top w:val="none" w:sz="0" w:space="0" w:color="auto"/>
            <w:left w:val="none" w:sz="0" w:space="0" w:color="auto"/>
            <w:bottom w:val="none" w:sz="0" w:space="0" w:color="auto"/>
            <w:right w:val="none" w:sz="0" w:space="0" w:color="auto"/>
          </w:divBdr>
          <w:divsChild>
            <w:div w:id="20387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1513">
      <w:bodyDiv w:val="1"/>
      <w:marLeft w:val="0"/>
      <w:marRight w:val="0"/>
      <w:marTop w:val="0"/>
      <w:marBottom w:val="0"/>
      <w:divBdr>
        <w:top w:val="none" w:sz="0" w:space="0" w:color="auto"/>
        <w:left w:val="none" w:sz="0" w:space="0" w:color="auto"/>
        <w:bottom w:val="none" w:sz="0" w:space="0" w:color="auto"/>
        <w:right w:val="none" w:sz="0" w:space="0" w:color="auto"/>
      </w:divBdr>
      <w:divsChild>
        <w:div w:id="1580561083">
          <w:marLeft w:val="480"/>
          <w:marRight w:val="0"/>
          <w:marTop w:val="0"/>
          <w:marBottom w:val="0"/>
          <w:divBdr>
            <w:top w:val="none" w:sz="0" w:space="0" w:color="auto"/>
            <w:left w:val="none" w:sz="0" w:space="0" w:color="auto"/>
            <w:bottom w:val="none" w:sz="0" w:space="0" w:color="auto"/>
            <w:right w:val="none" w:sz="0" w:space="0" w:color="auto"/>
          </w:divBdr>
          <w:divsChild>
            <w:div w:id="11931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9134">
      <w:bodyDiv w:val="1"/>
      <w:marLeft w:val="0"/>
      <w:marRight w:val="0"/>
      <w:marTop w:val="0"/>
      <w:marBottom w:val="0"/>
      <w:divBdr>
        <w:top w:val="none" w:sz="0" w:space="0" w:color="auto"/>
        <w:left w:val="none" w:sz="0" w:space="0" w:color="auto"/>
        <w:bottom w:val="none" w:sz="0" w:space="0" w:color="auto"/>
        <w:right w:val="none" w:sz="0" w:space="0" w:color="auto"/>
      </w:divBdr>
      <w:divsChild>
        <w:div w:id="495389650">
          <w:marLeft w:val="480"/>
          <w:marRight w:val="0"/>
          <w:marTop w:val="0"/>
          <w:marBottom w:val="0"/>
          <w:divBdr>
            <w:top w:val="none" w:sz="0" w:space="0" w:color="auto"/>
            <w:left w:val="none" w:sz="0" w:space="0" w:color="auto"/>
            <w:bottom w:val="none" w:sz="0" w:space="0" w:color="auto"/>
            <w:right w:val="none" w:sz="0" w:space="0" w:color="auto"/>
          </w:divBdr>
          <w:divsChild>
            <w:div w:id="9993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0714">
      <w:bodyDiv w:val="1"/>
      <w:marLeft w:val="0"/>
      <w:marRight w:val="0"/>
      <w:marTop w:val="0"/>
      <w:marBottom w:val="0"/>
      <w:divBdr>
        <w:top w:val="none" w:sz="0" w:space="0" w:color="auto"/>
        <w:left w:val="none" w:sz="0" w:space="0" w:color="auto"/>
        <w:bottom w:val="none" w:sz="0" w:space="0" w:color="auto"/>
        <w:right w:val="none" w:sz="0" w:space="0" w:color="auto"/>
      </w:divBdr>
    </w:div>
    <w:div w:id="287245969">
      <w:bodyDiv w:val="1"/>
      <w:marLeft w:val="0"/>
      <w:marRight w:val="0"/>
      <w:marTop w:val="0"/>
      <w:marBottom w:val="0"/>
      <w:divBdr>
        <w:top w:val="none" w:sz="0" w:space="0" w:color="auto"/>
        <w:left w:val="none" w:sz="0" w:space="0" w:color="auto"/>
        <w:bottom w:val="none" w:sz="0" w:space="0" w:color="auto"/>
        <w:right w:val="none" w:sz="0" w:space="0" w:color="auto"/>
      </w:divBdr>
      <w:divsChild>
        <w:div w:id="1996761255">
          <w:marLeft w:val="480"/>
          <w:marRight w:val="0"/>
          <w:marTop w:val="0"/>
          <w:marBottom w:val="0"/>
          <w:divBdr>
            <w:top w:val="none" w:sz="0" w:space="0" w:color="auto"/>
            <w:left w:val="none" w:sz="0" w:space="0" w:color="auto"/>
            <w:bottom w:val="none" w:sz="0" w:space="0" w:color="auto"/>
            <w:right w:val="none" w:sz="0" w:space="0" w:color="auto"/>
          </w:divBdr>
          <w:divsChild>
            <w:div w:id="1156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sChild>
        <w:div w:id="1218978278">
          <w:marLeft w:val="480"/>
          <w:marRight w:val="0"/>
          <w:marTop w:val="0"/>
          <w:marBottom w:val="0"/>
          <w:divBdr>
            <w:top w:val="none" w:sz="0" w:space="0" w:color="auto"/>
            <w:left w:val="none" w:sz="0" w:space="0" w:color="auto"/>
            <w:bottom w:val="none" w:sz="0" w:space="0" w:color="auto"/>
            <w:right w:val="none" w:sz="0" w:space="0" w:color="auto"/>
          </w:divBdr>
          <w:divsChild>
            <w:div w:id="2107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022">
      <w:bodyDiv w:val="1"/>
      <w:marLeft w:val="0"/>
      <w:marRight w:val="0"/>
      <w:marTop w:val="0"/>
      <w:marBottom w:val="0"/>
      <w:divBdr>
        <w:top w:val="none" w:sz="0" w:space="0" w:color="auto"/>
        <w:left w:val="none" w:sz="0" w:space="0" w:color="auto"/>
        <w:bottom w:val="none" w:sz="0" w:space="0" w:color="auto"/>
        <w:right w:val="none" w:sz="0" w:space="0" w:color="auto"/>
      </w:divBdr>
      <w:divsChild>
        <w:div w:id="1998534393">
          <w:marLeft w:val="480"/>
          <w:marRight w:val="0"/>
          <w:marTop w:val="0"/>
          <w:marBottom w:val="0"/>
          <w:divBdr>
            <w:top w:val="none" w:sz="0" w:space="0" w:color="auto"/>
            <w:left w:val="none" w:sz="0" w:space="0" w:color="auto"/>
            <w:bottom w:val="none" w:sz="0" w:space="0" w:color="auto"/>
            <w:right w:val="none" w:sz="0" w:space="0" w:color="auto"/>
          </w:divBdr>
          <w:divsChild>
            <w:div w:id="1288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6504">
      <w:bodyDiv w:val="1"/>
      <w:marLeft w:val="0"/>
      <w:marRight w:val="0"/>
      <w:marTop w:val="0"/>
      <w:marBottom w:val="0"/>
      <w:divBdr>
        <w:top w:val="none" w:sz="0" w:space="0" w:color="auto"/>
        <w:left w:val="none" w:sz="0" w:space="0" w:color="auto"/>
        <w:bottom w:val="none" w:sz="0" w:space="0" w:color="auto"/>
        <w:right w:val="none" w:sz="0" w:space="0" w:color="auto"/>
      </w:divBdr>
      <w:divsChild>
        <w:div w:id="1103575738">
          <w:marLeft w:val="480"/>
          <w:marRight w:val="0"/>
          <w:marTop w:val="0"/>
          <w:marBottom w:val="0"/>
          <w:divBdr>
            <w:top w:val="none" w:sz="0" w:space="0" w:color="auto"/>
            <w:left w:val="none" w:sz="0" w:space="0" w:color="auto"/>
            <w:bottom w:val="none" w:sz="0" w:space="0" w:color="auto"/>
            <w:right w:val="none" w:sz="0" w:space="0" w:color="auto"/>
          </w:divBdr>
          <w:divsChild>
            <w:div w:id="15812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48129">
      <w:bodyDiv w:val="1"/>
      <w:marLeft w:val="0"/>
      <w:marRight w:val="0"/>
      <w:marTop w:val="0"/>
      <w:marBottom w:val="0"/>
      <w:divBdr>
        <w:top w:val="none" w:sz="0" w:space="0" w:color="auto"/>
        <w:left w:val="none" w:sz="0" w:space="0" w:color="auto"/>
        <w:bottom w:val="none" w:sz="0" w:space="0" w:color="auto"/>
        <w:right w:val="none" w:sz="0" w:space="0" w:color="auto"/>
      </w:divBdr>
    </w:div>
    <w:div w:id="457257215">
      <w:bodyDiv w:val="1"/>
      <w:marLeft w:val="0"/>
      <w:marRight w:val="0"/>
      <w:marTop w:val="0"/>
      <w:marBottom w:val="0"/>
      <w:divBdr>
        <w:top w:val="none" w:sz="0" w:space="0" w:color="auto"/>
        <w:left w:val="none" w:sz="0" w:space="0" w:color="auto"/>
        <w:bottom w:val="none" w:sz="0" w:space="0" w:color="auto"/>
        <w:right w:val="none" w:sz="0" w:space="0" w:color="auto"/>
      </w:divBdr>
      <w:divsChild>
        <w:div w:id="2140758717">
          <w:marLeft w:val="480"/>
          <w:marRight w:val="0"/>
          <w:marTop w:val="0"/>
          <w:marBottom w:val="0"/>
          <w:divBdr>
            <w:top w:val="none" w:sz="0" w:space="0" w:color="auto"/>
            <w:left w:val="none" w:sz="0" w:space="0" w:color="auto"/>
            <w:bottom w:val="none" w:sz="0" w:space="0" w:color="auto"/>
            <w:right w:val="none" w:sz="0" w:space="0" w:color="auto"/>
          </w:divBdr>
          <w:divsChild>
            <w:div w:id="208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1859">
      <w:bodyDiv w:val="1"/>
      <w:marLeft w:val="0"/>
      <w:marRight w:val="0"/>
      <w:marTop w:val="0"/>
      <w:marBottom w:val="0"/>
      <w:divBdr>
        <w:top w:val="none" w:sz="0" w:space="0" w:color="auto"/>
        <w:left w:val="none" w:sz="0" w:space="0" w:color="auto"/>
        <w:bottom w:val="none" w:sz="0" w:space="0" w:color="auto"/>
        <w:right w:val="none" w:sz="0" w:space="0" w:color="auto"/>
      </w:divBdr>
      <w:divsChild>
        <w:div w:id="810251930">
          <w:marLeft w:val="480"/>
          <w:marRight w:val="0"/>
          <w:marTop w:val="0"/>
          <w:marBottom w:val="0"/>
          <w:divBdr>
            <w:top w:val="none" w:sz="0" w:space="0" w:color="auto"/>
            <w:left w:val="none" w:sz="0" w:space="0" w:color="auto"/>
            <w:bottom w:val="none" w:sz="0" w:space="0" w:color="auto"/>
            <w:right w:val="none" w:sz="0" w:space="0" w:color="auto"/>
          </w:divBdr>
          <w:divsChild>
            <w:div w:id="1491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0300">
      <w:bodyDiv w:val="1"/>
      <w:marLeft w:val="0"/>
      <w:marRight w:val="0"/>
      <w:marTop w:val="0"/>
      <w:marBottom w:val="0"/>
      <w:divBdr>
        <w:top w:val="none" w:sz="0" w:space="0" w:color="auto"/>
        <w:left w:val="none" w:sz="0" w:space="0" w:color="auto"/>
        <w:bottom w:val="none" w:sz="0" w:space="0" w:color="auto"/>
        <w:right w:val="none" w:sz="0" w:space="0" w:color="auto"/>
      </w:divBdr>
      <w:divsChild>
        <w:div w:id="1010253876">
          <w:marLeft w:val="480"/>
          <w:marRight w:val="0"/>
          <w:marTop w:val="0"/>
          <w:marBottom w:val="0"/>
          <w:divBdr>
            <w:top w:val="none" w:sz="0" w:space="0" w:color="auto"/>
            <w:left w:val="none" w:sz="0" w:space="0" w:color="auto"/>
            <w:bottom w:val="none" w:sz="0" w:space="0" w:color="auto"/>
            <w:right w:val="none" w:sz="0" w:space="0" w:color="auto"/>
          </w:divBdr>
          <w:divsChild>
            <w:div w:id="11260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685">
      <w:bodyDiv w:val="1"/>
      <w:marLeft w:val="0"/>
      <w:marRight w:val="0"/>
      <w:marTop w:val="0"/>
      <w:marBottom w:val="0"/>
      <w:divBdr>
        <w:top w:val="none" w:sz="0" w:space="0" w:color="auto"/>
        <w:left w:val="none" w:sz="0" w:space="0" w:color="auto"/>
        <w:bottom w:val="none" w:sz="0" w:space="0" w:color="auto"/>
        <w:right w:val="none" w:sz="0" w:space="0" w:color="auto"/>
      </w:divBdr>
      <w:divsChild>
        <w:div w:id="41515957">
          <w:marLeft w:val="0"/>
          <w:marRight w:val="0"/>
          <w:marTop w:val="0"/>
          <w:marBottom w:val="0"/>
          <w:divBdr>
            <w:top w:val="none" w:sz="0" w:space="0" w:color="auto"/>
            <w:left w:val="none" w:sz="0" w:space="0" w:color="auto"/>
            <w:bottom w:val="none" w:sz="0" w:space="0" w:color="auto"/>
            <w:right w:val="none" w:sz="0" w:space="0" w:color="auto"/>
          </w:divBdr>
        </w:div>
        <w:div w:id="674234702">
          <w:marLeft w:val="0"/>
          <w:marRight w:val="0"/>
          <w:marTop w:val="0"/>
          <w:marBottom w:val="0"/>
          <w:divBdr>
            <w:top w:val="none" w:sz="0" w:space="0" w:color="auto"/>
            <w:left w:val="none" w:sz="0" w:space="0" w:color="auto"/>
            <w:bottom w:val="none" w:sz="0" w:space="0" w:color="auto"/>
            <w:right w:val="none" w:sz="0" w:space="0" w:color="auto"/>
          </w:divBdr>
        </w:div>
        <w:div w:id="904223850">
          <w:marLeft w:val="0"/>
          <w:marRight w:val="0"/>
          <w:marTop w:val="0"/>
          <w:marBottom w:val="0"/>
          <w:divBdr>
            <w:top w:val="none" w:sz="0" w:space="0" w:color="auto"/>
            <w:left w:val="none" w:sz="0" w:space="0" w:color="auto"/>
            <w:bottom w:val="none" w:sz="0" w:space="0" w:color="auto"/>
            <w:right w:val="none" w:sz="0" w:space="0" w:color="auto"/>
          </w:divBdr>
        </w:div>
        <w:div w:id="1005326602">
          <w:marLeft w:val="0"/>
          <w:marRight w:val="0"/>
          <w:marTop w:val="0"/>
          <w:marBottom w:val="0"/>
          <w:divBdr>
            <w:top w:val="none" w:sz="0" w:space="0" w:color="auto"/>
            <w:left w:val="none" w:sz="0" w:space="0" w:color="auto"/>
            <w:bottom w:val="none" w:sz="0" w:space="0" w:color="auto"/>
            <w:right w:val="none" w:sz="0" w:space="0" w:color="auto"/>
          </w:divBdr>
          <w:divsChild>
            <w:div w:id="888497077">
              <w:marLeft w:val="-75"/>
              <w:marRight w:val="0"/>
              <w:marTop w:val="30"/>
              <w:marBottom w:val="30"/>
              <w:divBdr>
                <w:top w:val="none" w:sz="0" w:space="0" w:color="auto"/>
                <w:left w:val="none" w:sz="0" w:space="0" w:color="auto"/>
                <w:bottom w:val="none" w:sz="0" w:space="0" w:color="auto"/>
                <w:right w:val="none" w:sz="0" w:space="0" w:color="auto"/>
              </w:divBdr>
              <w:divsChild>
                <w:div w:id="2169822">
                  <w:marLeft w:val="0"/>
                  <w:marRight w:val="0"/>
                  <w:marTop w:val="0"/>
                  <w:marBottom w:val="0"/>
                  <w:divBdr>
                    <w:top w:val="none" w:sz="0" w:space="0" w:color="auto"/>
                    <w:left w:val="none" w:sz="0" w:space="0" w:color="auto"/>
                    <w:bottom w:val="none" w:sz="0" w:space="0" w:color="auto"/>
                    <w:right w:val="none" w:sz="0" w:space="0" w:color="auto"/>
                  </w:divBdr>
                  <w:divsChild>
                    <w:div w:id="447361344">
                      <w:marLeft w:val="0"/>
                      <w:marRight w:val="0"/>
                      <w:marTop w:val="0"/>
                      <w:marBottom w:val="0"/>
                      <w:divBdr>
                        <w:top w:val="none" w:sz="0" w:space="0" w:color="auto"/>
                        <w:left w:val="none" w:sz="0" w:space="0" w:color="auto"/>
                        <w:bottom w:val="none" w:sz="0" w:space="0" w:color="auto"/>
                        <w:right w:val="none" w:sz="0" w:space="0" w:color="auto"/>
                      </w:divBdr>
                    </w:div>
                  </w:divsChild>
                </w:div>
                <w:div w:id="19666541">
                  <w:marLeft w:val="0"/>
                  <w:marRight w:val="0"/>
                  <w:marTop w:val="0"/>
                  <w:marBottom w:val="0"/>
                  <w:divBdr>
                    <w:top w:val="none" w:sz="0" w:space="0" w:color="auto"/>
                    <w:left w:val="none" w:sz="0" w:space="0" w:color="auto"/>
                    <w:bottom w:val="none" w:sz="0" w:space="0" w:color="auto"/>
                    <w:right w:val="none" w:sz="0" w:space="0" w:color="auto"/>
                  </w:divBdr>
                  <w:divsChild>
                    <w:div w:id="1427262926">
                      <w:marLeft w:val="0"/>
                      <w:marRight w:val="0"/>
                      <w:marTop w:val="0"/>
                      <w:marBottom w:val="0"/>
                      <w:divBdr>
                        <w:top w:val="none" w:sz="0" w:space="0" w:color="auto"/>
                        <w:left w:val="none" w:sz="0" w:space="0" w:color="auto"/>
                        <w:bottom w:val="none" w:sz="0" w:space="0" w:color="auto"/>
                        <w:right w:val="none" w:sz="0" w:space="0" w:color="auto"/>
                      </w:divBdr>
                    </w:div>
                  </w:divsChild>
                </w:div>
                <w:div w:id="40178340">
                  <w:marLeft w:val="0"/>
                  <w:marRight w:val="0"/>
                  <w:marTop w:val="0"/>
                  <w:marBottom w:val="0"/>
                  <w:divBdr>
                    <w:top w:val="none" w:sz="0" w:space="0" w:color="auto"/>
                    <w:left w:val="none" w:sz="0" w:space="0" w:color="auto"/>
                    <w:bottom w:val="none" w:sz="0" w:space="0" w:color="auto"/>
                    <w:right w:val="none" w:sz="0" w:space="0" w:color="auto"/>
                  </w:divBdr>
                  <w:divsChild>
                    <w:div w:id="1927416873">
                      <w:marLeft w:val="0"/>
                      <w:marRight w:val="0"/>
                      <w:marTop w:val="0"/>
                      <w:marBottom w:val="0"/>
                      <w:divBdr>
                        <w:top w:val="none" w:sz="0" w:space="0" w:color="auto"/>
                        <w:left w:val="none" w:sz="0" w:space="0" w:color="auto"/>
                        <w:bottom w:val="none" w:sz="0" w:space="0" w:color="auto"/>
                        <w:right w:val="none" w:sz="0" w:space="0" w:color="auto"/>
                      </w:divBdr>
                    </w:div>
                  </w:divsChild>
                </w:div>
                <w:div w:id="40322806">
                  <w:marLeft w:val="0"/>
                  <w:marRight w:val="0"/>
                  <w:marTop w:val="0"/>
                  <w:marBottom w:val="0"/>
                  <w:divBdr>
                    <w:top w:val="none" w:sz="0" w:space="0" w:color="auto"/>
                    <w:left w:val="none" w:sz="0" w:space="0" w:color="auto"/>
                    <w:bottom w:val="none" w:sz="0" w:space="0" w:color="auto"/>
                    <w:right w:val="none" w:sz="0" w:space="0" w:color="auto"/>
                  </w:divBdr>
                  <w:divsChild>
                    <w:div w:id="86007247">
                      <w:marLeft w:val="0"/>
                      <w:marRight w:val="0"/>
                      <w:marTop w:val="0"/>
                      <w:marBottom w:val="0"/>
                      <w:divBdr>
                        <w:top w:val="none" w:sz="0" w:space="0" w:color="auto"/>
                        <w:left w:val="none" w:sz="0" w:space="0" w:color="auto"/>
                        <w:bottom w:val="none" w:sz="0" w:space="0" w:color="auto"/>
                        <w:right w:val="none" w:sz="0" w:space="0" w:color="auto"/>
                      </w:divBdr>
                    </w:div>
                  </w:divsChild>
                </w:div>
                <w:div w:id="193471604">
                  <w:marLeft w:val="0"/>
                  <w:marRight w:val="0"/>
                  <w:marTop w:val="0"/>
                  <w:marBottom w:val="0"/>
                  <w:divBdr>
                    <w:top w:val="none" w:sz="0" w:space="0" w:color="auto"/>
                    <w:left w:val="none" w:sz="0" w:space="0" w:color="auto"/>
                    <w:bottom w:val="none" w:sz="0" w:space="0" w:color="auto"/>
                    <w:right w:val="none" w:sz="0" w:space="0" w:color="auto"/>
                  </w:divBdr>
                  <w:divsChild>
                    <w:div w:id="878010732">
                      <w:marLeft w:val="0"/>
                      <w:marRight w:val="0"/>
                      <w:marTop w:val="0"/>
                      <w:marBottom w:val="0"/>
                      <w:divBdr>
                        <w:top w:val="none" w:sz="0" w:space="0" w:color="auto"/>
                        <w:left w:val="none" w:sz="0" w:space="0" w:color="auto"/>
                        <w:bottom w:val="none" w:sz="0" w:space="0" w:color="auto"/>
                        <w:right w:val="none" w:sz="0" w:space="0" w:color="auto"/>
                      </w:divBdr>
                    </w:div>
                  </w:divsChild>
                </w:div>
                <w:div w:id="229735872">
                  <w:marLeft w:val="0"/>
                  <w:marRight w:val="0"/>
                  <w:marTop w:val="0"/>
                  <w:marBottom w:val="0"/>
                  <w:divBdr>
                    <w:top w:val="none" w:sz="0" w:space="0" w:color="auto"/>
                    <w:left w:val="none" w:sz="0" w:space="0" w:color="auto"/>
                    <w:bottom w:val="none" w:sz="0" w:space="0" w:color="auto"/>
                    <w:right w:val="none" w:sz="0" w:space="0" w:color="auto"/>
                  </w:divBdr>
                  <w:divsChild>
                    <w:div w:id="403643448">
                      <w:marLeft w:val="0"/>
                      <w:marRight w:val="0"/>
                      <w:marTop w:val="0"/>
                      <w:marBottom w:val="0"/>
                      <w:divBdr>
                        <w:top w:val="none" w:sz="0" w:space="0" w:color="auto"/>
                        <w:left w:val="none" w:sz="0" w:space="0" w:color="auto"/>
                        <w:bottom w:val="none" w:sz="0" w:space="0" w:color="auto"/>
                        <w:right w:val="none" w:sz="0" w:space="0" w:color="auto"/>
                      </w:divBdr>
                    </w:div>
                  </w:divsChild>
                </w:div>
                <w:div w:id="275330814">
                  <w:marLeft w:val="0"/>
                  <w:marRight w:val="0"/>
                  <w:marTop w:val="0"/>
                  <w:marBottom w:val="0"/>
                  <w:divBdr>
                    <w:top w:val="none" w:sz="0" w:space="0" w:color="auto"/>
                    <w:left w:val="none" w:sz="0" w:space="0" w:color="auto"/>
                    <w:bottom w:val="none" w:sz="0" w:space="0" w:color="auto"/>
                    <w:right w:val="none" w:sz="0" w:space="0" w:color="auto"/>
                  </w:divBdr>
                  <w:divsChild>
                    <w:div w:id="1656643034">
                      <w:marLeft w:val="0"/>
                      <w:marRight w:val="0"/>
                      <w:marTop w:val="0"/>
                      <w:marBottom w:val="0"/>
                      <w:divBdr>
                        <w:top w:val="none" w:sz="0" w:space="0" w:color="auto"/>
                        <w:left w:val="none" w:sz="0" w:space="0" w:color="auto"/>
                        <w:bottom w:val="none" w:sz="0" w:space="0" w:color="auto"/>
                        <w:right w:val="none" w:sz="0" w:space="0" w:color="auto"/>
                      </w:divBdr>
                    </w:div>
                  </w:divsChild>
                </w:div>
                <w:div w:id="326133395">
                  <w:marLeft w:val="0"/>
                  <w:marRight w:val="0"/>
                  <w:marTop w:val="0"/>
                  <w:marBottom w:val="0"/>
                  <w:divBdr>
                    <w:top w:val="none" w:sz="0" w:space="0" w:color="auto"/>
                    <w:left w:val="none" w:sz="0" w:space="0" w:color="auto"/>
                    <w:bottom w:val="none" w:sz="0" w:space="0" w:color="auto"/>
                    <w:right w:val="none" w:sz="0" w:space="0" w:color="auto"/>
                  </w:divBdr>
                  <w:divsChild>
                    <w:div w:id="1503887049">
                      <w:marLeft w:val="0"/>
                      <w:marRight w:val="0"/>
                      <w:marTop w:val="0"/>
                      <w:marBottom w:val="0"/>
                      <w:divBdr>
                        <w:top w:val="none" w:sz="0" w:space="0" w:color="auto"/>
                        <w:left w:val="none" w:sz="0" w:space="0" w:color="auto"/>
                        <w:bottom w:val="none" w:sz="0" w:space="0" w:color="auto"/>
                        <w:right w:val="none" w:sz="0" w:space="0" w:color="auto"/>
                      </w:divBdr>
                    </w:div>
                  </w:divsChild>
                </w:div>
                <w:div w:id="418914852">
                  <w:marLeft w:val="0"/>
                  <w:marRight w:val="0"/>
                  <w:marTop w:val="0"/>
                  <w:marBottom w:val="0"/>
                  <w:divBdr>
                    <w:top w:val="none" w:sz="0" w:space="0" w:color="auto"/>
                    <w:left w:val="none" w:sz="0" w:space="0" w:color="auto"/>
                    <w:bottom w:val="none" w:sz="0" w:space="0" w:color="auto"/>
                    <w:right w:val="none" w:sz="0" w:space="0" w:color="auto"/>
                  </w:divBdr>
                  <w:divsChild>
                    <w:div w:id="2018531798">
                      <w:marLeft w:val="0"/>
                      <w:marRight w:val="0"/>
                      <w:marTop w:val="0"/>
                      <w:marBottom w:val="0"/>
                      <w:divBdr>
                        <w:top w:val="none" w:sz="0" w:space="0" w:color="auto"/>
                        <w:left w:val="none" w:sz="0" w:space="0" w:color="auto"/>
                        <w:bottom w:val="none" w:sz="0" w:space="0" w:color="auto"/>
                        <w:right w:val="none" w:sz="0" w:space="0" w:color="auto"/>
                      </w:divBdr>
                    </w:div>
                  </w:divsChild>
                </w:div>
                <w:div w:id="436481626">
                  <w:marLeft w:val="0"/>
                  <w:marRight w:val="0"/>
                  <w:marTop w:val="0"/>
                  <w:marBottom w:val="0"/>
                  <w:divBdr>
                    <w:top w:val="none" w:sz="0" w:space="0" w:color="auto"/>
                    <w:left w:val="none" w:sz="0" w:space="0" w:color="auto"/>
                    <w:bottom w:val="none" w:sz="0" w:space="0" w:color="auto"/>
                    <w:right w:val="none" w:sz="0" w:space="0" w:color="auto"/>
                  </w:divBdr>
                  <w:divsChild>
                    <w:div w:id="447359934">
                      <w:marLeft w:val="0"/>
                      <w:marRight w:val="0"/>
                      <w:marTop w:val="0"/>
                      <w:marBottom w:val="0"/>
                      <w:divBdr>
                        <w:top w:val="none" w:sz="0" w:space="0" w:color="auto"/>
                        <w:left w:val="none" w:sz="0" w:space="0" w:color="auto"/>
                        <w:bottom w:val="none" w:sz="0" w:space="0" w:color="auto"/>
                        <w:right w:val="none" w:sz="0" w:space="0" w:color="auto"/>
                      </w:divBdr>
                    </w:div>
                  </w:divsChild>
                </w:div>
                <w:div w:id="582421594">
                  <w:marLeft w:val="0"/>
                  <w:marRight w:val="0"/>
                  <w:marTop w:val="0"/>
                  <w:marBottom w:val="0"/>
                  <w:divBdr>
                    <w:top w:val="none" w:sz="0" w:space="0" w:color="auto"/>
                    <w:left w:val="none" w:sz="0" w:space="0" w:color="auto"/>
                    <w:bottom w:val="none" w:sz="0" w:space="0" w:color="auto"/>
                    <w:right w:val="none" w:sz="0" w:space="0" w:color="auto"/>
                  </w:divBdr>
                  <w:divsChild>
                    <w:div w:id="1841700156">
                      <w:marLeft w:val="0"/>
                      <w:marRight w:val="0"/>
                      <w:marTop w:val="0"/>
                      <w:marBottom w:val="0"/>
                      <w:divBdr>
                        <w:top w:val="none" w:sz="0" w:space="0" w:color="auto"/>
                        <w:left w:val="none" w:sz="0" w:space="0" w:color="auto"/>
                        <w:bottom w:val="none" w:sz="0" w:space="0" w:color="auto"/>
                        <w:right w:val="none" w:sz="0" w:space="0" w:color="auto"/>
                      </w:divBdr>
                    </w:div>
                  </w:divsChild>
                </w:div>
                <w:div w:id="608776677">
                  <w:marLeft w:val="0"/>
                  <w:marRight w:val="0"/>
                  <w:marTop w:val="0"/>
                  <w:marBottom w:val="0"/>
                  <w:divBdr>
                    <w:top w:val="none" w:sz="0" w:space="0" w:color="auto"/>
                    <w:left w:val="none" w:sz="0" w:space="0" w:color="auto"/>
                    <w:bottom w:val="none" w:sz="0" w:space="0" w:color="auto"/>
                    <w:right w:val="none" w:sz="0" w:space="0" w:color="auto"/>
                  </w:divBdr>
                  <w:divsChild>
                    <w:div w:id="182062862">
                      <w:marLeft w:val="0"/>
                      <w:marRight w:val="0"/>
                      <w:marTop w:val="0"/>
                      <w:marBottom w:val="0"/>
                      <w:divBdr>
                        <w:top w:val="none" w:sz="0" w:space="0" w:color="auto"/>
                        <w:left w:val="none" w:sz="0" w:space="0" w:color="auto"/>
                        <w:bottom w:val="none" w:sz="0" w:space="0" w:color="auto"/>
                        <w:right w:val="none" w:sz="0" w:space="0" w:color="auto"/>
                      </w:divBdr>
                    </w:div>
                  </w:divsChild>
                </w:div>
                <w:div w:id="648830720">
                  <w:marLeft w:val="0"/>
                  <w:marRight w:val="0"/>
                  <w:marTop w:val="0"/>
                  <w:marBottom w:val="0"/>
                  <w:divBdr>
                    <w:top w:val="none" w:sz="0" w:space="0" w:color="auto"/>
                    <w:left w:val="none" w:sz="0" w:space="0" w:color="auto"/>
                    <w:bottom w:val="none" w:sz="0" w:space="0" w:color="auto"/>
                    <w:right w:val="none" w:sz="0" w:space="0" w:color="auto"/>
                  </w:divBdr>
                  <w:divsChild>
                    <w:div w:id="1215971477">
                      <w:marLeft w:val="0"/>
                      <w:marRight w:val="0"/>
                      <w:marTop w:val="0"/>
                      <w:marBottom w:val="0"/>
                      <w:divBdr>
                        <w:top w:val="none" w:sz="0" w:space="0" w:color="auto"/>
                        <w:left w:val="none" w:sz="0" w:space="0" w:color="auto"/>
                        <w:bottom w:val="none" w:sz="0" w:space="0" w:color="auto"/>
                        <w:right w:val="none" w:sz="0" w:space="0" w:color="auto"/>
                      </w:divBdr>
                    </w:div>
                  </w:divsChild>
                </w:div>
                <w:div w:id="664554658">
                  <w:marLeft w:val="0"/>
                  <w:marRight w:val="0"/>
                  <w:marTop w:val="0"/>
                  <w:marBottom w:val="0"/>
                  <w:divBdr>
                    <w:top w:val="none" w:sz="0" w:space="0" w:color="auto"/>
                    <w:left w:val="none" w:sz="0" w:space="0" w:color="auto"/>
                    <w:bottom w:val="none" w:sz="0" w:space="0" w:color="auto"/>
                    <w:right w:val="none" w:sz="0" w:space="0" w:color="auto"/>
                  </w:divBdr>
                  <w:divsChild>
                    <w:div w:id="346712593">
                      <w:marLeft w:val="0"/>
                      <w:marRight w:val="0"/>
                      <w:marTop w:val="0"/>
                      <w:marBottom w:val="0"/>
                      <w:divBdr>
                        <w:top w:val="none" w:sz="0" w:space="0" w:color="auto"/>
                        <w:left w:val="none" w:sz="0" w:space="0" w:color="auto"/>
                        <w:bottom w:val="none" w:sz="0" w:space="0" w:color="auto"/>
                        <w:right w:val="none" w:sz="0" w:space="0" w:color="auto"/>
                      </w:divBdr>
                    </w:div>
                  </w:divsChild>
                </w:div>
                <w:div w:id="722170189">
                  <w:marLeft w:val="0"/>
                  <w:marRight w:val="0"/>
                  <w:marTop w:val="0"/>
                  <w:marBottom w:val="0"/>
                  <w:divBdr>
                    <w:top w:val="none" w:sz="0" w:space="0" w:color="auto"/>
                    <w:left w:val="none" w:sz="0" w:space="0" w:color="auto"/>
                    <w:bottom w:val="none" w:sz="0" w:space="0" w:color="auto"/>
                    <w:right w:val="none" w:sz="0" w:space="0" w:color="auto"/>
                  </w:divBdr>
                  <w:divsChild>
                    <w:div w:id="452094891">
                      <w:marLeft w:val="0"/>
                      <w:marRight w:val="0"/>
                      <w:marTop w:val="0"/>
                      <w:marBottom w:val="0"/>
                      <w:divBdr>
                        <w:top w:val="none" w:sz="0" w:space="0" w:color="auto"/>
                        <w:left w:val="none" w:sz="0" w:space="0" w:color="auto"/>
                        <w:bottom w:val="none" w:sz="0" w:space="0" w:color="auto"/>
                        <w:right w:val="none" w:sz="0" w:space="0" w:color="auto"/>
                      </w:divBdr>
                    </w:div>
                  </w:divsChild>
                </w:div>
                <w:div w:id="729115492">
                  <w:marLeft w:val="0"/>
                  <w:marRight w:val="0"/>
                  <w:marTop w:val="0"/>
                  <w:marBottom w:val="0"/>
                  <w:divBdr>
                    <w:top w:val="none" w:sz="0" w:space="0" w:color="auto"/>
                    <w:left w:val="none" w:sz="0" w:space="0" w:color="auto"/>
                    <w:bottom w:val="none" w:sz="0" w:space="0" w:color="auto"/>
                    <w:right w:val="none" w:sz="0" w:space="0" w:color="auto"/>
                  </w:divBdr>
                  <w:divsChild>
                    <w:div w:id="205261766">
                      <w:marLeft w:val="0"/>
                      <w:marRight w:val="0"/>
                      <w:marTop w:val="0"/>
                      <w:marBottom w:val="0"/>
                      <w:divBdr>
                        <w:top w:val="none" w:sz="0" w:space="0" w:color="auto"/>
                        <w:left w:val="none" w:sz="0" w:space="0" w:color="auto"/>
                        <w:bottom w:val="none" w:sz="0" w:space="0" w:color="auto"/>
                        <w:right w:val="none" w:sz="0" w:space="0" w:color="auto"/>
                      </w:divBdr>
                    </w:div>
                  </w:divsChild>
                </w:div>
                <w:div w:id="815879932">
                  <w:marLeft w:val="0"/>
                  <w:marRight w:val="0"/>
                  <w:marTop w:val="0"/>
                  <w:marBottom w:val="0"/>
                  <w:divBdr>
                    <w:top w:val="none" w:sz="0" w:space="0" w:color="auto"/>
                    <w:left w:val="none" w:sz="0" w:space="0" w:color="auto"/>
                    <w:bottom w:val="none" w:sz="0" w:space="0" w:color="auto"/>
                    <w:right w:val="none" w:sz="0" w:space="0" w:color="auto"/>
                  </w:divBdr>
                  <w:divsChild>
                    <w:div w:id="1472167015">
                      <w:marLeft w:val="0"/>
                      <w:marRight w:val="0"/>
                      <w:marTop w:val="0"/>
                      <w:marBottom w:val="0"/>
                      <w:divBdr>
                        <w:top w:val="none" w:sz="0" w:space="0" w:color="auto"/>
                        <w:left w:val="none" w:sz="0" w:space="0" w:color="auto"/>
                        <w:bottom w:val="none" w:sz="0" w:space="0" w:color="auto"/>
                        <w:right w:val="none" w:sz="0" w:space="0" w:color="auto"/>
                      </w:divBdr>
                    </w:div>
                  </w:divsChild>
                </w:div>
                <w:div w:id="838733927">
                  <w:marLeft w:val="0"/>
                  <w:marRight w:val="0"/>
                  <w:marTop w:val="0"/>
                  <w:marBottom w:val="0"/>
                  <w:divBdr>
                    <w:top w:val="none" w:sz="0" w:space="0" w:color="auto"/>
                    <w:left w:val="none" w:sz="0" w:space="0" w:color="auto"/>
                    <w:bottom w:val="none" w:sz="0" w:space="0" w:color="auto"/>
                    <w:right w:val="none" w:sz="0" w:space="0" w:color="auto"/>
                  </w:divBdr>
                  <w:divsChild>
                    <w:div w:id="280112102">
                      <w:marLeft w:val="0"/>
                      <w:marRight w:val="0"/>
                      <w:marTop w:val="0"/>
                      <w:marBottom w:val="0"/>
                      <w:divBdr>
                        <w:top w:val="none" w:sz="0" w:space="0" w:color="auto"/>
                        <w:left w:val="none" w:sz="0" w:space="0" w:color="auto"/>
                        <w:bottom w:val="none" w:sz="0" w:space="0" w:color="auto"/>
                        <w:right w:val="none" w:sz="0" w:space="0" w:color="auto"/>
                      </w:divBdr>
                    </w:div>
                  </w:divsChild>
                </w:div>
                <w:div w:id="839583007">
                  <w:marLeft w:val="0"/>
                  <w:marRight w:val="0"/>
                  <w:marTop w:val="0"/>
                  <w:marBottom w:val="0"/>
                  <w:divBdr>
                    <w:top w:val="none" w:sz="0" w:space="0" w:color="auto"/>
                    <w:left w:val="none" w:sz="0" w:space="0" w:color="auto"/>
                    <w:bottom w:val="none" w:sz="0" w:space="0" w:color="auto"/>
                    <w:right w:val="none" w:sz="0" w:space="0" w:color="auto"/>
                  </w:divBdr>
                  <w:divsChild>
                    <w:div w:id="1089159494">
                      <w:marLeft w:val="0"/>
                      <w:marRight w:val="0"/>
                      <w:marTop w:val="0"/>
                      <w:marBottom w:val="0"/>
                      <w:divBdr>
                        <w:top w:val="none" w:sz="0" w:space="0" w:color="auto"/>
                        <w:left w:val="none" w:sz="0" w:space="0" w:color="auto"/>
                        <w:bottom w:val="none" w:sz="0" w:space="0" w:color="auto"/>
                        <w:right w:val="none" w:sz="0" w:space="0" w:color="auto"/>
                      </w:divBdr>
                    </w:div>
                  </w:divsChild>
                </w:div>
                <w:div w:id="1043210316">
                  <w:marLeft w:val="0"/>
                  <w:marRight w:val="0"/>
                  <w:marTop w:val="0"/>
                  <w:marBottom w:val="0"/>
                  <w:divBdr>
                    <w:top w:val="none" w:sz="0" w:space="0" w:color="auto"/>
                    <w:left w:val="none" w:sz="0" w:space="0" w:color="auto"/>
                    <w:bottom w:val="none" w:sz="0" w:space="0" w:color="auto"/>
                    <w:right w:val="none" w:sz="0" w:space="0" w:color="auto"/>
                  </w:divBdr>
                  <w:divsChild>
                    <w:div w:id="1629975028">
                      <w:marLeft w:val="0"/>
                      <w:marRight w:val="0"/>
                      <w:marTop w:val="0"/>
                      <w:marBottom w:val="0"/>
                      <w:divBdr>
                        <w:top w:val="none" w:sz="0" w:space="0" w:color="auto"/>
                        <w:left w:val="none" w:sz="0" w:space="0" w:color="auto"/>
                        <w:bottom w:val="none" w:sz="0" w:space="0" w:color="auto"/>
                        <w:right w:val="none" w:sz="0" w:space="0" w:color="auto"/>
                      </w:divBdr>
                    </w:div>
                  </w:divsChild>
                </w:div>
                <w:div w:id="1120028167">
                  <w:marLeft w:val="0"/>
                  <w:marRight w:val="0"/>
                  <w:marTop w:val="0"/>
                  <w:marBottom w:val="0"/>
                  <w:divBdr>
                    <w:top w:val="none" w:sz="0" w:space="0" w:color="auto"/>
                    <w:left w:val="none" w:sz="0" w:space="0" w:color="auto"/>
                    <w:bottom w:val="none" w:sz="0" w:space="0" w:color="auto"/>
                    <w:right w:val="none" w:sz="0" w:space="0" w:color="auto"/>
                  </w:divBdr>
                  <w:divsChild>
                    <w:div w:id="1651208118">
                      <w:marLeft w:val="0"/>
                      <w:marRight w:val="0"/>
                      <w:marTop w:val="0"/>
                      <w:marBottom w:val="0"/>
                      <w:divBdr>
                        <w:top w:val="none" w:sz="0" w:space="0" w:color="auto"/>
                        <w:left w:val="none" w:sz="0" w:space="0" w:color="auto"/>
                        <w:bottom w:val="none" w:sz="0" w:space="0" w:color="auto"/>
                        <w:right w:val="none" w:sz="0" w:space="0" w:color="auto"/>
                      </w:divBdr>
                    </w:div>
                  </w:divsChild>
                </w:div>
                <w:div w:id="1188912783">
                  <w:marLeft w:val="0"/>
                  <w:marRight w:val="0"/>
                  <w:marTop w:val="0"/>
                  <w:marBottom w:val="0"/>
                  <w:divBdr>
                    <w:top w:val="none" w:sz="0" w:space="0" w:color="auto"/>
                    <w:left w:val="none" w:sz="0" w:space="0" w:color="auto"/>
                    <w:bottom w:val="none" w:sz="0" w:space="0" w:color="auto"/>
                    <w:right w:val="none" w:sz="0" w:space="0" w:color="auto"/>
                  </w:divBdr>
                  <w:divsChild>
                    <w:div w:id="889541096">
                      <w:marLeft w:val="0"/>
                      <w:marRight w:val="0"/>
                      <w:marTop w:val="0"/>
                      <w:marBottom w:val="0"/>
                      <w:divBdr>
                        <w:top w:val="none" w:sz="0" w:space="0" w:color="auto"/>
                        <w:left w:val="none" w:sz="0" w:space="0" w:color="auto"/>
                        <w:bottom w:val="none" w:sz="0" w:space="0" w:color="auto"/>
                        <w:right w:val="none" w:sz="0" w:space="0" w:color="auto"/>
                      </w:divBdr>
                    </w:div>
                  </w:divsChild>
                </w:div>
                <w:div w:id="1257521146">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0"/>
                      <w:marBottom w:val="0"/>
                      <w:divBdr>
                        <w:top w:val="none" w:sz="0" w:space="0" w:color="auto"/>
                        <w:left w:val="none" w:sz="0" w:space="0" w:color="auto"/>
                        <w:bottom w:val="none" w:sz="0" w:space="0" w:color="auto"/>
                        <w:right w:val="none" w:sz="0" w:space="0" w:color="auto"/>
                      </w:divBdr>
                    </w:div>
                  </w:divsChild>
                </w:div>
                <w:div w:id="1327629362">
                  <w:marLeft w:val="0"/>
                  <w:marRight w:val="0"/>
                  <w:marTop w:val="0"/>
                  <w:marBottom w:val="0"/>
                  <w:divBdr>
                    <w:top w:val="none" w:sz="0" w:space="0" w:color="auto"/>
                    <w:left w:val="none" w:sz="0" w:space="0" w:color="auto"/>
                    <w:bottom w:val="none" w:sz="0" w:space="0" w:color="auto"/>
                    <w:right w:val="none" w:sz="0" w:space="0" w:color="auto"/>
                  </w:divBdr>
                  <w:divsChild>
                    <w:div w:id="2012026730">
                      <w:marLeft w:val="0"/>
                      <w:marRight w:val="0"/>
                      <w:marTop w:val="0"/>
                      <w:marBottom w:val="0"/>
                      <w:divBdr>
                        <w:top w:val="none" w:sz="0" w:space="0" w:color="auto"/>
                        <w:left w:val="none" w:sz="0" w:space="0" w:color="auto"/>
                        <w:bottom w:val="none" w:sz="0" w:space="0" w:color="auto"/>
                        <w:right w:val="none" w:sz="0" w:space="0" w:color="auto"/>
                      </w:divBdr>
                    </w:div>
                  </w:divsChild>
                </w:div>
                <w:div w:id="1381052232">
                  <w:marLeft w:val="0"/>
                  <w:marRight w:val="0"/>
                  <w:marTop w:val="0"/>
                  <w:marBottom w:val="0"/>
                  <w:divBdr>
                    <w:top w:val="none" w:sz="0" w:space="0" w:color="auto"/>
                    <w:left w:val="none" w:sz="0" w:space="0" w:color="auto"/>
                    <w:bottom w:val="none" w:sz="0" w:space="0" w:color="auto"/>
                    <w:right w:val="none" w:sz="0" w:space="0" w:color="auto"/>
                  </w:divBdr>
                  <w:divsChild>
                    <w:div w:id="279728336">
                      <w:marLeft w:val="0"/>
                      <w:marRight w:val="0"/>
                      <w:marTop w:val="0"/>
                      <w:marBottom w:val="0"/>
                      <w:divBdr>
                        <w:top w:val="none" w:sz="0" w:space="0" w:color="auto"/>
                        <w:left w:val="none" w:sz="0" w:space="0" w:color="auto"/>
                        <w:bottom w:val="none" w:sz="0" w:space="0" w:color="auto"/>
                        <w:right w:val="none" w:sz="0" w:space="0" w:color="auto"/>
                      </w:divBdr>
                    </w:div>
                  </w:divsChild>
                </w:div>
                <w:div w:id="1504126549">
                  <w:marLeft w:val="0"/>
                  <w:marRight w:val="0"/>
                  <w:marTop w:val="0"/>
                  <w:marBottom w:val="0"/>
                  <w:divBdr>
                    <w:top w:val="none" w:sz="0" w:space="0" w:color="auto"/>
                    <w:left w:val="none" w:sz="0" w:space="0" w:color="auto"/>
                    <w:bottom w:val="none" w:sz="0" w:space="0" w:color="auto"/>
                    <w:right w:val="none" w:sz="0" w:space="0" w:color="auto"/>
                  </w:divBdr>
                  <w:divsChild>
                    <w:div w:id="974219444">
                      <w:marLeft w:val="0"/>
                      <w:marRight w:val="0"/>
                      <w:marTop w:val="0"/>
                      <w:marBottom w:val="0"/>
                      <w:divBdr>
                        <w:top w:val="none" w:sz="0" w:space="0" w:color="auto"/>
                        <w:left w:val="none" w:sz="0" w:space="0" w:color="auto"/>
                        <w:bottom w:val="none" w:sz="0" w:space="0" w:color="auto"/>
                        <w:right w:val="none" w:sz="0" w:space="0" w:color="auto"/>
                      </w:divBdr>
                    </w:div>
                  </w:divsChild>
                </w:div>
                <w:div w:id="1504202129">
                  <w:marLeft w:val="0"/>
                  <w:marRight w:val="0"/>
                  <w:marTop w:val="0"/>
                  <w:marBottom w:val="0"/>
                  <w:divBdr>
                    <w:top w:val="none" w:sz="0" w:space="0" w:color="auto"/>
                    <w:left w:val="none" w:sz="0" w:space="0" w:color="auto"/>
                    <w:bottom w:val="none" w:sz="0" w:space="0" w:color="auto"/>
                    <w:right w:val="none" w:sz="0" w:space="0" w:color="auto"/>
                  </w:divBdr>
                  <w:divsChild>
                    <w:div w:id="2098092988">
                      <w:marLeft w:val="0"/>
                      <w:marRight w:val="0"/>
                      <w:marTop w:val="0"/>
                      <w:marBottom w:val="0"/>
                      <w:divBdr>
                        <w:top w:val="none" w:sz="0" w:space="0" w:color="auto"/>
                        <w:left w:val="none" w:sz="0" w:space="0" w:color="auto"/>
                        <w:bottom w:val="none" w:sz="0" w:space="0" w:color="auto"/>
                        <w:right w:val="none" w:sz="0" w:space="0" w:color="auto"/>
                      </w:divBdr>
                    </w:div>
                  </w:divsChild>
                </w:div>
                <w:div w:id="1509632521">
                  <w:marLeft w:val="0"/>
                  <w:marRight w:val="0"/>
                  <w:marTop w:val="0"/>
                  <w:marBottom w:val="0"/>
                  <w:divBdr>
                    <w:top w:val="none" w:sz="0" w:space="0" w:color="auto"/>
                    <w:left w:val="none" w:sz="0" w:space="0" w:color="auto"/>
                    <w:bottom w:val="none" w:sz="0" w:space="0" w:color="auto"/>
                    <w:right w:val="none" w:sz="0" w:space="0" w:color="auto"/>
                  </w:divBdr>
                  <w:divsChild>
                    <w:div w:id="1575124463">
                      <w:marLeft w:val="0"/>
                      <w:marRight w:val="0"/>
                      <w:marTop w:val="0"/>
                      <w:marBottom w:val="0"/>
                      <w:divBdr>
                        <w:top w:val="none" w:sz="0" w:space="0" w:color="auto"/>
                        <w:left w:val="none" w:sz="0" w:space="0" w:color="auto"/>
                        <w:bottom w:val="none" w:sz="0" w:space="0" w:color="auto"/>
                        <w:right w:val="none" w:sz="0" w:space="0" w:color="auto"/>
                      </w:divBdr>
                    </w:div>
                  </w:divsChild>
                </w:div>
                <w:div w:id="1579829736">
                  <w:marLeft w:val="0"/>
                  <w:marRight w:val="0"/>
                  <w:marTop w:val="0"/>
                  <w:marBottom w:val="0"/>
                  <w:divBdr>
                    <w:top w:val="none" w:sz="0" w:space="0" w:color="auto"/>
                    <w:left w:val="none" w:sz="0" w:space="0" w:color="auto"/>
                    <w:bottom w:val="none" w:sz="0" w:space="0" w:color="auto"/>
                    <w:right w:val="none" w:sz="0" w:space="0" w:color="auto"/>
                  </w:divBdr>
                  <w:divsChild>
                    <w:div w:id="549340234">
                      <w:marLeft w:val="0"/>
                      <w:marRight w:val="0"/>
                      <w:marTop w:val="0"/>
                      <w:marBottom w:val="0"/>
                      <w:divBdr>
                        <w:top w:val="none" w:sz="0" w:space="0" w:color="auto"/>
                        <w:left w:val="none" w:sz="0" w:space="0" w:color="auto"/>
                        <w:bottom w:val="none" w:sz="0" w:space="0" w:color="auto"/>
                        <w:right w:val="none" w:sz="0" w:space="0" w:color="auto"/>
                      </w:divBdr>
                    </w:div>
                  </w:divsChild>
                </w:div>
                <w:div w:id="1614557798">
                  <w:marLeft w:val="0"/>
                  <w:marRight w:val="0"/>
                  <w:marTop w:val="0"/>
                  <w:marBottom w:val="0"/>
                  <w:divBdr>
                    <w:top w:val="none" w:sz="0" w:space="0" w:color="auto"/>
                    <w:left w:val="none" w:sz="0" w:space="0" w:color="auto"/>
                    <w:bottom w:val="none" w:sz="0" w:space="0" w:color="auto"/>
                    <w:right w:val="none" w:sz="0" w:space="0" w:color="auto"/>
                  </w:divBdr>
                  <w:divsChild>
                    <w:div w:id="1024592219">
                      <w:marLeft w:val="0"/>
                      <w:marRight w:val="0"/>
                      <w:marTop w:val="0"/>
                      <w:marBottom w:val="0"/>
                      <w:divBdr>
                        <w:top w:val="none" w:sz="0" w:space="0" w:color="auto"/>
                        <w:left w:val="none" w:sz="0" w:space="0" w:color="auto"/>
                        <w:bottom w:val="none" w:sz="0" w:space="0" w:color="auto"/>
                        <w:right w:val="none" w:sz="0" w:space="0" w:color="auto"/>
                      </w:divBdr>
                    </w:div>
                  </w:divsChild>
                </w:div>
                <w:div w:id="1674840322">
                  <w:marLeft w:val="0"/>
                  <w:marRight w:val="0"/>
                  <w:marTop w:val="0"/>
                  <w:marBottom w:val="0"/>
                  <w:divBdr>
                    <w:top w:val="none" w:sz="0" w:space="0" w:color="auto"/>
                    <w:left w:val="none" w:sz="0" w:space="0" w:color="auto"/>
                    <w:bottom w:val="none" w:sz="0" w:space="0" w:color="auto"/>
                    <w:right w:val="none" w:sz="0" w:space="0" w:color="auto"/>
                  </w:divBdr>
                  <w:divsChild>
                    <w:div w:id="457799858">
                      <w:marLeft w:val="0"/>
                      <w:marRight w:val="0"/>
                      <w:marTop w:val="0"/>
                      <w:marBottom w:val="0"/>
                      <w:divBdr>
                        <w:top w:val="none" w:sz="0" w:space="0" w:color="auto"/>
                        <w:left w:val="none" w:sz="0" w:space="0" w:color="auto"/>
                        <w:bottom w:val="none" w:sz="0" w:space="0" w:color="auto"/>
                        <w:right w:val="none" w:sz="0" w:space="0" w:color="auto"/>
                      </w:divBdr>
                    </w:div>
                  </w:divsChild>
                </w:div>
                <w:div w:id="1753239868">
                  <w:marLeft w:val="0"/>
                  <w:marRight w:val="0"/>
                  <w:marTop w:val="0"/>
                  <w:marBottom w:val="0"/>
                  <w:divBdr>
                    <w:top w:val="none" w:sz="0" w:space="0" w:color="auto"/>
                    <w:left w:val="none" w:sz="0" w:space="0" w:color="auto"/>
                    <w:bottom w:val="none" w:sz="0" w:space="0" w:color="auto"/>
                    <w:right w:val="none" w:sz="0" w:space="0" w:color="auto"/>
                  </w:divBdr>
                  <w:divsChild>
                    <w:div w:id="954292770">
                      <w:marLeft w:val="0"/>
                      <w:marRight w:val="0"/>
                      <w:marTop w:val="0"/>
                      <w:marBottom w:val="0"/>
                      <w:divBdr>
                        <w:top w:val="none" w:sz="0" w:space="0" w:color="auto"/>
                        <w:left w:val="none" w:sz="0" w:space="0" w:color="auto"/>
                        <w:bottom w:val="none" w:sz="0" w:space="0" w:color="auto"/>
                        <w:right w:val="none" w:sz="0" w:space="0" w:color="auto"/>
                      </w:divBdr>
                    </w:div>
                  </w:divsChild>
                </w:div>
                <w:div w:id="1763717613">
                  <w:marLeft w:val="0"/>
                  <w:marRight w:val="0"/>
                  <w:marTop w:val="0"/>
                  <w:marBottom w:val="0"/>
                  <w:divBdr>
                    <w:top w:val="none" w:sz="0" w:space="0" w:color="auto"/>
                    <w:left w:val="none" w:sz="0" w:space="0" w:color="auto"/>
                    <w:bottom w:val="none" w:sz="0" w:space="0" w:color="auto"/>
                    <w:right w:val="none" w:sz="0" w:space="0" w:color="auto"/>
                  </w:divBdr>
                  <w:divsChild>
                    <w:div w:id="344015039">
                      <w:marLeft w:val="0"/>
                      <w:marRight w:val="0"/>
                      <w:marTop w:val="0"/>
                      <w:marBottom w:val="0"/>
                      <w:divBdr>
                        <w:top w:val="none" w:sz="0" w:space="0" w:color="auto"/>
                        <w:left w:val="none" w:sz="0" w:space="0" w:color="auto"/>
                        <w:bottom w:val="none" w:sz="0" w:space="0" w:color="auto"/>
                        <w:right w:val="none" w:sz="0" w:space="0" w:color="auto"/>
                      </w:divBdr>
                    </w:div>
                  </w:divsChild>
                </w:div>
                <w:div w:id="1791128166">
                  <w:marLeft w:val="0"/>
                  <w:marRight w:val="0"/>
                  <w:marTop w:val="0"/>
                  <w:marBottom w:val="0"/>
                  <w:divBdr>
                    <w:top w:val="none" w:sz="0" w:space="0" w:color="auto"/>
                    <w:left w:val="none" w:sz="0" w:space="0" w:color="auto"/>
                    <w:bottom w:val="none" w:sz="0" w:space="0" w:color="auto"/>
                    <w:right w:val="none" w:sz="0" w:space="0" w:color="auto"/>
                  </w:divBdr>
                  <w:divsChild>
                    <w:div w:id="124658983">
                      <w:marLeft w:val="0"/>
                      <w:marRight w:val="0"/>
                      <w:marTop w:val="0"/>
                      <w:marBottom w:val="0"/>
                      <w:divBdr>
                        <w:top w:val="none" w:sz="0" w:space="0" w:color="auto"/>
                        <w:left w:val="none" w:sz="0" w:space="0" w:color="auto"/>
                        <w:bottom w:val="none" w:sz="0" w:space="0" w:color="auto"/>
                        <w:right w:val="none" w:sz="0" w:space="0" w:color="auto"/>
                      </w:divBdr>
                    </w:div>
                  </w:divsChild>
                </w:div>
                <w:div w:id="1896429909">
                  <w:marLeft w:val="0"/>
                  <w:marRight w:val="0"/>
                  <w:marTop w:val="0"/>
                  <w:marBottom w:val="0"/>
                  <w:divBdr>
                    <w:top w:val="none" w:sz="0" w:space="0" w:color="auto"/>
                    <w:left w:val="none" w:sz="0" w:space="0" w:color="auto"/>
                    <w:bottom w:val="none" w:sz="0" w:space="0" w:color="auto"/>
                    <w:right w:val="none" w:sz="0" w:space="0" w:color="auto"/>
                  </w:divBdr>
                  <w:divsChild>
                    <w:div w:id="1236622679">
                      <w:marLeft w:val="0"/>
                      <w:marRight w:val="0"/>
                      <w:marTop w:val="0"/>
                      <w:marBottom w:val="0"/>
                      <w:divBdr>
                        <w:top w:val="none" w:sz="0" w:space="0" w:color="auto"/>
                        <w:left w:val="none" w:sz="0" w:space="0" w:color="auto"/>
                        <w:bottom w:val="none" w:sz="0" w:space="0" w:color="auto"/>
                        <w:right w:val="none" w:sz="0" w:space="0" w:color="auto"/>
                      </w:divBdr>
                    </w:div>
                  </w:divsChild>
                </w:div>
                <w:div w:id="2144037689">
                  <w:marLeft w:val="0"/>
                  <w:marRight w:val="0"/>
                  <w:marTop w:val="0"/>
                  <w:marBottom w:val="0"/>
                  <w:divBdr>
                    <w:top w:val="none" w:sz="0" w:space="0" w:color="auto"/>
                    <w:left w:val="none" w:sz="0" w:space="0" w:color="auto"/>
                    <w:bottom w:val="none" w:sz="0" w:space="0" w:color="auto"/>
                    <w:right w:val="none" w:sz="0" w:space="0" w:color="auto"/>
                  </w:divBdr>
                  <w:divsChild>
                    <w:div w:id="20778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934857">
      <w:bodyDiv w:val="1"/>
      <w:marLeft w:val="0"/>
      <w:marRight w:val="0"/>
      <w:marTop w:val="0"/>
      <w:marBottom w:val="0"/>
      <w:divBdr>
        <w:top w:val="none" w:sz="0" w:space="0" w:color="auto"/>
        <w:left w:val="none" w:sz="0" w:space="0" w:color="auto"/>
        <w:bottom w:val="none" w:sz="0" w:space="0" w:color="auto"/>
        <w:right w:val="none" w:sz="0" w:space="0" w:color="auto"/>
      </w:divBdr>
    </w:div>
    <w:div w:id="608053063">
      <w:bodyDiv w:val="1"/>
      <w:marLeft w:val="0"/>
      <w:marRight w:val="0"/>
      <w:marTop w:val="0"/>
      <w:marBottom w:val="0"/>
      <w:divBdr>
        <w:top w:val="none" w:sz="0" w:space="0" w:color="auto"/>
        <w:left w:val="none" w:sz="0" w:space="0" w:color="auto"/>
        <w:bottom w:val="none" w:sz="0" w:space="0" w:color="auto"/>
        <w:right w:val="none" w:sz="0" w:space="0" w:color="auto"/>
      </w:divBdr>
    </w:div>
    <w:div w:id="666980472">
      <w:bodyDiv w:val="1"/>
      <w:marLeft w:val="0"/>
      <w:marRight w:val="0"/>
      <w:marTop w:val="0"/>
      <w:marBottom w:val="0"/>
      <w:divBdr>
        <w:top w:val="none" w:sz="0" w:space="0" w:color="auto"/>
        <w:left w:val="none" w:sz="0" w:space="0" w:color="auto"/>
        <w:bottom w:val="none" w:sz="0" w:space="0" w:color="auto"/>
        <w:right w:val="none" w:sz="0" w:space="0" w:color="auto"/>
      </w:divBdr>
      <w:divsChild>
        <w:div w:id="1177692664">
          <w:marLeft w:val="480"/>
          <w:marRight w:val="0"/>
          <w:marTop w:val="0"/>
          <w:marBottom w:val="0"/>
          <w:divBdr>
            <w:top w:val="none" w:sz="0" w:space="0" w:color="auto"/>
            <w:left w:val="none" w:sz="0" w:space="0" w:color="auto"/>
            <w:bottom w:val="none" w:sz="0" w:space="0" w:color="auto"/>
            <w:right w:val="none" w:sz="0" w:space="0" w:color="auto"/>
          </w:divBdr>
          <w:divsChild>
            <w:div w:id="9717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8058">
      <w:bodyDiv w:val="1"/>
      <w:marLeft w:val="0"/>
      <w:marRight w:val="0"/>
      <w:marTop w:val="0"/>
      <w:marBottom w:val="0"/>
      <w:divBdr>
        <w:top w:val="none" w:sz="0" w:space="0" w:color="auto"/>
        <w:left w:val="none" w:sz="0" w:space="0" w:color="auto"/>
        <w:bottom w:val="none" w:sz="0" w:space="0" w:color="auto"/>
        <w:right w:val="none" w:sz="0" w:space="0" w:color="auto"/>
      </w:divBdr>
      <w:divsChild>
        <w:div w:id="398485722">
          <w:marLeft w:val="480"/>
          <w:marRight w:val="0"/>
          <w:marTop w:val="0"/>
          <w:marBottom w:val="0"/>
          <w:divBdr>
            <w:top w:val="none" w:sz="0" w:space="0" w:color="auto"/>
            <w:left w:val="none" w:sz="0" w:space="0" w:color="auto"/>
            <w:bottom w:val="none" w:sz="0" w:space="0" w:color="auto"/>
            <w:right w:val="none" w:sz="0" w:space="0" w:color="auto"/>
          </w:divBdr>
          <w:divsChild>
            <w:div w:id="15838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4041">
      <w:bodyDiv w:val="1"/>
      <w:marLeft w:val="0"/>
      <w:marRight w:val="0"/>
      <w:marTop w:val="0"/>
      <w:marBottom w:val="0"/>
      <w:divBdr>
        <w:top w:val="none" w:sz="0" w:space="0" w:color="auto"/>
        <w:left w:val="none" w:sz="0" w:space="0" w:color="auto"/>
        <w:bottom w:val="none" w:sz="0" w:space="0" w:color="auto"/>
        <w:right w:val="none" w:sz="0" w:space="0" w:color="auto"/>
      </w:divBdr>
    </w:div>
    <w:div w:id="749276687">
      <w:bodyDiv w:val="1"/>
      <w:marLeft w:val="0"/>
      <w:marRight w:val="0"/>
      <w:marTop w:val="0"/>
      <w:marBottom w:val="0"/>
      <w:divBdr>
        <w:top w:val="none" w:sz="0" w:space="0" w:color="auto"/>
        <w:left w:val="none" w:sz="0" w:space="0" w:color="auto"/>
        <w:bottom w:val="none" w:sz="0" w:space="0" w:color="auto"/>
        <w:right w:val="none" w:sz="0" w:space="0" w:color="auto"/>
      </w:divBdr>
      <w:divsChild>
        <w:div w:id="342248771">
          <w:marLeft w:val="480"/>
          <w:marRight w:val="0"/>
          <w:marTop w:val="0"/>
          <w:marBottom w:val="0"/>
          <w:divBdr>
            <w:top w:val="none" w:sz="0" w:space="0" w:color="auto"/>
            <w:left w:val="none" w:sz="0" w:space="0" w:color="auto"/>
            <w:bottom w:val="none" w:sz="0" w:space="0" w:color="auto"/>
            <w:right w:val="none" w:sz="0" w:space="0" w:color="auto"/>
          </w:divBdr>
          <w:divsChild>
            <w:div w:id="18072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4404">
      <w:bodyDiv w:val="1"/>
      <w:marLeft w:val="0"/>
      <w:marRight w:val="0"/>
      <w:marTop w:val="0"/>
      <w:marBottom w:val="0"/>
      <w:divBdr>
        <w:top w:val="none" w:sz="0" w:space="0" w:color="auto"/>
        <w:left w:val="none" w:sz="0" w:space="0" w:color="auto"/>
        <w:bottom w:val="none" w:sz="0" w:space="0" w:color="auto"/>
        <w:right w:val="none" w:sz="0" w:space="0" w:color="auto"/>
      </w:divBdr>
      <w:divsChild>
        <w:div w:id="88237368">
          <w:marLeft w:val="480"/>
          <w:marRight w:val="0"/>
          <w:marTop w:val="0"/>
          <w:marBottom w:val="0"/>
          <w:divBdr>
            <w:top w:val="none" w:sz="0" w:space="0" w:color="auto"/>
            <w:left w:val="none" w:sz="0" w:space="0" w:color="auto"/>
            <w:bottom w:val="none" w:sz="0" w:space="0" w:color="auto"/>
            <w:right w:val="none" w:sz="0" w:space="0" w:color="auto"/>
          </w:divBdr>
          <w:divsChild>
            <w:div w:id="15938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82851">
      <w:bodyDiv w:val="1"/>
      <w:marLeft w:val="0"/>
      <w:marRight w:val="0"/>
      <w:marTop w:val="0"/>
      <w:marBottom w:val="0"/>
      <w:divBdr>
        <w:top w:val="none" w:sz="0" w:space="0" w:color="auto"/>
        <w:left w:val="none" w:sz="0" w:space="0" w:color="auto"/>
        <w:bottom w:val="none" w:sz="0" w:space="0" w:color="auto"/>
        <w:right w:val="none" w:sz="0" w:space="0" w:color="auto"/>
      </w:divBdr>
      <w:divsChild>
        <w:div w:id="89086026">
          <w:marLeft w:val="480"/>
          <w:marRight w:val="0"/>
          <w:marTop w:val="0"/>
          <w:marBottom w:val="0"/>
          <w:divBdr>
            <w:top w:val="none" w:sz="0" w:space="0" w:color="auto"/>
            <w:left w:val="none" w:sz="0" w:space="0" w:color="auto"/>
            <w:bottom w:val="none" w:sz="0" w:space="0" w:color="auto"/>
            <w:right w:val="none" w:sz="0" w:space="0" w:color="auto"/>
          </w:divBdr>
          <w:divsChild>
            <w:div w:id="17559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3656">
      <w:bodyDiv w:val="1"/>
      <w:marLeft w:val="0"/>
      <w:marRight w:val="0"/>
      <w:marTop w:val="0"/>
      <w:marBottom w:val="0"/>
      <w:divBdr>
        <w:top w:val="none" w:sz="0" w:space="0" w:color="auto"/>
        <w:left w:val="none" w:sz="0" w:space="0" w:color="auto"/>
        <w:bottom w:val="none" w:sz="0" w:space="0" w:color="auto"/>
        <w:right w:val="none" w:sz="0" w:space="0" w:color="auto"/>
      </w:divBdr>
      <w:divsChild>
        <w:div w:id="945306459">
          <w:marLeft w:val="480"/>
          <w:marRight w:val="0"/>
          <w:marTop w:val="0"/>
          <w:marBottom w:val="0"/>
          <w:divBdr>
            <w:top w:val="none" w:sz="0" w:space="0" w:color="auto"/>
            <w:left w:val="none" w:sz="0" w:space="0" w:color="auto"/>
            <w:bottom w:val="none" w:sz="0" w:space="0" w:color="auto"/>
            <w:right w:val="none" w:sz="0" w:space="0" w:color="auto"/>
          </w:divBdr>
          <w:divsChild>
            <w:div w:id="14434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5745">
      <w:bodyDiv w:val="1"/>
      <w:marLeft w:val="0"/>
      <w:marRight w:val="0"/>
      <w:marTop w:val="0"/>
      <w:marBottom w:val="0"/>
      <w:divBdr>
        <w:top w:val="none" w:sz="0" w:space="0" w:color="auto"/>
        <w:left w:val="none" w:sz="0" w:space="0" w:color="auto"/>
        <w:bottom w:val="none" w:sz="0" w:space="0" w:color="auto"/>
        <w:right w:val="none" w:sz="0" w:space="0" w:color="auto"/>
      </w:divBdr>
    </w:div>
    <w:div w:id="941453835">
      <w:bodyDiv w:val="1"/>
      <w:marLeft w:val="0"/>
      <w:marRight w:val="0"/>
      <w:marTop w:val="0"/>
      <w:marBottom w:val="0"/>
      <w:divBdr>
        <w:top w:val="none" w:sz="0" w:space="0" w:color="auto"/>
        <w:left w:val="none" w:sz="0" w:space="0" w:color="auto"/>
        <w:bottom w:val="none" w:sz="0" w:space="0" w:color="auto"/>
        <w:right w:val="none" w:sz="0" w:space="0" w:color="auto"/>
      </w:divBdr>
      <w:divsChild>
        <w:div w:id="786704071">
          <w:marLeft w:val="480"/>
          <w:marRight w:val="0"/>
          <w:marTop w:val="0"/>
          <w:marBottom w:val="0"/>
          <w:divBdr>
            <w:top w:val="none" w:sz="0" w:space="0" w:color="auto"/>
            <w:left w:val="none" w:sz="0" w:space="0" w:color="auto"/>
            <w:bottom w:val="none" w:sz="0" w:space="0" w:color="auto"/>
            <w:right w:val="none" w:sz="0" w:space="0" w:color="auto"/>
          </w:divBdr>
          <w:divsChild>
            <w:div w:id="18084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7324">
      <w:bodyDiv w:val="1"/>
      <w:marLeft w:val="0"/>
      <w:marRight w:val="0"/>
      <w:marTop w:val="0"/>
      <w:marBottom w:val="0"/>
      <w:divBdr>
        <w:top w:val="none" w:sz="0" w:space="0" w:color="auto"/>
        <w:left w:val="none" w:sz="0" w:space="0" w:color="auto"/>
        <w:bottom w:val="none" w:sz="0" w:space="0" w:color="auto"/>
        <w:right w:val="none" w:sz="0" w:space="0" w:color="auto"/>
      </w:divBdr>
    </w:div>
    <w:div w:id="973680159">
      <w:bodyDiv w:val="1"/>
      <w:marLeft w:val="0"/>
      <w:marRight w:val="0"/>
      <w:marTop w:val="0"/>
      <w:marBottom w:val="0"/>
      <w:divBdr>
        <w:top w:val="none" w:sz="0" w:space="0" w:color="auto"/>
        <w:left w:val="none" w:sz="0" w:space="0" w:color="auto"/>
        <w:bottom w:val="none" w:sz="0" w:space="0" w:color="auto"/>
        <w:right w:val="none" w:sz="0" w:space="0" w:color="auto"/>
      </w:divBdr>
      <w:divsChild>
        <w:div w:id="10304326">
          <w:marLeft w:val="0"/>
          <w:marRight w:val="0"/>
          <w:marTop w:val="0"/>
          <w:marBottom w:val="0"/>
          <w:divBdr>
            <w:top w:val="none" w:sz="0" w:space="0" w:color="auto"/>
            <w:left w:val="none" w:sz="0" w:space="0" w:color="auto"/>
            <w:bottom w:val="none" w:sz="0" w:space="0" w:color="auto"/>
            <w:right w:val="none" w:sz="0" w:space="0" w:color="auto"/>
          </w:divBdr>
        </w:div>
        <w:div w:id="587882659">
          <w:marLeft w:val="0"/>
          <w:marRight w:val="0"/>
          <w:marTop w:val="0"/>
          <w:marBottom w:val="0"/>
          <w:divBdr>
            <w:top w:val="none" w:sz="0" w:space="0" w:color="auto"/>
            <w:left w:val="none" w:sz="0" w:space="0" w:color="auto"/>
            <w:bottom w:val="none" w:sz="0" w:space="0" w:color="auto"/>
            <w:right w:val="none" w:sz="0" w:space="0" w:color="auto"/>
          </w:divBdr>
          <w:divsChild>
            <w:div w:id="111677952">
              <w:marLeft w:val="-75"/>
              <w:marRight w:val="0"/>
              <w:marTop w:val="30"/>
              <w:marBottom w:val="30"/>
              <w:divBdr>
                <w:top w:val="none" w:sz="0" w:space="0" w:color="auto"/>
                <w:left w:val="none" w:sz="0" w:space="0" w:color="auto"/>
                <w:bottom w:val="none" w:sz="0" w:space="0" w:color="auto"/>
                <w:right w:val="none" w:sz="0" w:space="0" w:color="auto"/>
              </w:divBdr>
              <w:divsChild>
                <w:div w:id="66853347">
                  <w:marLeft w:val="0"/>
                  <w:marRight w:val="0"/>
                  <w:marTop w:val="0"/>
                  <w:marBottom w:val="0"/>
                  <w:divBdr>
                    <w:top w:val="none" w:sz="0" w:space="0" w:color="auto"/>
                    <w:left w:val="none" w:sz="0" w:space="0" w:color="auto"/>
                    <w:bottom w:val="none" w:sz="0" w:space="0" w:color="auto"/>
                    <w:right w:val="none" w:sz="0" w:space="0" w:color="auto"/>
                  </w:divBdr>
                  <w:divsChild>
                    <w:div w:id="184488374">
                      <w:marLeft w:val="0"/>
                      <w:marRight w:val="0"/>
                      <w:marTop w:val="0"/>
                      <w:marBottom w:val="0"/>
                      <w:divBdr>
                        <w:top w:val="none" w:sz="0" w:space="0" w:color="auto"/>
                        <w:left w:val="none" w:sz="0" w:space="0" w:color="auto"/>
                        <w:bottom w:val="none" w:sz="0" w:space="0" w:color="auto"/>
                        <w:right w:val="none" w:sz="0" w:space="0" w:color="auto"/>
                      </w:divBdr>
                    </w:div>
                  </w:divsChild>
                </w:div>
                <w:div w:id="124086588">
                  <w:marLeft w:val="0"/>
                  <w:marRight w:val="0"/>
                  <w:marTop w:val="0"/>
                  <w:marBottom w:val="0"/>
                  <w:divBdr>
                    <w:top w:val="none" w:sz="0" w:space="0" w:color="auto"/>
                    <w:left w:val="none" w:sz="0" w:space="0" w:color="auto"/>
                    <w:bottom w:val="none" w:sz="0" w:space="0" w:color="auto"/>
                    <w:right w:val="none" w:sz="0" w:space="0" w:color="auto"/>
                  </w:divBdr>
                  <w:divsChild>
                    <w:div w:id="666980811">
                      <w:marLeft w:val="0"/>
                      <w:marRight w:val="0"/>
                      <w:marTop w:val="0"/>
                      <w:marBottom w:val="0"/>
                      <w:divBdr>
                        <w:top w:val="none" w:sz="0" w:space="0" w:color="auto"/>
                        <w:left w:val="none" w:sz="0" w:space="0" w:color="auto"/>
                        <w:bottom w:val="none" w:sz="0" w:space="0" w:color="auto"/>
                        <w:right w:val="none" w:sz="0" w:space="0" w:color="auto"/>
                      </w:divBdr>
                    </w:div>
                  </w:divsChild>
                </w:div>
                <w:div w:id="135681916">
                  <w:marLeft w:val="0"/>
                  <w:marRight w:val="0"/>
                  <w:marTop w:val="0"/>
                  <w:marBottom w:val="0"/>
                  <w:divBdr>
                    <w:top w:val="none" w:sz="0" w:space="0" w:color="auto"/>
                    <w:left w:val="none" w:sz="0" w:space="0" w:color="auto"/>
                    <w:bottom w:val="none" w:sz="0" w:space="0" w:color="auto"/>
                    <w:right w:val="none" w:sz="0" w:space="0" w:color="auto"/>
                  </w:divBdr>
                  <w:divsChild>
                    <w:div w:id="450827966">
                      <w:marLeft w:val="0"/>
                      <w:marRight w:val="0"/>
                      <w:marTop w:val="0"/>
                      <w:marBottom w:val="0"/>
                      <w:divBdr>
                        <w:top w:val="none" w:sz="0" w:space="0" w:color="auto"/>
                        <w:left w:val="none" w:sz="0" w:space="0" w:color="auto"/>
                        <w:bottom w:val="none" w:sz="0" w:space="0" w:color="auto"/>
                        <w:right w:val="none" w:sz="0" w:space="0" w:color="auto"/>
                      </w:divBdr>
                    </w:div>
                  </w:divsChild>
                </w:div>
                <w:div w:id="259804527">
                  <w:marLeft w:val="0"/>
                  <w:marRight w:val="0"/>
                  <w:marTop w:val="0"/>
                  <w:marBottom w:val="0"/>
                  <w:divBdr>
                    <w:top w:val="none" w:sz="0" w:space="0" w:color="auto"/>
                    <w:left w:val="none" w:sz="0" w:space="0" w:color="auto"/>
                    <w:bottom w:val="none" w:sz="0" w:space="0" w:color="auto"/>
                    <w:right w:val="none" w:sz="0" w:space="0" w:color="auto"/>
                  </w:divBdr>
                  <w:divsChild>
                    <w:div w:id="797793927">
                      <w:marLeft w:val="0"/>
                      <w:marRight w:val="0"/>
                      <w:marTop w:val="0"/>
                      <w:marBottom w:val="0"/>
                      <w:divBdr>
                        <w:top w:val="none" w:sz="0" w:space="0" w:color="auto"/>
                        <w:left w:val="none" w:sz="0" w:space="0" w:color="auto"/>
                        <w:bottom w:val="none" w:sz="0" w:space="0" w:color="auto"/>
                        <w:right w:val="none" w:sz="0" w:space="0" w:color="auto"/>
                      </w:divBdr>
                    </w:div>
                  </w:divsChild>
                </w:div>
                <w:div w:id="305278933">
                  <w:marLeft w:val="0"/>
                  <w:marRight w:val="0"/>
                  <w:marTop w:val="0"/>
                  <w:marBottom w:val="0"/>
                  <w:divBdr>
                    <w:top w:val="none" w:sz="0" w:space="0" w:color="auto"/>
                    <w:left w:val="none" w:sz="0" w:space="0" w:color="auto"/>
                    <w:bottom w:val="none" w:sz="0" w:space="0" w:color="auto"/>
                    <w:right w:val="none" w:sz="0" w:space="0" w:color="auto"/>
                  </w:divBdr>
                  <w:divsChild>
                    <w:div w:id="636689043">
                      <w:marLeft w:val="0"/>
                      <w:marRight w:val="0"/>
                      <w:marTop w:val="0"/>
                      <w:marBottom w:val="0"/>
                      <w:divBdr>
                        <w:top w:val="none" w:sz="0" w:space="0" w:color="auto"/>
                        <w:left w:val="none" w:sz="0" w:space="0" w:color="auto"/>
                        <w:bottom w:val="none" w:sz="0" w:space="0" w:color="auto"/>
                        <w:right w:val="none" w:sz="0" w:space="0" w:color="auto"/>
                      </w:divBdr>
                    </w:div>
                  </w:divsChild>
                </w:div>
                <w:div w:id="366834677">
                  <w:marLeft w:val="0"/>
                  <w:marRight w:val="0"/>
                  <w:marTop w:val="0"/>
                  <w:marBottom w:val="0"/>
                  <w:divBdr>
                    <w:top w:val="none" w:sz="0" w:space="0" w:color="auto"/>
                    <w:left w:val="none" w:sz="0" w:space="0" w:color="auto"/>
                    <w:bottom w:val="none" w:sz="0" w:space="0" w:color="auto"/>
                    <w:right w:val="none" w:sz="0" w:space="0" w:color="auto"/>
                  </w:divBdr>
                  <w:divsChild>
                    <w:div w:id="1256017552">
                      <w:marLeft w:val="0"/>
                      <w:marRight w:val="0"/>
                      <w:marTop w:val="0"/>
                      <w:marBottom w:val="0"/>
                      <w:divBdr>
                        <w:top w:val="none" w:sz="0" w:space="0" w:color="auto"/>
                        <w:left w:val="none" w:sz="0" w:space="0" w:color="auto"/>
                        <w:bottom w:val="none" w:sz="0" w:space="0" w:color="auto"/>
                        <w:right w:val="none" w:sz="0" w:space="0" w:color="auto"/>
                      </w:divBdr>
                    </w:div>
                  </w:divsChild>
                </w:div>
                <w:div w:id="392697419">
                  <w:marLeft w:val="0"/>
                  <w:marRight w:val="0"/>
                  <w:marTop w:val="0"/>
                  <w:marBottom w:val="0"/>
                  <w:divBdr>
                    <w:top w:val="none" w:sz="0" w:space="0" w:color="auto"/>
                    <w:left w:val="none" w:sz="0" w:space="0" w:color="auto"/>
                    <w:bottom w:val="none" w:sz="0" w:space="0" w:color="auto"/>
                    <w:right w:val="none" w:sz="0" w:space="0" w:color="auto"/>
                  </w:divBdr>
                  <w:divsChild>
                    <w:div w:id="1609195594">
                      <w:marLeft w:val="0"/>
                      <w:marRight w:val="0"/>
                      <w:marTop w:val="0"/>
                      <w:marBottom w:val="0"/>
                      <w:divBdr>
                        <w:top w:val="none" w:sz="0" w:space="0" w:color="auto"/>
                        <w:left w:val="none" w:sz="0" w:space="0" w:color="auto"/>
                        <w:bottom w:val="none" w:sz="0" w:space="0" w:color="auto"/>
                        <w:right w:val="none" w:sz="0" w:space="0" w:color="auto"/>
                      </w:divBdr>
                    </w:div>
                  </w:divsChild>
                </w:div>
                <w:div w:id="518011357">
                  <w:marLeft w:val="0"/>
                  <w:marRight w:val="0"/>
                  <w:marTop w:val="0"/>
                  <w:marBottom w:val="0"/>
                  <w:divBdr>
                    <w:top w:val="none" w:sz="0" w:space="0" w:color="auto"/>
                    <w:left w:val="none" w:sz="0" w:space="0" w:color="auto"/>
                    <w:bottom w:val="none" w:sz="0" w:space="0" w:color="auto"/>
                    <w:right w:val="none" w:sz="0" w:space="0" w:color="auto"/>
                  </w:divBdr>
                  <w:divsChild>
                    <w:div w:id="596862377">
                      <w:marLeft w:val="0"/>
                      <w:marRight w:val="0"/>
                      <w:marTop w:val="0"/>
                      <w:marBottom w:val="0"/>
                      <w:divBdr>
                        <w:top w:val="none" w:sz="0" w:space="0" w:color="auto"/>
                        <w:left w:val="none" w:sz="0" w:space="0" w:color="auto"/>
                        <w:bottom w:val="none" w:sz="0" w:space="0" w:color="auto"/>
                        <w:right w:val="none" w:sz="0" w:space="0" w:color="auto"/>
                      </w:divBdr>
                    </w:div>
                  </w:divsChild>
                </w:div>
                <w:div w:id="536746002">
                  <w:marLeft w:val="0"/>
                  <w:marRight w:val="0"/>
                  <w:marTop w:val="0"/>
                  <w:marBottom w:val="0"/>
                  <w:divBdr>
                    <w:top w:val="none" w:sz="0" w:space="0" w:color="auto"/>
                    <w:left w:val="none" w:sz="0" w:space="0" w:color="auto"/>
                    <w:bottom w:val="none" w:sz="0" w:space="0" w:color="auto"/>
                    <w:right w:val="none" w:sz="0" w:space="0" w:color="auto"/>
                  </w:divBdr>
                  <w:divsChild>
                    <w:div w:id="1905026026">
                      <w:marLeft w:val="0"/>
                      <w:marRight w:val="0"/>
                      <w:marTop w:val="0"/>
                      <w:marBottom w:val="0"/>
                      <w:divBdr>
                        <w:top w:val="none" w:sz="0" w:space="0" w:color="auto"/>
                        <w:left w:val="none" w:sz="0" w:space="0" w:color="auto"/>
                        <w:bottom w:val="none" w:sz="0" w:space="0" w:color="auto"/>
                        <w:right w:val="none" w:sz="0" w:space="0" w:color="auto"/>
                      </w:divBdr>
                    </w:div>
                  </w:divsChild>
                </w:div>
                <w:div w:id="592860048">
                  <w:marLeft w:val="0"/>
                  <w:marRight w:val="0"/>
                  <w:marTop w:val="0"/>
                  <w:marBottom w:val="0"/>
                  <w:divBdr>
                    <w:top w:val="none" w:sz="0" w:space="0" w:color="auto"/>
                    <w:left w:val="none" w:sz="0" w:space="0" w:color="auto"/>
                    <w:bottom w:val="none" w:sz="0" w:space="0" w:color="auto"/>
                    <w:right w:val="none" w:sz="0" w:space="0" w:color="auto"/>
                  </w:divBdr>
                  <w:divsChild>
                    <w:div w:id="375471006">
                      <w:marLeft w:val="0"/>
                      <w:marRight w:val="0"/>
                      <w:marTop w:val="0"/>
                      <w:marBottom w:val="0"/>
                      <w:divBdr>
                        <w:top w:val="none" w:sz="0" w:space="0" w:color="auto"/>
                        <w:left w:val="none" w:sz="0" w:space="0" w:color="auto"/>
                        <w:bottom w:val="none" w:sz="0" w:space="0" w:color="auto"/>
                        <w:right w:val="none" w:sz="0" w:space="0" w:color="auto"/>
                      </w:divBdr>
                    </w:div>
                  </w:divsChild>
                </w:div>
                <w:div w:id="613441978">
                  <w:marLeft w:val="0"/>
                  <w:marRight w:val="0"/>
                  <w:marTop w:val="0"/>
                  <w:marBottom w:val="0"/>
                  <w:divBdr>
                    <w:top w:val="none" w:sz="0" w:space="0" w:color="auto"/>
                    <w:left w:val="none" w:sz="0" w:space="0" w:color="auto"/>
                    <w:bottom w:val="none" w:sz="0" w:space="0" w:color="auto"/>
                    <w:right w:val="none" w:sz="0" w:space="0" w:color="auto"/>
                  </w:divBdr>
                  <w:divsChild>
                    <w:div w:id="1010257793">
                      <w:marLeft w:val="0"/>
                      <w:marRight w:val="0"/>
                      <w:marTop w:val="0"/>
                      <w:marBottom w:val="0"/>
                      <w:divBdr>
                        <w:top w:val="none" w:sz="0" w:space="0" w:color="auto"/>
                        <w:left w:val="none" w:sz="0" w:space="0" w:color="auto"/>
                        <w:bottom w:val="none" w:sz="0" w:space="0" w:color="auto"/>
                        <w:right w:val="none" w:sz="0" w:space="0" w:color="auto"/>
                      </w:divBdr>
                    </w:div>
                  </w:divsChild>
                </w:div>
                <w:div w:id="642123239">
                  <w:marLeft w:val="0"/>
                  <w:marRight w:val="0"/>
                  <w:marTop w:val="0"/>
                  <w:marBottom w:val="0"/>
                  <w:divBdr>
                    <w:top w:val="none" w:sz="0" w:space="0" w:color="auto"/>
                    <w:left w:val="none" w:sz="0" w:space="0" w:color="auto"/>
                    <w:bottom w:val="none" w:sz="0" w:space="0" w:color="auto"/>
                    <w:right w:val="none" w:sz="0" w:space="0" w:color="auto"/>
                  </w:divBdr>
                  <w:divsChild>
                    <w:div w:id="554051284">
                      <w:marLeft w:val="0"/>
                      <w:marRight w:val="0"/>
                      <w:marTop w:val="0"/>
                      <w:marBottom w:val="0"/>
                      <w:divBdr>
                        <w:top w:val="none" w:sz="0" w:space="0" w:color="auto"/>
                        <w:left w:val="none" w:sz="0" w:space="0" w:color="auto"/>
                        <w:bottom w:val="none" w:sz="0" w:space="0" w:color="auto"/>
                        <w:right w:val="none" w:sz="0" w:space="0" w:color="auto"/>
                      </w:divBdr>
                    </w:div>
                  </w:divsChild>
                </w:div>
                <w:div w:id="803350868">
                  <w:marLeft w:val="0"/>
                  <w:marRight w:val="0"/>
                  <w:marTop w:val="0"/>
                  <w:marBottom w:val="0"/>
                  <w:divBdr>
                    <w:top w:val="none" w:sz="0" w:space="0" w:color="auto"/>
                    <w:left w:val="none" w:sz="0" w:space="0" w:color="auto"/>
                    <w:bottom w:val="none" w:sz="0" w:space="0" w:color="auto"/>
                    <w:right w:val="none" w:sz="0" w:space="0" w:color="auto"/>
                  </w:divBdr>
                  <w:divsChild>
                    <w:div w:id="1134906271">
                      <w:marLeft w:val="0"/>
                      <w:marRight w:val="0"/>
                      <w:marTop w:val="0"/>
                      <w:marBottom w:val="0"/>
                      <w:divBdr>
                        <w:top w:val="none" w:sz="0" w:space="0" w:color="auto"/>
                        <w:left w:val="none" w:sz="0" w:space="0" w:color="auto"/>
                        <w:bottom w:val="none" w:sz="0" w:space="0" w:color="auto"/>
                        <w:right w:val="none" w:sz="0" w:space="0" w:color="auto"/>
                      </w:divBdr>
                    </w:div>
                  </w:divsChild>
                </w:div>
                <w:div w:id="852454625">
                  <w:marLeft w:val="0"/>
                  <w:marRight w:val="0"/>
                  <w:marTop w:val="0"/>
                  <w:marBottom w:val="0"/>
                  <w:divBdr>
                    <w:top w:val="none" w:sz="0" w:space="0" w:color="auto"/>
                    <w:left w:val="none" w:sz="0" w:space="0" w:color="auto"/>
                    <w:bottom w:val="none" w:sz="0" w:space="0" w:color="auto"/>
                    <w:right w:val="none" w:sz="0" w:space="0" w:color="auto"/>
                  </w:divBdr>
                  <w:divsChild>
                    <w:div w:id="55125967">
                      <w:marLeft w:val="0"/>
                      <w:marRight w:val="0"/>
                      <w:marTop w:val="0"/>
                      <w:marBottom w:val="0"/>
                      <w:divBdr>
                        <w:top w:val="none" w:sz="0" w:space="0" w:color="auto"/>
                        <w:left w:val="none" w:sz="0" w:space="0" w:color="auto"/>
                        <w:bottom w:val="none" w:sz="0" w:space="0" w:color="auto"/>
                        <w:right w:val="none" w:sz="0" w:space="0" w:color="auto"/>
                      </w:divBdr>
                    </w:div>
                  </w:divsChild>
                </w:div>
                <w:div w:id="896279739">
                  <w:marLeft w:val="0"/>
                  <w:marRight w:val="0"/>
                  <w:marTop w:val="0"/>
                  <w:marBottom w:val="0"/>
                  <w:divBdr>
                    <w:top w:val="none" w:sz="0" w:space="0" w:color="auto"/>
                    <w:left w:val="none" w:sz="0" w:space="0" w:color="auto"/>
                    <w:bottom w:val="none" w:sz="0" w:space="0" w:color="auto"/>
                    <w:right w:val="none" w:sz="0" w:space="0" w:color="auto"/>
                  </w:divBdr>
                  <w:divsChild>
                    <w:div w:id="1885172515">
                      <w:marLeft w:val="0"/>
                      <w:marRight w:val="0"/>
                      <w:marTop w:val="0"/>
                      <w:marBottom w:val="0"/>
                      <w:divBdr>
                        <w:top w:val="none" w:sz="0" w:space="0" w:color="auto"/>
                        <w:left w:val="none" w:sz="0" w:space="0" w:color="auto"/>
                        <w:bottom w:val="none" w:sz="0" w:space="0" w:color="auto"/>
                        <w:right w:val="none" w:sz="0" w:space="0" w:color="auto"/>
                      </w:divBdr>
                    </w:div>
                  </w:divsChild>
                </w:div>
                <w:div w:id="959259031">
                  <w:marLeft w:val="0"/>
                  <w:marRight w:val="0"/>
                  <w:marTop w:val="0"/>
                  <w:marBottom w:val="0"/>
                  <w:divBdr>
                    <w:top w:val="none" w:sz="0" w:space="0" w:color="auto"/>
                    <w:left w:val="none" w:sz="0" w:space="0" w:color="auto"/>
                    <w:bottom w:val="none" w:sz="0" w:space="0" w:color="auto"/>
                    <w:right w:val="none" w:sz="0" w:space="0" w:color="auto"/>
                  </w:divBdr>
                  <w:divsChild>
                    <w:div w:id="2086026149">
                      <w:marLeft w:val="0"/>
                      <w:marRight w:val="0"/>
                      <w:marTop w:val="0"/>
                      <w:marBottom w:val="0"/>
                      <w:divBdr>
                        <w:top w:val="none" w:sz="0" w:space="0" w:color="auto"/>
                        <w:left w:val="none" w:sz="0" w:space="0" w:color="auto"/>
                        <w:bottom w:val="none" w:sz="0" w:space="0" w:color="auto"/>
                        <w:right w:val="none" w:sz="0" w:space="0" w:color="auto"/>
                      </w:divBdr>
                    </w:div>
                  </w:divsChild>
                </w:div>
                <w:div w:id="965351548">
                  <w:marLeft w:val="0"/>
                  <w:marRight w:val="0"/>
                  <w:marTop w:val="0"/>
                  <w:marBottom w:val="0"/>
                  <w:divBdr>
                    <w:top w:val="none" w:sz="0" w:space="0" w:color="auto"/>
                    <w:left w:val="none" w:sz="0" w:space="0" w:color="auto"/>
                    <w:bottom w:val="none" w:sz="0" w:space="0" w:color="auto"/>
                    <w:right w:val="none" w:sz="0" w:space="0" w:color="auto"/>
                  </w:divBdr>
                  <w:divsChild>
                    <w:div w:id="1148666289">
                      <w:marLeft w:val="0"/>
                      <w:marRight w:val="0"/>
                      <w:marTop w:val="0"/>
                      <w:marBottom w:val="0"/>
                      <w:divBdr>
                        <w:top w:val="none" w:sz="0" w:space="0" w:color="auto"/>
                        <w:left w:val="none" w:sz="0" w:space="0" w:color="auto"/>
                        <w:bottom w:val="none" w:sz="0" w:space="0" w:color="auto"/>
                        <w:right w:val="none" w:sz="0" w:space="0" w:color="auto"/>
                      </w:divBdr>
                    </w:div>
                  </w:divsChild>
                </w:div>
                <w:div w:id="1260330960">
                  <w:marLeft w:val="0"/>
                  <w:marRight w:val="0"/>
                  <w:marTop w:val="0"/>
                  <w:marBottom w:val="0"/>
                  <w:divBdr>
                    <w:top w:val="none" w:sz="0" w:space="0" w:color="auto"/>
                    <w:left w:val="none" w:sz="0" w:space="0" w:color="auto"/>
                    <w:bottom w:val="none" w:sz="0" w:space="0" w:color="auto"/>
                    <w:right w:val="none" w:sz="0" w:space="0" w:color="auto"/>
                  </w:divBdr>
                  <w:divsChild>
                    <w:div w:id="44842607">
                      <w:marLeft w:val="0"/>
                      <w:marRight w:val="0"/>
                      <w:marTop w:val="0"/>
                      <w:marBottom w:val="0"/>
                      <w:divBdr>
                        <w:top w:val="none" w:sz="0" w:space="0" w:color="auto"/>
                        <w:left w:val="none" w:sz="0" w:space="0" w:color="auto"/>
                        <w:bottom w:val="none" w:sz="0" w:space="0" w:color="auto"/>
                        <w:right w:val="none" w:sz="0" w:space="0" w:color="auto"/>
                      </w:divBdr>
                    </w:div>
                  </w:divsChild>
                </w:div>
                <w:div w:id="1376924860">
                  <w:marLeft w:val="0"/>
                  <w:marRight w:val="0"/>
                  <w:marTop w:val="0"/>
                  <w:marBottom w:val="0"/>
                  <w:divBdr>
                    <w:top w:val="none" w:sz="0" w:space="0" w:color="auto"/>
                    <w:left w:val="none" w:sz="0" w:space="0" w:color="auto"/>
                    <w:bottom w:val="none" w:sz="0" w:space="0" w:color="auto"/>
                    <w:right w:val="none" w:sz="0" w:space="0" w:color="auto"/>
                  </w:divBdr>
                  <w:divsChild>
                    <w:div w:id="2069955653">
                      <w:marLeft w:val="0"/>
                      <w:marRight w:val="0"/>
                      <w:marTop w:val="0"/>
                      <w:marBottom w:val="0"/>
                      <w:divBdr>
                        <w:top w:val="none" w:sz="0" w:space="0" w:color="auto"/>
                        <w:left w:val="none" w:sz="0" w:space="0" w:color="auto"/>
                        <w:bottom w:val="none" w:sz="0" w:space="0" w:color="auto"/>
                        <w:right w:val="none" w:sz="0" w:space="0" w:color="auto"/>
                      </w:divBdr>
                    </w:div>
                  </w:divsChild>
                </w:div>
                <w:div w:id="1379550786">
                  <w:marLeft w:val="0"/>
                  <w:marRight w:val="0"/>
                  <w:marTop w:val="0"/>
                  <w:marBottom w:val="0"/>
                  <w:divBdr>
                    <w:top w:val="none" w:sz="0" w:space="0" w:color="auto"/>
                    <w:left w:val="none" w:sz="0" w:space="0" w:color="auto"/>
                    <w:bottom w:val="none" w:sz="0" w:space="0" w:color="auto"/>
                    <w:right w:val="none" w:sz="0" w:space="0" w:color="auto"/>
                  </w:divBdr>
                  <w:divsChild>
                    <w:div w:id="408045248">
                      <w:marLeft w:val="0"/>
                      <w:marRight w:val="0"/>
                      <w:marTop w:val="0"/>
                      <w:marBottom w:val="0"/>
                      <w:divBdr>
                        <w:top w:val="none" w:sz="0" w:space="0" w:color="auto"/>
                        <w:left w:val="none" w:sz="0" w:space="0" w:color="auto"/>
                        <w:bottom w:val="none" w:sz="0" w:space="0" w:color="auto"/>
                        <w:right w:val="none" w:sz="0" w:space="0" w:color="auto"/>
                      </w:divBdr>
                    </w:div>
                  </w:divsChild>
                </w:div>
                <w:div w:id="1440293390">
                  <w:marLeft w:val="0"/>
                  <w:marRight w:val="0"/>
                  <w:marTop w:val="0"/>
                  <w:marBottom w:val="0"/>
                  <w:divBdr>
                    <w:top w:val="none" w:sz="0" w:space="0" w:color="auto"/>
                    <w:left w:val="none" w:sz="0" w:space="0" w:color="auto"/>
                    <w:bottom w:val="none" w:sz="0" w:space="0" w:color="auto"/>
                    <w:right w:val="none" w:sz="0" w:space="0" w:color="auto"/>
                  </w:divBdr>
                  <w:divsChild>
                    <w:div w:id="808597103">
                      <w:marLeft w:val="0"/>
                      <w:marRight w:val="0"/>
                      <w:marTop w:val="0"/>
                      <w:marBottom w:val="0"/>
                      <w:divBdr>
                        <w:top w:val="none" w:sz="0" w:space="0" w:color="auto"/>
                        <w:left w:val="none" w:sz="0" w:space="0" w:color="auto"/>
                        <w:bottom w:val="none" w:sz="0" w:space="0" w:color="auto"/>
                        <w:right w:val="none" w:sz="0" w:space="0" w:color="auto"/>
                      </w:divBdr>
                    </w:div>
                  </w:divsChild>
                </w:div>
                <w:div w:id="1502624175">
                  <w:marLeft w:val="0"/>
                  <w:marRight w:val="0"/>
                  <w:marTop w:val="0"/>
                  <w:marBottom w:val="0"/>
                  <w:divBdr>
                    <w:top w:val="none" w:sz="0" w:space="0" w:color="auto"/>
                    <w:left w:val="none" w:sz="0" w:space="0" w:color="auto"/>
                    <w:bottom w:val="none" w:sz="0" w:space="0" w:color="auto"/>
                    <w:right w:val="none" w:sz="0" w:space="0" w:color="auto"/>
                  </w:divBdr>
                  <w:divsChild>
                    <w:div w:id="655836584">
                      <w:marLeft w:val="0"/>
                      <w:marRight w:val="0"/>
                      <w:marTop w:val="0"/>
                      <w:marBottom w:val="0"/>
                      <w:divBdr>
                        <w:top w:val="none" w:sz="0" w:space="0" w:color="auto"/>
                        <w:left w:val="none" w:sz="0" w:space="0" w:color="auto"/>
                        <w:bottom w:val="none" w:sz="0" w:space="0" w:color="auto"/>
                        <w:right w:val="none" w:sz="0" w:space="0" w:color="auto"/>
                      </w:divBdr>
                    </w:div>
                  </w:divsChild>
                </w:div>
                <w:div w:id="1532304062">
                  <w:marLeft w:val="0"/>
                  <w:marRight w:val="0"/>
                  <w:marTop w:val="0"/>
                  <w:marBottom w:val="0"/>
                  <w:divBdr>
                    <w:top w:val="none" w:sz="0" w:space="0" w:color="auto"/>
                    <w:left w:val="none" w:sz="0" w:space="0" w:color="auto"/>
                    <w:bottom w:val="none" w:sz="0" w:space="0" w:color="auto"/>
                    <w:right w:val="none" w:sz="0" w:space="0" w:color="auto"/>
                  </w:divBdr>
                  <w:divsChild>
                    <w:div w:id="1357461934">
                      <w:marLeft w:val="0"/>
                      <w:marRight w:val="0"/>
                      <w:marTop w:val="0"/>
                      <w:marBottom w:val="0"/>
                      <w:divBdr>
                        <w:top w:val="none" w:sz="0" w:space="0" w:color="auto"/>
                        <w:left w:val="none" w:sz="0" w:space="0" w:color="auto"/>
                        <w:bottom w:val="none" w:sz="0" w:space="0" w:color="auto"/>
                        <w:right w:val="none" w:sz="0" w:space="0" w:color="auto"/>
                      </w:divBdr>
                    </w:div>
                  </w:divsChild>
                </w:div>
                <w:div w:id="1559972226">
                  <w:marLeft w:val="0"/>
                  <w:marRight w:val="0"/>
                  <w:marTop w:val="0"/>
                  <w:marBottom w:val="0"/>
                  <w:divBdr>
                    <w:top w:val="none" w:sz="0" w:space="0" w:color="auto"/>
                    <w:left w:val="none" w:sz="0" w:space="0" w:color="auto"/>
                    <w:bottom w:val="none" w:sz="0" w:space="0" w:color="auto"/>
                    <w:right w:val="none" w:sz="0" w:space="0" w:color="auto"/>
                  </w:divBdr>
                  <w:divsChild>
                    <w:div w:id="15542531">
                      <w:marLeft w:val="0"/>
                      <w:marRight w:val="0"/>
                      <w:marTop w:val="0"/>
                      <w:marBottom w:val="0"/>
                      <w:divBdr>
                        <w:top w:val="none" w:sz="0" w:space="0" w:color="auto"/>
                        <w:left w:val="none" w:sz="0" w:space="0" w:color="auto"/>
                        <w:bottom w:val="none" w:sz="0" w:space="0" w:color="auto"/>
                        <w:right w:val="none" w:sz="0" w:space="0" w:color="auto"/>
                      </w:divBdr>
                    </w:div>
                  </w:divsChild>
                </w:div>
                <w:div w:id="1562787633">
                  <w:marLeft w:val="0"/>
                  <w:marRight w:val="0"/>
                  <w:marTop w:val="0"/>
                  <w:marBottom w:val="0"/>
                  <w:divBdr>
                    <w:top w:val="none" w:sz="0" w:space="0" w:color="auto"/>
                    <w:left w:val="none" w:sz="0" w:space="0" w:color="auto"/>
                    <w:bottom w:val="none" w:sz="0" w:space="0" w:color="auto"/>
                    <w:right w:val="none" w:sz="0" w:space="0" w:color="auto"/>
                  </w:divBdr>
                  <w:divsChild>
                    <w:div w:id="184097499">
                      <w:marLeft w:val="0"/>
                      <w:marRight w:val="0"/>
                      <w:marTop w:val="0"/>
                      <w:marBottom w:val="0"/>
                      <w:divBdr>
                        <w:top w:val="none" w:sz="0" w:space="0" w:color="auto"/>
                        <w:left w:val="none" w:sz="0" w:space="0" w:color="auto"/>
                        <w:bottom w:val="none" w:sz="0" w:space="0" w:color="auto"/>
                        <w:right w:val="none" w:sz="0" w:space="0" w:color="auto"/>
                      </w:divBdr>
                    </w:div>
                  </w:divsChild>
                </w:div>
                <w:div w:id="1620335772">
                  <w:marLeft w:val="0"/>
                  <w:marRight w:val="0"/>
                  <w:marTop w:val="0"/>
                  <w:marBottom w:val="0"/>
                  <w:divBdr>
                    <w:top w:val="none" w:sz="0" w:space="0" w:color="auto"/>
                    <w:left w:val="none" w:sz="0" w:space="0" w:color="auto"/>
                    <w:bottom w:val="none" w:sz="0" w:space="0" w:color="auto"/>
                    <w:right w:val="none" w:sz="0" w:space="0" w:color="auto"/>
                  </w:divBdr>
                  <w:divsChild>
                    <w:div w:id="1301573245">
                      <w:marLeft w:val="0"/>
                      <w:marRight w:val="0"/>
                      <w:marTop w:val="0"/>
                      <w:marBottom w:val="0"/>
                      <w:divBdr>
                        <w:top w:val="none" w:sz="0" w:space="0" w:color="auto"/>
                        <w:left w:val="none" w:sz="0" w:space="0" w:color="auto"/>
                        <w:bottom w:val="none" w:sz="0" w:space="0" w:color="auto"/>
                        <w:right w:val="none" w:sz="0" w:space="0" w:color="auto"/>
                      </w:divBdr>
                    </w:div>
                  </w:divsChild>
                </w:div>
                <w:div w:id="1737825211">
                  <w:marLeft w:val="0"/>
                  <w:marRight w:val="0"/>
                  <w:marTop w:val="0"/>
                  <w:marBottom w:val="0"/>
                  <w:divBdr>
                    <w:top w:val="none" w:sz="0" w:space="0" w:color="auto"/>
                    <w:left w:val="none" w:sz="0" w:space="0" w:color="auto"/>
                    <w:bottom w:val="none" w:sz="0" w:space="0" w:color="auto"/>
                    <w:right w:val="none" w:sz="0" w:space="0" w:color="auto"/>
                  </w:divBdr>
                  <w:divsChild>
                    <w:div w:id="1546018515">
                      <w:marLeft w:val="0"/>
                      <w:marRight w:val="0"/>
                      <w:marTop w:val="0"/>
                      <w:marBottom w:val="0"/>
                      <w:divBdr>
                        <w:top w:val="none" w:sz="0" w:space="0" w:color="auto"/>
                        <w:left w:val="none" w:sz="0" w:space="0" w:color="auto"/>
                        <w:bottom w:val="none" w:sz="0" w:space="0" w:color="auto"/>
                        <w:right w:val="none" w:sz="0" w:space="0" w:color="auto"/>
                      </w:divBdr>
                    </w:div>
                  </w:divsChild>
                </w:div>
                <w:div w:id="1766534716">
                  <w:marLeft w:val="0"/>
                  <w:marRight w:val="0"/>
                  <w:marTop w:val="0"/>
                  <w:marBottom w:val="0"/>
                  <w:divBdr>
                    <w:top w:val="none" w:sz="0" w:space="0" w:color="auto"/>
                    <w:left w:val="none" w:sz="0" w:space="0" w:color="auto"/>
                    <w:bottom w:val="none" w:sz="0" w:space="0" w:color="auto"/>
                    <w:right w:val="none" w:sz="0" w:space="0" w:color="auto"/>
                  </w:divBdr>
                  <w:divsChild>
                    <w:div w:id="14356584">
                      <w:marLeft w:val="0"/>
                      <w:marRight w:val="0"/>
                      <w:marTop w:val="0"/>
                      <w:marBottom w:val="0"/>
                      <w:divBdr>
                        <w:top w:val="none" w:sz="0" w:space="0" w:color="auto"/>
                        <w:left w:val="none" w:sz="0" w:space="0" w:color="auto"/>
                        <w:bottom w:val="none" w:sz="0" w:space="0" w:color="auto"/>
                        <w:right w:val="none" w:sz="0" w:space="0" w:color="auto"/>
                      </w:divBdr>
                    </w:div>
                  </w:divsChild>
                </w:div>
                <w:div w:id="1931810227">
                  <w:marLeft w:val="0"/>
                  <w:marRight w:val="0"/>
                  <w:marTop w:val="0"/>
                  <w:marBottom w:val="0"/>
                  <w:divBdr>
                    <w:top w:val="none" w:sz="0" w:space="0" w:color="auto"/>
                    <w:left w:val="none" w:sz="0" w:space="0" w:color="auto"/>
                    <w:bottom w:val="none" w:sz="0" w:space="0" w:color="auto"/>
                    <w:right w:val="none" w:sz="0" w:space="0" w:color="auto"/>
                  </w:divBdr>
                  <w:divsChild>
                    <w:div w:id="294722615">
                      <w:marLeft w:val="0"/>
                      <w:marRight w:val="0"/>
                      <w:marTop w:val="0"/>
                      <w:marBottom w:val="0"/>
                      <w:divBdr>
                        <w:top w:val="none" w:sz="0" w:space="0" w:color="auto"/>
                        <w:left w:val="none" w:sz="0" w:space="0" w:color="auto"/>
                        <w:bottom w:val="none" w:sz="0" w:space="0" w:color="auto"/>
                        <w:right w:val="none" w:sz="0" w:space="0" w:color="auto"/>
                      </w:divBdr>
                    </w:div>
                  </w:divsChild>
                </w:div>
                <w:div w:id="1934432073">
                  <w:marLeft w:val="0"/>
                  <w:marRight w:val="0"/>
                  <w:marTop w:val="0"/>
                  <w:marBottom w:val="0"/>
                  <w:divBdr>
                    <w:top w:val="none" w:sz="0" w:space="0" w:color="auto"/>
                    <w:left w:val="none" w:sz="0" w:space="0" w:color="auto"/>
                    <w:bottom w:val="none" w:sz="0" w:space="0" w:color="auto"/>
                    <w:right w:val="none" w:sz="0" w:space="0" w:color="auto"/>
                  </w:divBdr>
                  <w:divsChild>
                    <w:div w:id="2119331010">
                      <w:marLeft w:val="0"/>
                      <w:marRight w:val="0"/>
                      <w:marTop w:val="0"/>
                      <w:marBottom w:val="0"/>
                      <w:divBdr>
                        <w:top w:val="none" w:sz="0" w:space="0" w:color="auto"/>
                        <w:left w:val="none" w:sz="0" w:space="0" w:color="auto"/>
                        <w:bottom w:val="none" w:sz="0" w:space="0" w:color="auto"/>
                        <w:right w:val="none" w:sz="0" w:space="0" w:color="auto"/>
                      </w:divBdr>
                    </w:div>
                  </w:divsChild>
                </w:div>
                <w:div w:id="1968512970">
                  <w:marLeft w:val="0"/>
                  <w:marRight w:val="0"/>
                  <w:marTop w:val="0"/>
                  <w:marBottom w:val="0"/>
                  <w:divBdr>
                    <w:top w:val="none" w:sz="0" w:space="0" w:color="auto"/>
                    <w:left w:val="none" w:sz="0" w:space="0" w:color="auto"/>
                    <w:bottom w:val="none" w:sz="0" w:space="0" w:color="auto"/>
                    <w:right w:val="none" w:sz="0" w:space="0" w:color="auto"/>
                  </w:divBdr>
                  <w:divsChild>
                    <w:div w:id="1653636491">
                      <w:marLeft w:val="0"/>
                      <w:marRight w:val="0"/>
                      <w:marTop w:val="0"/>
                      <w:marBottom w:val="0"/>
                      <w:divBdr>
                        <w:top w:val="none" w:sz="0" w:space="0" w:color="auto"/>
                        <w:left w:val="none" w:sz="0" w:space="0" w:color="auto"/>
                        <w:bottom w:val="none" w:sz="0" w:space="0" w:color="auto"/>
                        <w:right w:val="none" w:sz="0" w:space="0" w:color="auto"/>
                      </w:divBdr>
                    </w:div>
                  </w:divsChild>
                </w:div>
                <w:div w:id="1969773008">
                  <w:marLeft w:val="0"/>
                  <w:marRight w:val="0"/>
                  <w:marTop w:val="0"/>
                  <w:marBottom w:val="0"/>
                  <w:divBdr>
                    <w:top w:val="none" w:sz="0" w:space="0" w:color="auto"/>
                    <w:left w:val="none" w:sz="0" w:space="0" w:color="auto"/>
                    <w:bottom w:val="none" w:sz="0" w:space="0" w:color="auto"/>
                    <w:right w:val="none" w:sz="0" w:space="0" w:color="auto"/>
                  </w:divBdr>
                  <w:divsChild>
                    <w:div w:id="652564062">
                      <w:marLeft w:val="0"/>
                      <w:marRight w:val="0"/>
                      <w:marTop w:val="0"/>
                      <w:marBottom w:val="0"/>
                      <w:divBdr>
                        <w:top w:val="none" w:sz="0" w:space="0" w:color="auto"/>
                        <w:left w:val="none" w:sz="0" w:space="0" w:color="auto"/>
                        <w:bottom w:val="none" w:sz="0" w:space="0" w:color="auto"/>
                        <w:right w:val="none" w:sz="0" w:space="0" w:color="auto"/>
                      </w:divBdr>
                    </w:div>
                  </w:divsChild>
                </w:div>
                <w:div w:id="2083331668">
                  <w:marLeft w:val="0"/>
                  <w:marRight w:val="0"/>
                  <w:marTop w:val="0"/>
                  <w:marBottom w:val="0"/>
                  <w:divBdr>
                    <w:top w:val="none" w:sz="0" w:space="0" w:color="auto"/>
                    <w:left w:val="none" w:sz="0" w:space="0" w:color="auto"/>
                    <w:bottom w:val="none" w:sz="0" w:space="0" w:color="auto"/>
                    <w:right w:val="none" w:sz="0" w:space="0" w:color="auto"/>
                  </w:divBdr>
                  <w:divsChild>
                    <w:div w:id="429476612">
                      <w:marLeft w:val="0"/>
                      <w:marRight w:val="0"/>
                      <w:marTop w:val="0"/>
                      <w:marBottom w:val="0"/>
                      <w:divBdr>
                        <w:top w:val="none" w:sz="0" w:space="0" w:color="auto"/>
                        <w:left w:val="none" w:sz="0" w:space="0" w:color="auto"/>
                        <w:bottom w:val="none" w:sz="0" w:space="0" w:color="auto"/>
                        <w:right w:val="none" w:sz="0" w:space="0" w:color="auto"/>
                      </w:divBdr>
                    </w:div>
                  </w:divsChild>
                </w:div>
                <w:div w:id="2101438707">
                  <w:marLeft w:val="0"/>
                  <w:marRight w:val="0"/>
                  <w:marTop w:val="0"/>
                  <w:marBottom w:val="0"/>
                  <w:divBdr>
                    <w:top w:val="none" w:sz="0" w:space="0" w:color="auto"/>
                    <w:left w:val="none" w:sz="0" w:space="0" w:color="auto"/>
                    <w:bottom w:val="none" w:sz="0" w:space="0" w:color="auto"/>
                    <w:right w:val="none" w:sz="0" w:space="0" w:color="auto"/>
                  </w:divBdr>
                  <w:divsChild>
                    <w:div w:id="249967499">
                      <w:marLeft w:val="0"/>
                      <w:marRight w:val="0"/>
                      <w:marTop w:val="0"/>
                      <w:marBottom w:val="0"/>
                      <w:divBdr>
                        <w:top w:val="none" w:sz="0" w:space="0" w:color="auto"/>
                        <w:left w:val="none" w:sz="0" w:space="0" w:color="auto"/>
                        <w:bottom w:val="none" w:sz="0" w:space="0" w:color="auto"/>
                        <w:right w:val="none" w:sz="0" w:space="0" w:color="auto"/>
                      </w:divBdr>
                    </w:div>
                  </w:divsChild>
                </w:div>
                <w:div w:id="2121991832">
                  <w:marLeft w:val="0"/>
                  <w:marRight w:val="0"/>
                  <w:marTop w:val="0"/>
                  <w:marBottom w:val="0"/>
                  <w:divBdr>
                    <w:top w:val="none" w:sz="0" w:space="0" w:color="auto"/>
                    <w:left w:val="none" w:sz="0" w:space="0" w:color="auto"/>
                    <w:bottom w:val="none" w:sz="0" w:space="0" w:color="auto"/>
                    <w:right w:val="none" w:sz="0" w:space="0" w:color="auto"/>
                  </w:divBdr>
                  <w:divsChild>
                    <w:div w:id="1223058145">
                      <w:marLeft w:val="0"/>
                      <w:marRight w:val="0"/>
                      <w:marTop w:val="0"/>
                      <w:marBottom w:val="0"/>
                      <w:divBdr>
                        <w:top w:val="none" w:sz="0" w:space="0" w:color="auto"/>
                        <w:left w:val="none" w:sz="0" w:space="0" w:color="auto"/>
                        <w:bottom w:val="none" w:sz="0" w:space="0" w:color="auto"/>
                        <w:right w:val="none" w:sz="0" w:space="0" w:color="auto"/>
                      </w:divBdr>
                    </w:div>
                  </w:divsChild>
                </w:div>
                <w:div w:id="2140759128">
                  <w:marLeft w:val="0"/>
                  <w:marRight w:val="0"/>
                  <w:marTop w:val="0"/>
                  <w:marBottom w:val="0"/>
                  <w:divBdr>
                    <w:top w:val="none" w:sz="0" w:space="0" w:color="auto"/>
                    <w:left w:val="none" w:sz="0" w:space="0" w:color="auto"/>
                    <w:bottom w:val="none" w:sz="0" w:space="0" w:color="auto"/>
                    <w:right w:val="none" w:sz="0" w:space="0" w:color="auto"/>
                  </w:divBdr>
                  <w:divsChild>
                    <w:div w:id="15781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37518">
          <w:marLeft w:val="0"/>
          <w:marRight w:val="0"/>
          <w:marTop w:val="0"/>
          <w:marBottom w:val="0"/>
          <w:divBdr>
            <w:top w:val="none" w:sz="0" w:space="0" w:color="auto"/>
            <w:left w:val="none" w:sz="0" w:space="0" w:color="auto"/>
            <w:bottom w:val="none" w:sz="0" w:space="0" w:color="auto"/>
            <w:right w:val="none" w:sz="0" w:space="0" w:color="auto"/>
          </w:divBdr>
        </w:div>
        <w:div w:id="1994792032">
          <w:marLeft w:val="0"/>
          <w:marRight w:val="0"/>
          <w:marTop w:val="0"/>
          <w:marBottom w:val="0"/>
          <w:divBdr>
            <w:top w:val="none" w:sz="0" w:space="0" w:color="auto"/>
            <w:left w:val="none" w:sz="0" w:space="0" w:color="auto"/>
            <w:bottom w:val="none" w:sz="0" w:space="0" w:color="auto"/>
            <w:right w:val="none" w:sz="0" w:space="0" w:color="auto"/>
          </w:divBdr>
        </w:div>
      </w:divsChild>
    </w:div>
    <w:div w:id="1017467233">
      <w:bodyDiv w:val="1"/>
      <w:marLeft w:val="0"/>
      <w:marRight w:val="0"/>
      <w:marTop w:val="0"/>
      <w:marBottom w:val="0"/>
      <w:divBdr>
        <w:top w:val="none" w:sz="0" w:space="0" w:color="auto"/>
        <w:left w:val="none" w:sz="0" w:space="0" w:color="auto"/>
        <w:bottom w:val="none" w:sz="0" w:space="0" w:color="auto"/>
        <w:right w:val="none" w:sz="0" w:space="0" w:color="auto"/>
      </w:divBdr>
      <w:divsChild>
        <w:div w:id="91630927">
          <w:marLeft w:val="480"/>
          <w:marRight w:val="0"/>
          <w:marTop w:val="0"/>
          <w:marBottom w:val="0"/>
          <w:divBdr>
            <w:top w:val="none" w:sz="0" w:space="0" w:color="auto"/>
            <w:left w:val="none" w:sz="0" w:space="0" w:color="auto"/>
            <w:bottom w:val="none" w:sz="0" w:space="0" w:color="auto"/>
            <w:right w:val="none" w:sz="0" w:space="0" w:color="auto"/>
          </w:divBdr>
          <w:divsChild>
            <w:div w:id="1624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4399">
      <w:bodyDiv w:val="1"/>
      <w:marLeft w:val="0"/>
      <w:marRight w:val="0"/>
      <w:marTop w:val="0"/>
      <w:marBottom w:val="0"/>
      <w:divBdr>
        <w:top w:val="none" w:sz="0" w:space="0" w:color="auto"/>
        <w:left w:val="none" w:sz="0" w:space="0" w:color="auto"/>
        <w:bottom w:val="none" w:sz="0" w:space="0" w:color="auto"/>
        <w:right w:val="none" w:sz="0" w:space="0" w:color="auto"/>
      </w:divBdr>
    </w:div>
    <w:div w:id="1043990464">
      <w:bodyDiv w:val="1"/>
      <w:marLeft w:val="0"/>
      <w:marRight w:val="0"/>
      <w:marTop w:val="0"/>
      <w:marBottom w:val="0"/>
      <w:divBdr>
        <w:top w:val="none" w:sz="0" w:space="0" w:color="auto"/>
        <w:left w:val="none" w:sz="0" w:space="0" w:color="auto"/>
        <w:bottom w:val="none" w:sz="0" w:space="0" w:color="auto"/>
        <w:right w:val="none" w:sz="0" w:space="0" w:color="auto"/>
      </w:divBdr>
    </w:div>
    <w:div w:id="1057510417">
      <w:bodyDiv w:val="1"/>
      <w:marLeft w:val="0"/>
      <w:marRight w:val="0"/>
      <w:marTop w:val="0"/>
      <w:marBottom w:val="0"/>
      <w:divBdr>
        <w:top w:val="none" w:sz="0" w:space="0" w:color="auto"/>
        <w:left w:val="none" w:sz="0" w:space="0" w:color="auto"/>
        <w:bottom w:val="none" w:sz="0" w:space="0" w:color="auto"/>
        <w:right w:val="none" w:sz="0" w:space="0" w:color="auto"/>
      </w:divBdr>
      <w:divsChild>
        <w:div w:id="1976335">
          <w:marLeft w:val="0"/>
          <w:marRight w:val="0"/>
          <w:marTop w:val="0"/>
          <w:marBottom w:val="0"/>
          <w:divBdr>
            <w:top w:val="none" w:sz="0" w:space="0" w:color="auto"/>
            <w:left w:val="none" w:sz="0" w:space="0" w:color="auto"/>
            <w:bottom w:val="none" w:sz="0" w:space="0" w:color="auto"/>
            <w:right w:val="none" w:sz="0" w:space="0" w:color="auto"/>
          </w:divBdr>
        </w:div>
        <w:div w:id="50010467">
          <w:marLeft w:val="0"/>
          <w:marRight w:val="0"/>
          <w:marTop w:val="0"/>
          <w:marBottom w:val="0"/>
          <w:divBdr>
            <w:top w:val="none" w:sz="0" w:space="0" w:color="auto"/>
            <w:left w:val="none" w:sz="0" w:space="0" w:color="auto"/>
            <w:bottom w:val="none" w:sz="0" w:space="0" w:color="auto"/>
            <w:right w:val="none" w:sz="0" w:space="0" w:color="auto"/>
          </w:divBdr>
          <w:divsChild>
            <w:div w:id="203520686">
              <w:marLeft w:val="-75"/>
              <w:marRight w:val="0"/>
              <w:marTop w:val="30"/>
              <w:marBottom w:val="30"/>
              <w:divBdr>
                <w:top w:val="none" w:sz="0" w:space="0" w:color="auto"/>
                <w:left w:val="none" w:sz="0" w:space="0" w:color="auto"/>
                <w:bottom w:val="none" w:sz="0" w:space="0" w:color="auto"/>
                <w:right w:val="none" w:sz="0" w:space="0" w:color="auto"/>
              </w:divBdr>
              <w:divsChild>
                <w:div w:id="221721738">
                  <w:marLeft w:val="0"/>
                  <w:marRight w:val="0"/>
                  <w:marTop w:val="0"/>
                  <w:marBottom w:val="0"/>
                  <w:divBdr>
                    <w:top w:val="none" w:sz="0" w:space="0" w:color="auto"/>
                    <w:left w:val="none" w:sz="0" w:space="0" w:color="auto"/>
                    <w:bottom w:val="none" w:sz="0" w:space="0" w:color="auto"/>
                    <w:right w:val="none" w:sz="0" w:space="0" w:color="auto"/>
                  </w:divBdr>
                  <w:divsChild>
                    <w:div w:id="1527062691">
                      <w:marLeft w:val="0"/>
                      <w:marRight w:val="0"/>
                      <w:marTop w:val="0"/>
                      <w:marBottom w:val="0"/>
                      <w:divBdr>
                        <w:top w:val="none" w:sz="0" w:space="0" w:color="auto"/>
                        <w:left w:val="none" w:sz="0" w:space="0" w:color="auto"/>
                        <w:bottom w:val="none" w:sz="0" w:space="0" w:color="auto"/>
                        <w:right w:val="none" w:sz="0" w:space="0" w:color="auto"/>
                      </w:divBdr>
                    </w:div>
                  </w:divsChild>
                </w:div>
                <w:div w:id="300580230">
                  <w:marLeft w:val="0"/>
                  <w:marRight w:val="0"/>
                  <w:marTop w:val="0"/>
                  <w:marBottom w:val="0"/>
                  <w:divBdr>
                    <w:top w:val="none" w:sz="0" w:space="0" w:color="auto"/>
                    <w:left w:val="none" w:sz="0" w:space="0" w:color="auto"/>
                    <w:bottom w:val="none" w:sz="0" w:space="0" w:color="auto"/>
                    <w:right w:val="none" w:sz="0" w:space="0" w:color="auto"/>
                  </w:divBdr>
                  <w:divsChild>
                    <w:div w:id="55475676">
                      <w:marLeft w:val="0"/>
                      <w:marRight w:val="0"/>
                      <w:marTop w:val="0"/>
                      <w:marBottom w:val="0"/>
                      <w:divBdr>
                        <w:top w:val="none" w:sz="0" w:space="0" w:color="auto"/>
                        <w:left w:val="none" w:sz="0" w:space="0" w:color="auto"/>
                        <w:bottom w:val="none" w:sz="0" w:space="0" w:color="auto"/>
                        <w:right w:val="none" w:sz="0" w:space="0" w:color="auto"/>
                      </w:divBdr>
                    </w:div>
                  </w:divsChild>
                </w:div>
                <w:div w:id="407268511">
                  <w:marLeft w:val="0"/>
                  <w:marRight w:val="0"/>
                  <w:marTop w:val="0"/>
                  <w:marBottom w:val="0"/>
                  <w:divBdr>
                    <w:top w:val="none" w:sz="0" w:space="0" w:color="auto"/>
                    <w:left w:val="none" w:sz="0" w:space="0" w:color="auto"/>
                    <w:bottom w:val="none" w:sz="0" w:space="0" w:color="auto"/>
                    <w:right w:val="none" w:sz="0" w:space="0" w:color="auto"/>
                  </w:divBdr>
                  <w:divsChild>
                    <w:div w:id="428894012">
                      <w:marLeft w:val="0"/>
                      <w:marRight w:val="0"/>
                      <w:marTop w:val="0"/>
                      <w:marBottom w:val="0"/>
                      <w:divBdr>
                        <w:top w:val="none" w:sz="0" w:space="0" w:color="auto"/>
                        <w:left w:val="none" w:sz="0" w:space="0" w:color="auto"/>
                        <w:bottom w:val="none" w:sz="0" w:space="0" w:color="auto"/>
                        <w:right w:val="none" w:sz="0" w:space="0" w:color="auto"/>
                      </w:divBdr>
                    </w:div>
                  </w:divsChild>
                </w:div>
                <w:div w:id="503323225">
                  <w:marLeft w:val="0"/>
                  <w:marRight w:val="0"/>
                  <w:marTop w:val="0"/>
                  <w:marBottom w:val="0"/>
                  <w:divBdr>
                    <w:top w:val="none" w:sz="0" w:space="0" w:color="auto"/>
                    <w:left w:val="none" w:sz="0" w:space="0" w:color="auto"/>
                    <w:bottom w:val="none" w:sz="0" w:space="0" w:color="auto"/>
                    <w:right w:val="none" w:sz="0" w:space="0" w:color="auto"/>
                  </w:divBdr>
                  <w:divsChild>
                    <w:div w:id="1017926089">
                      <w:marLeft w:val="0"/>
                      <w:marRight w:val="0"/>
                      <w:marTop w:val="0"/>
                      <w:marBottom w:val="0"/>
                      <w:divBdr>
                        <w:top w:val="none" w:sz="0" w:space="0" w:color="auto"/>
                        <w:left w:val="none" w:sz="0" w:space="0" w:color="auto"/>
                        <w:bottom w:val="none" w:sz="0" w:space="0" w:color="auto"/>
                        <w:right w:val="none" w:sz="0" w:space="0" w:color="auto"/>
                      </w:divBdr>
                    </w:div>
                  </w:divsChild>
                </w:div>
                <w:div w:id="746339818">
                  <w:marLeft w:val="0"/>
                  <w:marRight w:val="0"/>
                  <w:marTop w:val="0"/>
                  <w:marBottom w:val="0"/>
                  <w:divBdr>
                    <w:top w:val="none" w:sz="0" w:space="0" w:color="auto"/>
                    <w:left w:val="none" w:sz="0" w:space="0" w:color="auto"/>
                    <w:bottom w:val="none" w:sz="0" w:space="0" w:color="auto"/>
                    <w:right w:val="none" w:sz="0" w:space="0" w:color="auto"/>
                  </w:divBdr>
                  <w:divsChild>
                    <w:div w:id="1238635506">
                      <w:marLeft w:val="0"/>
                      <w:marRight w:val="0"/>
                      <w:marTop w:val="0"/>
                      <w:marBottom w:val="0"/>
                      <w:divBdr>
                        <w:top w:val="none" w:sz="0" w:space="0" w:color="auto"/>
                        <w:left w:val="none" w:sz="0" w:space="0" w:color="auto"/>
                        <w:bottom w:val="none" w:sz="0" w:space="0" w:color="auto"/>
                        <w:right w:val="none" w:sz="0" w:space="0" w:color="auto"/>
                      </w:divBdr>
                    </w:div>
                  </w:divsChild>
                </w:div>
                <w:div w:id="788596420">
                  <w:marLeft w:val="0"/>
                  <w:marRight w:val="0"/>
                  <w:marTop w:val="0"/>
                  <w:marBottom w:val="0"/>
                  <w:divBdr>
                    <w:top w:val="none" w:sz="0" w:space="0" w:color="auto"/>
                    <w:left w:val="none" w:sz="0" w:space="0" w:color="auto"/>
                    <w:bottom w:val="none" w:sz="0" w:space="0" w:color="auto"/>
                    <w:right w:val="none" w:sz="0" w:space="0" w:color="auto"/>
                  </w:divBdr>
                  <w:divsChild>
                    <w:div w:id="604653577">
                      <w:marLeft w:val="0"/>
                      <w:marRight w:val="0"/>
                      <w:marTop w:val="0"/>
                      <w:marBottom w:val="0"/>
                      <w:divBdr>
                        <w:top w:val="none" w:sz="0" w:space="0" w:color="auto"/>
                        <w:left w:val="none" w:sz="0" w:space="0" w:color="auto"/>
                        <w:bottom w:val="none" w:sz="0" w:space="0" w:color="auto"/>
                        <w:right w:val="none" w:sz="0" w:space="0" w:color="auto"/>
                      </w:divBdr>
                    </w:div>
                  </w:divsChild>
                </w:div>
                <w:div w:id="937180102">
                  <w:marLeft w:val="0"/>
                  <w:marRight w:val="0"/>
                  <w:marTop w:val="0"/>
                  <w:marBottom w:val="0"/>
                  <w:divBdr>
                    <w:top w:val="none" w:sz="0" w:space="0" w:color="auto"/>
                    <w:left w:val="none" w:sz="0" w:space="0" w:color="auto"/>
                    <w:bottom w:val="none" w:sz="0" w:space="0" w:color="auto"/>
                    <w:right w:val="none" w:sz="0" w:space="0" w:color="auto"/>
                  </w:divBdr>
                  <w:divsChild>
                    <w:div w:id="1413315874">
                      <w:marLeft w:val="0"/>
                      <w:marRight w:val="0"/>
                      <w:marTop w:val="0"/>
                      <w:marBottom w:val="0"/>
                      <w:divBdr>
                        <w:top w:val="none" w:sz="0" w:space="0" w:color="auto"/>
                        <w:left w:val="none" w:sz="0" w:space="0" w:color="auto"/>
                        <w:bottom w:val="none" w:sz="0" w:space="0" w:color="auto"/>
                        <w:right w:val="none" w:sz="0" w:space="0" w:color="auto"/>
                      </w:divBdr>
                    </w:div>
                  </w:divsChild>
                </w:div>
                <w:div w:id="988901892">
                  <w:marLeft w:val="0"/>
                  <w:marRight w:val="0"/>
                  <w:marTop w:val="0"/>
                  <w:marBottom w:val="0"/>
                  <w:divBdr>
                    <w:top w:val="none" w:sz="0" w:space="0" w:color="auto"/>
                    <w:left w:val="none" w:sz="0" w:space="0" w:color="auto"/>
                    <w:bottom w:val="none" w:sz="0" w:space="0" w:color="auto"/>
                    <w:right w:val="none" w:sz="0" w:space="0" w:color="auto"/>
                  </w:divBdr>
                  <w:divsChild>
                    <w:div w:id="1209992007">
                      <w:marLeft w:val="0"/>
                      <w:marRight w:val="0"/>
                      <w:marTop w:val="0"/>
                      <w:marBottom w:val="0"/>
                      <w:divBdr>
                        <w:top w:val="none" w:sz="0" w:space="0" w:color="auto"/>
                        <w:left w:val="none" w:sz="0" w:space="0" w:color="auto"/>
                        <w:bottom w:val="none" w:sz="0" w:space="0" w:color="auto"/>
                        <w:right w:val="none" w:sz="0" w:space="0" w:color="auto"/>
                      </w:divBdr>
                    </w:div>
                  </w:divsChild>
                </w:div>
                <w:div w:id="1176311889">
                  <w:marLeft w:val="0"/>
                  <w:marRight w:val="0"/>
                  <w:marTop w:val="0"/>
                  <w:marBottom w:val="0"/>
                  <w:divBdr>
                    <w:top w:val="none" w:sz="0" w:space="0" w:color="auto"/>
                    <w:left w:val="none" w:sz="0" w:space="0" w:color="auto"/>
                    <w:bottom w:val="none" w:sz="0" w:space="0" w:color="auto"/>
                    <w:right w:val="none" w:sz="0" w:space="0" w:color="auto"/>
                  </w:divBdr>
                  <w:divsChild>
                    <w:div w:id="538205409">
                      <w:marLeft w:val="0"/>
                      <w:marRight w:val="0"/>
                      <w:marTop w:val="0"/>
                      <w:marBottom w:val="0"/>
                      <w:divBdr>
                        <w:top w:val="none" w:sz="0" w:space="0" w:color="auto"/>
                        <w:left w:val="none" w:sz="0" w:space="0" w:color="auto"/>
                        <w:bottom w:val="none" w:sz="0" w:space="0" w:color="auto"/>
                        <w:right w:val="none" w:sz="0" w:space="0" w:color="auto"/>
                      </w:divBdr>
                    </w:div>
                  </w:divsChild>
                </w:div>
                <w:div w:id="1301575067">
                  <w:marLeft w:val="0"/>
                  <w:marRight w:val="0"/>
                  <w:marTop w:val="0"/>
                  <w:marBottom w:val="0"/>
                  <w:divBdr>
                    <w:top w:val="none" w:sz="0" w:space="0" w:color="auto"/>
                    <w:left w:val="none" w:sz="0" w:space="0" w:color="auto"/>
                    <w:bottom w:val="none" w:sz="0" w:space="0" w:color="auto"/>
                    <w:right w:val="none" w:sz="0" w:space="0" w:color="auto"/>
                  </w:divBdr>
                  <w:divsChild>
                    <w:div w:id="532379722">
                      <w:marLeft w:val="0"/>
                      <w:marRight w:val="0"/>
                      <w:marTop w:val="0"/>
                      <w:marBottom w:val="0"/>
                      <w:divBdr>
                        <w:top w:val="none" w:sz="0" w:space="0" w:color="auto"/>
                        <w:left w:val="none" w:sz="0" w:space="0" w:color="auto"/>
                        <w:bottom w:val="none" w:sz="0" w:space="0" w:color="auto"/>
                        <w:right w:val="none" w:sz="0" w:space="0" w:color="auto"/>
                      </w:divBdr>
                    </w:div>
                  </w:divsChild>
                </w:div>
                <w:div w:id="1324897084">
                  <w:marLeft w:val="0"/>
                  <w:marRight w:val="0"/>
                  <w:marTop w:val="0"/>
                  <w:marBottom w:val="0"/>
                  <w:divBdr>
                    <w:top w:val="none" w:sz="0" w:space="0" w:color="auto"/>
                    <w:left w:val="none" w:sz="0" w:space="0" w:color="auto"/>
                    <w:bottom w:val="none" w:sz="0" w:space="0" w:color="auto"/>
                    <w:right w:val="none" w:sz="0" w:space="0" w:color="auto"/>
                  </w:divBdr>
                  <w:divsChild>
                    <w:div w:id="172111331">
                      <w:marLeft w:val="0"/>
                      <w:marRight w:val="0"/>
                      <w:marTop w:val="0"/>
                      <w:marBottom w:val="0"/>
                      <w:divBdr>
                        <w:top w:val="none" w:sz="0" w:space="0" w:color="auto"/>
                        <w:left w:val="none" w:sz="0" w:space="0" w:color="auto"/>
                        <w:bottom w:val="none" w:sz="0" w:space="0" w:color="auto"/>
                        <w:right w:val="none" w:sz="0" w:space="0" w:color="auto"/>
                      </w:divBdr>
                    </w:div>
                  </w:divsChild>
                </w:div>
                <w:div w:id="1361124687">
                  <w:marLeft w:val="0"/>
                  <w:marRight w:val="0"/>
                  <w:marTop w:val="0"/>
                  <w:marBottom w:val="0"/>
                  <w:divBdr>
                    <w:top w:val="none" w:sz="0" w:space="0" w:color="auto"/>
                    <w:left w:val="none" w:sz="0" w:space="0" w:color="auto"/>
                    <w:bottom w:val="none" w:sz="0" w:space="0" w:color="auto"/>
                    <w:right w:val="none" w:sz="0" w:space="0" w:color="auto"/>
                  </w:divBdr>
                  <w:divsChild>
                    <w:div w:id="405961719">
                      <w:marLeft w:val="0"/>
                      <w:marRight w:val="0"/>
                      <w:marTop w:val="0"/>
                      <w:marBottom w:val="0"/>
                      <w:divBdr>
                        <w:top w:val="none" w:sz="0" w:space="0" w:color="auto"/>
                        <w:left w:val="none" w:sz="0" w:space="0" w:color="auto"/>
                        <w:bottom w:val="none" w:sz="0" w:space="0" w:color="auto"/>
                        <w:right w:val="none" w:sz="0" w:space="0" w:color="auto"/>
                      </w:divBdr>
                    </w:div>
                  </w:divsChild>
                </w:div>
                <w:div w:id="1381251083">
                  <w:marLeft w:val="0"/>
                  <w:marRight w:val="0"/>
                  <w:marTop w:val="0"/>
                  <w:marBottom w:val="0"/>
                  <w:divBdr>
                    <w:top w:val="none" w:sz="0" w:space="0" w:color="auto"/>
                    <w:left w:val="none" w:sz="0" w:space="0" w:color="auto"/>
                    <w:bottom w:val="none" w:sz="0" w:space="0" w:color="auto"/>
                    <w:right w:val="none" w:sz="0" w:space="0" w:color="auto"/>
                  </w:divBdr>
                  <w:divsChild>
                    <w:div w:id="1886063445">
                      <w:marLeft w:val="0"/>
                      <w:marRight w:val="0"/>
                      <w:marTop w:val="0"/>
                      <w:marBottom w:val="0"/>
                      <w:divBdr>
                        <w:top w:val="none" w:sz="0" w:space="0" w:color="auto"/>
                        <w:left w:val="none" w:sz="0" w:space="0" w:color="auto"/>
                        <w:bottom w:val="none" w:sz="0" w:space="0" w:color="auto"/>
                        <w:right w:val="none" w:sz="0" w:space="0" w:color="auto"/>
                      </w:divBdr>
                    </w:div>
                  </w:divsChild>
                </w:div>
                <w:div w:id="1454786173">
                  <w:marLeft w:val="0"/>
                  <w:marRight w:val="0"/>
                  <w:marTop w:val="0"/>
                  <w:marBottom w:val="0"/>
                  <w:divBdr>
                    <w:top w:val="none" w:sz="0" w:space="0" w:color="auto"/>
                    <w:left w:val="none" w:sz="0" w:space="0" w:color="auto"/>
                    <w:bottom w:val="none" w:sz="0" w:space="0" w:color="auto"/>
                    <w:right w:val="none" w:sz="0" w:space="0" w:color="auto"/>
                  </w:divBdr>
                  <w:divsChild>
                    <w:div w:id="1195923204">
                      <w:marLeft w:val="0"/>
                      <w:marRight w:val="0"/>
                      <w:marTop w:val="0"/>
                      <w:marBottom w:val="0"/>
                      <w:divBdr>
                        <w:top w:val="none" w:sz="0" w:space="0" w:color="auto"/>
                        <w:left w:val="none" w:sz="0" w:space="0" w:color="auto"/>
                        <w:bottom w:val="none" w:sz="0" w:space="0" w:color="auto"/>
                        <w:right w:val="none" w:sz="0" w:space="0" w:color="auto"/>
                      </w:divBdr>
                    </w:div>
                  </w:divsChild>
                </w:div>
                <w:div w:id="1472946293">
                  <w:marLeft w:val="0"/>
                  <w:marRight w:val="0"/>
                  <w:marTop w:val="0"/>
                  <w:marBottom w:val="0"/>
                  <w:divBdr>
                    <w:top w:val="none" w:sz="0" w:space="0" w:color="auto"/>
                    <w:left w:val="none" w:sz="0" w:space="0" w:color="auto"/>
                    <w:bottom w:val="none" w:sz="0" w:space="0" w:color="auto"/>
                    <w:right w:val="none" w:sz="0" w:space="0" w:color="auto"/>
                  </w:divBdr>
                  <w:divsChild>
                    <w:div w:id="1369454248">
                      <w:marLeft w:val="0"/>
                      <w:marRight w:val="0"/>
                      <w:marTop w:val="0"/>
                      <w:marBottom w:val="0"/>
                      <w:divBdr>
                        <w:top w:val="none" w:sz="0" w:space="0" w:color="auto"/>
                        <w:left w:val="none" w:sz="0" w:space="0" w:color="auto"/>
                        <w:bottom w:val="none" w:sz="0" w:space="0" w:color="auto"/>
                        <w:right w:val="none" w:sz="0" w:space="0" w:color="auto"/>
                      </w:divBdr>
                    </w:div>
                  </w:divsChild>
                </w:div>
                <w:div w:id="1575045506">
                  <w:marLeft w:val="0"/>
                  <w:marRight w:val="0"/>
                  <w:marTop w:val="0"/>
                  <w:marBottom w:val="0"/>
                  <w:divBdr>
                    <w:top w:val="none" w:sz="0" w:space="0" w:color="auto"/>
                    <w:left w:val="none" w:sz="0" w:space="0" w:color="auto"/>
                    <w:bottom w:val="none" w:sz="0" w:space="0" w:color="auto"/>
                    <w:right w:val="none" w:sz="0" w:space="0" w:color="auto"/>
                  </w:divBdr>
                  <w:divsChild>
                    <w:div w:id="1175609950">
                      <w:marLeft w:val="0"/>
                      <w:marRight w:val="0"/>
                      <w:marTop w:val="0"/>
                      <w:marBottom w:val="0"/>
                      <w:divBdr>
                        <w:top w:val="none" w:sz="0" w:space="0" w:color="auto"/>
                        <w:left w:val="none" w:sz="0" w:space="0" w:color="auto"/>
                        <w:bottom w:val="none" w:sz="0" w:space="0" w:color="auto"/>
                        <w:right w:val="none" w:sz="0" w:space="0" w:color="auto"/>
                      </w:divBdr>
                    </w:div>
                  </w:divsChild>
                </w:div>
                <w:div w:id="1600526905">
                  <w:marLeft w:val="0"/>
                  <w:marRight w:val="0"/>
                  <w:marTop w:val="0"/>
                  <w:marBottom w:val="0"/>
                  <w:divBdr>
                    <w:top w:val="none" w:sz="0" w:space="0" w:color="auto"/>
                    <w:left w:val="none" w:sz="0" w:space="0" w:color="auto"/>
                    <w:bottom w:val="none" w:sz="0" w:space="0" w:color="auto"/>
                    <w:right w:val="none" w:sz="0" w:space="0" w:color="auto"/>
                  </w:divBdr>
                  <w:divsChild>
                    <w:div w:id="604115918">
                      <w:marLeft w:val="0"/>
                      <w:marRight w:val="0"/>
                      <w:marTop w:val="0"/>
                      <w:marBottom w:val="0"/>
                      <w:divBdr>
                        <w:top w:val="none" w:sz="0" w:space="0" w:color="auto"/>
                        <w:left w:val="none" w:sz="0" w:space="0" w:color="auto"/>
                        <w:bottom w:val="none" w:sz="0" w:space="0" w:color="auto"/>
                        <w:right w:val="none" w:sz="0" w:space="0" w:color="auto"/>
                      </w:divBdr>
                    </w:div>
                  </w:divsChild>
                </w:div>
                <w:div w:id="1863932182">
                  <w:marLeft w:val="0"/>
                  <w:marRight w:val="0"/>
                  <w:marTop w:val="0"/>
                  <w:marBottom w:val="0"/>
                  <w:divBdr>
                    <w:top w:val="none" w:sz="0" w:space="0" w:color="auto"/>
                    <w:left w:val="none" w:sz="0" w:space="0" w:color="auto"/>
                    <w:bottom w:val="none" w:sz="0" w:space="0" w:color="auto"/>
                    <w:right w:val="none" w:sz="0" w:space="0" w:color="auto"/>
                  </w:divBdr>
                  <w:divsChild>
                    <w:div w:id="680475355">
                      <w:marLeft w:val="0"/>
                      <w:marRight w:val="0"/>
                      <w:marTop w:val="0"/>
                      <w:marBottom w:val="0"/>
                      <w:divBdr>
                        <w:top w:val="none" w:sz="0" w:space="0" w:color="auto"/>
                        <w:left w:val="none" w:sz="0" w:space="0" w:color="auto"/>
                        <w:bottom w:val="none" w:sz="0" w:space="0" w:color="auto"/>
                        <w:right w:val="none" w:sz="0" w:space="0" w:color="auto"/>
                      </w:divBdr>
                    </w:div>
                  </w:divsChild>
                </w:div>
                <w:div w:id="1878854539">
                  <w:marLeft w:val="0"/>
                  <w:marRight w:val="0"/>
                  <w:marTop w:val="0"/>
                  <w:marBottom w:val="0"/>
                  <w:divBdr>
                    <w:top w:val="none" w:sz="0" w:space="0" w:color="auto"/>
                    <w:left w:val="none" w:sz="0" w:space="0" w:color="auto"/>
                    <w:bottom w:val="none" w:sz="0" w:space="0" w:color="auto"/>
                    <w:right w:val="none" w:sz="0" w:space="0" w:color="auto"/>
                  </w:divBdr>
                  <w:divsChild>
                    <w:div w:id="264923730">
                      <w:marLeft w:val="0"/>
                      <w:marRight w:val="0"/>
                      <w:marTop w:val="0"/>
                      <w:marBottom w:val="0"/>
                      <w:divBdr>
                        <w:top w:val="none" w:sz="0" w:space="0" w:color="auto"/>
                        <w:left w:val="none" w:sz="0" w:space="0" w:color="auto"/>
                        <w:bottom w:val="none" w:sz="0" w:space="0" w:color="auto"/>
                        <w:right w:val="none" w:sz="0" w:space="0" w:color="auto"/>
                      </w:divBdr>
                    </w:div>
                  </w:divsChild>
                </w:div>
                <w:div w:id="1938099766">
                  <w:marLeft w:val="0"/>
                  <w:marRight w:val="0"/>
                  <w:marTop w:val="0"/>
                  <w:marBottom w:val="0"/>
                  <w:divBdr>
                    <w:top w:val="none" w:sz="0" w:space="0" w:color="auto"/>
                    <w:left w:val="none" w:sz="0" w:space="0" w:color="auto"/>
                    <w:bottom w:val="none" w:sz="0" w:space="0" w:color="auto"/>
                    <w:right w:val="none" w:sz="0" w:space="0" w:color="auto"/>
                  </w:divBdr>
                  <w:divsChild>
                    <w:div w:id="14751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8220">
          <w:marLeft w:val="0"/>
          <w:marRight w:val="0"/>
          <w:marTop w:val="0"/>
          <w:marBottom w:val="0"/>
          <w:divBdr>
            <w:top w:val="none" w:sz="0" w:space="0" w:color="auto"/>
            <w:left w:val="none" w:sz="0" w:space="0" w:color="auto"/>
            <w:bottom w:val="none" w:sz="0" w:space="0" w:color="auto"/>
            <w:right w:val="none" w:sz="0" w:space="0" w:color="auto"/>
          </w:divBdr>
          <w:divsChild>
            <w:div w:id="563761535">
              <w:marLeft w:val="-75"/>
              <w:marRight w:val="0"/>
              <w:marTop w:val="30"/>
              <w:marBottom w:val="30"/>
              <w:divBdr>
                <w:top w:val="none" w:sz="0" w:space="0" w:color="auto"/>
                <w:left w:val="none" w:sz="0" w:space="0" w:color="auto"/>
                <w:bottom w:val="none" w:sz="0" w:space="0" w:color="auto"/>
                <w:right w:val="none" w:sz="0" w:space="0" w:color="auto"/>
              </w:divBdr>
              <w:divsChild>
                <w:div w:id="65961882">
                  <w:marLeft w:val="0"/>
                  <w:marRight w:val="0"/>
                  <w:marTop w:val="0"/>
                  <w:marBottom w:val="0"/>
                  <w:divBdr>
                    <w:top w:val="none" w:sz="0" w:space="0" w:color="auto"/>
                    <w:left w:val="none" w:sz="0" w:space="0" w:color="auto"/>
                    <w:bottom w:val="none" w:sz="0" w:space="0" w:color="auto"/>
                    <w:right w:val="none" w:sz="0" w:space="0" w:color="auto"/>
                  </w:divBdr>
                  <w:divsChild>
                    <w:div w:id="412355148">
                      <w:marLeft w:val="0"/>
                      <w:marRight w:val="0"/>
                      <w:marTop w:val="0"/>
                      <w:marBottom w:val="0"/>
                      <w:divBdr>
                        <w:top w:val="none" w:sz="0" w:space="0" w:color="auto"/>
                        <w:left w:val="none" w:sz="0" w:space="0" w:color="auto"/>
                        <w:bottom w:val="none" w:sz="0" w:space="0" w:color="auto"/>
                        <w:right w:val="none" w:sz="0" w:space="0" w:color="auto"/>
                      </w:divBdr>
                    </w:div>
                  </w:divsChild>
                </w:div>
                <w:div w:id="142238958">
                  <w:marLeft w:val="0"/>
                  <w:marRight w:val="0"/>
                  <w:marTop w:val="0"/>
                  <w:marBottom w:val="0"/>
                  <w:divBdr>
                    <w:top w:val="none" w:sz="0" w:space="0" w:color="auto"/>
                    <w:left w:val="none" w:sz="0" w:space="0" w:color="auto"/>
                    <w:bottom w:val="none" w:sz="0" w:space="0" w:color="auto"/>
                    <w:right w:val="none" w:sz="0" w:space="0" w:color="auto"/>
                  </w:divBdr>
                  <w:divsChild>
                    <w:div w:id="1716659636">
                      <w:marLeft w:val="0"/>
                      <w:marRight w:val="0"/>
                      <w:marTop w:val="0"/>
                      <w:marBottom w:val="0"/>
                      <w:divBdr>
                        <w:top w:val="none" w:sz="0" w:space="0" w:color="auto"/>
                        <w:left w:val="none" w:sz="0" w:space="0" w:color="auto"/>
                        <w:bottom w:val="none" w:sz="0" w:space="0" w:color="auto"/>
                        <w:right w:val="none" w:sz="0" w:space="0" w:color="auto"/>
                      </w:divBdr>
                    </w:div>
                  </w:divsChild>
                </w:div>
                <w:div w:id="146211480">
                  <w:marLeft w:val="0"/>
                  <w:marRight w:val="0"/>
                  <w:marTop w:val="0"/>
                  <w:marBottom w:val="0"/>
                  <w:divBdr>
                    <w:top w:val="none" w:sz="0" w:space="0" w:color="auto"/>
                    <w:left w:val="none" w:sz="0" w:space="0" w:color="auto"/>
                    <w:bottom w:val="none" w:sz="0" w:space="0" w:color="auto"/>
                    <w:right w:val="none" w:sz="0" w:space="0" w:color="auto"/>
                  </w:divBdr>
                  <w:divsChild>
                    <w:div w:id="1698771248">
                      <w:marLeft w:val="0"/>
                      <w:marRight w:val="0"/>
                      <w:marTop w:val="0"/>
                      <w:marBottom w:val="0"/>
                      <w:divBdr>
                        <w:top w:val="none" w:sz="0" w:space="0" w:color="auto"/>
                        <w:left w:val="none" w:sz="0" w:space="0" w:color="auto"/>
                        <w:bottom w:val="none" w:sz="0" w:space="0" w:color="auto"/>
                        <w:right w:val="none" w:sz="0" w:space="0" w:color="auto"/>
                      </w:divBdr>
                    </w:div>
                  </w:divsChild>
                </w:div>
                <w:div w:id="201750541">
                  <w:marLeft w:val="0"/>
                  <w:marRight w:val="0"/>
                  <w:marTop w:val="0"/>
                  <w:marBottom w:val="0"/>
                  <w:divBdr>
                    <w:top w:val="none" w:sz="0" w:space="0" w:color="auto"/>
                    <w:left w:val="none" w:sz="0" w:space="0" w:color="auto"/>
                    <w:bottom w:val="none" w:sz="0" w:space="0" w:color="auto"/>
                    <w:right w:val="none" w:sz="0" w:space="0" w:color="auto"/>
                  </w:divBdr>
                  <w:divsChild>
                    <w:div w:id="1603876651">
                      <w:marLeft w:val="0"/>
                      <w:marRight w:val="0"/>
                      <w:marTop w:val="0"/>
                      <w:marBottom w:val="0"/>
                      <w:divBdr>
                        <w:top w:val="none" w:sz="0" w:space="0" w:color="auto"/>
                        <w:left w:val="none" w:sz="0" w:space="0" w:color="auto"/>
                        <w:bottom w:val="none" w:sz="0" w:space="0" w:color="auto"/>
                        <w:right w:val="none" w:sz="0" w:space="0" w:color="auto"/>
                      </w:divBdr>
                    </w:div>
                  </w:divsChild>
                </w:div>
                <w:div w:id="324478935">
                  <w:marLeft w:val="0"/>
                  <w:marRight w:val="0"/>
                  <w:marTop w:val="0"/>
                  <w:marBottom w:val="0"/>
                  <w:divBdr>
                    <w:top w:val="none" w:sz="0" w:space="0" w:color="auto"/>
                    <w:left w:val="none" w:sz="0" w:space="0" w:color="auto"/>
                    <w:bottom w:val="none" w:sz="0" w:space="0" w:color="auto"/>
                    <w:right w:val="none" w:sz="0" w:space="0" w:color="auto"/>
                  </w:divBdr>
                  <w:divsChild>
                    <w:div w:id="1042289025">
                      <w:marLeft w:val="0"/>
                      <w:marRight w:val="0"/>
                      <w:marTop w:val="0"/>
                      <w:marBottom w:val="0"/>
                      <w:divBdr>
                        <w:top w:val="none" w:sz="0" w:space="0" w:color="auto"/>
                        <w:left w:val="none" w:sz="0" w:space="0" w:color="auto"/>
                        <w:bottom w:val="none" w:sz="0" w:space="0" w:color="auto"/>
                        <w:right w:val="none" w:sz="0" w:space="0" w:color="auto"/>
                      </w:divBdr>
                    </w:div>
                  </w:divsChild>
                </w:div>
                <w:div w:id="342516786">
                  <w:marLeft w:val="0"/>
                  <w:marRight w:val="0"/>
                  <w:marTop w:val="0"/>
                  <w:marBottom w:val="0"/>
                  <w:divBdr>
                    <w:top w:val="none" w:sz="0" w:space="0" w:color="auto"/>
                    <w:left w:val="none" w:sz="0" w:space="0" w:color="auto"/>
                    <w:bottom w:val="none" w:sz="0" w:space="0" w:color="auto"/>
                    <w:right w:val="none" w:sz="0" w:space="0" w:color="auto"/>
                  </w:divBdr>
                  <w:divsChild>
                    <w:div w:id="1758093609">
                      <w:marLeft w:val="0"/>
                      <w:marRight w:val="0"/>
                      <w:marTop w:val="0"/>
                      <w:marBottom w:val="0"/>
                      <w:divBdr>
                        <w:top w:val="none" w:sz="0" w:space="0" w:color="auto"/>
                        <w:left w:val="none" w:sz="0" w:space="0" w:color="auto"/>
                        <w:bottom w:val="none" w:sz="0" w:space="0" w:color="auto"/>
                        <w:right w:val="none" w:sz="0" w:space="0" w:color="auto"/>
                      </w:divBdr>
                    </w:div>
                  </w:divsChild>
                </w:div>
                <w:div w:id="347146908">
                  <w:marLeft w:val="0"/>
                  <w:marRight w:val="0"/>
                  <w:marTop w:val="0"/>
                  <w:marBottom w:val="0"/>
                  <w:divBdr>
                    <w:top w:val="none" w:sz="0" w:space="0" w:color="auto"/>
                    <w:left w:val="none" w:sz="0" w:space="0" w:color="auto"/>
                    <w:bottom w:val="none" w:sz="0" w:space="0" w:color="auto"/>
                    <w:right w:val="none" w:sz="0" w:space="0" w:color="auto"/>
                  </w:divBdr>
                  <w:divsChild>
                    <w:div w:id="306473872">
                      <w:marLeft w:val="0"/>
                      <w:marRight w:val="0"/>
                      <w:marTop w:val="0"/>
                      <w:marBottom w:val="0"/>
                      <w:divBdr>
                        <w:top w:val="none" w:sz="0" w:space="0" w:color="auto"/>
                        <w:left w:val="none" w:sz="0" w:space="0" w:color="auto"/>
                        <w:bottom w:val="none" w:sz="0" w:space="0" w:color="auto"/>
                        <w:right w:val="none" w:sz="0" w:space="0" w:color="auto"/>
                      </w:divBdr>
                    </w:div>
                  </w:divsChild>
                </w:div>
                <w:div w:id="355274609">
                  <w:marLeft w:val="0"/>
                  <w:marRight w:val="0"/>
                  <w:marTop w:val="0"/>
                  <w:marBottom w:val="0"/>
                  <w:divBdr>
                    <w:top w:val="none" w:sz="0" w:space="0" w:color="auto"/>
                    <w:left w:val="none" w:sz="0" w:space="0" w:color="auto"/>
                    <w:bottom w:val="none" w:sz="0" w:space="0" w:color="auto"/>
                    <w:right w:val="none" w:sz="0" w:space="0" w:color="auto"/>
                  </w:divBdr>
                  <w:divsChild>
                    <w:div w:id="135993303">
                      <w:marLeft w:val="0"/>
                      <w:marRight w:val="0"/>
                      <w:marTop w:val="0"/>
                      <w:marBottom w:val="0"/>
                      <w:divBdr>
                        <w:top w:val="none" w:sz="0" w:space="0" w:color="auto"/>
                        <w:left w:val="none" w:sz="0" w:space="0" w:color="auto"/>
                        <w:bottom w:val="none" w:sz="0" w:space="0" w:color="auto"/>
                        <w:right w:val="none" w:sz="0" w:space="0" w:color="auto"/>
                      </w:divBdr>
                    </w:div>
                  </w:divsChild>
                </w:div>
                <w:div w:id="422380458">
                  <w:marLeft w:val="0"/>
                  <w:marRight w:val="0"/>
                  <w:marTop w:val="0"/>
                  <w:marBottom w:val="0"/>
                  <w:divBdr>
                    <w:top w:val="none" w:sz="0" w:space="0" w:color="auto"/>
                    <w:left w:val="none" w:sz="0" w:space="0" w:color="auto"/>
                    <w:bottom w:val="none" w:sz="0" w:space="0" w:color="auto"/>
                    <w:right w:val="none" w:sz="0" w:space="0" w:color="auto"/>
                  </w:divBdr>
                  <w:divsChild>
                    <w:div w:id="2053648711">
                      <w:marLeft w:val="0"/>
                      <w:marRight w:val="0"/>
                      <w:marTop w:val="0"/>
                      <w:marBottom w:val="0"/>
                      <w:divBdr>
                        <w:top w:val="none" w:sz="0" w:space="0" w:color="auto"/>
                        <w:left w:val="none" w:sz="0" w:space="0" w:color="auto"/>
                        <w:bottom w:val="none" w:sz="0" w:space="0" w:color="auto"/>
                        <w:right w:val="none" w:sz="0" w:space="0" w:color="auto"/>
                      </w:divBdr>
                    </w:div>
                  </w:divsChild>
                </w:div>
                <w:div w:id="461773804">
                  <w:marLeft w:val="0"/>
                  <w:marRight w:val="0"/>
                  <w:marTop w:val="0"/>
                  <w:marBottom w:val="0"/>
                  <w:divBdr>
                    <w:top w:val="none" w:sz="0" w:space="0" w:color="auto"/>
                    <w:left w:val="none" w:sz="0" w:space="0" w:color="auto"/>
                    <w:bottom w:val="none" w:sz="0" w:space="0" w:color="auto"/>
                    <w:right w:val="none" w:sz="0" w:space="0" w:color="auto"/>
                  </w:divBdr>
                  <w:divsChild>
                    <w:div w:id="1315917647">
                      <w:marLeft w:val="0"/>
                      <w:marRight w:val="0"/>
                      <w:marTop w:val="0"/>
                      <w:marBottom w:val="0"/>
                      <w:divBdr>
                        <w:top w:val="none" w:sz="0" w:space="0" w:color="auto"/>
                        <w:left w:val="none" w:sz="0" w:space="0" w:color="auto"/>
                        <w:bottom w:val="none" w:sz="0" w:space="0" w:color="auto"/>
                        <w:right w:val="none" w:sz="0" w:space="0" w:color="auto"/>
                      </w:divBdr>
                    </w:div>
                  </w:divsChild>
                </w:div>
                <w:div w:id="543713028">
                  <w:marLeft w:val="0"/>
                  <w:marRight w:val="0"/>
                  <w:marTop w:val="0"/>
                  <w:marBottom w:val="0"/>
                  <w:divBdr>
                    <w:top w:val="none" w:sz="0" w:space="0" w:color="auto"/>
                    <w:left w:val="none" w:sz="0" w:space="0" w:color="auto"/>
                    <w:bottom w:val="none" w:sz="0" w:space="0" w:color="auto"/>
                    <w:right w:val="none" w:sz="0" w:space="0" w:color="auto"/>
                  </w:divBdr>
                  <w:divsChild>
                    <w:div w:id="576208317">
                      <w:marLeft w:val="0"/>
                      <w:marRight w:val="0"/>
                      <w:marTop w:val="0"/>
                      <w:marBottom w:val="0"/>
                      <w:divBdr>
                        <w:top w:val="none" w:sz="0" w:space="0" w:color="auto"/>
                        <w:left w:val="none" w:sz="0" w:space="0" w:color="auto"/>
                        <w:bottom w:val="none" w:sz="0" w:space="0" w:color="auto"/>
                        <w:right w:val="none" w:sz="0" w:space="0" w:color="auto"/>
                      </w:divBdr>
                    </w:div>
                  </w:divsChild>
                </w:div>
                <w:div w:id="611785498">
                  <w:marLeft w:val="0"/>
                  <w:marRight w:val="0"/>
                  <w:marTop w:val="0"/>
                  <w:marBottom w:val="0"/>
                  <w:divBdr>
                    <w:top w:val="none" w:sz="0" w:space="0" w:color="auto"/>
                    <w:left w:val="none" w:sz="0" w:space="0" w:color="auto"/>
                    <w:bottom w:val="none" w:sz="0" w:space="0" w:color="auto"/>
                    <w:right w:val="none" w:sz="0" w:space="0" w:color="auto"/>
                  </w:divBdr>
                  <w:divsChild>
                    <w:div w:id="1071655656">
                      <w:marLeft w:val="0"/>
                      <w:marRight w:val="0"/>
                      <w:marTop w:val="0"/>
                      <w:marBottom w:val="0"/>
                      <w:divBdr>
                        <w:top w:val="none" w:sz="0" w:space="0" w:color="auto"/>
                        <w:left w:val="none" w:sz="0" w:space="0" w:color="auto"/>
                        <w:bottom w:val="none" w:sz="0" w:space="0" w:color="auto"/>
                        <w:right w:val="none" w:sz="0" w:space="0" w:color="auto"/>
                      </w:divBdr>
                    </w:div>
                  </w:divsChild>
                </w:div>
                <w:div w:id="620645420">
                  <w:marLeft w:val="0"/>
                  <w:marRight w:val="0"/>
                  <w:marTop w:val="0"/>
                  <w:marBottom w:val="0"/>
                  <w:divBdr>
                    <w:top w:val="none" w:sz="0" w:space="0" w:color="auto"/>
                    <w:left w:val="none" w:sz="0" w:space="0" w:color="auto"/>
                    <w:bottom w:val="none" w:sz="0" w:space="0" w:color="auto"/>
                    <w:right w:val="none" w:sz="0" w:space="0" w:color="auto"/>
                  </w:divBdr>
                  <w:divsChild>
                    <w:div w:id="496648671">
                      <w:marLeft w:val="0"/>
                      <w:marRight w:val="0"/>
                      <w:marTop w:val="0"/>
                      <w:marBottom w:val="0"/>
                      <w:divBdr>
                        <w:top w:val="none" w:sz="0" w:space="0" w:color="auto"/>
                        <w:left w:val="none" w:sz="0" w:space="0" w:color="auto"/>
                        <w:bottom w:val="none" w:sz="0" w:space="0" w:color="auto"/>
                        <w:right w:val="none" w:sz="0" w:space="0" w:color="auto"/>
                      </w:divBdr>
                    </w:div>
                  </w:divsChild>
                </w:div>
                <w:div w:id="623775577">
                  <w:marLeft w:val="0"/>
                  <w:marRight w:val="0"/>
                  <w:marTop w:val="0"/>
                  <w:marBottom w:val="0"/>
                  <w:divBdr>
                    <w:top w:val="none" w:sz="0" w:space="0" w:color="auto"/>
                    <w:left w:val="none" w:sz="0" w:space="0" w:color="auto"/>
                    <w:bottom w:val="none" w:sz="0" w:space="0" w:color="auto"/>
                    <w:right w:val="none" w:sz="0" w:space="0" w:color="auto"/>
                  </w:divBdr>
                  <w:divsChild>
                    <w:div w:id="385688686">
                      <w:marLeft w:val="0"/>
                      <w:marRight w:val="0"/>
                      <w:marTop w:val="0"/>
                      <w:marBottom w:val="0"/>
                      <w:divBdr>
                        <w:top w:val="none" w:sz="0" w:space="0" w:color="auto"/>
                        <w:left w:val="none" w:sz="0" w:space="0" w:color="auto"/>
                        <w:bottom w:val="none" w:sz="0" w:space="0" w:color="auto"/>
                        <w:right w:val="none" w:sz="0" w:space="0" w:color="auto"/>
                      </w:divBdr>
                    </w:div>
                  </w:divsChild>
                </w:div>
                <w:div w:id="698749692">
                  <w:marLeft w:val="0"/>
                  <w:marRight w:val="0"/>
                  <w:marTop w:val="0"/>
                  <w:marBottom w:val="0"/>
                  <w:divBdr>
                    <w:top w:val="none" w:sz="0" w:space="0" w:color="auto"/>
                    <w:left w:val="none" w:sz="0" w:space="0" w:color="auto"/>
                    <w:bottom w:val="none" w:sz="0" w:space="0" w:color="auto"/>
                    <w:right w:val="none" w:sz="0" w:space="0" w:color="auto"/>
                  </w:divBdr>
                  <w:divsChild>
                    <w:div w:id="1181581062">
                      <w:marLeft w:val="0"/>
                      <w:marRight w:val="0"/>
                      <w:marTop w:val="0"/>
                      <w:marBottom w:val="0"/>
                      <w:divBdr>
                        <w:top w:val="none" w:sz="0" w:space="0" w:color="auto"/>
                        <w:left w:val="none" w:sz="0" w:space="0" w:color="auto"/>
                        <w:bottom w:val="none" w:sz="0" w:space="0" w:color="auto"/>
                        <w:right w:val="none" w:sz="0" w:space="0" w:color="auto"/>
                      </w:divBdr>
                    </w:div>
                  </w:divsChild>
                </w:div>
                <w:div w:id="741408840">
                  <w:marLeft w:val="0"/>
                  <w:marRight w:val="0"/>
                  <w:marTop w:val="0"/>
                  <w:marBottom w:val="0"/>
                  <w:divBdr>
                    <w:top w:val="none" w:sz="0" w:space="0" w:color="auto"/>
                    <w:left w:val="none" w:sz="0" w:space="0" w:color="auto"/>
                    <w:bottom w:val="none" w:sz="0" w:space="0" w:color="auto"/>
                    <w:right w:val="none" w:sz="0" w:space="0" w:color="auto"/>
                  </w:divBdr>
                  <w:divsChild>
                    <w:div w:id="340861071">
                      <w:marLeft w:val="0"/>
                      <w:marRight w:val="0"/>
                      <w:marTop w:val="0"/>
                      <w:marBottom w:val="0"/>
                      <w:divBdr>
                        <w:top w:val="none" w:sz="0" w:space="0" w:color="auto"/>
                        <w:left w:val="none" w:sz="0" w:space="0" w:color="auto"/>
                        <w:bottom w:val="none" w:sz="0" w:space="0" w:color="auto"/>
                        <w:right w:val="none" w:sz="0" w:space="0" w:color="auto"/>
                      </w:divBdr>
                    </w:div>
                  </w:divsChild>
                </w:div>
                <w:div w:id="835413212">
                  <w:marLeft w:val="0"/>
                  <w:marRight w:val="0"/>
                  <w:marTop w:val="0"/>
                  <w:marBottom w:val="0"/>
                  <w:divBdr>
                    <w:top w:val="none" w:sz="0" w:space="0" w:color="auto"/>
                    <w:left w:val="none" w:sz="0" w:space="0" w:color="auto"/>
                    <w:bottom w:val="none" w:sz="0" w:space="0" w:color="auto"/>
                    <w:right w:val="none" w:sz="0" w:space="0" w:color="auto"/>
                  </w:divBdr>
                  <w:divsChild>
                    <w:div w:id="1004094520">
                      <w:marLeft w:val="0"/>
                      <w:marRight w:val="0"/>
                      <w:marTop w:val="0"/>
                      <w:marBottom w:val="0"/>
                      <w:divBdr>
                        <w:top w:val="none" w:sz="0" w:space="0" w:color="auto"/>
                        <w:left w:val="none" w:sz="0" w:space="0" w:color="auto"/>
                        <w:bottom w:val="none" w:sz="0" w:space="0" w:color="auto"/>
                        <w:right w:val="none" w:sz="0" w:space="0" w:color="auto"/>
                      </w:divBdr>
                    </w:div>
                  </w:divsChild>
                </w:div>
                <w:div w:id="874194691">
                  <w:marLeft w:val="0"/>
                  <w:marRight w:val="0"/>
                  <w:marTop w:val="0"/>
                  <w:marBottom w:val="0"/>
                  <w:divBdr>
                    <w:top w:val="none" w:sz="0" w:space="0" w:color="auto"/>
                    <w:left w:val="none" w:sz="0" w:space="0" w:color="auto"/>
                    <w:bottom w:val="none" w:sz="0" w:space="0" w:color="auto"/>
                    <w:right w:val="none" w:sz="0" w:space="0" w:color="auto"/>
                  </w:divBdr>
                  <w:divsChild>
                    <w:div w:id="899050612">
                      <w:marLeft w:val="0"/>
                      <w:marRight w:val="0"/>
                      <w:marTop w:val="0"/>
                      <w:marBottom w:val="0"/>
                      <w:divBdr>
                        <w:top w:val="none" w:sz="0" w:space="0" w:color="auto"/>
                        <w:left w:val="none" w:sz="0" w:space="0" w:color="auto"/>
                        <w:bottom w:val="none" w:sz="0" w:space="0" w:color="auto"/>
                        <w:right w:val="none" w:sz="0" w:space="0" w:color="auto"/>
                      </w:divBdr>
                    </w:div>
                  </w:divsChild>
                </w:div>
                <w:div w:id="971863226">
                  <w:marLeft w:val="0"/>
                  <w:marRight w:val="0"/>
                  <w:marTop w:val="0"/>
                  <w:marBottom w:val="0"/>
                  <w:divBdr>
                    <w:top w:val="none" w:sz="0" w:space="0" w:color="auto"/>
                    <w:left w:val="none" w:sz="0" w:space="0" w:color="auto"/>
                    <w:bottom w:val="none" w:sz="0" w:space="0" w:color="auto"/>
                    <w:right w:val="none" w:sz="0" w:space="0" w:color="auto"/>
                  </w:divBdr>
                  <w:divsChild>
                    <w:div w:id="1098722452">
                      <w:marLeft w:val="0"/>
                      <w:marRight w:val="0"/>
                      <w:marTop w:val="0"/>
                      <w:marBottom w:val="0"/>
                      <w:divBdr>
                        <w:top w:val="none" w:sz="0" w:space="0" w:color="auto"/>
                        <w:left w:val="none" w:sz="0" w:space="0" w:color="auto"/>
                        <w:bottom w:val="none" w:sz="0" w:space="0" w:color="auto"/>
                        <w:right w:val="none" w:sz="0" w:space="0" w:color="auto"/>
                      </w:divBdr>
                    </w:div>
                  </w:divsChild>
                </w:div>
                <w:div w:id="1057820408">
                  <w:marLeft w:val="0"/>
                  <w:marRight w:val="0"/>
                  <w:marTop w:val="0"/>
                  <w:marBottom w:val="0"/>
                  <w:divBdr>
                    <w:top w:val="none" w:sz="0" w:space="0" w:color="auto"/>
                    <w:left w:val="none" w:sz="0" w:space="0" w:color="auto"/>
                    <w:bottom w:val="none" w:sz="0" w:space="0" w:color="auto"/>
                    <w:right w:val="none" w:sz="0" w:space="0" w:color="auto"/>
                  </w:divBdr>
                  <w:divsChild>
                    <w:div w:id="1110854706">
                      <w:marLeft w:val="0"/>
                      <w:marRight w:val="0"/>
                      <w:marTop w:val="0"/>
                      <w:marBottom w:val="0"/>
                      <w:divBdr>
                        <w:top w:val="none" w:sz="0" w:space="0" w:color="auto"/>
                        <w:left w:val="none" w:sz="0" w:space="0" w:color="auto"/>
                        <w:bottom w:val="none" w:sz="0" w:space="0" w:color="auto"/>
                        <w:right w:val="none" w:sz="0" w:space="0" w:color="auto"/>
                      </w:divBdr>
                    </w:div>
                  </w:divsChild>
                </w:div>
                <w:div w:id="1097140239">
                  <w:marLeft w:val="0"/>
                  <w:marRight w:val="0"/>
                  <w:marTop w:val="0"/>
                  <w:marBottom w:val="0"/>
                  <w:divBdr>
                    <w:top w:val="none" w:sz="0" w:space="0" w:color="auto"/>
                    <w:left w:val="none" w:sz="0" w:space="0" w:color="auto"/>
                    <w:bottom w:val="none" w:sz="0" w:space="0" w:color="auto"/>
                    <w:right w:val="none" w:sz="0" w:space="0" w:color="auto"/>
                  </w:divBdr>
                  <w:divsChild>
                    <w:div w:id="1130781584">
                      <w:marLeft w:val="0"/>
                      <w:marRight w:val="0"/>
                      <w:marTop w:val="0"/>
                      <w:marBottom w:val="0"/>
                      <w:divBdr>
                        <w:top w:val="none" w:sz="0" w:space="0" w:color="auto"/>
                        <w:left w:val="none" w:sz="0" w:space="0" w:color="auto"/>
                        <w:bottom w:val="none" w:sz="0" w:space="0" w:color="auto"/>
                        <w:right w:val="none" w:sz="0" w:space="0" w:color="auto"/>
                      </w:divBdr>
                    </w:div>
                  </w:divsChild>
                </w:div>
                <w:div w:id="1134252243">
                  <w:marLeft w:val="0"/>
                  <w:marRight w:val="0"/>
                  <w:marTop w:val="0"/>
                  <w:marBottom w:val="0"/>
                  <w:divBdr>
                    <w:top w:val="none" w:sz="0" w:space="0" w:color="auto"/>
                    <w:left w:val="none" w:sz="0" w:space="0" w:color="auto"/>
                    <w:bottom w:val="none" w:sz="0" w:space="0" w:color="auto"/>
                    <w:right w:val="none" w:sz="0" w:space="0" w:color="auto"/>
                  </w:divBdr>
                  <w:divsChild>
                    <w:div w:id="627663297">
                      <w:marLeft w:val="0"/>
                      <w:marRight w:val="0"/>
                      <w:marTop w:val="0"/>
                      <w:marBottom w:val="0"/>
                      <w:divBdr>
                        <w:top w:val="none" w:sz="0" w:space="0" w:color="auto"/>
                        <w:left w:val="none" w:sz="0" w:space="0" w:color="auto"/>
                        <w:bottom w:val="none" w:sz="0" w:space="0" w:color="auto"/>
                        <w:right w:val="none" w:sz="0" w:space="0" w:color="auto"/>
                      </w:divBdr>
                    </w:div>
                  </w:divsChild>
                </w:div>
                <w:div w:id="1155875609">
                  <w:marLeft w:val="0"/>
                  <w:marRight w:val="0"/>
                  <w:marTop w:val="0"/>
                  <w:marBottom w:val="0"/>
                  <w:divBdr>
                    <w:top w:val="none" w:sz="0" w:space="0" w:color="auto"/>
                    <w:left w:val="none" w:sz="0" w:space="0" w:color="auto"/>
                    <w:bottom w:val="none" w:sz="0" w:space="0" w:color="auto"/>
                    <w:right w:val="none" w:sz="0" w:space="0" w:color="auto"/>
                  </w:divBdr>
                  <w:divsChild>
                    <w:div w:id="370737697">
                      <w:marLeft w:val="0"/>
                      <w:marRight w:val="0"/>
                      <w:marTop w:val="0"/>
                      <w:marBottom w:val="0"/>
                      <w:divBdr>
                        <w:top w:val="none" w:sz="0" w:space="0" w:color="auto"/>
                        <w:left w:val="none" w:sz="0" w:space="0" w:color="auto"/>
                        <w:bottom w:val="none" w:sz="0" w:space="0" w:color="auto"/>
                        <w:right w:val="none" w:sz="0" w:space="0" w:color="auto"/>
                      </w:divBdr>
                    </w:div>
                  </w:divsChild>
                </w:div>
                <w:div w:id="1469283051">
                  <w:marLeft w:val="0"/>
                  <w:marRight w:val="0"/>
                  <w:marTop w:val="0"/>
                  <w:marBottom w:val="0"/>
                  <w:divBdr>
                    <w:top w:val="none" w:sz="0" w:space="0" w:color="auto"/>
                    <w:left w:val="none" w:sz="0" w:space="0" w:color="auto"/>
                    <w:bottom w:val="none" w:sz="0" w:space="0" w:color="auto"/>
                    <w:right w:val="none" w:sz="0" w:space="0" w:color="auto"/>
                  </w:divBdr>
                  <w:divsChild>
                    <w:div w:id="450368222">
                      <w:marLeft w:val="0"/>
                      <w:marRight w:val="0"/>
                      <w:marTop w:val="0"/>
                      <w:marBottom w:val="0"/>
                      <w:divBdr>
                        <w:top w:val="none" w:sz="0" w:space="0" w:color="auto"/>
                        <w:left w:val="none" w:sz="0" w:space="0" w:color="auto"/>
                        <w:bottom w:val="none" w:sz="0" w:space="0" w:color="auto"/>
                        <w:right w:val="none" w:sz="0" w:space="0" w:color="auto"/>
                      </w:divBdr>
                    </w:div>
                  </w:divsChild>
                </w:div>
                <w:div w:id="1477066945">
                  <w:marLeft w:val="0"/>
                  <w:marRight w:val="0"/>
                  <w:marTop w:val="0"/>
                  <w:marBottom w:val="0"/>
                  <w:divBdr>
                    <w:top w:val="none" w:sz="0" w:space="0" w:color="auto"/>
                    <w:left w:val="none" w:sz="0" w:space="0" w:color="auto"/>
                    <w:bottom w:val="none" w:sz="0" w:space="0" w:color="auto"/>
                    <w:right w:val="none" w:sz="0" w:space="0" w:color="auto"/>
                  </w:divBdr>
                  <w:divsChild>
                    <w:div w:id="1096292886">
                      <w:marLeft w:val="0"/>
                      <w:marRight w:val="0"/>
                      <w:marTop w:val="0"/>
                      <w:marBottom w:val="0"/>
                      <w:divBdr>
                        <w:top w:val="none" w:sz="0" w:space="0" w:color="auto"/>
                        <w:left w:val="none" w:sz="0" w:space="0" w:color="auto"/>
                        <w:bottom w:val="none" w:sz="0" w:space="0" w:color="auto"/>
                        <w:right w:val="none" w:sz="0" w:space="0" w:color="auto"/>
                      </w:divBdr>
                    </w:div>
                  </w:divsChild>
                </w:div>
                <w:div w:id="1481310213">
                  <w:marLeft w:val="0"/>
                  <w:marRight w:val="0"/>
                  <w:marTop w:val="0"/>
                  <w:marBottom w:val="0"/>
                  <w:divBdr>
                    <w:top w:val="none" w:sz="0" w:space="0" w:color="auto"/>
                    <w:left w:val="none" w:sz="0" w:space="0" w:color="auto"/>
                    <w:bottom w:val="none" w:sz="0" w:space="0" w:color="auto"/>
                    <w:right w:val="none" w:sz="0" w:space="0" w:color="auto"/>
                  </w:divBdr>
                  <w:divsChild>
                    <w:div w:id="1192645290">
                      <w:marLeft w:val="0"/>
                      <w:marRight w:val="0"/>
                      <w:marTop w:val="0"/>
                      <w:marBottom w:val="0"/>
                      <w:divBdr>
                        <w:top w:val="none" w:sz="0" w:space="0" w:color="auto"/>
                        <w:left w:val="none" w:sz="0" w:space="0" w:color="auto"/>
                        <w:bottom w:val="none" w:sz="0" w:space="0" w:color="auto"/>
                        <w:right w:val="none" w:sz="0" w:space="0" w:color="auto"/>
                      </w:divBdr>
                    </w:div>
                  </w:divsChild>
                </w:div>
                <w:div w:id="1650671289">
                  <w:marLeft w:val="0"/>
                  <w:marRight w:val="0"/>
                  <w:marTop w:val="0"/>
                  <w:marBottom w:val="0"/>
                  <w:divBdr>
                    <w:top w:val="none" w:sz="0" w:space="0" w:color="auto"/>
                    <w:left w:val="none" w:sz="0" w:space="0" w:color="auto"/>
                    <w:bottom w:val="none" w:sz="0" w:space="0" w:color="auto"/>
                    <w:right w:val="none" w:sz="0" w:space="0" w:color="auto"/>
                  </w:divBdr>
                  <w:divsChild>
                    <w:div w:id="771823313">
                      <w:marLeft w:val="0"/>
                      <w:marRight w:val="0"/>
                      <w:marTop w:val="0"/>
                      <w:marBottom w:val="0"/>
                      <w:divBdr>
                        <w:top w:val="none" w:sz="0" w:space="0" w:color="auto"/>
                        <w:left w:val="none" w:sz="0" w:space="0" w:color="auto"/>
                        <w:bottom w:val="none" w:sz="0" w:space="0" w:color="auto"/>
                        <w:right w:val="none" w:sz="0" w:space="0" w:color="auto"/>
                      </w:divBdr>
                    </w:div>
                  </w:divsChild>
                </w:div>
                <w:div w:id="1669942773">
                  <w:marLeft w:val="0"/>
                  <w:marRight w:val="0"/>
                  <w:marTop w:val="0"/>
                  <w:marBottom w:val="0"/>
                  <w:divBdr>
                    <w:top w:val="none" w:sz="0" w:space="0" w:color="auto"/>
                    <w:left w:val="none" w:sz="0" w:space="0" w:color="auto"/>
                    <w:bottom w:val="none" w:sz="0" w:space="0" w:color="auto"/>
                    <w:right w:val="none" w:sz="0" w:space="0" w:color="auto"/>
                  </w:divBdr>
                  <w:divsChild>
                    <w:div w:id="1263491027">
                      <w:marLeft w:val="0"/>
                      <w:marRight w:val="0"/>
                      <w:marTop w:val="0"/>
                      <w:marBottom w:val="0"/>
                      <w:divBdr>
                        <w:top w:val="none" w:sz="0" w:space="0" w:color="auto"/>
                        <w:left w:val="none" w:sz="0" w:space="0" w:color="auto"/>
                        <w:bottom w:val="none" w:sz="0" w:space="0" w:color="auto"/>
                        <w:right w:val="none" w:sz="0" w:space="0" w:color="auto"/>
                      </w:divBdr>
                    </w:div>
                  </w:divsChild>
                </w:div>
                <w:div w:id="1729691810">
                  <w:marLeft w:val="0"/>
                  <w:marRight w:val="0"/>
                  <w:marTop w:val="0"/>
                  <w:marBottom w:val="0"/>
                  <w:divBdr>
                    <w:top w:val="none" w:sz="0" w:space="0" w:color="auto"/>
                    <w:left w:val="none" w:sz="0" w:space="0" w:color="auto"/>
                    <w:bottom w:val="none" w:sz="0" w:space="0" w:color="auto"/>
                    <w:right w:val="none" w:sz="0" w:space="0" w:color="auto"/>
                  </w:divBdr>
                  <w:divsChild>
                    <w:div w:id="988090979">
                      <w:marLeft w:val="0"/>
                      <w:marRight w:val="0"/>
                      <w:marTop w:val="0"/>
                      <w:marBottom w:val="0"/>
                      <w:divBdr>
                        <w:top w:val="none" w:sz="0" w:space="0" w:color="auto"/>
                        <w:left w:val="none" w:sz="0" w:space="0" w:color="auto"/>
                        <w:bottom w:val="none" w:sz="0" w:space="0" w:color="auto"/>
                        <w:right w:val="none" w:sz="0" w:space="0" w:color="auto"/>
                      </w:divBdr>
                    </w:div>
                  </w:divsChild>
                </w:div>
                <w:div w:id="1747727075">
                  <w:marLeft w:val="0"/>
                  <w:marRight w:val="0"/>
                  <w:marTop w:val="0"/>
                  <w:marBottom w:val="0"/>
                  <w:divBdr>
                    <w:top w:val="none" w:sz="0" w:space="0" w:color="auto"/>
                    <w:left w:val="none" w:sz="0" w:space="0" w:color="auto"/>
                    <w:bottom w:val="none" w:sz="0" w:space="0" w:color="auto"/>
                    <w:right w:val="none" w:sz="0" w:space="0" w:color="auto"/>
                  </w:divBdr>
                  <w:divsChild>
                    <w:div w:id="187305124">
                      <w:marLeft w:val="0"/>
                      <w:marRight w:val="0"/>
                      <w:marTop w:val="0"/>
                      <w:marBottom w:val="0"/>
                      <w:divBdr>
                        <w:top w:val="none" w:sz="0" w:space="0" w:color="auto"/>
                        <w:left w:val="none" w:sz="0" w:space="0" w:color="auto"/>
                        <w:bottom w:val="none" w:sz="0" w:space="0" w:color="auto"/>
                        <w:right w:val="none" w:sz="0" w:space="0" w:color="auto"/>
                      </w:divBdr>
                    </w:div>
                  </w:divsChild>
                </w:div>
                <w:div w:id="1781217902">
                  <w:marLeft w:val="0"/>
                  <w:marRight w:val="0"/>
                  <w:marTop w:val="0"/>
                  <w:marBottom w:val="0"/>
                  <w:divBdr>
                    <w:top w:val="none" w:sz="0" w:space="0" w:color="auto"/>
                    <w:left w:val="none" w:sz="0" w:space="0" w:color="auto"/>
                    <w:bottom w:val="none" w:sz="0" w:space="0" w:color="auto"/>
                    <w:right w:val="none" w:sz="0" w:space="0" w:color="auto"/>
                  </w:divBdr>
                  <w:divsChild>
                    <w:div w:id="1173960170">
                      <w:marLeft w:val="0"/>
                      <w:marRight w:val="0"/>
                      <w:marTop w:val="0"/>
                      <w:marBottom w:val="0"/>
                      <w:divBdr>
                        <w:top w:val="none" w:sz="0" w:space="0" w:color="auto"/>
                        <w:left w:val="none" w:sz="0" w:space="0" w:color="auto"/>
                        <w:bottom w:val="none" w:sz="0" w:space="0" w:color="auto"/>
                        <w:right w:val="none" w:sz="0" w:space="0" w:color="auto"/>
                      </w:divBdr>
                    </w:div>
                  </w:divsChild>
                </w:div>
                <w:div w:id="1850218721">
                  <w:marLeft w:val="0"/>
                  <w:marRight w:val="0"/>
                  <w:marTop w:val="0"/>
                  <w:marBottom w:val="0"/>
                  <w:divBdr>
                    <w:top w:val="none" w:sz="0" w:space="0" w:color="auto"/>
                    <w:left w:val="none" w:sz="0" w:space="0" w:color="auto"/>
                    <w:bottom w:val="none" w:sz="0" w:space="0" w:color="auto"/>
                    <w:right w:val="none" w:sz="0" w:space="0" w:color="auto"/>
                  </w:divBdr>
                  <w:divsChild>
                    <w:div w:id="1928608331">
                      <w:marLeft w:val="0"/>
                      <w:marRight w:val="0"/>
                      <w:marTop w:val="0"/>
                      <w:marBottom w:val="0"/>
                      <w:divBdr>
                        <w:top w:val="none" w:sz="0" w:space="0" w:color="auto"/>
                        <w:left w:val="none" w:sz="0" w:space="0" w:color="auto"/>
                        <w:bottom w:val="none" w:sz="0" w:space="0" w:color="auto"/>
                        <w:right w:val="none" w:sz="0" w:space="0" w:color="auto"/>
                      </w:divBdr>
                    </w:div>
                  </w:divsChild>
                </w:div>
                <w:div w:id="1982541875">
                  <w:marLeft w:val="0"/>
                  <w:marRight w:val="0"/>
                  <w:marTop w:val="0"/>
                  <w:marBottom w:val="0"/>
                  <w:divBdr>
                    <w:top w:val="none" w:sz="0" w:space="0" w:color="auto"/>
                    <w:left w:val="none" w:sz="0" w:space="0" w:color="auto"/>
                    <w:bottom w:val="none" w:sz="0" w:space="0" w:color="auto"/>
                    <w:right w:val="none" w:sz="0" w:space="0" w:color="auto"/>
                  </w:divBdr>
                  <w:divsChild>
                    <w:div w:id="1498767847">
                      <w:marLeft w:val="0"/>
                      <w:marRight w:val="0"/>
                      <w:marTop w:val="0"/>
                      <w:marBottom w:val="0"/>
                      <w:divBdr>
                        <w:top w:val="none" w:sz="0" w:space="0" w:color="auto"/>
                        <w:left w:val="none" w:sz="0" w:space="0" w:color="auto"/>
                        <w:bottom w:val="none" w:sz="0" w:space="0" w:color="auto"/>
                        <w:right w:val="none" w:sz="0" w:space="0" w:color="auto"/>
                      </w:divBdr>
                    </w:div>
                  </w:divsChild>
                </w:div>
                <w:div w:id="2081830626">
                  <w:marLeft w:val="0"/>
                  <w:marRight w:val="0"/>
                  <w:marTop w:val="0"/>
                  <w:marBottom w:val="0"/>
                  <w:divBdr>
                    <w:top w:val="none" w:sz="0" w:space="0" w:color="auto"/>
                    <w:left w:val="none" w:sz="0" w:space="0" w:color="auto"/>
                    <w:bottom w:val="none" w:sz="0" w:space="0" w:color="auto"/>
                    <w:right w:val="none" w:sz="0" w:space="0" w:color="auto"/>
                  </w:divBdr>
                  <w:divsChild>
                    <w:div w:id="1391198365">
                      <w:marLeft w:val="0"/>
                      <w:marRight w:val="0"/>
                      <w:marTop w:val="0"/>
                      <w:marBottom w:val="0"/>
                      <w:divBdr>
                        <w:top w:val="none" w:sz="0" w:space="0" w:color="auto"/>
                        <w:left w:val="none" w:sz="0" w:space="0" w:color="auto"/>
                        <w:bottom w:val="none" w:sz="0" w:space="0" w:color="auto"/>
                        <w:right w:val="none" w:sz="0" w:space="0" w:color="auto"/>
                      </w:divBdr>
                    </w:div>
                  </w:divsChild>
                </w:div>
                <w:div w:id="2127892128">
                  <w:marLeft w:val="0"/>
                  <w:marRight w:val="0"/>
                  <w:marTop w:val="0"/>
                  <w:marBottom w:val="0"/>
                  <w:divBdr>
                    <w:top w:val="none" w:sz="0" w:space="0" w:color="auto"/>
                    <w:left w:val="none" w:sz="0" w:space="0" w:color="auto"/>
                    <w:bottom w:val="none" w:sz="0" w:space="0" w:color="auto"/>
                    <w:right w:val="none" w:sz="0" w:space="0" w:color="auto"/>
                  </w:divBdr>
                  <w:divsChild>
                    <w:div w:id="10276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683">
          <w:marLeft w:val="0"/>
          <w:marRight w:val="0"/>
          <w:marTop w:val="0"/>
          <w:marBottom w:val="0"/>
          <w:divBdr>
            <w:top w:val="none" w:sz="0" w:space="0" w:color="auto"/>
            <w:left w:val="none" w:sz="0" w:space="0" w:color="auto"/>
            <w:bottom w:val="none" w:sz="0" w:space="0" w:color="auto"/>
            <w:right w:val="none" w:sz="0" w:space="0" w:color="auto"/>
          </w:divBdr>
        </w:div>
        <w:div w:id="157885598">
          <w:marLeft w:val="0"/>
          <w:marRight w:val="0"/>
          <w:marTop w:val="0"/>
          <w:marBottom w:val="0"/>
          <w:divBdr>
            <w:top w:val="none" w:sz="0" w:space="0" w:color="auto"/>
            <w:left w:val="none" w:sz="0" w:space="0" w:color="auto"/>
            <w:bottom w:val="none" w:sz="0" w:space="0" w:color="auto"/>
            <w:right w:val="none" w:sz="0" w:space="0" w:color="auto"/>
          </w:divBdr>
        </w:div>
        <w:div w:id="209264922">
          <w:marLeft w:val="0"/>
          <w:marRight w:val="0"/>
          <w:marTop w:val="0"/>
          <w:marBottom w:val="0"/>
          <w:divBdr>
            <w:top w:val="none" w:sz="0" w:space="0" w:color="auto"/>
            <w:left w:val="none" w:sz="0" w:space="0" w:color="auto"/>
            <w:bottom w:val="none" w:sz="0" w:space="0" w:color="auto"/>
            <w:right w:val="none" w:sz="0" w:space="0" w:color="auto"/>
          </w:divBdr>
          <w:divsChild>
            <w:div w:id="1260597765">
              <w:marLeft w:val="-75"/>
              <w:marRight w:val="0"/>
              <w:marTop w:val="30"/>
              <w:marBottom w:val="30"/>
              <w:divBdr>
                <w:top w:val="none" w:sz="0" w:space="0" w:color="auto"/>
                <w:left w:val="none" w:sz="0" w:space="0" w:color="auto"/>
                <w:bottom w:val="none" w:sz="0" w:space="0" w:color="auto"/>
                <w:right w:val="none" w:sz="0" w:space="0" w:color="auto"/>
              </w:divBdr>
              <w:divsChild>
                <w:div w:id="18824785">
                  <w:marLeft w:val="0"/>
                  <w:marRight w:val="0"/>
                  <w:marTop w:val="0"/>
                  <w:marBottom w:val="0"/>
                  <w:divBdr>
                    <w:top w:val="none" w:sz="0" w:space="0" w:color="auto"/>
                    <w:left w:val="none" w:sz="0" w:space="0" w:color="auto"/>
                    <w:bottom w:val="none" w:sz="0" w:space="0" w:color="auto"/>
                    <w:right w:val="none" w:sz="0" w:space="0" w:color="auto"/>
                  </w:divBdr>
                  <w:divsChild>
                    <w:div w:id="308364920">
                      <w:marLeft w:val="0"/>
                      <w:marRight w:val="0"/>
                      <w:marTop w:val="0"/>
                      <w:marBottom w:val="0"/>
                      <w:divBdr>
                        <w:top w:val="none" w:sz="0" w:space="0" w:color="auto"/>
                        <w:left w:val="none" w:sz="0" w:space="0" w:color="auto"/>
                        <w:bottom w:val="none" w:sz="0" w:space="0" w:color="auto"/>
                        <w:right w:val="none" w:sz="0" w:space="0" w:color="auto"/>
                      </w:divBdr>
                    </w:div>
                  </w:divsChild>
                </w:div>
                <w:div w:id="19162479">
                  <w:marLeft w:val="0"/>
                  <w:marRight w:val="0"/>
                  <w:marTop w:val="0"/>
                  <w:marBottom w:val="0"/>
                  <w:divBdr>
                    <w:top w:val="none" w:sz="0" w:space="0" w:color="auto"/>
                    <w:left w:val="none" w:sz="0" w:space="0" w:color="auto"/>
                    <w:bottom w:val="none" w:sz="0" w:space="0" w:color="auto"/>
                    <w:right w:val="none" w:sz="0" w:space="0" w:color="auto"/>
                  </w:divBdr>
                  <w:divsChild>
                    <w:div w:id="67464960">
                      <w:marLeft w:val="0"/>
                      <w:marRight w:val="0"/>
                      <w:marTop w:val="0"/>
                      <w:marBottom w:val="0"/>
                      <w:divBdr>
                        <w:top w:val="none" w:sz="0" w:space="0" w:color="auto"/>
                        <w:left w:val="none" w:sz="0" w:space="0" w:color="auto"/>
                        <w:bottom w:val="none" w:sz="0" w:space="0" w:color="auto"/>
                        <w:right w:val="none" w:sz="0" w:space="0" w:color="auto"/>
                      </w:divBdr>
                    </w:div>
                  </w:divsChild>
                </w:div>
                <w:div w:id="120611867">
                  <w:marLeft w:val="0"/>
                  <w:marRight w:val="0"/>
                  <w:marTop w:val="0"/>
                  <w:marBottom w:val="0"/>
                  <w:divBdr>
                    <w:top w:val="none" w:sz="0" w:space="0" w:color="auto"/>
                    <w:left w:val="none" w:sz="0" w:space="0" w:color="auto"/>
                    <w:bottom w:val="none" w:sz="0" w:space="0" w:color="auto"/>
                    <w:right w:val="none" w:sz="0" w:space="0" w:color="auto"/>
                  </w:divBdr>
                  <w:divsChild>
                    <w:div w:id="1996030866">
                      <w:marLeft w:val="0"/>
                      <w:marRight w:val="0"/>
                      <w:marTop w:val="0"/>
                      <w:marBottom w:val="0"/>
                      <w:divBdr>
                        <w:top w:val="none" w:sz="0" w:space="0" w:color="auto"/>
                        <w:left w:val="none" w:sz="0" w:space="0" w:color="auto"/>
                        <w:bottom w:val="none" w:sz="0" w:space="0" w:color="auto"/>
                        <w:right w:val="none" w:sz="0" w:space="0" w:color="auto"/>
                      </w:divBdr>
                    </w:div>
                  </w:divsChild>
                </w:div>
                <w:div w:id="152839741">
                  <w:marLeft w:val="0"/>
                  <w:marRight w:val="0"/>
                  <w:marTop w:val="0"/>
                  <w:marBottom w:val="0"/>
                  <w:divBdr>
                    <w:top w:val="none" w:sz="0" w:space="0" w:color="auto"/>
                    <w:left w:val="none" w:sz="0" w:space="0" w:color="auto"/>
                    <w:bottom w:val="none" w:sz="0" w:space="0" w:color="auto"/>
                    <w:right w:val="none" w:sz="0" w:space="0" w:color="auto"/>
                  </w:divBdr>
                  <w:divsChild>
                    <w:div w:id="1075011824">
                      <w:marLeft w:val="0"/>
                      <w:marRight w:val="0"/>
                      <w:marTop w:val="0"/>
                      <w:marBottom w:val="0"/>
                      <w:divBdr>
                        <w:top w:val="none" w:sz="0" w:space="0" w:color="auto"/>
                        <w:left w:val="none" w:sz="0" w:space="0" w:color="auto"/>
                        <w:bottom w:val="none" w:sz="0" w:space="0" w:color="auto"/>
                        <w:right w:val="none" w:sz="0" w:space="0" w:color="auto"/>
                      </w:divBdr>
                    </w:div>
                  </w:divsChild>
                </w:div>
                <w:div w:id="174804639">
                  <w:marLeft w:val="0"/>
                  <w:marRight w:val="0"/>
                  <w:marTop w:val="0"/>
                  <w:marBottom w:val="0"/>
                  <w:divBdr>
                    <w:top w:val="none" w:sz="0" w:space="0" w:color="auto"/>
                    <w:left w:val="none" w:sz="0" w:space="0" w:color="auto"/>
                    <w:bottom w:val="none" w:sz="0" w:space="0" w:color="auto"/>
                    <w:right w:val="none" w:sz="0" w:space="0" w:color="auto"/>
                  </w:divBdr>
                  <w:divsChild>
                    <w:div w:id="834880927">
                      <w:marLeft w:val="0"/>
                      <w:marRight w:val="0"/>
                      <w:marTop w:val="0"/>
                      <w:marBottom w:val="0"/>
                      <w:divBdr>
                        <w:top w:val="none" w:sz="0" w:space="0" w:color="auto"/>
                        <w:left w:val="none" w:sz="0" w:space="0" w:color="auto"/>
                        <w:bottom w:val="none" w:sz="0" w:space="0" w:color="auto"/>
                        <w:right w:val="none" w:sz="0" w:space="0" w:color="auto"/>
                      </w:divBdr>
                    </w:div>
                  </w:divsChild>
                </w:div>
                <w:div w:id="344748719">
                  <w:marLeft w:val="0"/>
                  <w:marRight w:val="0"/>
                  <w:marTop w:val="0"/>
                  <w:marBottom w:val="0"/>
                  <w:divBdr>
                    <w:top w:val="none" w:sz="0" w:space="0" w:color="auto"/>
                    <w:left w:val="none" w:sz="0" w:space="0" w:color="auto"/>
                    <w:bottom w:val="none" w:sz="0" w:space="0" w:color="auto"/>
                    <w:right w:val="none" w:sz="0" w:space="0" w:color="auto"/>
                  </w:divBdr>
                  <w:divsChild>
                    <w:div w:id="333920450">
                      <w:marLeft w:val="0"/>
                      <w:marRight w:val="0"/>
                      <w:marTop w:val="0"/>
                      <w:marBottom w:val="0"/>
                      <w:divBdr>
                        <w:top w:val="none" w:sz="0" w:space="0" w:color="auto"/>
                        <w:left w:val="none" w:sz="0" w:space="0" w:color="auto"/>
                        <w:bottom w:val="none" w:sz="0" w:space="0" w:color="auto"/>
                        <w:right w:val="none" w:sz="0" w:space="0" w:color="auto"/>
                      </w:divBdr>
                    </w:div>
                  </w:divsChild>
                </w:div>
                <w:div w:id="400249510">
                  <w:marLeft w:val="0"/>
                  <w:marRight w:val="0"/>
                  <w:marTop w:val="0"/>
                  <w:marBottom w:val="0"/>
                  <w:divBdr>
                    <w:top w:val="none" w:sz="0" w:space="0" w:color="auto"/>
                    <w:left w:val="none" w:sz="0" w:space="0" w:color="auto"/>
                    <w:bottom w:val="none" w:sz="0" w:space="0" w:color="auto"/>
                    <w:right w:val="none" w:sz="0" w:space="0" w:color="auto"/>
                  </w:divBdr>
                  <w:divsChild>
                    <w:div w:id="833957088">
                      <w:marLeft w:val="0"/>
                      <w:marRight w:val="0"/>
                      <w:marTop w:val="0"/>
                      <w:marBottom w:val="0"/>
                      <w:divBdr>
                        <w:top w:val="none" w:sz="0" w:space="0" w:color="auto"/>
                        <w:left w:val="none" w:sz="0" w:space="0" w:color="auto"/>
                        <w:bottom w:val="none" w:sz="0" w:space="0" w:color="auto"/>
                        <w:right w:val="none" w:sz="0" w:space="0" w:color="auto"/>
                      </w:divBdr>
                    </w:div>
                  </w:divsChild>
                </w:div>
                <w:div w:id="443614873">
                  <w:marLeft w:val="0"/>
                  <w:marRight w:val="0"/>
                  <w:marTop w:val="0"/>
                  <w:marBottom w:val="0"/>
                  <w:divBdr>
                    <w:top w:val="none" w:sz="0" w:space="0" w:color="auto"/>
                    <w:left w:val="none" w:sz="0" w:space="0" w:color="auto"/>
                    <w:bottom w:val="none" w:sz="0" w:space="0" w:color="auto"/>
                    <w:right w:val="none" w:sz="0" w:space="0" w:color="auto"/>
                  </w:divBdr>
                  <w:divsChild>
                    <w:div w:id="908349129">
                      <w:marLeft w:val="0"/>
                      <w:marRight w:val="0"/>
                      <w:marTop w:val="0"/>
                      <w:marBottom w:val="0"/>
                      <w:divBdr>
                        <w:top w:val="none" w:sz="0" w:space="0" w:color="auto"/>
                        <w:left w:val="none" w:sz="0" w:space="0" w:color="auto"/>
                        <w:bottom w:val="none" w:sz="0" w:space="0" w:color="auto"/>
                        <w:right w:val="none" w:sz="0" w:space="0" w:color="auto"/>
                      </w:divBdr>
                    </w:div>
                  </w:divsChild>
                </w:div>
                <w:div w:id="497960814">
                  <w:marLeft w:val="0"/>
                  <w:marRight w:val="0"/>
                  <w:marTop w:val="0"/>
                  <w:marBottom w:val="0"/>
                  <w:divBdr>
                    <w:top w:val="none" w:sz="0" w:space="0" w:color="auto"/>
                    <w:left w:val="none" w:sz="0" w:space="0" w:color="auto"/>
                    <w:bottom w:val="none" w:sz="0" w:space="0" w:color="auto"/>
                    <w:right w:val="none" w:sz="0" w:space="0" w:color="auto"/>
                  </w:divBdr>
                  <w:divsChild>
                    <w:div w:id="515466801">
                      <w:marLeft w:val="0"/>
                      <w:marRight w:val="0"/>
                      <w:marTop w:val="0"/>
                      <w:marBottom w:val="0"/>
                      <w:divBdr>
                        <w:top w:val="none" w:sz="0" w:space="0" w:color="auto"/>
                        <w:left w:val="none" w:sz="0" w:space="0" w:color="auto"/>
                        <w:bottom w:val="none" w:sz="0" w:space="0" w:color="auto"/>
                        <w:right w:val="none" w:sz="0" w:space="0" w:color="auto"/>
                      </w:divBdr>
                    </w:div>
                  </w:divsChild>
                </w:div>
                <w:div w:id="517230431">
                  <w:marLeft w:val="0"/>
                  <w:marRight w:val="0"/>
                  <w:marTop w:val="0"/>
                  <w:marBottom w:val="0"/>
                  <w:divBdr>
                    <w:top w:val="none" w:sz="0" w:space="0" w:color="auto"/>
                    <w:left w:val="none" w:sz="0" w:space="0" w:color="auto"/>
                    <w:bottom w:val="none" w:sz="0" w:space="0" w:color="auto"/>
                    <w:right w:val="none" w:sz="0" w:space="0" w:color="auto"/>
                  </w:divBdr>
                  <w:divsChild>
                    <w:div w:id="337080078">
                      <w:marLeft w:val="0"/>
                      <w:marRight w:val="0"/>
                      <w:marTop w:val="0"/>
                      <w:marBottom w:val="0"/>
                      <w:divBdr>
                        <w:top w:val="none" w:sz="0" w:space="0" w:color="auto"/>
                        <w:left w:val="none" w:sz="0" w:space="0" w:color="auto"/>
                        <w:bottom w:val="none" w:sz="0" w:space="0" w:color="auto"/>
                        <w:right w:val="none" w:sz="0" w:space="0" w:color="auto"/>
                      </w:divBdr>
                    </w:div>
                  </w:divsChild>
                </w:div>
                <w:div w:id="617839713">
                  <w:marLeft w:val="0"/>
                  <w:marRight w:val="0"/>
                  <w:marTop w:val="0"/>
                  <w:marBottom w:val="0"/>
                  <w:divBdr>
                    <w:top w:val="none" w:sz="0" w:space="0" w:color="auto"/>
                    <w:left w:val="none" w:sz="0" w:space="0" w:color="auto"/>
                    <w:bottom w:val="none" w:sz="0" w:space="0" w:color="auto"/>
                    <w:right w:val="none" w:sz="0" w:space="0" w:color="auto"/>
                  </w:divBdr>
                  <w:divsChild>
                    <w:div w:id="176309137">
                      <w:marLeft w:val="0"/>
                      <w:marRight w:val="0"/>
                      <w:marTop w:val="0"/>
                      <w:marBottom w:val="0"/>
                      <w:divBdr>
                        <w:top w:val="none" w:sz="0" w:space="0" w:color="auto"/>
                        <w:left w:val="none" w:sz="0" w:space="0" w:color="auto"/>
                        <w:bottom w:val="none" w:sz="0" w:space="0" w:color="auto"/>
                        <w:right w:val="none" w:sz="0" w:space="0" w:color="auto"/>
                      </w:divBdr>
                    </w:div>
                  </w:divsChild>
                </w:div>
                <w:div w:id="949355089">
                  <w:marLeft w:val="0"/>
                  <w:marRight w:val="0"/>
                  <w:marTop w:val="0"/>
                  <w:marBottom w:val="0"/>
                  <w:divBdr>
                    <w:top w:val="none" w:sz="0" w:space="0" w:color="auto"/>
                    <w:left w:val="none" w:sz="0" w:space="0" w:color="auto"/>
                    <w:bottom w:val="none" w:sz="0" w:space="0" w:color="auto"/>
                    <w:right w:val="none" w:sz="0" w:space="0" w:color="auto"/>
                  </w:divBdr>
                  <w:divsChild>
                    <w:div w:id="1053771896">
                      <w:marLeft w:val="0"/>
                      <w:marRight w:val="0"/>
                      <w:marTop w:val="0"/>
                      <w:marBottom w:val="0"/>
                      <w:divBdr>
                        <w:top w:val="none" w:sz="0" w:space="0" w:color="auto"/>
                        <w:left w:val="none" w:sz="0" w:space="0" w:color="auto"/>
                        <w:bottom w:val="none" w:sz="0" w:space="0" w:color="auto"/>
                        <w:right w:val="none" w:sz="0" w:space="0" w:color="auto"/>
                      </w:divBdr>
                    </w:div>
                  </w:divsChild>
                </w:div>
                <w:div w:id="991788788">
                  <w:marLeft w:val="0"/>
                  <w:marRight w:val="0"/>
                  <w:marTop w:val="0"/>
                  <w:marBottom w:val="0"/>
                  <w:divBdr>
                    <w:top w:val="none" w:sz="0" w:space="0" w:color="auto"/>
                    <w:left w:val="none" w:sz="0" w:space="0" w:color="auto"/>
                    <w:bottom w:val="none" w:sz="0" w:space="0" w:color="auto"/>
                    <w:right w:val="none" w:sz="0" w:space="0" w:color="auto"/>
                  </w:divBdr>
                  <w:divsChild>
                    <w:div w:id="1273980046">
                      <w:marLeft w:val="0"/>
                      <w:marRight w:val="0"/>
                      <w:marTop w:val="0"/>
                      <w:marBottom w:val="0"/>
                      <w:divBdr>
                        <w:top w:val="none" w:sz="0" w:space="0" w:color="auto"/>
                        <w:left w:val="none" w:sz="0" w:space="0" w:color="auto"/>
                        <w:bottom w:val="none" w:sz="0" w:space="0" w:color="auto"/>
                        <w:right w:val="none" w:sz="0" w:space="0" w:color="auto"/>
                      </w:divBdr>
                    </w:div>
                  </w:divsChild>
                </w:div>
                <w:div w:id="999579267">
                  <w:marLeft w:val="0"/>
                  <w:marRight w:val="0"/>
                  <w:marTop w:val="0"/>
                  <w:marBottom w:val="0"/>
                  <w:divBdr>
                    <w:top w:val="none" w:sz="0" w:space="0" w:color="auto"/>
                    <w:left w:val="none" w:sz="0" w:space="0" w:color="auto"/>
                    <w:bottom w:val="none" w:sz="0" w:space="0" w:color="auto"/>
                    <w:right w:val="none" w:sz="0" w:space="0" w:color="auto"/>
                  </w:divBdr>
                  <w:divsChild>
                    <w:div w:id="1326469174">
                      <w:marLeft w:val="0"/>
                      <w:marRight w:val="0"/>
                      <w:marTop w:val="0"/>
                      <w:marBottom w:val="0"/>
                      <w:divBdr>
                        <w:top w:val="none" w:sz="0" w:space="0" w:color="auto"/>
                        <w:left w:val="none" w:sz="0" w:space="0" w:color="auto"/>
                        <w:bottom w:val="none" w:sz="0" w:space="0" w:color="auto"/>
                        <w:right w:val="none" w:sz="0" w:space="0" w:color="auto"/>
                      </w:divBdr>
                    </w:div>
                  </w:divsChild>
                </w:div>
                <w:div w:id="1025323151">
                  <w:marLeft w:val="0"/>
                  <w:marRight w:val="0"/>
                  <w:marTop w:val="0"/>
                  <w:marBottom w:val="0"/>
                  <w:divBdr>
                    <w:top w:val="none" w:sz="0" w:space="0" w:color="auto"/>
                    <w:left w:val="none" w:sz="0" w:space="0" w:color="auto"/>
                    <w:bottom w:val="none" w:sz="0" w:space="0" w:color="auto"/>
                    <w:right w:val="none" w:sz="0" w:space="0" w:color="auto"/>
                  </w:divBdr>
                  <w:divsChild>
                    <w:div w:id="247084444">
                      <w:marLeft w:val="0"/>
                      <w:marRight w:val="0"/>
                      <w:marTop w:val="0"/>
                      <w:marBottom w:val="0"/>
                      <w:divBdr>
                        <w:top w:val="none" w:sz="0" w:space="0" w:color="auto"/>
                        <w:left w:val="none" w:sz="0" w:space="0" w:color="auto"/>
                        <w:bottom w:val="none" w:sz="0" w:space="0" w:color="auto"/>
                        <w:right w:val="none" w:sz="0" w:space="0" w:color="auto"/>
                      </w:divBdr>
                    </w:div>
                  </w:divsChild>
                </w:div>
                <w:div w:id="1047879853">
                  <w:marLeft w:val="0"/>
                  <w:marRight w:val="0"/>
                  <w:marTop w:val="0"/>
                  <w:marBottom w:val="0"/>
                  <w:divBdr>
                    <w:top w:val="none" w:sz="0" w:space="0" w:color="auto"/>
                    <w:left w:val="none" w:sz="0" w:space="0" w:color="auto"/>
                    <w:bottom w:val="none" w:sz="0" w:space="0" w:color="auto"/>
                    <w:right w:val="none" w:sz="0" w:space="0" w:color="auto"/>
                  </w:divBdr>
                  <w:divsChild>
                    <w:div w:id="984359770">
                      <w:marLeft w:val="0"/>
                      <w:marRight w:val="0"/>
                      <w:marTop w:val="0"/>
                      <w:marBottom w:val="0"/>
                      <w:divBdr>
                        <w:top w:val="none" w:sz="0" w:space="0" w:color="auto"/>
                        <w:left w:val="none" w:sz="0" w:space="0" w:color="auto"/>
                        <w:bottom w:val="none" w:sz="0" w:space="0" w:color="auto"/>
                        <w:right w:val="none" w:sz="0" w:space="0" w:color="auto"/>
                      </w:divBdr>
                    </w:div>
                  </w:divsChild>
                </w:div>
                <w:div w:id="1177422076">
                  <w:marLeft w:val="0"/>
                  <w:marRight w:val="0"/>
                  <w:marTop w:val="0"/>
                  <w:marBottom w:val="0"/>
                  <w:divBdr>
                    <w:top w:val="none" w:sz="0" w:space="0" w:color="auto"/>
                    <w:left w:val="none" w:sz="0" w:space="0" w:color="auto"/>
                    <w:bottom w:val="none" w:sz="0" w:space="0" w:color="auto"/>
                    <w:right w:val="none" w:sz="0" w:space="0" w:color="auto"/>
                  </w:divBdr>
                  <w:divsChild>
                    <w:div w:id="1086346675">
                      <w:marLeft w:val="0"/>
                      <w:marRight w:val="0"/>
                      <w:marTop w:val="0"/>
                      <w:marBottom w:val="0"/>
                      <w:divBdr>
                        <w:top w:val="none" w:sz="0" w:space="0" w:color="auto"/>
                        <w:left w:val="none" w:sz="0" w:space="0" w:color="auto"/>
                        <w:bottom w:val="none" w:sz="0" w:space="0" w:color="auto"/>
                        <w:right w:val="none" w:sz="0" w:space="0" w:color="auto"/>
                      </w:divBdr>
                    </w:div>
                  </w:divsChild>
                </w:div>
                <w:div w:id="1188639162">
                  <w:marLeft w:val="0"/>
                  <w:marRight w:val="0"/>
                  <w:marTop w:val="0"/>
                  <w:marBottom w:val="0"/>
                  <w:divBdr>
                    <w:top w:val="none" w:sz="0" w:space="0" w:color="auto"/>
                    <w:left w:val="none" w:sz="0" w:space="0" w:color="auto"/>
                    <w:bottom w:val="none" w:sz="0" w:space="0" w:color="auto"/>
                    <w:right w:val="none" w:sz="0" w:space="0" w:color="auto"/>
                  </w:divBdr>
                  <w:divsChild>
                    <w:div w:id="1234586111">
                      <w:marLeft w:val="0"/>
                      <w:marRight w:val="0"/>
                      <w:marTop w:val="0"/>
                      <w:marBottom w:val="0"/>
                      <w:divBdr>
                        <w:top w:val="none" w:sz="0" w:space="0" w:color="auto"/>
                        <w:left w:val="none" w:sz="0" w:space="0" w:color="auto"/>
                        <w:bottom w:val="none" w:sz="0" w:space="0" w:color="auto"/>
                        <w:right w:val="none" w:sz="0" w:space="0" w:color="auto"/>
                      </w:divBdr>
                    </w:div>
                  </w:divsChild>
                </w:div>
                <w:div w:id="1259408518">
                  <w:marLeft w:val="0"/>
                  <w:marRight w:val="0"/>
                  <w:marTop w:val="0"/>
                  <w:marBottom w:val="0"/>
                  <w:divBdr>
                    <w:top w:val="none" w:sz="0" w:space="0" w:color="auto"/>
                    <w:left w:val="none" w:sz="0" w:space="0" w:color="auto"/>
                    <w:bottom w:val="none" w:sz="0" w:space="0" w:color="auto"/>
                    <w:right w:val="none" w:sz="0" w:space="0" w:color="auto"/>
                  </w:divBdr>
                  <w:divsChild>
                    <w:div w:id="1782068907">
                      <w:marLeft w:val="0"/>
                      <w:marRight w:val="0"/>
                      <w:marTop w:val="0"/>
                      <w:marBottom w:val="0"/>
                      <w:divBdr>
                        <w:top w:val="none" w:sz="0" w:space="0" w:color="auto"/>
                        <w:left w:val="none" w:sz="0" w:space="0" w:color="auto"/>
                        <w:bottom w:val="none" w:sz="0" w:space="0" w:color="auto"/>
                        <w:right w:val="none" w:sz="0" w:space="0" w:color="auto"/>
                      </w:divBdr>
                    </w:div>
                  </w:divsChild>
                </w:div>
                <w:div w:id="1299258091">
                  <w:marLeft w:val="0"/>
                  <w:marRight w:val="0"/>
                  <w:marTop w:val="0"/>
                  <w:marBottom w:val="0"/>
                  <w:divBdr>
                    <w:top w:val="none" w:sz="0" w:space="0" w:color="auto"/>
                    <w:left w:val="none" w:sz="0" w:space="0" w:color="auto"/>
                    <w:bottom w:val="none" w:sz="0" w:space="0" w:color="auto"/>
                    <w:right w:val="none" w:sz="0" w:space="0" w:color="auto"/>
                  </w:divBdr>
                  <w:divsChild>
                    <w:div w:id="1161585800">
                      <w:marLeft w:val="0"/>
                      <w:marRight w:val="0"/>
                      <w:marTop w:val="0"/>
                      <w:marBottom w:val="0"/>
                      <w:divBdr>
                        <w:top w:val="none" w:sz="0" w:space="0" w:color="auto"/>
                        <w:left w:val="none" w:sz="0" w:space="0" w:color="auto"/>
                        <w:bottom w:val="none" w:sz="0" w:space="0" w:color="auto"/>
                        <w:right w:val="none" w:sz="0" w:space="0" w:color="auto"/>
                      </w:divBdr>
                    </w:div>
                  </w:divsChild>
                </w:div>
                <w:div w:id="1338774120">
                  <w:marLeft w:val="0"/>
                  <w:marRight w:val="0"/>
                  <w:marTop w:val="0"/>
                  <w:marBottom w:val="0"/>
                  <w:divBdr>
                    <w:top w:val="none" w:sz="0" w:space="0" w:color="auto"/>
                    <w:left w:val="none" w:sz="0" w:space="0" w:color="auto"/>
                    <w:bottom w:val="none" w:sz="0" w:space="0" w:color="auto"/>
                    <w:right w:val="none" w:sz="0" w:space="0" w:color="auto"/>
                  </w:divBdr>
                  <w:divsChild>
                    <w:div w:id="494996519">
                      <w:marLeft w:val="0"/>
                      <w:marRight w:val="0"/>
                      <w:marTop w:val="0"/>
                      <w:marBottom w:val="0"/>
                      <w:divBdr>
                        <w:top w:val="none" w:sz="0" w:space="0" w:color="auto"/>
                        <w:left w:val="none" w:sz="0" w:space="0" w:color="auto"/>
                        <w:bottom w:val="none" w:sz="0" w:space="0" w:color="auto"/>
                        <w:right w:val="none" w:sz="0" w:space="0" w:color="auto"/>
                      </w:divBdr>
                    </w:div>
                  </w:divsChild>
                </w:div>
                <w:div w:id="1365057410">
                  <w:marLeft w:val="0"/>
                  <w:marRight w:val="0"/>
                  <w:marTop w:val="0"/>
                  <w:marBottom w:val="0"/>
                  <w:divBdr>
                    <w:top w:val="none" w:sz="0" w:space="0" w:color="auto"/>
                    <w:left w:val="none" w:sz="0" w:space="0" w:color="auto"/>
                    <w:bottom w:val="none" w:sz="0" w:space="0" w:color="auto"/>
                    <w:right w:val="none" w:sz="0" w:space="0" w:color="auto"/>
                  </w:divBdr>
                  <w:divsChild>
                    <w:div w:id="1856918879">
                      <w:marLeft w:val="0"/>
                      <w:marRight w:val="0"/>
                      <w:marTop w:val="0"/>
                      <w:marBottom w:val="0"/>
                      <w:divBdr>
                        <w:top w:val="none" w:sz="0" w:space="0" w:color="auto"/>
                        <w:left w:val="none" w:sz="0" w:space="0" w:color="auto"/>
                        <w:bottom w:val="none" w:sz="0" w:space="0" w:color="auto"/>
                        <w:right w:val="none" w:sz="0" w:space="0" w:color="auto"/>
                      </w:divBdr>
                    </w:div>
                  </w:divsChild>
                </w:div>
                <w:div w:id="1374571856">
                  <w:marLeft w:val="0"/>
                  <w:marRight w:val="0"/>
                  <w:marTop w:val="0"/>
                  <w:marBottom w:val="0"/>
                  <w:divBdr>
                    <w:top w:val="none" w:sz="0" w:space="0" w:color="auto"/>
                    <w:left w:val="none" w:sz="0" w:space="0" w:color="auto"/>
                    <w:bottom w:val="none" w:sz="0" w:space="0" w:color="auto"/>
                    <w:right w:val="none" w:sz="0" w:space="0" w:color="auto"/>
                  </w:divBdr>
                  <w:divsChild>
                    <w:div w:id="304287223">
                      <w:marLeft w:val="0"/>
                      <w:marRight w:val="0"/>
                      <w:marTop w:val="0"/>
                      <w:marBottom w:val="0"/>
                      <w:divBdr>
                        <w:top w:val="none" w:sz="0" w:space="0" w:color="auto"/>
                        <w:left w:val="none" w:sz="0" w:space="0" w:color="auto"/>
                        <w:bottom w:val="none" w:sz="0" w:space="0" w:color="auto"/>
                        <w:right w:val="none" w:sz="0" w:space="0" w:color="auto"/>
                      </w:divBdr>
                    </w:div>
                  </w:divsChild>
                </w:div>
                <w:div w:id="1390835747">
                  <w:marLeft w:val="0"/>
                  <w:marRight w:val="0"/>
                  <w:marTop w:val="0"/>
                  <w:marBottom w:val="0"/>
                  <w:divBdr>
                    <w:top w:val="none" w:sz="0" w:space="0" w:color="auto"/>
                    <w:left w:val="none" w:sz="0" w:space="0" w:color="auto"/>
                    <w:bottom w:val="none" w:sz="0" w:space="0" w:color="auto"/>
                    <w:right w:val="none" w:sz="0" w:space="0" w:color="auto"/>
                  </w:divBdr>
                  <w:divsChild>
                    <w:div w:id="678502157">
                      <w:marLeft w:val="0"/>
                      <w:marRight w:val="0"/>
                      <w:marTop w:val="0"/>
                      <w:marBottom w:val="0"/>
                      <w:divBdr>
                        <w:top w:val="none" w:sz="0" w:space="0" w:color="auto"/>
                        <w:left w:val="none" w:sz="0" w:space="0" w:color="auto"/>
                        <w:bottom w:val="none" w:sz="0" w:space="0" w:color="auto"/>
                        <w:right w:val="none" w:sz="0" w:space="0" w:color="auto"/>
                      </w:divBdr>
                    </w:div>
                  </w:divsChild>
                </w:div>
                <w:div w:id="1405251587">
                  <w:marLeft w:val="0"/>
                  <w:marRight w:val="0"/>
                  <w:marTop w:val="0"/>
                  <w:marBottom w:val="0"/>
                  <w:divBdr>
                    <w:top w:val="none" w:sz="0" w:space="0" w:color="auto"/>
                    <w:left w:val="none" w:sz="0" w:space="0" w:color="auto"/>
                    <w:bottom w:val="none" w:sz="0" w:space="0" w:color="auto"/>
                    <w:right w:val="none" w:sz="0" w:space="0" w:color="auto"/>
                  </w:divBdr>
                  <w:divsChild>
                    <w:div w:id="1504470953">
                      <w:marLeft w:val="0"/>
                      <w:marRight w:val="0"/>
                      <w:marTop w:val="0"/>
                      <w:marBottom w:val="0"/>
                      <w:divBdr>
                        <w:top w:val="none" w:sz="0" w:space="0" w:color="auto"/>
                        <w:left w:val="none" w:sz="0" w:space="0" w:color="auto"/>
                        <w:bottom w:val="none" w:sz="0" w:space="0" w:color="auto"/>
                        <w:right w:val="none" w:sz="0" w:space="0" w:color="auto"/>
                      </w:divBdr>
                    </w:div>
                  </w:divsChild>
                </w:div>
                <w:div w:id="1462841631">
                  <w:marLeft w:val="0"/>
                  <w:marRight w:val="0"/>
                  <w:marTop w:val="0"/>
                  <w:marBottom w:val="0"/>
                  <w:divBdr>
                    <w:top w:val="none" w:sz="0" w:space="0" w:color="auto"/>
                    <w:left w:val="none" w:sz="0" w:space="0" w:color="auto"/>
                    <w:bottom w:val="none" w:sz="0" w:space="0" w:color="auto"/>
                    <w:right w:val="none" w:sz="0" w:space="0" w:color="auto"/>
                  </w:divBdr>
                  <w:divsChild>
                    <w:div w:id="744955601">
                      <w:marLeft w:val="0"/>
                      <w:marRight w:val="0"/>
                      <w:marTop w:val="0"/>
                      <w:marBottom w:val="0"/>
                      <w:divBdr>
                        <w:top w:val="none" w:sz="0" w:space="0" w:color="auto"/>
                        <w:left w:val="none" w:sz="0" w:space="0" w:color="auto"/>
                        <w:bottom w:val="none" w:sz="0" w:space="0" w:color="auto"/>
                        <w:right w:val="none" w:sz="0" w:space="0" w:color="auto"/>
                      </w:divBdr>
                    </w:div>
                  </w:divsChild>
                </w:div>
                <w:div w:id="1463621167">
                  <w:marLeft w:val="0"/>
                  <w:marRight w:val="0"/>
                  <w:marTop w:val="0"/>
                  <w:marBottom w:val="0"/>
                  <w:divBdr>
                    <w:top w:val="none" w:sz="0" w:space="0" w:color="auto"/>
                    <w:left w:val="none" w:sz="0" w:space="0" w:color="auto"/>
                    <w:bottom w:val="none" w:sz="0" w:space="0" w:color="auto"/>
                    <w:right w:val="none" w:sz="0" w:space="0" w:color="auto"/>
                  </w:divBdr>
                  <w:divsChild>
                    <w:div w:id="2125687361">
                      <w:marLeft w:val="0"/>
                      <w:marRight w:val="0"/>
                      <w:marTop w:val="0"/>
                      <w:marBottom w:val="0"/>
                      <w:divBdr>
                        <w:top w:val="none" w:sz="0" w:space="0" w:color="auto"/>
                        <w:left w:val="none" w:sz="0" w:space="0" w:color="auto"/>
                        <w:bottom w:val="none" w:sz="0" w:space="0" w:color="auto"/>
                        <w:right w:val="none" w:sz="0" w:space="0" w:color="auto"/>
                      </w:divBdr>
                    </w:div>
                  </w:divsChild>
                </w:div>
                <w:div w:id="1469321855">
                  <w:marLeft w:val="0"/>
                  <w:marRight w:val="0"/>
                  <w:marTop w:val="0"/>
                  <w:marBottom w:val="0"/>
                  <w:divBdr>
                    <w:top w:val="none" w:sz="0" w:space="0" w:color="auto"/>
                    <w:left w:val="none" w:sz="0" w:space="0" w:color="auto"/>
                    <w:bottom w:val="none" w:sz="0" w:space="0" w:color="auto"/>
                    <w:right w:val="none" w:sz="0" w:space="0" w:color="auto"/>
                  </w:divBdr>
                  <w:divsChild>
                    <w:div w:id="39673541">
                      <w:marLeft w:val="0"/>
                      <w:marRight w:val="0"/>
                      <w:marTop w:val="0"/>
                      <w:marBottom w:val="0"/>
                      <w:divBdr>
                        <w:top w:val="none" w:sz="0" w:space="0" w:color="auto"/>
                        <w:left w:val="none" w:sz="0" w:space="0" w:color="auto"/>
                        <w:bottom w:val="none" w:sz="0" w:space="0" w:color="auto"/>
                        <w:right w:val="none" w:sz="0" w:space="0" w:color="auto"/>
                      </w:divBdr>
                    </w:div>
                  </w:divsChild>
                </w:div>
                <w:div w:id="1503541854">
                  <w:marLeft w:val="0"/>
                  <w:marRight w:val="0"/>
                  <w:marTop w:val="0"/>
                  <w:marBottom w:val="0"/>
                  <w:divBdr>
                    <w:top w:val="none" w:sz="0" w:space="0" w:color="auto"/>
                    <w:left w:val="none" w:sz="0" w:space="0" w:color="auto"/>
                    <w:bottom w:val="none" w:sz="0" w:space="0" w:color="auto"/>
                    <w:right w:val="none" w:sz="0" w:space="0" w:color="auto"/>
                  </w:divBdr>
                  <w:divsChild>
                    <w:div w:id="1844976220">
                      <w:marLeft w:val="0"/>
                      <w:marRight w:val="0"/>
                      <w:marTop w:val="0"/>
                      <w:marBottom w:val="0"/>
                      <w:divBdr>
                        <w:top w:val="none" w:sz="0" w:space="0" w:color="auto"/>
                        <w:left w:val="none" w:sz="0" w:space="0" w:color="auto"/>
                        <w:bottom w:val="none" w:sz="0" w:space="0" w:color="auto"/>
                        <w:right w:val="none" w:sz="0" w:space="0" w:color="auto"/>
                      </w:divBdr>
                    </w:div>
                  </w:divsChild>
                </w:div>
                <w:div w:id="1509372072">
                  <w:marLeft w:val="0"/>
                  <w:marRight w:val="0"/>
                  <w:marTop w:val="0"/>
                  <w:marBottom w:val="0"/>
                  <w:divBdr>
                    <w:top w:val="none" w:sz="0" w:space="0" w:color="auto"/>
                    <w:left w:val="none" w:sz="0" w:space="0" w:color="auto"/>
                    <w:bottom w:val="none" w:sz="0" w:space="0" w:color="auto"/>
                    <w:right w:val="none" w:sz="0" w:space="0" w:color="auto"/>
                  </w:divBdr>
                  <w:divsChild>
                    <w:div w:id="747504032">
                      <w:marLeft w:val="0"/>
                      <w:marRight w:val="0"/>
                      <w:marTop w:val="0"/>
                      <w:marBottom w:val="0"/>
                      <w:divBdr>
                        <w:top w:val="none" w:sz="0" w:space="0" w:color="auto"/>
                        <w:left w:val="none" w:sz="0" w:space="0" w:color="auto"/>
                        <w:bottom w:val="none" w:sz="0" w:space="0" w:color="auto"/>
                        <w:right w:val="none" w:sz="0" w:space="0" w:color="auto"/>
                      </w:divBdr>
                    </w:div>
                  </w:divsChild>
                </w:div>
                <w:div w:id="1532035675">
                  <w:marLeft w:val="0"/>
                  <w:marRight w:val="0"/>
                  <w:marTop w:val="0"/>
                  <w:marBottom w:val="0"/>
                  <w:divBdr>
                    <w:top w:val="none" w:sz="0" w:space="0" w:color="auto"/>
                    <w:left w:val="none" w:sz="0" w:space="0" w:color="auto"/>
                    <w:bottom w:val="none" w:sz="0" w:space="0" w:color="auto"/>
                    <w:right w:val="none" w:sz="0" w:space="0" w:color="auto"/>
                  </w:divBdr>
                  <w:divsChild>
                    <w:div w:id="891890640">
                      <w:marLeft w:val="0"/>
                      <w:marRight w:val="0"/>
                      <w:marTop w:val="0"/>
                      <w:marBottom w:val="0"/>
                      <w:divBdr>
                        <w:top w:val="none" w:sz="0" w:space="0" w:color="auto"/>
                        <w:left w:val="none" w:sz="0" w:space="0" w:color="auto"/>
                        <w:bottom w:val="none" w:sz="0" w:space="0" w:color="auto"/>
                        <w:right w:val="none" w:sz="0" w:space="0" w:color="auto"/>
                      </w:divBdr>
                    </w:div>
                  </w:divsChild>
                </w:div>
                <w:div w:id="1566985002">
                  <w:marLeft w:val="0"/>
                  <w:marRight w:val="0"/>
                  <w:marTop w:val="0"/>
                  <w:marBottom w:val="0"/>
                  <w:divBdr>
                    <w:top w:val="none" w:sz="0" w:space="0" w:color="auto"/>
                    <w:left w:val="none" w:sz="0" w:space="0" w:color="auto"/>
                    <w:bottom w:val="none" w:sz="0" w:space="0" w:color="auto"/>
                    <w:right w:val="none" w:sz="0" w:space="0" w:color="auto"/>
                  </w:divBdr>
                  <w:divsChild>
                    <w:div w:id="1872062841">
                      <w:marLeft w:val="0"/>
                      <w:marRight w:val="0"/>
                      <w:marTop w:val="0"/>
                      <w:marBottom w:val="0"/>
                      <w:divBdr>
                        <w:top w:val="none" w:sz="0" w:space="0" w:color="auto"/>
                        <w:left w:val="none" w:sz="0" w:space="0" w:color="auto"/>
                        <w:bottom w:val="none" w:sz="0" w:space="0" w:color="auto"/>
                        <w:right w:val="none" w:sz="0" w:space="0" w:color="auto"/>
                      </w:divBdr>
                    </w:div>
                  </w:divsChild>
                </w:div>
                <w:div w:id="1657538868">
                  <w:marLeft w:val="0"/>
                  <w:marRight w:val="0"/>
                  <w:marTop w:val="0"/>
                  <w:marBottom w:val="0"/>
                  <w:divBdr>
                    <w:top w:val="none" w:sz="0" w:space="0" w:color="auto"/>
                    <w:left w:val="none" w:sz="0" w:space="0" w:color="auto"/>
                    <w:bottom w:val="none" w:sz="0" w:space="0" w:color="auto"/>
                    <w:right w:val="none" w:sz="0" w:space="0" w:color="auto"/>
                  </w:divBdr>
                  <w:divsChild>
                    <w:div w:id="1991791928">
                      <w:marLeft w:val="0"/>
                      <w:marRight w:val="0"/>
                      <w:marTop w:val="0"/>
                      <w:marBottom w:val="0"/>
                      <w:divBdr>
                        <w:top w:val="none" w:sz="0" w:space="0" w:color="auto"/>
                        <w:left w:val="none" w:sz="0" w:space="0" w:color="auto"/>
                        <w:bottom w:val="none" w:sz="0" w:space="0" w:color="auto"/>
                        <w:right w:val="none" w:sz="0" w:space="0" w:color="auto"/>
                      </w:divBdr>
                    </w:div>
                  </w:divsChild>
                </w:div>
                <w:div w:id="1689599295">
                  <w:marLeft w:val="0"/>
                  <w:marRight w:val="0"/>
                  <w:marTop w:val="0"/>
                  <w:marBottom w:val="0"/>
                  <w:divBdr>
                    <w:top w:val="none" w:sz="0" w:space="0" w:color="auto"/>
                    <w:left w:val="none" w:sz="0" w:space="0" w:color="auto"/>
                    <w:bottom w:val="none" w:sz="0" w:space="0" w:color="auto"/>
                    <w:right w:val="none" w:sz="0" w:space="0" w:color="auto"/>
                  </w:divBdr>
                  <w:divsChild>
                    <w:div w:id="2104718550">
                      <w:marLeft w:val="0"/>
                      <w:marRight w:val="0"/>
                      <w:marTop w:val="0"/>
                      <w:marBottom w:val="0"/>
                      <w:divBdr>
                        <w:top w:val="none" w:sz="0" w:space="0" w:color="auto"/>
                        <w:left w:val="none" w:sz="0" w:space="0" w:color="auto"/>
                        <w:bottom w:val="none" w:sz="0" w:space="0" w:color="auto"/>
                        <w:right w:val="none" w:sz="0" w:space="0" w:color="auto"/>
                      </w:divBdr>
                    </w:div>
                  </w:divsChild>
                </w:div>
                <w:div w:id="1720325621">
                  <w:marLeft w:val="0"/>
                  <w:marRight w:val="0"/>
                  <w:marTop w:val="0"/>
                  <w:marBottom w:val="0"/>
                  <w:divBdr>
                    <w:top w:val="none" w:sz="0" w:space="0" w:color="auto"/>
                    <w:left w:val="none" w:sz="0" w:space="0" w:color="auto"/>
                    <w:bottom w:val="none" w:sz="0" w:space="0" w:color="auto"/>
                    <w:right w:val="none" w:sz="0" w:space="0" w:color="auto"/>
                  </w:divBdr>
                  <w:divsChild>
                    <w:div w:id="1080444535">
                      <w:marLeft w:val="0"/>
                      <w:marRight w:val="0"/>
                      <w:marTop w:val="0"/>
                      <w:marBottom w:val="0"/>
                      <w:divBdr>
                        <w:top w:val="none" w:sz="0" w:space="0" w:color="auto"/>
                        <w:left w:val="none" w:sz="0" w:space="0" w:color="auto"/>
                        <w:bottom w:val="none" w:sz="0" w:space="0" w:color="auto"/>
                        <w:right w:val="none" w:sz="0" w:space="0" w:color="auto"/>
                      </w:divBdr>
                    </w:div>
                  </w:divsChild>
                </w:div>
                <w:div w:id="1836217356">
                  <w:marLeft w:val="0"/>
                  <w:marRight w:val="0"/>
                  <w:marTop w:val="0"/>
                  <w:marBottom w:val="0"/>
                  <w:divBdr>
                    <w:top w:val="none" w:sz="0" w:space="0" w:color="auto"/>
                    <w:left w:val="none" w:sz="0" w:space="0" w:color="auto"/>
                    <w:bottom w:val="none" w:sz="0" w:space="0" w:color="auto"/>
                    <w:right w:val="none" w:sz="0" w:space="0" w:color="auto"/>
                  </w:divBdr>
                  <w:divsChild>
                    <w:div w:id="2002148942">
                      <w:marLeft w:val="0"/>
                      <w:marRight w:val="0"/>
                      <w:marTop w:val="0"/>
                      <w:marBottom w:val="0"/>
                      <w:divBdr>
                        <w:top w:val="none" w:sz="0" w:space="0" w:color="auto"/>
                        <w:left w:val="none" w:sz="0" w:space="0" w:color="auto"/>
                        <w:bottom w:val="none" w:sz="0" w:space="0" w:color="auto"/>
                        <w:right w:val="none" w:sz="0" w:space="0" w:color="auto"/>
                      </w:divBdr>
                    </w:div>
                  </w:divsChild>
                </w:div>
                <w:div w:id="1894660455">
                  <w:marLeft w:val="0"/>
                  <w:marRight w:val="0"/>
                  <w:marTop w:val="0"/>
                  <w:marBottom w:val="0"/>
                  <w:divBdr>
                    <w:top w:val="none" w:sz="0" w:space="0" w:color="auto"/>
                    <w:left w:val="none" w:sz="0" w:space="0" w:color="auto"/>
                    <w:bottom w:val="none" w:sz="0" w:space="0" w:color="auto"/>
                    <w:right w:val="none" w:sz="0" w:space="0" w:color="auto"/>
                  </w:divBdr>
                  <w:divsChild>
                    <w:div w:id="903174126">
                      <w:marLeft w:val="0"/>
                      <w:marRight w:val="0"/>
                      <w:marTop w:val="0"/>
                      <w:marBottom w:val="0"/>
                      <w:divBdr>
                        <w:top w:val="none" w:sz="0" w:space="0" w:color="auto"/>
                        <w:left w:val="none" w:sz="0" w:space="0" w:color="auto"/>
                        <w:bottom w:val="none" w:sz="0" w:space="0" w:color="auto"/>
                        <w:right w:val="none" w:sz="0" w:space="0" w:color="auto"/>
                      </w:divBdr>
                    </w:div>
                  </w:divsChild>
                </w:div>
                <w:div w:id="1928344888">
                  <w:marLeft w:val="0"/>
                  <w:marRight w:val="0"/>
                  <w:marTop w:val="0"/>
                  <w:marBottom w:val="0"/>
                  <w:divBdr>
                    <w:top w:val="none" w:sz="0" w:space="0" w:color="auto"/>
                    <w:left w:val="none" w:sz="0" w:space="0" w:color="auto"/>
                    <w:bottom w:val="none" w:sz="0" w:space="0" w:color="auto"/>
                    <w:right w:val="none" w:sz="0" w:space="0" w:color="auto"/>
                  </w:divBdr>
                  <w:divsChild>
                    <w:div w:id="1261521211">
                      <w:marLeft w:val="0"/>
                      <w:marRight w:val="0"/>
                      <w:marTop w:val="0"/>
                      <w:marBottom w:val="0"/>
                      <w:divBdr>
                        <w:top w:val="none" w:sz="0" w:space="0" w:color="auto"/>
                        <w:left w:val="none" w:sz="0" w:space="0" w:color="auto"/>
                        <w:bottom w:val="none" w:sz="0" w:space="0" w:color="auto"/>
                        <w:right w:val="none" w:sz="0" w:space="0" w:color="auto"/>
                      </w:divBdr>
                    </w:div>
                  </w:divsChild>
                </w:div>
                <w:div w:id="1987971938">
                  <w:marLeft w:val="0"/>
                  <w:marRight w:val="0"/>
                  <w:marTop w:val="0"/>
                  <w:marBottom w:val="0"/>
                  <w:divBdr>
                    <w:top w:val="none" w:sz="0" w:space="0" w:color="auto"/>
                    <w:left w:val="none" w:sz="0" w:space="0" w:color="auto"/>
                    <w:bottom w:val="none" w:sz="0" w:space="0" w:color="auto"/>
                    <w:right w:val="none" w:sz="0" w:space="0" w:color="auto"/>
                  </w:divBdr>
                  <w:divsChild>
                    <w:div w:id="1850102219">
                      <w:marLeft w:val="0"/>
                      <w:marRight w:val="0"/>
                      <w:marTop w:val="0"/>
                      <w:marBottom w:val="0"/>
                      <w:divBdr>
                        <w:top w:val="none" w:sz="0" w:space="0" w:color="auto"/>
                        <w:left w:val="none" w:sz="0" w:space="0" w:color="auto"/>
                        <w:bottom w:val="none" w:sz="0" w:space="0" w:color="auto"/>
                        <w:right w:val="none" w:sz="0" w:space="0" w:color="auto"/>
                      </w:divBdr>
                    </w:div>
                  </w:divsChild>
                </w:div>
                <w:div w:id="1991013124">
                  <w:marLeft w:val="0"/>
                  <w:marRight w:val="0"/>
                  <w:marTop w:val="0"/>
                  <w:marBottom w:val="0"/>
                  <w:divBdr>
                    <w:top w:val="none" w:sz="0" w:space="0" w:color="auto"/>
                    <w:left w:val="none" w:sz="0" w:space="0" w:color="auto"/>
                    <w:bottom w:val="none" w:sz="0" w:space="0" w:color="auto"/>
                    <w:right w:val="none" w:sz="0" w:space="0" w:color="auto"/>
                  </w:divBdr>
                  <w:divsChild>
                    <w:div w:id="845436193">
                      <w:marLeft w:val="0"/>
                      <w:marRight w:val="0"/>
                      <w:marTop w:val="0"/>
                      <w:marBottom w:val="0"/>
                      <w:divBdr>
                        <w:top w:val="none" w:sz="0" w:space="0" w:color="auto"/>
                        <w:left w:val="none" w:sz="0" w:space="0" w:color="auto"/>
                        <w:bottom w:val="none" w:sz="0" w:space="0" w:color="auto"/>
                        <w:right w:val="none" w:sz="0" w:space="0" w:color="auto"/>
                      </w:divBdr>
                    </w:div>
                  </w:divsChild>
                </w:div>
                <w:div w:id="2019654894">
                  <w:marLeft w:val="0"/>
                  <w:marRight w:val="0"/>
                  <w:marTop w:val="0"/>
                  <w:marBottom w:val="0"/>
                  <w:divBdr>
                    <w:top w:val="none" w:sz="0" w:space="0" w:color="auto"/>
                    <w:left w:val="none" w:sz="0" w:space="0" w:color="auto"/>
                    <w:bottom w:val="none" w:sz="0" w:space="0" w:color="auto"/>
                    <w:right w:val="none" w:sz="0" w:space="0" w:color="auto"/>
                  </w:divBdr>
                  <w:divsChild>
                    <w:div w:id="1665931072">
                      <w:marLeft w:val="0"/>
                      <w:marRight w:val="0"/>
                      <w:marTop w:val="0"/>
                      <w:marBottom w:val="0"/>
                      <w:divBdr>
                        <w:top w:val="none" w:sz="0" w:space="0" w:color="auto"/>
                        <w:left w:val="none" w:sz="0" w:space="0" w:color="auto"/>
                        <w:bottom w:val="none" w:sz="0" w:space="0" w:color="auto"/>
                        <w:right w:val="none" w:sz="0" w:space="0" w:color="auto"/>
                      </w:divBdr>
                    </w:div>
                  </w:divsChild>
                </w:div>
                <w:div w:id="2141652966">
                  <w:marLeft w:val="0"/>
                  <w:marRight w:val="0"/>
                  <w:marTop w:val="0"/>
                  <w:marBottom w:val="0"/>
                  <w:divBdr>
                    <w:top w:val="none" w:sz="0" w:space="0" w:color="auto"/>
                    <w:left w:val="none" w:sz="0" w:space="0" w:color="auto"/>
                    <w:bottom w:val="none" w:sz="0" w:space="0" w:color="auto"/>
                    <w:right w:val="none" w:sz="0" w:space="0" w:color="auto"/>
                  </w:divBdr>
                  <w:divsChild>
                    <w:div w:id="4371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10990">
          <w:marLeft w:val="0"/>
          <w:marRight w:val="0"/>
          <w:marTop w:val="0"/>
          <w:marBottom w:val="0"/>
          <w:divBdr>
            <w:top w:val="none" w:sz="0" w:space="0" w:color="auto"/>
            <w:left w:val="none" w:sz="0" w:space="0" w:color="auto"/>
            <w:bottom w:val="none" w:sz="0" w:space="0" w:color="auto"/>
            <w:right w:val="none" w:sz="0" w:space="0" w:color="auto"/>
          </w:divBdr>
        </w:div>
        <w:div w:id="327102709">
          <w:marLeft w:val="0"/>
          <w:marRight w:val="0"/>
          <w:marTop w:val="0"/>
          <w:marBottom w:val="0"/>
          <w:divBdr>
            <w:top w:val="none" w:sz="0" w:space="0" w:color="auto"/>
            <w:left w:val="none" w:sz="0" w:space="0" w:color="auto"/>
            <w:bottom w:val="none" w:sz="0" w:space="0" w:color="auto"/>
            <w:right w:val="none" w:sz="0" w:space="0" w:color="auto"/>
          </w:divBdr>
        </w:div>
        <w:div w:id="358050328">
          <w:marLeft w:val="0"/>
          <w:marRight w:val="0"/>
          <w:marTop w:val="0"/>
          <w:marBottom w:val="0"/>
          <w:divBdr>
            <w:top w:val="none" w:sz="0" w:space="0" w:color="auto"/>
            <w:left w:val="none" w:sz="0" w:space="0" w:color="auto"/>
            <w:bottom w:val="none" w:sz="0" w:space="0" w:color="auto"/>
            <w:right w:val="none" w:sz="0" w:space="0" w:color="auto"/>
          </w:divBdr>
        </w:div>
        <w:div w:id="419911737">
          <w:marLeft w:val="0"/>
          <w:marRight w:val="0"/>
          <w:marTop w:val="0"/>
          <w:marBottom w:val="0"/>
          <w:divBdr>
            <w:top w:val="none" w:sz="0" w:space="0" w:color="auto"/>
            <w:left w:val="none" w:sz="0" w:space="0" w:color="auto"/>
            <w:bottom w:val="none" w:sz="0" w:space="0" w:color="auto"/>
            <w:right w:val="none" w:sz="0" w:space="0" w:color="auto"/>
          </w:divBdr>
        </w:div>
        <w:div w:id="452362070">
          <w:marLeft w:val="0"/>
          <w:marRight w:val="0"/>
          <w:marTop w:val="0"/>
          <w:marBottom w:val="0"/>
          <w:divBdr>
            <w:top w:val="none" w:sz="0" w:space="0" w:color="auto"/>
            <w:left w:val="none" w:sz="0" w:space="0" w:color="auto"/>
            <w:bottom w:val="none" w:sz="0" w:space="0" w:color="auto"/>
            <w:right w:val="none" w:sz="0" w:space="0" w:color="auto"/>
          </w:divBdr>
        </w:div>
        <w:div w:id="520583320">
          <w:marLeft w:val="0"/>
          <w:marRight w:val="0"/>
          <w:marTop w:val="0"/>
          <w:marBottom w:val="0"/>
          <w:divBdr>
            <w:top w:val="none" w:sz="0" w:space="0" w:color="auto"/>
            <w:left w:val="none" w:sz="0" w:space="0" w:color="auto"/>
            <w:bottom w:val="none" w:sz="0" w:space="0" w:color="auto"/>
            <w:right w:val="none" w:sz="0" w:space="0" w:color="auto"/>
          </w:divBdr>
          <w:divsChild>
            <w:div w:id="804542648">
              <w:marLeft w:val="-75"/>
              <w:marRight w:val="0"/>
              <w:marTop w:val="30"/>
              <w:marBottom w:val="30"/>
              <w:divBdr>
                <w:top w:val="none" w:sz="0" w:space="0" w:color="auto"/>
                <w:left w:val="none" w:sz="0" w:space="0" w:color="auto"/>
                <w:bottom w:val="none" w:sz="0" w:space="0" w:color="auto"/>
                <w:right w:val="none" w:sz="0" w:space="0" w:color="auto"/>
              </w:divBdr>
              <w:divsChild>
                <w:div w:id="554122660">
                  <w:marLeft w:val="0"/>
                  <w:marRight w:val="0"/>
                  <w:marTop w:val="0"/>
                  <w:marBottom w:val="0"/>
                  <w:divBdr>
                    <w:top w:val="none" w:sz="0" w:space="0" w:color="auto"/>
                    <w:left w:val="none" w:sz="0" w:space="0" w:color="auto"/>
                    <w:bottom w:val="none" w:sz="0" w:space="0" w:color="auto"/>
                    <w:right w:val="none" w:sz="0" w:space="0" w:color="auto"/>
                  </w:divBdr>
                  <w:divsChild>
                    <w:div w:id="515117205">
                      <w:marLeft w:val="0"/>
                      <w:marRight w:val="0"/>
                      <w:marTop w:val="0"/>
                      <w:marBottom w:val="0"/>
                      <w:divBdr>
                        <w:top w:val="none" w:sz="0" w:space="0" w:color="auto"/>
                        <w:left w:val="none" w:sz="0" w:space="0" w:color="auto"/>
                        <w:bottom w:val="none" w:sz="0" w:space="0" w:color="auto"/>
                        <w:right w:val="none" w:sz="0" w:space="0" w:color="auto"/>
                      </w:divBdr>
                    </w:div>
                  </w:divsChild>
                </w:div>
                <w:div w:id="799693433">
                  <w:marLeft w:val="0"/>
                  <w:marRight w:val="0"/>
                  <w:marTop w:val="0"/>
                  <w:marBottom w:val="0"/>
                  <w:divBdr>
                    <w:top w:val="none" w:sz="0" w:space="0" w:color="auto"/>
                    <w:left w:val="none" w:sz="0" w:space="0" w:color="auto"/>
                    <w:bottom w:val="none" w:sz="0" w:space="0" w:color="auto"/>
                    <w:right w:val="none" w:sz="0" w:space="0" w:color="auto"/>
                  </w:divBdr>
                  <w:divsChild>
                    <w:div w:id="484787853">
                      <w:marLeft w:val="0"/>
                      <w:marRight w:val="0"/>
                      <w:marTop w:val="0"/>
                      <w:marBottom w:val="0"/>
                      <w:divBdr>
                        <w:top w:val="none" w:sz="0" w:space="0" w:color="auto"/>
                        <w:left w:val="none" w:sz="0" w:space="0" w:color="auto"/>
                        <w:bottom w:val="none" w:sz="0" w:space="0" w:color="auto"/>
                        <w:right w:val="none" w:sz="0" w:space="0" w:color="auto"/>
                      </w:divBdr>
                    </w:div>
                  </w:divsChild>
                </w:div>
                <w:div w:id="1019307488">
                  <w:marLeft w:val="0"/>
                  <w:marRight w:val="0"/>
                  <w:marTop w:val="0"/>
                  <w:marBottom w:val="0"/>
                  <w:divBdr>
                    <w:top w:val="none" w:sz="0" w:space="0" w:color="auto"/>
                    <w:left w:val="none" w:sz="0" w:space="0" w:color="auto"/>
                    <w:bottom w:val="none" w:sz="0" w:space="0" w:color="auto"/>
                    <w:right w:val="none" w:sz="0" w:space="0" w:color="auto"/>
                  </w:divBdr>
                  <w:divsChild>
                    <w:div w:id="1081488226">
                      <w:marLeft w:val="0"/>
                      <w:marRight w:val="0"/>
                      <w:marTop w:val="0"/>
                      <w:marBottom w:val="0"/>
                      <w:divBdr>
                        <w:top w:val="none" w:sz="0" w:space="0" w:color="auto"/>
                        <w:left w:val="none" w:sz="0" w:space="0" w:color="auto"/>
                        <w:bottom w:val="none" w:sz="0" w:space="0" w:color="auto"/>
                        <w:right w:val="none" w:sz="0" w:space="0" w:color="auto"/>
                      </w:divBdr>
                    </w:div>
                  </w:divsChild>
                </w:div>
                <w:div w:id="1041786985">
                  <w:marLeft w:val="0"/>
                  <w:marRight w:val="0"/>
                  <w:marTop w:val="0"/>
                  <w:marBottom w:val="0"/>
                  <w:divBdr>
                    <w:top w:val="none" w:sz="0" w:space="0" w:color="auto"/>
                    <w:left w:val="none" w:sz="0" w:space="0" w:color="auto"/>
                    <w:bottom w:val="none" w:sz="0" w:space="0" w:color="auto"/>
                    <w:right w:val="none" w:sz="0" w:space="0" w:color="auto"/>
                  </w:divBdr>
                  <w:divsChild>
                    <w:div w:id="1594825161">
                      <w:marLeft w:val="0"/>
                      <w:marRight w:val="0"/>
                      <w:marTop w:val="0"/>
                      <w:marBottom w:val="0"/>
                      <w:divBdr>
                        <w:top w:val="none" w:sz="0" w:space="0" w:color="auto"/>
                        <w:left w:val="none" w:sz="0" w:space="0" w:color="auto"/>
                        <w:bottom w:val="none" w:sz="0" w:space="0" w:color="auto"/>
                        <w:right w:val="none" w:sz="0" w:space="0" w:color="auto"/>
                      </w:divBdr>
                    </w:div>
                  </w:divsChild>
                </w:div>
                <w:div w:id="1133980390">
                  <w:marLeft w:val="0"/>
                  <w:marRight w:val="0"/>
                  <w:marTop w:val="0"/>
                  <w:marBottom w:val="0"/>
                  <w:divBdr>
                    <w:top w:val="none" w:sz="0" w:space="0" w:color="auto"/>
                    <w:left w:val="none" w:sz="0" w:space="0" w:color="auto"/>
                    <w:bottom w:val="none" w:sz="0" w:space="0" w:color="auto"/>
                    <w:right w:val="none" w:sz="0" w:space="0" w:color="auto"/>
                  </w:divBdr>
                  <w:divsChild>
                    <w:div w:id="1997416292">
                      <w:marLeft w:val="0"/>
                      <w:marRight w:val="0"/>
                      <w:marTop w:val="0"/>
                      <w:marBottom w:val="0"/>
                      <w:divBdr>
                        <w:top w:val="none" w:sz="0" w:space="0" w:color="auto"/>
                        <w:left w:val="none" w:sz="0" w:space="0" w:color="auto"/>
                        <w:bottom w:val="none" w:sz="0" w:space="0" w:color="auto"/>
                        <w:right w:val="none" w:sz="0" w:space="0" w:color="auto"/>
                      </w:divBdr>
                    </w:div>
                  </w:divsChild>
                </w:div>
                <w:div w:id="1625575257">
                  <w:marLeft w:val="0"/>
                  <w:marRight w:val="0"/>
                  <w:marTop w:val="0"/>
                  <w:marBottom w:val="0"/>
                  <w:divBdr>
                    <w:top w:val="none" w:sz="0" w:space="0" w:color="auto"/>
                    <w:left w:val="none" w:sz="0" w:space="0" w:color="auto"/>
                    <w:bottom w:val="none" w:sz="0" w:space="0" w:color="auto"/>
                    <w:right w:val="none" w:sz="0" w:space="0" w:color="auto"/>
                  </w:divBdr>
                  <w:divsChild>
                    <w:div w:id="20826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703">
          <w:marLeft w:val="0"/>
          <w:marRight w:val="0"/>
          <w:marTop w:val="0"/>
          <w:marBottom w:val="0"/>
          <w:divBdr>
            <w:top w:val="none" w:sz="0" w:space="0" w:color="auto"/>
            <w:left w:val="none" w:sz="0" w:space="0" w:color="auto"/>
            <w:bottom w:val="none" w:sz="0" w:space="0" w:color="auto"/>
            <w:right w:val="none" w:sz="0" w:space="0" w:color="auto"/>
          </w:divBdr>
        </w:div>
        <w:div w:id="539977177">
          <w:marLeft w:val="0"/>
          <w:marRight w:val="0"/>
          <w:marTop w:val="0"/>
          <w:marBottom w:val="0"/>
          <w:divBdr>
            <w:top w:val="none" w:sz="0" w:space="0" w:color="auto"/>
            <w:left w:val="none" w:sz="0" w:space="0" w:color="auto"/>
            <w:bottom w:val="none" w:sz="0" w:space="0" w:color="auto"/>
            <w:right w:val="none" w:sz="0" w:space="0" w:color="auto"/>
          </w:divBdr>
          <w:divsChild>
            <w:div w:id="281883005">
              <w:marLeft w:val="-75"/>
              <w:marRight w:val="0"/>
              <w:marTop w:val="30"/>
              <w:marBottom w:val="30"/>
              <w:divBdr>
                <w:top w:val="none" w:sz="0" w:space="0" w:color="auto"/>
                <w:left w:val="none" w:sz="0" w:space="0" w:color="auto"/>
                <w:bottom w:val="none" w:sz="0" w:space="0" w:color="auto"/>
                <w:right w:val="none" w:sz="0" w:space="0" w:color="auto"/>
              </w:divBdr>
              <w:divsChild>
                <w:div w:id="140581915">
                  <w:marLeft w:val="0"/>
                  <w:marRight w:val="0"/>
                  <w:marTop w:val="0"/>
                  <w:marBottom w:val="0"/>
                  <w:divBdr>
                    <w:top w:val="none" w:sz="0" w:space="0" w:color="auto"/>
                    <w:left w:val="none" w:sz="0" w:space="0" w:color="auto"/>
                    <w:bottom w:val="none" w:sz="0" w:space="0" w:color="auto"/>
                    <w:right w:val="none" w:sz="0" w:space="0" w:color="auto"/>
                  </w:divBdr>
                  <w:divsChild>
                    <w:div w:id="1686010512">
                      <w:marLeft w:val="0"/>
                      <w:marRight w:val="0"/>
                      <w:marTop w:val="0"/>
                      <w:marBottom w:val="0"/>
                      <w:divBdr>
                        <w:top w:val="none" w:sz="0" w:space="0" w:color="auto"/>
                        <w:left w:val="none" w:sz="0" w:space="0" w:color="auto"/>
                        <w:bottom w:val="none" w:sz="0" w:space="0" w:color="auto"/>
                        <w:right w:val="none" w:sz="0" w:space="0" w:color="auto"/>
                      </w:divBdr>
                    </w:div>
                  </w:divsChild>
                </w:div>
                <w:div w:id="414786005">
                  <w:marLeft w:val="0"/>
                  <w:marRight w:val="0"/>
                  <w:marTop w:val="0"/>
                  <w:marBottom w:val="0"/>
                  <w:divBdr>
                    <w:top w:val="none" w:sz="0" w:space="0" w:color="auto"/>
                    <w:left w:val="none" w:sz="0" w:space="0" w:color="auto"/>
                    <w:bottom w:val="none" w:sz="0" w:space="0" w:color="auto"/>
                    <w:right w:val="none" w:sz="0" w:space="0" w:color="auto"/>
                  </w:divBdr>
                  <w:divsChild>
                    <w:div w:id="566494045">
                      <w:marLeft w:val="0"/>
                      <w:marRight w:val="0"/>
                      <w:marTop w:val="0"/>
                      <w:marBottom w:val="0"/>
                      <w:divBdr>
                        <w:top w:val="none" w:sz="0" w:space="0" w:color="auto"/>
                        <w:left w:val="none" w:sz="0" w:space="0" w:color="auto"/>
                        <w:bottom w:val="none" w:sz="0" w:space="0" w:color="auto"/>
                        <w:right w:val="none" w:sz="0" w:space="0" w:color="auto"/>
                      </w:divBdr>
                    </w:div>
                  </w:divsChild>
                </w:div>
                <w:div w:id="620913989">
                  <w:marLeft w:val="0"/>
                  <w:marRight w:val="0"/>
                  <w:marTop w:val="0"/>
                  <w:marBottom w:val="0"/>
                  <w:divBdr>
                    <w:top w:val="none" w:sz="0" w:space="0" w:color="auto"/>
                    <w:left w:val="none" w:sz="0" w:space="0" w:color="auto"/>
                    <w:bottom w:val="none" w:sz="0" w:space="0" w:color="auto"/>
                    <w:right w:val="none" w:sz="0" w:space="0" w:color="auto"/>
                  </w:divBdr>
                  <w:divsChild>
                    <w:div w:id="1352947812">
                      <w:marLeft w:val="0"/>
                      <w:marRight w:val="0"/>
                      <w:marTop w:val="0"/>
                      <w:marBottom w:val="0"/>
                      <w:divBdr>
                        <w:top w:val="none" w:sz="0" w:space="0" w:color="auto"/>
                        <w:left w:val="none" w:sz="0" w:space="0" w:color="auto"/>
                        <w:bottom w:val="none" w:sz="0" w:space="0" w:color="auto"/>
                        <w:right w:val="none" w:sz="0" w:space="0" w:color="auto"/>
                      </w:divBdr>
                    </w:div>
                  </w:divsChild>
                </w:div>
                <w:div w:id="756243630">
                  <w:marLeft w:val="0"/>
                  <w:marRight w:val="0"/>
                  <w:marTop w:val="0"/>
                  <w:marBottom w:val="0"/>
                  <w:divBdr>
                    <w:top w:val="none" w:sz="0" w:space="0" w:color="auto"/>
                    <w:left w:val="none" w:sz="0" w:space="0" w:color="auto"/>
                    <w:bottom w:val="none" w:sz="0" w:space="0" w:color="auto"/>
                    <w:right w:val="none" w:sz="0" w:space="0" w:color="auto"/>
                  </w:divBdr>
                  <w:divsChild>
                    <w:div w:id="1323510418">
                      <w:marLeft w:val="0"/>
                      <w:marRight w:val="0"/>
                      <w:marTop w:val="0"/>
                      <w:marBottom w:val="0"/>
                      <w:divBdr>
                        <w:top w:val="none" w:sz="0" w:space="0" w:color="auto"/>
                        <w:left w:val="none" w:sz="0" w:space="0" w:color="auto"/>
                        <w:bottom w:val="none" w:sz="0" w:space="0" w:color="auto"/>
                        <w:right w:val="none" w:sz="0" w:space="0" w:color="auto"/>
                      </w:divBdr>
                    </w:div>
                  </w:divsChild>
                </w:div>
                <w:div w:id="874654873">
                  <w:marLeft w:val="0"/>
                  <w:marRight w:val="0"/>
                  <w:marTop w:val="0"/>
                  <w:marBottom w:val="0"/>
                  <w:divBdr>
                    <w:top w:val="none" w:sz="0" w:space="0" w:color="auto"/>
                    <w:left w:val="none" w:sz="0" w:space="0" w:color="auto"/>
                    <w:bottom w:val="none" w:sz="0" w:space="0" w:color="auto"/>
                    <w:right w:val="none" w:sz="0" w:space="0" w:color="auto"/>
                  </w:divBdr>
                  <w:divsChild>
                    <w:div w:id="217664435">
                      <w:marLeft w:val="0"/>
                      <w:marRight w:val="0"/>
                      <w:marTop w:val="0"/>
                      <w:marBottom w:val="0"/>
                      <w:divBdr>
                        <w:top w:val="none" w:sz="0" w:space="0" w:color="auto"/>
                        <w:left w:val="none" w:sz="0" w:space="0" w:color="auto"/>
                        <w:bottom w:val="none" w:sz="0" w:space="0" w:color="auto"/>
                        <w:right w:val="none" w:sz="0" w:space="0" w:color="auto"/>
                      </w:divBdr>
                    </w:div>
                  </w:divsChild>
                </w:div>
                <w:div w:id="1053426784">
                  <w:marLeft w:val="0"/>
                  <w:marRight w:val="0"/>
                  <w:marTop w:val="0"/>
                  <w:marBottom w:val="0"/>
                  <w:divBdr>
                    <w:top w:val="none" w:sz="0" w:space="0" w:color="auto"/>
                    <w:left w:val="none" w:sz="0" w:space="0" w:color="auto"/>
                    <w:bottom w:val="none" w:sz="0" w:space="0" w:color="auto"/>
                    <w:right w:val="none" w:sz="0" w:space="0" w:color="auto"/>
                  </w:divBdr>
                  <w:divsChild>
                    <w:div w:id="1090542637">
                      <w:marLeft w:val="0"/>
                      <w:marRight w:val="0"/>
                      <w:marTop w:val="0"/>
                      <w:marBottom w:val="0"/>
                      <w:divBdr>
                        <w:top w:val="none" w:sz="0" w:space="0" w:color="auto"/>
                        <w:left w:val="none" w:sz="0" w:space="0" w:color="auto"/>
                        <w:bottom w:val="none" w:sz="0" w:space="0" w:color="auto"/>
                        <w:right w:val="none" w:sz="0" w:space="0" w:color="auto"/>
                      </w:divBdr>
                    </w:div>
                  </w:divsChild>
                </w:div>
                <w:div w:id="1150055771">
                  <w:marLeft w:val="0"/>
                  <w:marRight w:val="0"/>
                  <w:marTop w:val="0"/>
                  <w:marBottom w:val="0"/>
                  <w:divBdr>
                    <w:top w:val="none" w:sz="0" w:space="0" w:color="auto"/>
                    <w:left w:val="none" w:sz="0" w:space="0" w:color="auto"/>
                    <w:bottom w:val="none" w:sz="0" w:space="0" w:color="auto"/>
                    <w:right w:val="none" w:sz="0" w:space="0" w:color="auto"/>
                  </w:divBdr>
                  <w:divsChild>
                    <w:div w:id="1273514918">
                      <w:marLeft w:val="0"/>
                      <w:marRight w:val="0"/>
                      <w:marTop w:val="0"/>
                      <w:marBottom w:val="0"/>
                      <w:divBdr>
                        <w:top w:val="none" w:sz="0" w:space="0" w:color="auto"/>
                        <w:left w:val="none" w:sz="0" w:space="0" w:color="auto"/>
                        <w:bottom w:val="none" w:sz="0" w:space="0" w:color="auto"/>
                        <w:right w:val="none" w:sz="0" w:space="0" w:color="auto"/>
                      </w:divBdr>
                    </w:div>
                  </w:divsChild>
                </w:div>
                <w:div w:id="1259169771">
                  <w:marLeft w:val="0"/>
                  <w:marRight w:val="0"/>
                  <w:marTop w:val="0"/>
                  <w:marBottom w:val="0"/>
                  <w:divBdr>
                    <w:top w:val="none" w:sz="0" w:space="0" w:color="auto"/>
                    <w:left w:val="none" w:sz="0" w:space="0" w:color="auto"/>
                    <w:bottom w:val="none" w:sz="0" w:space="0" w:color="auto"/>
                    <w:right w:val="none" w:sz="0" w:space="0" w:color="auto"/>
                  </w:divBdr>
                  <w:divsChild>
                    <w:div w:id="1972859924">
                      <w:marLeft w:val="0"/>
                      <w:marRight w:val="0"/>
                      <w:marTop w:val="0"/>
                      <w:marBottom w:val="0"/>
                      <w:divBdr>
                        <w:top w:val="none" w:sz="0" w:space="0" w:color="auto"/>
                        <w:left w:val="none" w:sz="0" w:space="0" w:color="auto"/>
                        <w:bottom w:val="none" w:sz="0" w:space="0" w:color="auto"/>
                        <w:right w:val="none" w:sz="0" w:space="0" w:color="auto"/>
                      </w:divBdr>
                    </w:div>
                  </w:divsChild>
                </w:div>
                <w:div w:id="1518499459">
                  <w:marLeft w:val="0"/>
                  <w:marRight w:val="0"/>
                  <w:marTop w:val="0"/>
                  <w:marBottom w:val="0"/>
                  <w:divBdr>
                    <w:top w:val="none" w:sz="0" w:space="0" w:color="auto"/>
                    <w:left w:val="none" w:sz="0" w:space="0" w:color="auto"/>
                    <w:bottom w:val="none" w:sz="0" w:space="0" w:color="auto"/>
                    <w:right w:val="none" w:sz="0" w:space="0" w:color="auto"/>
                  </w:divBdr>
                  <w:divsChild>
                    <w:div w:id="1077361517">
                      <w:marLeft w:val="0"/>
                      <w:marRight w:val="0"/>
                      <w:marTop w:val="0"/>
                      <w:marBottom w:val="0"/>
                      <w:divBdr>
                        <w:top w:val="none" w:sz="0" w:space="0" w:color="auto"/>
                        <w:left w:val="none" w:sz="0" w:space="0" w:color="auto"/>
                        <w:bottom w:val="none" w:sz="0" w:space="0" w:color="auto"/>
                        <w:right w:val="none" w:sz="0" w:space="0" w:color="auto"/>
                      </w:divBdr>
                    </w:div>
                  </w:divsChild>
                </w:div>
                <w:div w:id="1721830319">
                  <w:marLeft w:val="0"/>
                  <w:marRight w:val="0"/>
                  <w:marTop w:val="0"/>
                  <w:marBottom w:val="0"/>
                  <w:divBdr>
                    <w:top w:val="none" w:sz="0" w:space="0" w:color="auto"/>
                    <w:left w:val="none" w:sz="0" w:space="0" w:color="auto"/>
                    <w:bottom w:val="none" w:sz="0" w:space="0" w:color="auto"/>
                    <w:right w:val="none" w:sz="0" w:space="0" w:color="auto"/>
                  </w:divBdr>
                  <w:divsChild>
                    <w:div w:id="1125125694">
                      <w:marLeft w:val="0"/>
                      <w:marRight w:val="0"/>
                      <w:marTop w:val="0"/>
                      <w:marBottom w:val="0"/>
                      <w:divBdr>
                        <w:top w:val="none" w:sz="0" w:space="0" w:color="auto"/>
                        <w:left w:val="none" w:sz="0" w:space="0" w:color="auto"/>
                        <w:bottom w:val="none" w:sz="0" w:space="0" w:color="auto"/>
                        <w:right w:val="none" w:sz="0" w:space="0" w:color="auto"/>
                      </w:divBdr>
                    </w:div>
                  </w:divsChild>
                </w:div>
                <w:div w:id="1731803794">
                  <w:marLeft w:val="0"/>
                  <w:marRight w:val="0"/>
                  <w:marTop w:val="0"/>
                  <w:marBottom w:val="0"/>
                  <w:divBdr>
                    <w:top w:val="none" w:sz="0" w:space="0" w:color="auto"/>
                    <w:left w:val="none" w:sz="0" w:space="0" w:color="auto"/>
                    <w:bottom w:val="none" w:sz="0" w:space="0" w:color="auto"/>
                    <w:right w:val="none" w:sz="0" w:space="0" w:color="auto"/>
                  </w:divBdr>
                  <w:divsChild>
                    <w:div w:id="651328406">
                      <w:marLeft w:val="0"/>
                      <w:marRight w:val="0"/>
                      <w:marTop w:val="0"/>
                      <w:marBottom w:val="0"/>
                      <w:divBdr>
                        <w:top w:val="none" w:sz="0" w:space="0" w:color="auto"/>
                        <w:left w:val="none" w:sz="0" w:space="0" w:color="auto"/>
                        <w:bottom w:val="none" w:sz="0" w:space="0" w:color="auto"/>
                        <w:right w:val="none" w:sz="0" w:space="0" w:color="auto"/>
                      </w:divBdr>
                    </w:div>
                  </w:divsChild>
                </w:div>
                <w:div w:id="1879849599">
                  <w:marLeft w:val="0"/>
                  <w:marRight w:val="0"/>
                  <w:marTop w:val="0"/>
                  <w:marBottom w:val="0"/>
                  <w:divBdr>
                    <w:top w:val="none" w:sz="0" w:space="0" w:color="auto"/>
                    <w:left w:val="none" w:sz="0" w:space="0" w:color="auto"/>
                    <w:bottom w:val="none" w:sz="0" w:space="0" w:color="auto"/>
                    <w:right w:val="none" w:sz="0" w:space="0" w:color="auto"/>
                  </w:divBdr>
                  <w:divsChild>
                    <w:div w:id="7403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7340">
          <w:marLeft w:val="0"/>
          <w:marRight w:val="0"/>
          <w:marTop w:val="0"/>
          <w:marBottom w:val="0"/>
          <w:divBdr>
            <w:top w:val="none" w:sz="0" w:space="0" w:color="auto"/>
            <w:left w:val="none" w:sz="0" w:space="0" w:color="auto"/>
            <w:bottom w:val="none" w:sz="0" w:space="0" w:color="auto"/>
            <w:right w:val="none" w:sz="0" w:space="0" w:color="auto"/>
          </w:divBdr>
        </w:div>
        <w:div w:id="755324217">
          <w:marLeft w:val="0"/>
          <w:marRight w:val="0"/>
          <w:marTop w:val="0"/>
          <w:marBottom w:val="0"/>
          <w:divBdr>
            <w:top w:val="none" w:sz="0" w:space="0" w:color="auto"/>
            <w:left w:val="none" w:sz="0" w:space="0" w:color="auto"/>
            <w:bottom w:val="none" w:sz="0" w:space="0" w:color="auto"/>
            <w:right w:val="none" w:sz="0" w:space="0" w:color="auto"/>
          </w:divBdr>
        </w:div>
        <w:div w:id="796993312">
          <w:marLeft w:val="0"/>
          <w:marRight w:val="0"/>
          <w:marTop w:val="0"/>
          <w:marBottom w:val="0"/>
          <w:divBdr>
            <w:top w:val="none" w:sz="0" w:space="0" w:color="auto"/>
            <w:left w:val="none" w:sz="0" w:space="0" w:color="auto"/>
            <w:bottom w:val="none" w:sz="0" w:space="0" w:color="auto"/>
            <w:right w:val="none" w:sz="0" w:space="0" w:color="auto"/>
          </w:divBdr>
        </w:div>
        <w:div w:id="929851765">
          <w:marLeft w:val="0"/>
          <w:marRight w:val="0"/>
          <w:marTop w:val="0"/>
          <w:marBottom w:val="0"/>
          <w:divBdr>
            <w:top w:val="none" w:sz="0" w:space="0" w:color="auto"/>
            <w:left w:val="none" w:sz="0" w:space="0" w:color="auto"/>
            <w:bottom w:val="none" w:sz="0" w:space="0" w:color="auto"/>
            <w:right w:val="none" w:sz="0" w:space="0" w:color="auto"/>
          </w:divBdr>
        </w:div>
        <w:div w:id="979309256">
          <w:marLeft w:val="0"/>
          <w:marRight w:val="0"/>
          <w:marTop w:val="0"/>
          <w:marBottom w:val="0"/>
          <w:divBdr>
            <w:top w:val="none" w:sz="0" w:space="0" w:color="auto"/>
            <w:left w:val="none" w:sz="0" w:space="0" w:color="auto"/>
            <w:bottom w:val="none" w:sz="0" w:space="0" w:color="auto"/>
            <w:right w:val="none" w:sz="0" w:space="0" w:color="auto"/>
          </w:divBdr>
        </w:div>
        <w:div w:id="1026097530">
          <w:marLeft w:val="0"/>
          <w:marRight w:val="0"/>
          <w:marTop w:val="0"/>
          <w:marBottom w:val="0"/>
          <w:divBdr>
            <w:top w:val="none" w:sz="0" w:space="0" w:color="auto"/>
            <w:left w:val="none" w:sz="0" w:space="0" w:color="auto"/>
            <w:bottom w:val="none" w:sz="0" w:space="0" w:color="auto"/>
            <w:right w:val="none" w:sz="0" w:space="0" w:color="auto"/>
          </w:divBdr>
        </w:div>
        <w:div w:id="1035349516">
          <w:marLeft w:val="0"/>
          <w:marRight w:val="0"/>
          <w:marTop w:val="0"/>
          <w:marBottom w:val="0"/>
          <w:divBdr>
            <w:top w:val="none" w:sz="0" w:space="0" w:color="auto"/>
            <w:left w:val="none" w:sz="0" w:space="0" w:color="auto"/>
            <w:bottom w:val="none" w:sz="0" w:space="0" w:color="auto"/>
            <w:right w:val="none" w:sz="0" w:space="0" w:color="auto"/>
          </w:divBdr>
        </w:div>
        <w:div w:id="1071997976">
          <w:marLeft w:val="0"/>
          <w:marRight w:val="0"/>
          <w:marTop w:val="0"/>
          <w:marBottom w:val="0"/>
          <w:divBdr>
            <w:top w:val="none" w:sz="0" w:space="0" w:color="auto"/>
            <w:left w:val="none" w:sz="0" w:space="0" w:color="auto"/>
            <w:bottom w:val="none" w:sz="0" w:space="0" w:color="auto"/>
            <w:right w:val="none" w:sz="0" w:space="0" w:color="auto"/>
          </w:divBdr>
        </w:div>
        <w:div w:id="1164979902">
          <w:marLeft w:val="0"/>
          <w:marRight w:val="0"/>
          <w:marTop w:val="0"/>
          <w:marBottom w:val="0"/>
          <w:divBdr>
            <w:top w:val="none" w:sz="0" w:space="0" w:color="auto"/>
            <w:left w:val="none" w:sz="0" w:space="0" w:color="auto"/>
            <w:bottom w:val="none" w:sz="0" w:space="0" w:color="auto"/>
            <w:right w:val="none" w:sz="0" w:space="0" w:color="auto"/>
          </w:divBdr>
          <w:divsChild>
            <w:div w:id="280888168">
              <w:marLeft w:val="-75"/>
              <w:marRight w:val="0"/>
              <w:marTop w:val="30"/>
              <w:marBottom w:val="30"/>
              <w:divBdr>
                <w:top w:val="none" w:sz="0" w:space="0" w:color="auto"/>
                <w:left w:val="none" w:sz="0" w:space="0" w:color="auto"/>
                <w:bottom w:val="none" w:sz="0" w:space="0" w:color="auto"/>
                <w:right w:val="none" w:sz="0" w:space="0" w:color="auto"/>
              </w:divBdr>
              <w:divsChild>
                <w:div w:id="26830664">
                  <w:marLeft w:val="0"/>
                  <w:marRight w:val="0"/>
                  <w:marTop w:val="0"/>
                  <w:marBottom w:val="0"/>
                  <w:divBdr>
                    <w:top w:val="none" w:sz="0" w:space="0" w:color="auto"/>
                    <w:left w:val="none" w:sz="0" w:space="0" w:color="auto"/>
                    <w:bottom w:val="none" w:sz="0" w:space="0" w:color="auto"/>
                    <w:right w:val="none" w:sz="0" w:space="0" w:color="auto"/>
                  </w:divBdr>
                  <w:divsChild>
                    <w:div w:id="764813671">
                      <w:marLeft w:val="0"/>
                      <w:marRight w:val="0"/>
                      <w:marTop w:val="0"/>
                      <w:marBottom w:val="0"/>
                      <w:divBdr>
                        <w:top w:val="none" w:sz="0" w:space="0" w:color="auto"/>
                        <w:left w:val="none" w:sz="0" w:space="0" w:color="auto"/>
                        <w:bottom w:val="none" w:sz="0" w:space="0" w:color="auto"/>
                        <w:right w:val="none" w:sz="0" w:space="0" w:color="auto"/>
                      </w:divBdr>
                    </w:div>
                  </w:divsChild>
                </w:div>
                <w:div w:id="101077304">
                  <w:marLeft w:val="0"/>
                  <w:marRight w:val="0"/>
                  <w:marTop w:val="0"/>
                  <w:marBottom w:val="0"/>
                  <w:divBdr>
                    <w:top w:val="none" w:sz="0" w:space="0" w:color="auto"/>
                    <w:left w:val="none" w:sz="0" w:space="0" w:color="auto"/>
                    <w:bottom w:val="none" w:sz="0" w:space="0" w:color="auto"/>
                    <w:right w:val="none" w:sz="0" w:space="0" w:color="auto"/>
                  </w:divBdr>
                  <w:divsChild>
                    <w:div w:id="1370062113">
                      <w:marLeft w:val="0"/>
                      <w:marRight w:val="0"/>
                      <w:marTop w:val="0"/>
                      <w:marBottom w:val="0"/>
                      <w:divBdr>
                        <w:top w:val="none" w:sz="0" w:space="0" w:color="auto"/>
                        <w:left w:val="none" w:sz="0" w:space="0" w:color="auto"/>
                        <w:bottom w:val="none" w:sz="0" w:space="0" w:color="auto"/>
                        <w:right w:val="none" w:sz="0" w:space="0" w:color="auto"/>
                      </w:divBdr>
                    </w:div>
                  </w:divsChild>
                </w:div>
                <w:div w:id="138499273">
                  <w:marLeft w:val="0"/>
                  <w:marRight w:val="0"/>
                  <w:marTop w:val="0"/>
                  <w:marBottom w:val="0"/>
                  <w:divBdr>
                    <w:top w:val="none" w:sz="0" w:space="0" w:color="auto"/>
                    <w:left w:val="none" w:sz="0" w:space="0" w:color="auto"/>
                    <w:bottom w:val="none" w:sz="0" w:space="0" w:color="auto"/>
                    <w:right w:val="none" w:sz="0" w:space="0" w:color="auto"/>
                  </w:divBdr>
                  <w:divsChild>
                    <w:div w:id="231231871">
                      <w:marLeft w:val="0"/>
                      <w:marRight w:val="0"/>
                      <w:marTop w:val="0"/>
                      <w:marBottom w:val="0"/>
                      <w:divBdr>
                        <w:top w:val="none" w:sz="0" w:space="0" w:color="auto"/>
                        <w:left w:val="none" w:sz="0" w:space="0" w:color="auto"/>
                        <w:bottom w:val="none" w:sz="0" w:space="0" w:color="auto"/>
                        <w:right w:val="none" w:sz="0" w:space="0" w:color="auto"/>
                      </w:divBdr>
                    </w:div>
                  </w:divsChild>
                </w:div>
                <w:div w:id="376128027">
                  <w:marLeft w:val="0"/>
                  <w:marRight w:val="0"/>
                  <w:marTop w:val="0"/>
                  <w:marBottom w:val="0"/>
                  <w:divBdr>
                    <w:top w:val="none" w:sz="0" w:space="0" w:color="auto"/>
                    <w:left w:val="none" w:sz="0" w:space="0" w:color="auto"/>
                    <w:bottom w:val="none" w:sz="0" w:space="0" w:color="auto"/>
                    <w:right w:val="none" w:sz="0" w:space="0" w:color="auto"/>
                  </w:divBdr>
                  <w:divsChild>
                    <w:div w:id="1558978960">
                      <w:marLeft w:val="0"/>
                      <w:marRight w:val="0"/>
                      <w:marTop w:val="0"/>
                      <w:marBottom w:val="0"/>
                      <w:divBdr>
                        <w:top w:val="none" w:sz="0" w:space="0" w:color="auto"/>
                        <w:left w:val="none" w:sz="0" w:space="0" w:color="auto"/>
                        <w:bottom w:val="none" w:sz="0" w:space="0" w:color="auto"/>
                        <w:right w:val="none" w:sz="0" w:space="0" w:color="auto"/>
                      </w:divBdr>
                    </w:div>
                  </w:divsChild>
                </w:div>
                <w:div w:id="655181048">
                  <w:marLeft w:val="0"/>
                  <w:marRight w:val="0"/>
                  <w:marTop w:val="0"/>
                  <w:marBottom w:val="0"/>
                  <w:divBdr>
                    <w:top w:val="none" w:sz="0" w:space="0" w:color="auto"/>
                    <w:left w:val="none" w:sz="0" w:space="0" w:color="auto"/>
                    <w:bottom w:val="none" w:sz="0" w:space="0" w:color="auto"/>
                    <w:right w:val="none" w:sz="0" w:space="0" w:color="auto"/>
                  </w:divBdr>
                  <w:divsChild>
                    <w:div w:id="1053845896">
                      <w:marLeft w:val="0"/>
                      <w:marRight w:val="0"/>
                      <w:marTop w:val="0"/>
                      <w:marBottom w:val="0"/>
                      <w:divBdr>
                        <w:top w:val="none" w:sz="0" w:space="0" w:color="auto"/>
                        <w:left w:val="none" w:sz="0" w:space="0" w:color="auto"/>
                        <w:bottom w:val="none" w:sz="0" w:space="0" w:color="auto"/>
                        <w:right w:val="none" w:sz="0" w:space="0" w:color="auto"/>
                      </w:divBdr>
                    </w:div>
                  </w:divsChild>
                </w:div>
                <w:div w:id="796604892">
                  <w:marLeft w:val="0"/>
                  <w:marRight w:val="0"/>
                  <w:marTop w:val="0"/>
                  <w:marBottom w:val="0"/>
                  <w:divBdr>
                    <w:top w:val="none" w:sz="0" w:space="0" w:color="auto"/>
                    <w:left w:val="none" w:sz="0" w:space="0" w:color="auto"/>
                    <w:bottom w:val="none" w:sz="0" w:space="0" w:color="auto"/>
                    <w:right w:val="none" w:sz="0" w:space="0" w:color="auto"/>
                  </w:divBdr>
                  <w:divsChild>
                    <w:div w:id="517306081">
                      <w:marLeft w:val="0"/>
                      <w:marRight w:val="0"/>
                      <w:marTop w:val="0"/>
                      <w:marBottom w:val="0"/>
                      <w:divBdr>
                        <w:top w:val="none" w:sz="0" w:space="0" w:color="auto"/>
                        <w:left w:val="none" w:sz="0" w:space="0" w:color="auto"/>
                        <w:bottom w:val="none" w:sz="0" w:space="0" w:color="auto"/>
                        <w:right w:val="none" w:sz="0" w:space="0" w:color="auto"/>
                      </w:divBdr>
                    </w:div>
                  </w:divsChild>
                </w:div>
                <w:div w:id="829103122">
                  <w:marLeft w:val="0"/>
                  <w:marRight w:val="0"/>
                  <w:marTop w:val="0"/>
                  <w:marBottom w:val="0"/>
                  <w:divBdr>
                    <w:top w:val="none" w:sz="0" w:space="0" w:color="auto"/>
                    <w:left w:val="none" w:sz="0" w:space="0" w:color="auto"/>
                    <w:bottom w:val="none" w:sz="0" w:space="0" w:color="auto"/>
                    <w:right w:val="none" w:sz="0" w:space="0" w:color="auto"/>
                  </w:divBdr>
                  <w:divsChild>
                    <w:div w:id="1011765145">
                      <w:marLeft w:val="0"/>
                      <w:marRight w:val="0"/>
                      <w:marTop w:val="0"/>
                      <w:marBottom w:val="0"/>
                      <w:divBdr>
                        <w:top w:val="none" w:sz="0" w:space="0" w:color="auto"/>
                        <w:left w:val="none" w:sz="0" w:space="0" w:color="auto"/>
                        <w:bottom w:val="none" w:sz="0" w:space="0" w:color="auto"/>
                        <w:right w:val="none" w:sz="0" w:space="0" w:color="auto"/>
                      </w:divBdr>
                    </w:div>
                  </w:divsChild>
                </w:div>
                <w:div w:id="918976049">
                  <w:marLeft w:val="0"/>
                  <w:marRight w:val="0"/>
                  <w:marTop w:val="0"/>
                  <w:marBottom w:val="0"/>
                  <w:divBdr>
                    <w:top w:val="none" w:sz="0" w:space="0" w:color="auto"/>
                    <w:left w:val="none" w:sz="0" w:space="0" w:color="auto"/>
                    <w:bottom w:val="none" w:sz="0" w:space="0" w:color="auto"/>
                    <w:right w:val="none" w:sz="0" w:space="0" w:color="auto"/>
                  </w:divBdr>
                  <w:divsChild>
                    <w:div w:id="1381172869">
                      <w:marLeft w:val="0"/>
                      <w:marRight w:val="0"/>
                      <w:marTop w:val="0"/>
                      <w:marBottom w:val="0"/>
                      <w:divBdr>
                        <w:top w:val="none" w:sz="0" w:space="0" w:color="auto"/>
                        <w:left w:val="none" w:sz="0" w:space="0" w:color="auto"/>
                        <w:bottom w:val="none" w:sz="0" w:space="0" w:color="auto"/>
                        <w:right w:val="none" w:sz="0" w:space="0" w:color="auto"/>
                      </w:divBdr>
                    </w:div>
                  </w:divsChild>
                </w:div>
                <w:div w:id="983968488">
                  <w:marLeft w:val="0"/>
                  <w:marRight w:val="0"/>
                  <w:marTop w:val="0"/>
                  <w:marBottom w:val="0"/>
                  <w:divBdr>
                    <w:top w:val="none" w:sz="0" w:space="0" w:color="auto"/>
                    <w:left w:val="none" w:sz="0" w:space="0" w:color="auto"/>
                    <w:bottom w:val="none" w:sz="0" w:space="0" w:color="auto"/>
                    <w:right w:val="none" w:sz="0" w:space="0" w:color="auto"/>
                  </w:divBdr>
                  <w:divsChild>
                    <w:div w:id="318770061">
                      <w:marLeft w:val="0"/>
                      <w:marRight w:val="0"/>
                      <w:marTop w:val="0"/>
                      <w:marBottom w:val="0"/>
                      <w:divBdr>
                        <w:top w:val="none" w:sz="0" w:space="0" w:color="auto"/>
                        <w:left w:val="none" w:sz="0" w:space="0" w:color="auto"/>
                        <w:bottom w:val="none" w:sz="0" w:space="0" w:color="auto"/>
                        <w:right w:val="none" w:sz="0" w:space="0" w:color="auto"/>
                      </w:divBdr>
                    </w:div>
                  </w:divsChild>
                </w:div>
                <w:div w:id="992879674">
                  <w:marLeft w:val="0"/>
                  <w:marRight w:val="0"/>
                  <w:marTop w:val="0"/>
                  <w:marBottom w:val="0"/>
                  <w:divBdr>
                    <w:top w:val="none" w:sz="0" w:space="0" w:color="auto"/>
                    <w:left w:val="none" w:sz="0" w:space="0" w:color="auto"/>
                    <w:bottom w:val="none" w:sz="0" w:space="0" w:color="auto"/>
                    <w:right w:val="none" w:sz="0" w:space="0" w:color="auto"/>
                  </w:divBdr>
                  <w:divsChild>
                    <w:div w:id="996345161">
                      <w:marLeft w:val="0"/>
                      <w:marRight w:val="0"/>
                      <w:marTop w:val="0"/>
                      <w:marBottom w:val="0"/>
                      <w:divBdr>
                        <w:top w:val="none" w:sz="0" w:space="0" w:color="auto"/>
                        <w:left w:val="none" w:sz="0" w:space="0" w:color="auto"/>
                        <w:bottom w:val="none" w:sz="0" w:space="0" w:color="auto"/>
                        <w:right w:val="none" w:sz="0" w:space="0" w:color="auto"/>
                      </w:divBdr>
                    </w:div>
                  </w:divsChild>
                </w:div>
                <w:div w:id="1081945011">
                  <w:marLeft w:val="0"/>
                  <w:marRight w:val="0"/>
                  <w:marTop w:val="0"/>
                  <w:marBottom w:val="0"/>
                  <w:divBdr>
                    <w:top w:val="none" w:sz="0" w:space="0" w:color="auto"/>
                    <w:left w:val="none" w:sz="0" w:space="0" w:color="auto"/>
                    <w:bottom w:val="none" w:sz="0" w:space="0" w:color="auto"/>
                    <w:right w:val="none" w:sz="0" w:space="0" w:color="auto"/>
                  </w:divBdr>
                  <w:divsChild>
                    <w:div w:id="1593050394">
                      <w:marLeft w:val="0"/>
                      <w:marRight w:val="0"/>
                      <w:marTop w:val="0"/>
                      <w:marBottom w:val="0"/>
                      <w:divBdr>
                        <w:top w:val="none" w:sz="0" w:space="0" w:color="auto"/>
                        <w:left w:val="none" w:sz="0" w:space="0" w:color="auto"/>
                        <w:bottom w:val="none" w:sz="0" w:space="0" w:color="auto"/>
                        <w:right w:val="none" w:sz="0" w:space="0" w:color="auto"/>
                      </w:divBdr>
                    </w:div>
                  </w:divsChild>
                </w:div>
                <w:div w:id="1099259753">
                  <w:marLeft w:val="0"/>
                  <w:marRight w:val="0"/>
                  <w:marTop w:val="0"/>
                  <w:marBottom w:val="0"/>
                  <w:divBdr>
                    <w:top w:val="none" w:sz="0" w:space="0" w:color="auto"/>
                    <w:left w:val="none" w:sz="0" w:space="0" w:color="auto"/>
                    <w:bottom w:val="none" w:sz="0" w:space="0" w:color="auto"/>
                    <w:right w:val="none" w:sz="0" w:space="0" w:color="auto"/>
                  </w:divBdr>
                  <w:divsChild>
                    <w:div w:id="390542194">
                      <w:marLeft w:val="0"/>
                      <w:marRight w:val="0"/>
                      <w:marTop w:val="0"/>
                      <w:marBottom w:val="0"/>
                      <w:divBdr>
                        <w:top w:val="none" w:sz="0" w:space="0" w:color="auto"/>
                        <w:left w:val="none" w:sz="0" w:space="0" w:color="auto"/>
                        <w:bottom w:val="none" w:sz="0" w:space="0" w:color="auto"/>
                        <w:right w:val="none" w:sz="0" w:space="0" w:color="auto"/>
                      </w:divBdr>
                    </w:div>
                  </w:divsChild>
                </w:div>
                <w:div w:id="1104421297">
                  <w:marLeft w:val="0"/>
                  <w:marRight w:val="0"/>
                  <w:marTop w:val="0"/>
                  <w:marBottom w:val="0"/>
                  <w:divBdr>
                    <w:top w:val="none" w:sz="0" w:space="0" w:color="auto"/>
                    <w:left w:val="none" w:sz="0" w:space="0" w:color="auto"/>
                    <w:bottom w:val="none" w:sz="0" w:space="0" w:color="auto"/>
                    <w:right w:val="none" w:sz="0" w:space="0" w:color="auto"/>
                  </w:divBdr>
                  <w:divsChild>
                    <w:div w:id="1641417070">
                      <w:marLeft w:val="0"/>
                      <w:marRight w:val="0"/>
                      <w:marTop w:val="0"/>
                      <w:marBottom w:val="0"/>
                      <w:divBdr>
                        <w:top w:val="none" w:sz="0" w:space="0" w:color="auto"/>
                        <w:left w:val="none" w:sz="0" w:space="0" w:color="auto"/>
                        <w:bottom w:val="none" w:sz="0" w:space="0" w:color="auto"/>
                        <w:right w:val="none" w:sz="0" w:space="0" w:color="auto"/>
                      </w:divBdr>
                    </w:div>
                  </w:divsChild>
                </w:div>
                <w:div w:id="1125540833">
                  <w:marLeft w:val="0"/>
                  <w:marRight w:val="0"/>
                  <w:marTop w:val="0"/>
                  <w:marBottom w:val="0"/>
                  <w:divBdr>
                    <w:top w:val="none" w:sz="0" w:space="0" w:color="auto"/>
                    <w:left w:val="none" w:sz="0" w:space="0" w:color="auto"/>
                    <w:bottom w:val="none" w:sz="0" w:space="0" w:color="auto"/>
                    <w:right w:val="none" w:sz="0" w:space="0" w:color="auto"/>
                  </w:divBdr>
                  <w:divsChild>
                    <w:div w:id="1938097751">
                      <w:marLeft w:val="0"/>
                      <w:marRight w:val="0"/>
                      <w:marTop w:val="0"/>
                      <w:marBottom w:val="0"/>
                      <w:divBdr>
                        <w:top w:val="none" w:sz="0" w:space="0" w:color="auto"/>
                        <w:left w:val="none" w:sz="0" w:space="0" w:color="auto"/>
                        <w:bottom w:val="none" w:sz="0" w:space="0" w:color="auto"/>
                        <w:right w:val="none" w:sz="0" w:space="0" w:color="auto"/>
                      </w:divBdr>
                    </w:div>
                  </w:divsChild>
                </w:div>
                <w:div w:id="1178885639">
                  <w:marLeft w:val="0"/>
                  <w:marRight w:val="0"/>
                  <w:marTop w:val="0"/>
                  <w:marBottom w:val="0"/>
                  <w:divBdr>
                    <w:top w:val="none" w:sz="0" w:space="0" w:color="auto"/>
                    <w:left w:val="none" w:sz="0" w:space="0" w:color="auto"/>
                    <w:bottom w:val="none" w:sz="0" w:space="0" w:color="auto"/>
                    <w:right w:val="none" w:sz="0" w:space="0" w:color="auto"/>
                  </w:divBdr>
                  <w:divsChild>
                    <w:div w:id="744834889">
                      <w:marLeft w:val="0"/>
                      <w:marRight w:val="0"/>
                      <w:marTop w:val="0"/>
                      <w:marBottom w:val="0"/>
                      <w:divBdr>
                        <w:top w:val="none" w:sz="0" w:space="0" w:color="auto"/>
                        <w:left w:val="none" w:sz="0" w:space="0" w:color="auto"/>
                        <w:bottom w:val="none" w:sz="0" w:space="0" w:color="auto"/>
                        <w:right w:val="none" w:sz="0" w:space="0" w:color="auto"/>
                      </w:divBdr>
                    </w:div>
                  </w:divsChild>
                </w:div>
                <w:div w:id="1185554220">
                  <w:marLeft w:val="0"/>
                  <w:marRight w:val="0"/>
                  <w:marTop w:val="0"/>
                  <w:marBottom w:val="0"/>
                  <w:divBdr>
                    <w:top w:val="none" w:sz="0" w:space="0" w:color="auto"/>
                    <w:left w:val="none" w:sz="0" w:space="0" w:color="auto"/>
                    <w:bottom w:val="none" w:sz="0" w:space="0" w:color="auto"/>
                    <w:right w:val="none" w:sz="0" w:space="0" w:color="auto"/>
                  </w:divBdr>
                  <w:divsChild>
                    <w:div w:id="1808859178">
                      <w:marLeft w:val="0"/>
                      <w:marRight w:val="0"/>
                      <w:marTop w:val="0"/>
                      <w:marBottom w:val="0"/>
                      <w:divBdr>
                        <w:top w:val="none" w:sz="0" w:space="0" w:color="auto"/>
                        <w:left w:val="none" w:sz="0" w:space="0" w:color="auto"/>
                        <w:bottom w:val="none" w:sz="0" w:space="0" w:color="auto"/>
                        <w:right w:val="none" w:sz="0" w:space="0" w:color="auto"/>
                      </w:divBdr>
                    </w:div>
                  </w:divsChild>
                </w:div>
                <w:div w:id="1185746387">
                  <w:marLeft w:val="0"/>
                  <w:marRight w:val="0"/>
                  <w:marTop w:val="0"/>
                  <w:marBottom w:val="0"/>
                  <w:divBdr>
                    <w:top w:val="none" w:sz="0" w:space="0" w:color="auto"/>
                    <w:left w:val="none" w:sz="0" w:space="0" w:color="auto"/>
                    <w:bottom w:val="none" w:sz="0" w:space="0" w:color="auto"/>
                    <w:right w:val="none" w:sz="0" w:space="0" w:color="auto"/>
                  </w:divBdr>
                  <w:divsChild>
                    <w:div w:id="1751805478">
                      <w:marLeft w:val="0"/>
                      <w:marRight w:val="0"/>
                      <w:marTop w:val="0"/>
                      <w:marBottom w:val="0"/>
                      <w:divBdr>
                        <w:top w:val="none" w:sz="0" w:space="0" w:color="auto"/>
                        <w:left w:val="none" w:sz="0" w:space="0" w:color="auto"/>
                        <w:bottom w:val="none" w:sz="0" w:space="0" w:color="auto"/>
                        <w:right w:val="none" w:sz="0" w:space="0" w:color="auto"/>
                      </w:divBdr>
                    </w:div>
                  </w:divsChild>
                </w:div>
                <w:div w:id="1295870437">
                  <w:marLeft w:val="0"/>
                  <w:marRight w:val="0"/>
                  <w:marTop w:val="0"/>
                  <w:marBottom w:val="0"/>
                  <w:divBdr>
                    <w:top w:val="none" w:sz="0" w:space="0" w:color="auto"/>
                    <w:left w:val="none" w:sz="0" w:space="0" w:color="auto"/>
                    <w:bottom w:val="none" w:sz="0" w:space="0" w:color="auto"/>
                    <w:right w:val="none" w:sz="0" w:space="0" w:color="auto"/>
                  </w:divBdr>
                  <w:divsChild>
                    <w:div w:id="1565605854">
                      <w:marLeft w:val="0"/>
                      <w:marRight w:val="0"/>
                      <w:marTop w:val="0"/>
                      <w:marBottom w:val="0"/>
                      <w:divBdr>
                        <w:top w:val="none" w:sz="0" w:space="0" w:color="auto"/>
                        <w:left w:val="none" w:sz="0" w:space="0" w:color="auto"/>
                        <w:bottom w:val="none" w:sz="0" w:space="0" w:color="auto"/>
                        <w:right w:val="none" w:sz="0" w:space="0" w:color="auto"/>
                      </w:divBdr>
                    </w:div>
                  </w:divsChild>
                </w:div>
                <w:div w:id="1300573144">
                  <w:marLeft w:val="0"/>
                  <w:marRight w:val="0"/>
                  <w:marTop w:val="0"/>
                  <w:marBottom w:val="0"/>
                  <w:divBdr>
                    <w:top w:val="none" w:sz="0" w:space="0" w:color="auto"/>
                    <w:left w:val="none" w:sz="0" w:space="0" w:color="auto"/>
                    <w:bottom w:val="none" w:sz="0" w:space="0" w:color="auto"/>
                    <w:right w:val="none" w:sz="0" w:space="0" w:color="auto"/>
                  </w:divBdr>
                  <w:divsChild>
                    <w:div w:id="468475008">
                      <w:marLeft w:val="0"/>
                      <w:marRight w:val="0"/>
                      <w:marTop w:val="0"/>
                      <w:marBottom w:val="0"/>
                      <w:divBdr>
                        <w:top w:val="none" w:sz="0" w:space="0" w:color="auto"/>
                        <w:left w:val="none" w:sz="0" w:space="0" w:color="auto"/>
                        <w:bottom w:val="none" w:sz="0" w:space="0" w:color="auto"/>
                        <w:right w:val="none" w:sz="0" w:space="0" w:color="auto"/>
                      </w:divBdr>
                    </w:div>
                  </w:divsChild>
                </w:div>
                <w:div w:id="1389572866">
                  <w:marLeft w:val="0"/>
                  <w:marRight w:val="0"/>
                  <w:marTop w:val="0"/>
                  <w:marBottom w:val="0"/>
                  <w:divBdr>
                    <w:top w:val="none" w:sz="0" w:space="0" w:color="auto"/>
                    <w:left w:val="none" w:sz="0" w:space="0" w:color="auto"/>
                    <w:bottom w:val="none" w:sz="0" w:space="0" w:color="auto"/>
                    <w:right w:val="none" w:sz="0" w:space="0" w:color="auto"/>
                  </w:divBdr>
                  <w:divsChild>
                    <w:div w:id="1324509223">
                      <w:marLeft w:val="0"/>
                      <w:marRight w:val="0"/>
                      <w:marTop w:val="0"/>
                      <w:marBottom w:val="0"/>
                      <w:divBdr>
                        <w:top w:val="none" w:sz="0" w:space="0" w:color="auto"/>
                        <w:left w:val="none" w:sz="0" w:space="0" w:color="auto"/>
                        <w:bottom w:val="none" w:sz="0" w:space="0" w:color="auto"/>
                        <w:right w:val="none" w:sz="0" w:space="0" w:color="auto"/>
                      </w:divBdr>
                    </w:div>
                  </w:divsChild>
                </w:div>
                <w:div w:id="1559242267">
                  <w:marLeft w:val="0"/>
                  <w:marRight w:val="0"/>
                  <w:marTop w:val="0"/>
                  <w:marBottom w:val="0"/>
                  <w:divBdr>
                    <w:top w:val="none" w:sz="0" w:space="0" w:color="auto"/>
                    <w:left w:val="none" w:sz="0" w:space="0" w:color="auto"/>
                    <w:bottom w:val="none" w:sz="0" w:space="0" w:color="auto"/>
                    <w:right w:val="none" w:sz="0" w:space="0" w:color="auto"/>
                  </w:divBdr>
                  <w:divsChild>
                    <w:div w:id="828985352">
                      <w:marLeft w:val="0"/>
                      <w:marRight w:val="0"/>
                      <w:marTop w:val="0"/>
                      <w:marBottom w:val="0"/>
                      <w:divBdr>
                        <w:top w:val="none" w:sz="0" w:space="0" w:color="auto"/>
                        <w:left w:val="none" w:sz="0" w:space="0" w:color="auto"/>
                        <w:bottom w:val="none" w:sz="0" w:space="0" w:color="auto"/>
                        <w:right w:val="none" w:sz="0" w:space="0" w:color="auto"/>
                      </w:divBdr>
                    </w:div>
                  </w:divsChild>
                </w:div>
                <w:div w:id="1596207048">
                  <w:marLeft w:val="0"/>
                  <w:marRight w:val="0"/>
                  <w:marTop w:val="0"/>
                  <w:marBottom w:val="0"/>
                  <w:divBdr>
                    <w:top w:val="none" w:sz="0" w:space="0" w:color="auto"/>
                    <w:left w:val="none" w:sz="0" w:space="0" w:color="auto"/>
                    <w:bottom w:val="none" w:sz="0" w:space="0" w:color="auto"/>
                    <w:right w:val="none" w:sz="0" w:space="0" w:color="auto"/>
                  </w:divBdr>
                  <w:divsChild>
                    <w:div w:id="1456096050">
                      <w:marLeft w:val="0"/>
                      <w:marRight w:val="0"/>
                      <w:marTop w:val="0"/>
                      <w:marBottom w:val="0"/>
                      <w:divBdr>
                        <w:top w:val="none" w:sz="0" w:space="0" w:color="auto"/>
                        <w:left w:val="none" w:sz="0" w:space="0" w:color="auto"/>
                        <w:bottom w:val="none" w:sz="0" w:space="0" w:color="auto"/>
                        <w:right w:val="none" w:sz="0" w:space="0" w:color="auto"/>
                      </w:divBdr>
                    </w:div>
                  </w:divsChild>
                </w:div>
                <w:div w:id="1604336081">
                  <w:marLeft w:val="0"/>
                  <w:marRight w:val="0"/>
                  <w:marTop w:val="0"/>
                  <w:marBottom w:val="0"/>
                  <w:divBdr>
                    <w:top w:val="none" w:sz="0" w:space="0" w:color="auto"/>
                    <w:left w:val="none" w:sz="0" w:space="0" w:color="auto"/>
                    <w:bottom w:val="none" w:sz="0" w:space="0" w:color="auto"/>
                    <w:right w:val="none" w:sz="0" w:space="0" w:color="auto"/>
                  </w:divBdr>
                  <w:divsChild>
                    <w:div w:id="541669893">
                      <w:marLeft w:val="0"/>
                      <w:marRight w:val="0"/>
                      <w:marTop w:val="0"/>
                      <w:marBottom w:val="0"/>
                      <w:divBdr>
                        <w:top w:val="none" w:sz="0" w:space="0" w:color="auto"/>
                        <w:left w:val="none" w:sz="0" w:space="0" w:color="auto"/>
                        <w:bottom w:val="none" w:sz="0" w:space="0" w:color="auto"/>
                        <w:right w:val="none" w:sz="0" w:space="0" w:color="auto"/>
                      </w:divBdr>
                    </w:div>
                  </w:divsChild>
                </w:div>
                <w:div w:id="1616642176">
                  <w:marLeft w:val="0"/>
                  <w:marRight w:val="0"/>
                  <w:marTop w:val="0"/>
                  <w:marBottom w:val="0"/>
                  <w:divBdr>
                    <w:top w:val="none" w:sz="0" w:space="0" w:color="auto"/>
                    <w:left w:val="none" w:sz="0" w:space="0" w:color="auto"/>
                    <w:bottom w:val="none" w:sz="0" w:space="0" w:color="auto"/>
                    <w:right w:val="none" w:sz="0" w:space="0" w:color="auto"/>
                  </w:divBdr>
                  <w:divsChild>
                    <w:div w:id="441875140">
                      <w:marLeft w:val="0"/>
                      <w:marRight w:val="0"/>
                      <w:marTop w:val="0"/>
                      <w:marBottom w:val="0"/>
                      <w:divBdr>
                        <w:top w:val="none" w:sz="0" w:space="0" w:color="auto"/>
                        <w:left w:val="none" w:sz="0" w:space="0" w:color="auto"/>
                        <w:bottom w:val="none" w:sz="0" w:space="0" w:color="auto"/>
                        <w:right w:val="none" w:sz="0" w:space="0" w:color="auto"/>
                      </w:divBdr>
                    </w:div>
                  </w:divsChild>
                </w:div>
                <w:div w:id="1670715245">
                  <w:marLeft w:val="0"/>
                  <w:marRight w:val="0"/>
                  <w:marTop w:val="0"/>
                  <w:marBottom w:val="0"/>
                  <w:divBdr>
                    <w:top w:val="none" w:sz="0" w:space="0" w:color="auto"/>
                    <w:left w:val="none" w:sz="0" w:space="0" w:color="auto"/>
                    <w:bottom w:val="none" w:sz="0" w:space="0" w:color="auto"/>
                    <w:right w:val="none" w:sz="0" w:space="0" w:color="auto"/>
                  </w:divBdr>
                  <w:divsChild>
                    <w:div w:id="1223718179">
                      <w:marLeft w:val="0"/>
                      <w:marRight w:val="0"/>
                      <w:marTop w:val="0"/>
                      <w:marBottom w:val="0"/>
                      <w:divBdr>
                        <w:top w:val="none" w:sz="0" w:space="0" w:color="auto"/>
                        <w:left w:val="none" w:sz="0" w:space="0" w:color="auto"/>
                        <w:bottom w:val="none" w:sz="0" w:space="0" w:color="auto"/>
                        <w:right w:val="none" w:sz="0" w:space="0" w:color="auto"/>
                      </w:divBdr>
                    </w:div>
                  </w:divsChild>
                </w:div>
                <w:div w:id="1797022335">
                  <w:marLeft w:val="0"/>
                  <w:marRight w:val="0"/>
                  <w:marTop w:val="0"/>
                  <w:marBottom w:val="0"/>
                  <w:divBdr>
                    <w:top w:val="none" w:sz="0" w:space="0" w:color="auto"/>
                    <w:left w:val="none" w:sz="0" w:space="0" w:color="auto"/>
                    <w:bottom w:val="none" w:sz="0" w:space="0" w:color="auto"/>
                    <w:right w:val="none" w:sz="0" w:space="0" w:color="auto"/>
                  </w:divBdr>
                  <w:divsChild>
                    <w:div w:id="775365767">
                      <w:marLeft w:val="0"/>
                      <w:marRight w:val="0"/>
                      <w:marTop w:val="0"/>
                      <w:marBottom w:val="0"/>
                      <w:divBdr>
                        <w:top w:val="none" w:sz="0" w:space="0" w:color="auto"/>
                        <w:left w:val="none" w:sz="0" w:space="0" w:color="auto"/>
                        <w:bottom w:val="none" w:sz="0" w:space="0" w:color="auto"/>
                        <w:right w:val="none" w:sz="0" w:space="0" w:color="auto"/>
                      </w:divBdr>
                    </w:div>
                  </w:divsChild>
                </w:div>
                <w:div w:id="1862621052">
                  <w:marLeft w:val="0"/>
                  <w:marRight w:val="0"/>
                  <w:marTop w:val="0"/>
                  <w:marBottom w:val="0"/>
                  <w:divBdr>
                    <w:top w:val="none" w:sz="0" w:space="0" w:color="auto"/>
                    <w:left w:val="none" w:sz="0" w:space="0" w:color="auto"/>
                    <w:bottom w:val="none" w:sz="0" w:space="0" w:color="auto"/>
                    <w:right w:val="none" w:sz="0" w:space="0" w:color="auto"/>
                  </w:divBdr>
                  <w:divsChild>
                    <w:div w:id="2060587152">
                      <w:marLeft w:val="0"/>
                      <w:marRight w:val="0"/>
                      <w:marTop w:val="0"/>
                      <w:marBottom w:val="0"/>
                      <w:divBdr>
                        <w:top w:val="none" w:sz="0" w:space="0" w:color="auto"/>
                        <w:left w:val="none" w:sz="0" w:space="0" w:color="auto"/>
                        <w:bottom w:val="none" w:sz="0" w:space="0" w:color="auto"/>
                        <w:right w:val="none" w:sz="0" w:space="0" w:color="auto"/>
                      </w:divBdr>
                    </w:div>
                  </w:divsChild>
                </w:div>
                <w:div w:id="1912808932">
                  <w:marLeft w:val="0"/>
                  <w:marRight w:val="0"/>
                  <w:marTop w:val="0"/>
                  <w:marBottom w:val="0"/>
                  <w:divBdr>
                    <w:top w:val="none" w:sz="0" w:space="0" w:color="auto"/>
                    <w:left w:val="none" w:sz="0" w:space="0" w:color="auto"/>
                    <w:bottom w:val="none" w:sz="0" w:space="0" w:color="auto"/>
                    <w:right w:val="none" w:sz="0" w:space="0" w:color="auto"/>
                  </w:divBdr>
                  <w:divsChild>
                    <w:div w:id="647902641">
                      <w:marLeft w:val="0"/>
                      <w:marRight w:val="0"/>
                      <w:marTop w:val="0"/>
                      <w:marBottom w:val="0"/>
                      <w:divBdr>
                        <w:top w:val="none" w:sz="0" w:space="0" w:color="auto"/>
                        <w:left w:val="none" w:sz="0" w:space="0" w:color="auto"/>
                        <w:bottom w:val="none" w:sz="0" w:space="0" w:color="auto"/>
                        <w:right w:val="none" w:sz="0" w:space="0" w:color="auto"/>
                      </w:divBdr>
                    </w:div>
                  </w:divsChild>
                </w:div>
                <w:div w:id="1992707955">
                  <w:marLeft w:val="0"/>
                  <w:marRight w:val="0"/>
                  <w:marTop w:val="0"/>
                  <w:marBottom w:val="0"/>
                  <w:divBdr>
                    <w:top w:val="none" w:sz="0" w:space="0" w:color="auto"/>
                    <w:left w:val="none" w:sz="0" w:space="0" w:color="auto"/>
                    <w:bottom w:val="none" w:sz="0" w:space="0" w:color="auto"/>
                    <w:right w:val="none" w:sz="0" w:space="0" w:color="auto"/>
                  </w:divBdr>
                  <w:divsChild>
                    <w:div w:id="1050499768">
                      <w:marLeft w:val="0"/>
                      <w:marRight w:val="0"/>
                      <w:marTop w:val="0"/>
                      <w:marBottom w:val="0"/>
                      <w:divBdr>
                        <w:top w:val="none" w:sz="0" w:space="0" w:color="auto"/>
                        <w:left w:val="none" w:sz="0" w:space="0" w:color="auto"/>
                        <w:bottom w:val="none" w:sz="0" w:space="0" w:color="auto"/>
                        <w:right w:val="none" w:sz="0" w:space="0" w:color="auto"/>
                      </w:divBdr>
                    </w:div>
                  </w:divsChild>
                </w:div>
                <w:div w:id="2007396998">
                  <w:marLeft w:val="0"/>
                  <w:marRight w:val="0"/>
                  <w:marTop w:val="0"/>
                  <w:marBottom w:val="0"/>
                  <w:divBdr>
                    <w:top w:val="none" w:sz="0" w:space="0" w:color="auto"/>
                    <w:left w:val="none" w:sz="0" w:space="0" w:color="auto"/>
                    <w:bottom w:val="none" w:sz="0" w:space="0" w:color="auto"/>
                    <w:right w:val="none" w:sz="0" w:space="0" w:color="auto"/>
                  </w:divBdr>
                  <w:divsChild>
                    <w:div w:id="16533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046">
          <w:marLeft w:val="0"/>
          <w:marRight w:val="0"/>
          <w:marTop w:val="0"/>
          <w:marBottom w:val="0"/>
          <w:divBdr>
            <w:top w:val="none" w:sz="0" w:space="0" w:color="auto"/>
            <w:left w:val="none" w:sz="0" w:space="0" w:color="auto"/>
            <w:bottom w:val="none" w:sz="0" w:space="0" w:color="auto"/>
            <w:right w:val="none" w:sz="0" w:space="0" w:color="auto"/>
          </w:divBdr>
        </w:div>
        <w:div w:id="1228759038">
          <w:marLeft w:val="0"/>
          <w:marRight w:val="0"/>
          <w:marTop w:val="0"/>
          <w:marBottom w:val="0"/>
          <w:divBdr>
            <w:top w:val="none" w:sz="0" w:space="0" w:color="auto"/>
            <w:left w:val="none" w:sz="0" w:space="0" w:color="auto"/>
            <w:bottom w:val="none" w:sz="0" w:space="0" w:color="auto"/>
            <w:right w:val="none" w:sz="0" w:space="0" w:color="auto"/>
          </w:divBdr>
        </w:div>
        <w:div w:id="1246719566">
          <w:marLeft w:val="0"/>
          <w:marRight w:val="0"/>
          <w:marTop w:val="0"/>
          <w:marBottom w:val="0"/>
          <w:divBdr>
            <w:top w:val="none" w:sz="0" w:space="0" w:color="auto"/>
            <w:left w:val="none" w:sz="0" w:space="0" w:color="auto"/>
            <w:bottom w:val="none" w:sz="0" w:space="0" w:color="auto"/>
            <w:right w:val="none" w:sz="0" w:space="0" w:color="auto"/>
          </w:divBdr>
        </w:div>
        <w:div w:id="1302465303">
          <w:marLeft w:val="0"/>
          <w:marRight w:val="0"/>
          <w:marTop w:val="0"/>
          <w:marBottom w:val="0"/>
          <w:divBdr>
            <w:top w:val="none" w:sz="0" w:space="0" w:color="auto"/>
            <w:left w:val="none" w:sz="0" w:space="0" w:color="auto"/>
            <w:bottom w:val="none" w:sz="0" w:space="0" w:color="auto"/>
            <w:right w:val="none" w:sz="0" w:space="0" w:color="auto"/>
          </w:divBdr>
          <w:divsChild>
            <w:div w:id="1355376826">
              <w:marLeft w:val="-75"/>
              <w:marRight w:val="0"/>
              <w:marTop w:val="30"/>
              <w:marBottom w:val="30"/>
              <w:divBdr>
                <w:top w:val="none" w:sz="0" w:space="0" w:color="auto"/>
                <w:left w:val="none" w:sz="0" w:space="0" w:color="auto"/>
                <w:bottom w:val="none" w:sz="0" w:space="0" w:color="auto"/>
                <w:right w:val="none" w:sz="0" w:space="0" w:color="auto"/>
              </w:divBdr>
              <w:divsChild>
                <w:div w:id="14767834">
                  <w:marLeft w:val="0"/>
                  <w:marRight w:val="0"/>
                  <w:marTop w:val="0"/>
                  <w:marBottom w:val="0"/>
                  <w:divBdr>
                    <w:top w:val="none" w:sz="0" w:space="0" w:color="auto"/>
                    <w:left w:val="none" w:sz="0" w:space="0" w:color="auto"/>
                    <w:bottom w:val="none" w:sz="0" w:space="0" w:color="auto"/>
                    <w:right w:val="none" w:sz="0" w:space="0" w:color="auto"/>
                  </w:divBdr>
                  <w:divsChild>
                    <w:div w:id="1008992376">
                      <w:marLeft w:val="0"/>
                      <w:marRight w:val="0"/>
                      <w:marTop w:val="0"/>
                      <w:marBottom w:val="0"/>
                      <w:divBdr>
                        <w:top w:val="none" w:sz="0" w:space="0" w:color="auto"/>
                        <w:left w:val="none" w:sz="0" w:space="0" w:color="auto"/>
                        <w:bottom w:val="none" w:sz="0" w:space="0" w:color="auto"/>
                        <w:right w:val="none" w:sz="0" w:space="0" w:color="auto"/>
                      </w:divBdr>
                    </w:div>
                  </w:divsChild>
                </w:div>
                <w:div w:id="229929872">
                  <w:marLeft w:val="0"/>
                  <w:marRight w:val="0"/>
                  <w:marTop w:val="0"/>
                  <w:marBottom w:val="0"/>
                  <w:divBdr>
                    <w:top w:val="none" w:sz="0" w:space="0" w:color="auto"/>
                    <w:left w:val="none" w:sz="0" w:space="0" w:color="auto"/>
                    <w:bottom w:val="none" w:sz="0" w:space="0" w:color="auto"/>
                    <w:right w:val="none" w:sz="0" w:space="0" w:color="auto"/>
                  </w:divBdr>
                  <w:divsChild>
                    <w:div w:id="151069338">
                      <w:marLeft w:val="0"/>
                      <w:marRight w:val="0"/>
                      <w:marTop w:val="0"/>
                      <w:marBottom w:val="0"/>
                      <w:divBdr>
                        <w:top w:val="none" w:sz="0" w:space="0" w:color="auto"/>
                        <w:left w:val="none" w:sz="0" w:space="0" w:color="auto"/>
                        <w:bottom w:val="none" w:sz="0" w:space="0" w:color="auto"/>
                        <w:right w:val="none" w:sz="0" w:space="0" w:color="auto"/>
                      </w:divBdr>
                    </w:div>
                  </w:divsChild>
                </w:div>
                <w:div w:id="247619519">
                  <w:marLeft w:val="0"/>
                  <w:marRight w:val="0"/>
                  <w:marTop w:val="0"/>
                  <w:marBottom w:val="0"/>
                  <w:divBdr>
                    <w:top w:val="none" w:sz="0" w:space="0" w:color="auto"/>
                    <w:left w:val="none" w:sz="0" w:space="0" w:color="auto"/>
                    <w:bottom w:val="none" w:sz="0" w:space="0" w:color="auto"/>
                    <w:right w:val="none" w:sz="0" w:space="0" w:color="auto"/>
                  </w:divBdr>
                  <w:divsChild>
                    <w:div w:id="1484735797">
                      <w:marLeft w:val="0"/>
                      <w:marRight w:val="0"/>
                      <w:marTop w:val="0"/>
                      <w:marBottom w:val="0"/>
                      <w:divBdr>
                        <w:top w:val="none" w:sz="0" w:space="0" w:color="auto"/>
                        <w:left w:val="none" w:sz="0" w:space="0" w:color="auto"/>
                        <w:bottom w:val="none" w:sz="0" w:space="0" w:color="auto"/>
                        <w:right w:val="none" w:sz="0" w:space="0" w:color="auto"/>
                      </w:divBdr>
                    </w:div>
                  </w:divsChild>
                </w:div>
                <w:div w:id="309868867">
                  <w:marLeft w:val="0"/>
                  <w:marRight w:val="0"/>
                  <w:marTop w:val="0"/>
                  <w:marBottom w:val="0"/>
                  <w:divBdr>
                    <w:top w:val="none" w:sz="0" w:space="0" w:color="auto"/>
                    <w:left w:val="none" w:sz="0" w:space="0" w:color="auto"/>
                    <w:bottom w:val="none" w:sz="0" w:space="0" w:color="auto"/>
                    <w:right w:val="none" w:sz="0" w:space="0" w:color="auto"/>
                  </w:divBdr>
                  <w:divsChild>
                    <w:div w:id="1083531568">
                      <w:marLeft w:val="0"/>
                      <w:marRight w:val="0"/>
                      <w:marTop w:val="0"/>
                      <w:marBottom w:val="0"/>
                      <w:divBdr>
                        <w:top w:val="none" w:sz="0" w:space="0" w:color="auto"/>
                        <w:left w:val="none" w:sz="0" w:space="0" w:color="auto"/>
                        <w:bottom w:val="none" w:sz="0" w:space="0" w:color="auto"/>
                        <w:right w:val="none" w:sz="0" w:space="0" w:color="auto"/>
                      </w:divBdr>
                    </w:div>
                  </w:divsChild>
                </w:div>
                <w:div w:id="429934989">
                  <w:marLeft w:val="0"/>
                  <w:marRight w:val="0"/>
                  <w:marTop w:val="0"/>
                  <w:marBottom w:val="0"/>
                  <w:divBdr>
                    <w:top w:val="none" w:sz="0" w:space="0" w:color="auto"/>
                    <w:left w:val="none" w:sz="0" w:space="0" w:color="auto"/>
                    <w:bottom w:val="none" w:sz="0" w:space="0" w:color="auto"/>
                    <w:right w:val="none" w:sz="0" w:space="0" w:color="auto"/>
                  </w:divBdr>
                  <w:divsChild>
                    <w:div w:id="23602643">
                      <w:marLeft w:val="0"/>
                      <w:marRight w:val="0"/>
                      <w:marTop w:val="0"/>
                      <w:marBottom w:val="0"/>
                      <w:divBdr>
                        <w:top w:val="none" w:sz="0" w:space="0" w:color="auto"/>
                        <w:left w:val="none" w:sz="0" w:space="0" w:color="auto"/>
                        <w:bottom w:val="none" w:sz="0" w:space="0" w:color="auto"/>
                        <w:right w:val="none" w:sz="0" w:space="0" w:color="auto"/>
                      </w:divBdr>
                    </w:div>
                  </w:divsChild>
                </w:div>
                <w:div w:id="509149889">
                  <w:marLeft w:val="0"/>
                  <w:marRight w:val="0"/>
                  <w:marTop w:val="0"/>
                  <w:marBottom w:val="0"/>
                  <w:divBdr>
                    <w:top w:val="none" w:sz="0" w:space="0" w:color="auto"/>
                    <w:left w:val="none" w:sz="0" w:space="0" w:color="auto"/>
                    <w:bottom w:val="none" w:sz="0" w:space="0" w:color="auto"/>
                    <w:right w:val="none" w:sz="0" w:space="0" w:color="auto"/>
                  </w:divBdr>
                  <w:divsChild>
                    <w:div w:id="1405227207">
                      <w:marLeft w:val="0"/>
                      <w:marRight w:val="0"/>
                      <w:marTop w:val="0"/>
                      <w:marBottom w:val="0"/>
                      <w:divBdr>
                        <w:top w:val="none" w:sz="0" w:space="0" w:color="auto"/>
                        <w:left w:val="none" w:sz="0" w:space="0" w:color="auto"/>
                        <w:bottom w:val="none" w:sz="0" w:space="0" w:color="auto"/>
                        <w:right w:val="none" w:sz="0" w:space="0" w:color="auto"/>
                      </w:divBdr>
                    </w:div>
                  </w:divsChild>
                </w:div>
                <w:div w:id="514466945">
                  <w:marLeft w:val="0"/>
                  <w:marRight w:val="0"/>
                  <w:marTop w:val="0"/>
                  <w:marBottom w:val="0"/>
                  <w:divBdr>
                    <w:top w:val="none" w:sz="0" w:space="0" w:color="auto"/>
                    <w:left w:val="none" w:sz="0" w:space="0" w:color="auto"/>
                    <w:bottom w:val="none" w:sz="0" w:space="0" w:color="auto"/>
                    <w:right w:val="none" w:sz="0" w:space="0" w:color="auto"/>
                  </w:divBdr>
                  <w:divsChild>
                    <w:div w:id="65688869">
                      <w:marLeft w:val="0"/>
                      <w:marRight w:val="0"/>
                      <w:marTop w:val="0"/>
                      <w:marBottom w:val="0"/>
                      <w:divBdr>
                        <w:top w:val="none" w:sz="0" w:space="0" w:color="auto"/>
                        <w:left w:val="none" w:sz="0" w:space="0" w:color="auto"/>
                        <w:bottom w:val="none" w:sz="0" w:space="0" w:color="auto"/>
                        <w:right w:val="none" w:sz="0" w:space="0" w:color="auto"/>
                      </w:divBdr>
                    </w:div>
                  </w:divsChild>
                </w:div>
                <w:div w:id="658964977">
                  <w:marLeft w:val="0"/>
                  <w:marRight w:val="0"/>
                  <w:marTop w:val="0"/>
                  <w:marBottom w:val="0"/>
                  <w:divBdr>
                    <w:top w:val="none" w:sz="0" w:space="0" w:color="auto"/>
                    <w:left w:val="none" w:sz="0" w:space="0" w:color="auto"/>
                    <w:bottom w:val="none" w:sz="0" w:space="0" w:color="auto"/>
                    <w:right w:val="none" w:sz="0" w:space="0" w:color="auto"/>
                  </w:divBdr>
                  <w:divsChild>
                    <w:div w:id="729303133">
                      <w:marLeft w:val="0"/>
                      <w:marRight w:val="0"/>
                      <w:marTop w:val="0"/>
                      <w:marBottom w:val="0"/>
                      <w:divBdr>
                        <w:top w:val="none" w:sz="0" w:space="0" w:color="auto"/>
                        <w:left w:val="none" w:sz="0" w:space="0" w:color="auto"/>
                        <w:bottom w:val="none" w:sz="0" w:space="0" w:color="auto"/>
                        <w:right w:val="none" w:sz="0" w:space="0" w:color="auto"/>
                      </w:divBdr>
                    </w:div>
                  </w:divsChild>
                </w:div>
                <w:div w:id="862549555">
                  <w:marLeft w:val="0"/>
                  <w:marRight w:val="0"/>
                  <w:marTop w:val="0"/>
                  <w:marBottom w:val="0"/>
                  <w:divBdr>
                    <w:top w:val="none" w:sz="0" w:space="0" w:color="auto"/>
                    <w:left w:val="none" w:sz="0" w:space="0" w:color="auto"/>
                    <w:bottom w:val="none" w:sz="0" w:space="0" w:color="auto"/>
                    <w:right w:val="none" w:sz="0" w:space="0" w:color="auto"/>
                  </w:divBdr>
                  <w:divsChild>
                    <w:div w:id="1367100699">
                      <w:marLeft w:val="0"/>
                      <w:marRight w:val="0"/>
                      <w:marTop w:val="0"/>
                      <w:marBottom w:val="0"/>
                      <w:divBdr>
                        <w:top w:val="none" w:sz="0" w:space="0" w:color="auto"/>
                        <w:left w:val="none" w:sz="0" w:space="0" w:color="auto"/>
                        <w:bottom w:val="none" w:sz="0" w:space="0" w:color="auto"/>
                        <w:right w:val="none" w:sz="0" w:space="0" w:color="auto"/>
                      </w:divBdr>
                    </w:div>
                  </w:divsChild>
                </w:div>
                <w:div w:id="877090908">
                  <w:marLeft w:val="0"/>
                  <w:marRight w:val="0"/>
                  <w:marTop w:val="0"/>
                  <w:marBottom w:val="0"/>
                  <w:divBdr>
                    <w:top w:val="none" w:sz="0" w:space="0" w:color="auto"/>
                    <w:left w:val="none" w:sz="0" w:space="0" w:color="auto"/>
                    <w:bottom w:val="none" w:sz="0" w:space="0" w:color="auto"/>
                    <w:right w:val="none" w:sz="0" w:space="0" w:color="auto"/>
                  </w:divBdr>
                  <w:divsChild>
                    <w:div w:id="1917980177">
                      <w:marLeft w:val="0"/>
                      <w:marRight w:val="0"/>
                      <w:marTop w:val="0"/>
                      <w:marBottom w:val="0"/>
                      <w:divBdr>
                        <w:top w:val="none" w:sz="0" w:space="0" w:color="auto"/>
                        <w:left w:val="none" w:sz="0" w:space="0" w:color="auto"/>
                        <w:bottom w:val="none" w:sz="0" w:space="0" w:color="auto"/>
                        <w:right w:val="none" w:sz="0" w:space="0" w:color="auto"/>
                      </w:divBdr>
                    </w:div>
                  </w:divsChild>
                </w:div>
                <w:div w:id="1249655494">
                  <w:marLeft w:val="0"/>
                  <w:marRight w:val="0"/>
                  <w:marTop w:val="0"/>
                  <w:marBottom w:val="0"/>
                  <w:divBdr>
                    <w:top w:val="none" w:sz="0" w:space="0" w:color="auto"/>
                    <w:left w:val="none" w:sz="0" w:space="0" w:color="auto"/>
                    <w:bottom w:val="none" w:sz="0" w:space="0" w:color="auto"/>
                    <w:right w:val="none" w:sz="0" w:space="0" w:color="auto"/>
                  </w:divBdr>
                  <w:divsChild>
                    <w:div w:id="1781562562">
                      <w:marLeft w:val="0"/>
                      <w:marRight w:val="0"/>
                      <w:marTop w:val="0"/>
                      <w:marBottom w:val="0"/>
                      <w:divBdr>
                        <w:top w:val="none" w:sz="0" w:space="0" w:color="auto"/>
                        <w:left w:val="none" w:sz="0" w:space="0" w:color="auto"/>
                        <w:bottom w:val="none" w:sz="0" w:space="0" w:color="auto"/>
                        <w:right w:val="none" w:sz="0" w:space="0" w:color="auto"/>
                      </w:divBdr>
                    </w:div>
                  </w:divsChild>
                </w:div>
                <w:div w:id="1314259467">
                  <w:marLeft w:val="0"/>
                  <w:marRight w:val="0"/>
                  <w:marTop w:val="0"/>
                  <w:marBottom w:val="0"/>
                  <w:divBdr>
                    <w:top w:val="none" w:sz="0" w:space="0" w:color="auto"/>
                    <w:left w:val="none" w:sz="0" w:space="0" w:color="auto"/>
                    <w:bottom w:val="none" w:sz="0" w:space="0" w:color="auto"/>
                    <w:right w:val="none" w:sz="0" w:space="0" w:color="auto"/>
                  </w:divBdr>
                  <w:divsChild>
                    <w:div w:id="207304516">
                      <w:marLeft w:val="0"/>
                      <w:marRight w:val="0"/>
                      <w:marTop w:val="0"/>
                      <w:marBottom w:val="0"/>
                      <w:divBdr>
                        <w:top w:val="none" w:sz="0" w:space="0" w:color="auto"/>
                        <w:left w:val="none" w:sz="0" w:space="0" w:color="auto"/>
                        <w:bottom w:val="none" w:sz="0" w:space="0" w:color="auto"/>
                        <w:right w:val="none" w:sz="0" w:space="0" w:color="auto"/>
                      </w:divBdr>
                    </w:div>
                  </w:divsChild>
                </w:div>
                <w:div w:id="1337614603">
                  <w:marLeft w:val="0"/>
                  <w:marRight w:val="0"/>
                  <w:marTop w:val="0"/>
                  <w:marBottom w:val="0"/>
                  <w:divBdr>
                    <w:top w:val="none" w:sz="0" w:space="0" w:color="auto"/>
                    <w:left w:val="none" w:sz="0" w:space="0" w:color="auto"/>
                    <w:bottom w:val="none" w:sz="0" w:space="0" w:color="auto"/>
                    <w:right w:val="none" w:sz="0" w:space="0" w:color="auto"/>
                  </w:divBdr>
                  <w:divsChild>
                    <w:div w:id="1151941531">
                      <w:marLeft w:val="0"/>
                      <w:marRight w:val="0"/>
                      <w:marTop w:val="0"/>
                      <w:marBottom w:val="0"/>
                      <w:divBdr>
                        <w:top w:val="none" w:sz="0" w:space="0" w:color="auto"/>
                        <w:left w:val="none" w:sz="0" w:space="0" w:color="auto"/>
                        <w:bottom w:val="none" w:sz="0" w:space="0" w:color="auto"/>
                        <w:right w:val="none" w:sz="0" w:space="0" w:color="auto"/>
                      </w:divBdr>
                    </w:div>
                  </w:divsChild>
                </w:div>
                <w:div w:id="1649819554">
                  <w:marLeft w:val="0"/>
                  <w:marRight w:val="0"/>
                  <w:marTop w:val="0"/>
                  <w:marBottom w:val="0"/>
                  <w:divBdr>
                    <w:top w:val="none" w:sz="0" w:space="0" w:color="auto"/>
                    <w:left w:val="none" w:sz="0" w:space="0" w:color="auto"/>
                    <w:bottom w:val="none" w:sz="0" w:space="0" w:color="auto"/>
                    <w:right w:val="none" w:sz="0" w:space="0" w:color="auto"/>
                  </w:divBdr>
                  <w:divsChild>
                    <w:div w:id="1800684985">
                      <w:marLeft w:val="0"/>
                      <w:marRight w:val="0"/>
                      <w:marTop w:val="0"/>
                      <w:marBottom w:val="0"/>
                      <w:divBdr>
                        <w:top w:val="none" w:sz="0" w:space="0" w:color="auto"/>
                        <w:left w:val="none" w:sz="0" w:space="0" w:color="auto"/>
                        <w:bottom w:val="none" w:sz="0" w:space="0" w:color="auto"/>
                        <w:right w:val="none" w:sz="0" w:space="0" w:color="auto"/>
                      </w:divBdr>
                    </w:div>
                  </w:divsChild>
                </w:div>
                <w:div w:id="1672636728">
                  <w:marLeft w:val="0"/>
                  <w:marRight w:val="0"/>
                  <w:marTop w:val="0"/>
                  <w:marBottom w:val="0"/>
                  <w:divBdr>
                    <w:top w:val="none" w:sz="0" w:space="0" w:color="auto"/>
                    <w:left w:val="none" w:sz="0" w:space="0" w:color="auto"/>
                    <w:bottom w:val="none" w:sz="0" w:space="0" w:color="auto"/>
                    <w:right w:val="none" w:sz="0" w:space="0" w:color="auto"/>
                  </w:divBdr>
                  <w:divsChild>
                    <w:div w:id="252125289">
                      <w:marLeft w:val="0"/>
                      <w:marRight w:val="0"/>
                      <w:marTop w:val="0"/>
                      <w:marBottom w:val="0"/>
                      <w:divBdr>
                        <w:top w:val="none" w:sz="0" w:space="0" w:color="auto"/>
                        <w:left w:val="none" w:sz="0" w:space="0" w:color="auto"/>
                        <w:bottom w:val="none" w:sz="0" w:space="0" w:color="auto"/>
                        <w:right w:val="none" w:sz="0" w:space="0" w:color="auto"/>
                      </w:divBdr>
                    </w:div>
                  </w:divsChild>
                </w:div>
                <w:div w:id="1732802544">
                  <w:marLeft w:val="0"/>
                  <w:marRight w:val="0"/>
                  <w:marTop w:val="0"/>
                  <w:marBottom w:val="0"/>
                  <w:divBdr>
                    <w:top w:val="none" w:sz="0" w:space="0" w:color="auto"/>
                    <w:left w:val="none" w:sz="0" w:space="0" w:color="auto"/>
                    <w:bottom w:val="none" w:sz="0" w:space="0" w:color="auto"/>
                    <w:right w:val="none" w:sz="0" w:space="0" w:color="auto"/>
                  </w:divBdr>
                  <w:divsChild>
                    <w:div w:id="1640069932">
                      <w:marLeft w:val="0"/>
                      <w:marRight w:val="0"/>
                      <w:marTop w:val="0"/>
                      <w:marBottom w:val="0"/>
                      <w:divBdr>
                        <w:top w:val="none" w:sz="0" w:space="0" w:color="auto"/>
                        <w:left w:val="none" w:sz="0" w:space="0" w:color="auto"/>
                        <w:bottom w:val="none" w:sz="0" w:space="0" w:color="auto"/>
                        <w:right w:val="none" w:sz="0" w:space="0" w:color="auto"/>
                      </w:divBdr>
                    </w:div>
                  </w:divsChild>
                </w:div>
                <w:div w:id="1830712311">
                  <w:marLeft w:val="0"/>
                  <w:marRight w:val="0"/>
                  <w:marTop w:val="0"/>
                  <w:marBottom w:val="0"/>
                  <w:divBdr>
                    <w:top w:val="none" w:sz="0" w:space="0" w:color="auto"/>
                    <w:left w:val="none" w:sz="0" w:space="0" w:color="auto"/>
                    <w:bottom w:val="none" w:sz="0" w:space="0" w:color="auto"/>
                    <w:right w:val="none" w:sz="0" w:space="0" w:color="auto"/>
                  </w:divBdr>
                  <w:divsChild>
                    <w:div w:id="1400665356">
                      <w:marLeft w:val="0"/>
                      <w:marRight w:val="0"/>
                      <w:marTop w:val="0"/>
                      <w:marBottom w:val="0"/>
                      <w:divBdr>
                        <w:top w:val="none" w:sz="0" w:space="0" w:color="auto"/>
                        <w:left w:val="none" w:sz="0" w:space="0" w:color="auto"/>
                        <w:bottom w:val="none" w:sz="0" w:space="0" w:color="auto"/>
                        <w:right w:val="none" w:sz="0" w:space="0" w:color="auto"/>
                      </w:divBdr>
                    </w:div>
                  </w:divsChild>
                </w:div>
                <w:div w:id="1885093124">
                  <w:marLeft w:val="0"/>
                  <w:marRight w:val="0"/>
                  <w:marTop w:val="0"/>
                  <w:marBottom w:val="0"/>
                  <w:divBdr>
                    <w:top w:val="none" w:sz="0" w:space="0" w:color="auto"/>
                    <w:left w:val="none" w:sz="0" w:space="0" w:color="auto"/>
                    <w:bottom w:val="none" w:sz="0" w:space="0" w:color="auto"/>
                    <w:right w:val="none" w:sz="0" w:space="0" w:color="auto"/>
                  </w:divBdr>
                  <w:divsChild>
                    <w:div w:id="1525905256">
                      <w:marLeft w:val="0"/>
                      <w:marRight w:val="0"/>
                      <w:marTop w:val="0"/>
                      <w:marBottom w:val="0"/>
                      <w:divBdr>
                        <w:top w:val="none" w:sz="0" w:space="0" w:color="auto"/>
                        <w:left w:val="none" w:sz="0" w:space="0" w:color="auto"/>
                        <w:bottom w:val="none" w:sz="0" w:space="0" w:color="auto"/>
                        <w:right w:val="none" w:sz="0" w:space="0" w:color="auto"/>
                      </w:divBdr>
                    </w:div>
                  </w:divsChild>
                </w:div>
                <w:div w:id="1904876398">
                  <w:marLeft w:val="0"/>
                  <w:marRight w:val="0"/>
                  <w:marTop w:val="0"/>
                  <w:marBottom w:val="0"/>
                  <w:divBdr>
                    <w:top w:val="none" w:sz="0" w:space="0" w:color="auto"/>
                    <w:left w:val="none" w:sz="0" w:space="0" w:color="auto"/>
                    <w:bottom w:val="none" w:sz="0" w:space="0" w:color="auto"/>
                    <w:right w:val="none" w:sz="0" w:space="0" w:color="auto"/>
                  </w:divBdr>
                  <w:divsChild>
                    <w:div w:id="770587572">
                      <w:marLeft w:val="0"/>
                      <w:marRight w:val="0"/>
                      <w:marTop w:val="0"/>
                      <w:marBottom w:val="0"/>
                      <w:divBdr>
                        <w:top w:val="none" w:sz="0" w:space="0" w:color="auto"/>
                        <w:left w:val="none" w:sz="0" w:space="0" w:color="auto"/>
                        <w:bottom w:val="none" w:sz="0" w:space="0" w:color="auto"/>
                        <w:right w:val="none" w:sz="0" w:space="0" w:color="auto"/>
                      </w:divBdr>
                    </w:div>
                  </w:divsChild>
                </w:div>
                <w:div w:id="1908683716">
                  <w:marLeft w:val="0"/>
                  <w:marRight w:val="0"/>
                  <w:marTop w:val="0"/>
                  <w:marBottom w:val="0"/>
                  <w:divBdr>
                    <w:top w:val="none" w:sz="0" w:space="0" w:color="auto"/>
                    <w:left w:val="none" w:sz="0" w:space="0" w:color="auto"/>
                    <w:bottom w:val="none" w:sz="0" w:space="0" w:color="auto"/>
                    <w:right w:val="none" w:sz="0" w:space="0" w:color="auto"/>
                  </w:divBdr>
                  <w:divsChild>
                    <w:div w:id="281228244">
                      <w:marLeft w:val="0"/>
                      <w:marRight w:val="0"/>
                      <w:marTop w:val="0"/>
                      <w:marBottom w:val="0"/>
                      <w:divBdr>
                        <w:top w:val="none" w:sz="0" w:space="0" w:color="auto"/>
                        <w:left w:val="none" w:sz="0" w:space="0" w:color="auto"/>
                        <w:bottom w:val="none" w:sz="0" w:space="0" w:color="auto"/>
                        <w:right w:val="none" w:sz="0" w:space="0" w:color="auto"/>
                      </w:divBdr>
                    </w:div>
                  </w:divsChild>
                </w:div>
                <w:div w:id="1978949330">
                  <w:marLeft w:val="0"/>
                  <w:marRight w:val="0"/>
                  <w:marTop w:val="0"/>
                  <w:marBottom w:val="0"/>
                  <w:divBdr>
                    <w:top w:val="none" w:sz="0" w:space="0" w:color="auto"/>
                    <w:left w:val="none" w:sz="0" w:space="0" w:color="auto"/>
                    <w:bottom w:val="none" w:sz="0" w:space="0" w:color="auto"/>
                    <w:right w:val="none" w:sz="0" w:space="0" w:color="auto"/>
                  </w:divBdr>
                  <w:divsChild>
                    <w:div w:id="1336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1620">
          <w:marLeft w:val="0"/>
          <w:marRight w:val="0"/>
          <w:marTop w:val="0"/>
          <w:marBottom w:val="0"/>
          <w:divBdr>
            <w:top w:val="none" w:sz="0" w:space="0" w:color="auto"/>
            <w:left w:val="none" w:sz="0" w:space="0" w:color="auto"/>
            <w:bottom w:val="none" w:sz="0" w:space="0" w:color="auto"/>
            <w:right w:val="none" w:sz="0" w:space="0" w:color="auto"/>
          </w:divBdr>
        </w:div>
        <w:div w:id="1413047868">
          <w:marLeft w:val="0"/>
          <w:marRight w:val="0"/>
          <w:marTop w:val="0"/>
          <w:marBottom w:val="0"/>
          <w:divBdr>
            <w:top w:val="none" w:sz="0" w:space="0" w:color="auto"/>
            <w:left w:val="none" w:sz="0" w:space="0" w:color="auto"/>
            <w:bottom w:val="none" w:sz="0" w:space="0" w:color="auto"/>
            <w:right w:val="none" w:sz="0" w:space="0" w:color="auto"/>
          </w:divBdr>
        </w:div>
        <w:div w:id="1498838552">
          <w:marLeft w:val="0"/>
          <w:marRight w:val="0"/>
          <w:marTop w:val="0"/>
          <w:marBottom w:val="0"/>
          <w:divBdr>
            <w:top w:val="none" w:sz="0" w:space="0" w:color="auto"/>
            <w:left w:val="none" w:sz="0" w:space="0" w:color="auto"/>
            <w:bottom w:val="none" w:sz="0" w:space="0" w:color="auto"/>
            <w:right w:val="none" w:sz="0" w:space="0" w:color="auto"/>
          </w:divBdr>
        </w:div>
        <w:div w:id="1627661436">
          <w:marLeft w:val="0"/>
          <w:marRight w:val="0"/>
          <w:marTop w:val="0"/>
          <w:marBottom w:val="0"/>
          <w:divBdr>
            <w:top w:val="none" w:sz="0" w:space="0" w:color="auto"/>
            <w:left w:val="none" w:sz="0" w:space="0" w:color="auto"/>
            <w:bottom w:val="none" w:sz="0" w:space="0" w:color="auto"/>
            <w:right w:val="none" w:sz="0" w:space="0" w:color="auto"/>
          </w:divBdr>
        </w:div>
        <w:div w:id="1659265071">
          <w:marLeft w:val="0"/>
          <w:marRight w:val="0"/>
          <w:marTop w:val="0"/>
          <w:marBottom w:val="0"/>
          <w:divBdr>
            <w:top w:val="none" w:sz="0" w:space="0" w:color="auto"/>
            <w:left w:val="none" w:sz="0" w:space="0" w:color="auto"/>
            <w:bottom w:val="none" w:sz="0" w:space="0" w:color="auto"/>
            <w:right w:val="none" w:sz="0" w:space="0" w:color="auto"/>
          </w:divBdr>
        </w:div>
        <w:div w:id="1704818697">
          <w:marLeft w:val="0"/>
          <w:marRight w:val="0"/>
          <w:marTop w:val="0"/>
          <w:marBottom w:val="0"/>
          <w:divBdr>
            <w:top w:val="none" w:sz="0" w:space="0" w:color="auto"/>
            <w:left w:val="none" w:sz="0" w:space="0" w:color="auto"/>
            <w:bottom w:val="none" w:sz="0" w:space="0" w:color="auto"/>
            <w:right w:val="none" w:sz="0" w:space="0" w:color="auto"/>
          </w:divBdr>
        </w:div>
        <w:div w:id="1747341673">
          <w:marLeft w:val="0"/>
          <w:marRight w:val="0"/>
          <w:marTop w:val="0"/>
          <w:marBottom w:val="0"/>
          <w:divBdr>
            <w:top w:val="none" w:sz="0" w:space="0" w:color="auto"/>
            <w:left w:val="none" w:sz="0" w:space="0" w:color="auto"/>
            <w:bottom w:val="none" w:sz="0" w:space="0" w:color="auto"/>
            <w:right w:val="none" w:sz="0" w:space="0" w:color="auto"/>
          </w:divBdr>
        </w:div>
        <w:div w:id="1756510664">
          <w:marLeft w:val="0"/>
          <w:marRight w:val="0"/>
          <w:marTop w:val="0"/>
          <w:marBottom w:val="0"/>
          <w:divBdr>
            <w:top w:val="none" w:sz="0" w:space="0" w:color="auto"/>
            <w:left w:val="none" w:sz="0" w:space="0" w:color="auto"/>
            <w:bottom w:val="none" w:sz="0" w:space="0" w:color="auto"/>
            <w:right w:val="none" w:sz="0" w:space="0" w:color="auto"/>
          </w:divBdr>
        </w:div>
        <w:div w:id="1768309657">
          <w:marLeft w:val="0"/>
          <w:marRight w:val="0"/>
          <w:marTop w:val="0"/>
          <w:marBottom w:val="0"/>
          <w:divBdr>
            <w:top w:val="none" w:sz="0" w:space="0" w:color="auto"/>
            <w:left w:val="none" w:sz="0" w:space="0" w:color="auto"/>
            <w:bottom w:val="none" w:sz="0" w:space="0" w:color="auto"/>
            <w:right w:val="none" w:sz="0" w:space="0" w:color="auto"/>
          </w:divBdr>
          <w:divsChild>
            <w:div w:id="243951656">
              <w:marLeft w:val="-75"/>
              <w:marRight w:val="0"/>
              <w:marTop w:val="30"/>
              <w:marBottom w:val="30"/>
              <w:divBdr>
                <w:top w:val="none" w:sz="0" w:space="0" w:color="auto"/>
                <w:left w:val="none" w:sz="0" w:space="0" w:color="auto"/>
                <w:bottom w:val="none" w:sz="0" w:space="0" w:color="auto"/>
                <w:right w:val="none" w:sz="0" w:space="0" w:color="auto"/>
              </w:divBdr>
              <w:divsChild>
                <w:div w:id="211965309">
                  <w:marLeft w:val="0"/>
                  <w:marRight w:val="0"/>
                  <w:marTop w:val="0"/>
                  <w:marBottom w:val="0"/>
                  <w:divBdr>
                    <w:top w:val="none" w:sz="0" w:space="0" w:color="auto"/>
                    <w:left w:val="none" w:sz="0" w:space="0" w:color="auto"/>
                    <w:bottom w:val="none" w:sz="0" w:space="0" w:color="auto"/>
                    <w:right w:val="none" w:sz="0" w:space="0" w:color="auto"/>
                  </w:divBdr>
                  <w:divsChild>
                    <w:div w:id="141889511">
                      <w:marLeft w:val="0"/>
                      <w:marRight w:val="0"/>
                      <w:marTop w:val="0"/>
                      <w:marBottom w:val="0"/>
                      <w:divBdr>
                        <w:top w:val="none" w:sz="0" w:space="0" w:color="auto"/>
                        <w:left w:val="none" w:sz="0" w:space="0" w:color="auto"/>
                        <w:bottom w:val="none" w:sz="0" w:space="0" w:color="auto"/>
                        <w:right w:val="none" w:sz="0" w:space="0" w:color="auto"/>
                      </w:divBdr>
                    </w:div>
                  </w:divsChild>
                </w:div>
                <w:div w:id="1428185863">
                  <w:marLeft w:val="0"/>
                  <w:marRight w:val="0"/>
                  <w:marTop w:val="0"/>
                  <w:marBottom w:val="0"/>
                  <w:divBdr>
                    <w:top w:val="none" w:sz="0" w:space="0" w:color="auto"/>
                    <w:left w:val="none" w:sz="0" w:space="0" w:color="auto"/>
                    <w:bottom w:val="none" w:sz="0" w:space="0" w:color="auto"/>
                    <w:right w:val="none" w:sz="0" w:space="0" w:color="auto"/>
                  </w:divBdr>
                  <w:divsChild>
                    <w:div w:id="159543973">
                      <w:marLeft w:val="0"/>
                      <w:marRight w:val="0"/>
                      <w:marTop w:val="0"/>
                      <w:marBottom w:val="0"/>
                      <w:divBdr>
                        <w:top w:val="none" w:sz="0" w:space="0" w:color="auto"/>
                        <w:left w:val="none" w:sz="0" w:space="0" w:color="auto"/>
                        <w:bottom w:val="none" w:sz="0" w:space="0" w:color="auto"/>
                        <w:right w:val="none" w:sz="0" w:space="0" w:color="auto"/>
                      </w:divBdr>
                    </w:div>
                  </w:divsChild>
                </w:div>
                <w:div w:id="1853182238">
                  <w:marLeft w:val="0"/>
                  <w:marRight w:val="0"/>
                  <w:marTop w:val="0"/>
                  <w:marBottom w:val="0"/>
                  <w:divBdr>
                    <w:top w:val="none" w:sz="0" w:space="0" w:color="auto"/>
                    <w:left w:val="none" w:sz="0" w:space="0" w:color="auto"/>
                    <w:bottom w:val="none" w:sz="0" w:space="0" w:color="auto"/>
                    <w:right w:val="none" w:sz="0" w:space="0" w:color="auto"/>
                  </w:divBdr>
                  <w:divsChild>
                    <w:div w:id="1984041858">
                      <w:marLeft w:val="0"/>
                      <w:marRight w:val="0"/>
                      <w:marTop w:val="0"/>
                      <w:marBottom w:val="0"/>
                      <w:divBdr>
                        <w:top w:val="none" w:sz="0" w:space="0" w:color="auto"/>
                        <w:left w:val="none" w:sz="0" w:space="0" w:color="auto"/>
                        <w:bottom w:val="none" w:sz="0" w:space="0" w:color="auto"/>
                        <w:right w:val="none" w:sz="0" w:space="0" w:color="auto"/>
                      </w:divBdr>
                    </w:div>
                  </w:divsChild>
                </w:div>
                <w:div w:id="1918781091">
                  <w:marLeft w:val="0"/>
                  <w:marRight w:val="0"/>
                  <w:marTop w:val="0"/>
                  <w:marBottom w:val="0"/>
                  <w:divBdr>
                    <w:top w:val="none" w:sz="0" w:space="0" w:color="auto"/>
                    <w:left w:val="none" w:sz="0" w:space="0" w:color="auto"/>
                    <w:bottom w:val="none" w:sz="0" w:space="0" w:color="auto"/>
                    <w:right w:val="none" w:sz="0" w:space="0" w:color="auto"/>
                  </w:divBdr>
                  <w:divsChild>
                    <w:div w:id="540359887">
                      <w:marLeft w:val="0"/>
                      <w:marRight w:val="0"/>
                      <w:marTop w:val="0"/>
                      <w:marBottom w:val="0"/>
                      <w:divBdr>
                        <w:top w:val="none" w:sz="0" w:space="0" w:color="auto"/>
                        <w:left w:val="none" w:sz="0" w:space="0" w:color="auto"/>
                        <w:bottom w:val="none" w:sz="0" w:space="0" w:color="auto"/>
                        <w:right w:val="none" w:sz="0" w:space="0" w:color="auto"/>
                      </w:divBdr>
                    </w:div>
                  </w:divsChild>
                </w:div>
                <w:div w:id="2079161570">
                  <w:marLeft w:val="0"/>
                  <w:marRight w:val="0"/>
                  <w:marTop w:val="0"/>
                  <w:marBottom w:val="0"/>
                  <w:divBdr>
                    <w:top w:val="none" w:sz="0" w:space="0" w:color="auto"/>
                    <w:left w:val="none" w:sz="0" w:space="0" w:color="auto"/>
                    <w:bottom w:val="none" w:sz="0" w:space="0" w:color="auto"/>
                    <w:right w:val="none" w:sz="0" w:space="0" w:color="auto"/>
                  </w:divBdr>
                  <w:divsChild>
                    <w:div w:id="1384136635">
                      <w:marLeft w:val="0"/>
                      <w:marRight w:val="0"/>
                      <w:marTop w:val="0"/>
                      <w:marBottom w:val="0"/>
                      <w:divBdr>
                        <w:top w:val="none" w:sz="0" w:space="0" w:color="auto"/>
                        <w:left w:val="none" w:sz="0" w:space="0" w:color="auto"/>
                        <w:bottom w:val="none" w:sz="0" w:space="0" w:color="auto"/>
                        <w:right w:val="none" w:sz="0" w:space="0" w:color="auto"/>
                      </w:divBdr>
                    </w:div>
                  </w:divsChild>
                </w:div>
                <w:div w:id="2128355845">
                  <w:marLeft w:val="0"/>
                  <w:marRight w:val="0"/>
                  <w:marTop w:val="0"/>
                  <w:marBottom w:val="0"/>
                  <w:divBdr>
                    <w:top w:val="none" w:sz="0" w:space="0" w:color="auto"/>
                    <w:left w:val="none" w:sz="0" w:space="0" w:color="auto"/>
                    <w:bottom w:val="none" w:sz="0" w:space="0" w:color="auto"/>
                    <w:right w:val="none" w:sz="0" w:space="0" w:color="auto"/>
                  </w:divBdr>
                  <w:divsChild>
                    <w:div w:id="846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1004">
          <w:marLeft w:val="0"/>
          <w:marRight w:val="0"/>
          <w:marTop w:val="0"/>
          <w:marBottom w:val="0"/>
          <w:divBdr>
            <w:top w:val="none" w:sz="0" w:space="0" w:color="auto"/>
            <w:left w:val="none" w:sz="0" w:space="0" w:color="auto"/>
            <w:bottom w:val="none" w:sz="0" w:space="0" w:color="auto"/>
            <w:right w:val="none" w:sz="0" w:space="0" w:color="auto"/>
          </w:divBdr>
        </w:div>
        <w:div w:id="1830362363">
          <w:marLeft w:val="0"/>
          <w:marRight w:val="0"/>
          <w:marTop w:val="0"/>
          <w:marBottom w:val="0"/>
          <w:divBdr>
            <w:top w:val="none" w:sz="0" w:space="0" w:color="auto"/>
            <w:left w:val="none" w:sz="0" w:space="0" w:color="auto"/>
            <w:bottom w:val="none" w:sz="0" w:space="0" w:color="auto"/>
            <w:right w:val="none" w:sz="0" w:space="0" w:color="auto"/>
          </w:divBdr>
        </w:div>
        <w:div w:id="1865901928">
          <w:marLeft w:val="0"/>
          <w:marRight w:val="0"/>
          <w:marTop w:val="0"/>
          <w:marBottom w:val="0"/>
          <w:divBdr>
            <w:top w:val="none" w:sz="0" w:space="0" w:color="auto"/>
            <w:left w:val="none" w:sz="0" w:space="0" w:color="auto"/>
            <w:bottom w:val="none" w:sz="0" w:space="0" w:color="auto"/>
            <w:right w:val="none" w:sz="0" w:space="0" w:color="auto"/>
          </w:divBdr>
        </w:div>
        <w:div w:id="1868328286">
          <w:marLeft w:val="0"/>
          <w:marRight w:val="0"/>
          <w:marTop w:val="0"/>
          <w:marBottom w:val="0"/>
          <w:divBdr>
            <w:top w:val="none" w:sz="0" w:space="0" w:color="auto"/>
            <w:left w:val="none" w:sz="0" w:space="0" w:color="auto"/>
            <w:bottom w:val="none" w:sz="0" w:space="0" w:color="auto"/>
            <w:right w:val="none" w:sz="0" w:space="0" w:color="auto"/>
          </w:divBdr>
        </w:div>
        <w:div w:id="2015842773">
          <w:marLeft w:val="0"/>
          <w:marRight w:val="0"/>
          <w:marTop w:val="0"/>
          <w:marBottom w:val="0"/>
          <w:divBdr>
            <w:top w:val="none" w:sz="0" w:space="0" w:color="auto"/>
            <w:left w:val="none" w:sz="0" w:space="0" w:color="auto"/>
            <w:bottom w:val="none" w:sz="0" w:space="0" w:color="auto"/>
            <w:right w:val="none" w:sz="0" w:space="0" w:color="auto"/>
          </w:divBdr>
        </w:div>
        <w:div w:id="2025282502">
          <w:marLeft w:val="0"/>
          <w:marRight w:val="0"/>
          <w:marTop w:val="0"/>
          <w:marBottom w:val="0"/>
          <w:divBdr>
            <w:top w:val="none" w:sz="0" w:space="0" w:color="auto"/>
            <w:left w:val="none" w:sz="0" w:space="0" w:color="auto"/>
            <w:bottom w:val="none" w:sz="0" w:space="0" w:color="auto"/>
            <w:right w:val="none" w:sz="0" w:space="0" w:color="auto"/>
          </w:divBdr>
          <w:divsChild>
            <w:div w:id="2122261229">
              <w:marLeft w:val="-75"/>
              <w:marRight w:val="0"/>
              <w:marTop w:val="30"/>
              <w:marBottom w:val="30"/>
              <w:divBdr>
                <w:top w:val="none" w:sz="0" w:space="0" w:color="auto"/>
                <w:left w:val="none" w:sz="0" w:space="0" w:color="auto"/>
                <w:bottom w:val="none" w:sz="0" w:space="0" w:color="auto"/>
                <w:right w:val="none" w:sz="0" w:space="0" w:color="auto"/>
              </w:divBdr>
              <w:divsChild>
                <w:div w:id="15350583">
                  <w:marLeft w:val="0"/>
                  <w:marRight w:val="0"/>
                  <w:marTop w:val="0"/>
                  <w:marBottom w:val="0"/>
                  <w:divBdr>
                    <w:top w:val="none" w:sz="0" w:space="0" w:color="auto"/>
                    <w:left w:val="none" w:sz="0" w:space="0" w:color="auto"/>
                    <w:bottom w:val="none" w:sz="0" w:space="0" w:color="auto"/>
                    <w:right w:val="none" w:sz="0" w:space="0" w:color="auto"/>
                  </w:divBdr>
                  <w:divsChild>
                    <w:div w:id="1214848556">
                      <w:marLeft w:val="0"/>
                      <w:marRight w:val="0"/>
                      <w:marTop w:val="0"/>
                      <w:marBottom w:val="0"/>
                      <w:divBdr>
                        <w:top w:val="none" w:sz="0" w:space="0" w:color="auto"/>
                        <w:left w:val="none" w:sz="0" w:space="0" w:color="auto"/>
                        <w:bottom w:val="none" w:sz="0" w:space="0" w:color="auto"/>
                        <w:right w:val="none" w:sz="0" w:space="0" w:color="auto"/>
                      </w:divBdr>
                    </w:div>
                  </w:divsChild>
                </w:div>
                <w:div w:id="17894439">
                  <w:marLeft w:val="0"/>
                  <w:marRight w:val="0"/>
                  <w:marTop w:val="0"/>
                  <w:marBottom w:val="0"/>
                  <w:divBdr>
                    <w:top w:val="none" w:sz="0" w:space="0" w:color="auto"/>
                    <w:left w:val="none" w:sz="0" w:space="0" w:color="auto"/>
                    <w:bottom w:val="none" w:sz="0" w:space="0" w:color="auto"/>
                    <w:right w:val="none" w:sz="0" w:space="0" w:color="auto"/>
                  </w:divBdr>
                  <w:divsChild>
                    <w:div w:id="1948386908">
                      <w:marLeft w:val="0"/>
                      <w:marRight w:val="0"/>
                      <w:marTop w:val="0"/>
                      <w:marBottom w:val="0"/>
                      <w:divBdr>
                        <w:top w:val="none" w:sz="0" w:space="0" w:color="auto"/>
                        <w:left w:val="none" w:sz="0" w:space="0" w:color="auto"/>
                        <w:bottom w:val="none" w:sz="0" w:space="0" w:color="auto"/>
                        <w:right w:val="none" w:sz="0" w:space="0" w:color="auto"/>
                      </w:divBdr>
                    </w:div>
                  </w:divsChild>
                </w:div>
                <w:div w:id="54163773">
                  <w:marLeft w:val="0"/>
                  <w:marRight w:val="0"/>
                  <w:marTop w:val="0"/>
                  <w:marBottom w:val="0"/>
                  <w:divBdr>
                    <w:top w:val="none" w:sz="0" w:space="0" w:color="auto"/>
                    <w:left w:val="none" w:sz="0" w:space="0" w:color="auto"/>
                    <w:bottom w:val="none" w:sz="0" w:space="0" w:color="auto"/>
                    <w:right w:val="none" w:sz="0" w:space="0" w:color="auto"/>
                  </w:divBdr>
                  <w:divsChild>
                    <w:div w:id="198975817">
                      <w:marLeft w:val="0"/>
                      <w:marRight w:val="0"/>
                      <w:marTop w:val="0"/>
                      <w:marBottom w:val="0"/>
                      <w:divBdr>
                        <w:top w:val="none" w:sz="0" w:space="0" w:color="auto"/>
                        <w:left w:val="none" w:sz="0" w:space="0" w:color="auto"/>
                        <w:bottom w:val="none" w:sz="0" w:space="0" w:color="auto"/>
                        <w:right w:val="none" w:sz="0" w:space="0" w:color="auto"/>
                      </w:divBdr>
                    </w:div>
                  </w:divsChild>
                </w:div>
                <w:div w:id="57173880">
                  <w:marLeft w:val="0"/>
                  <w:marRight w:val="0"/>
                  <w:marTop w:val="0"/>
                  <w:marBottom w:val="0"/>
                  <w:divBdr>
                    <w:top w:val="none" w:sz="0" w:space="0" w:color="auto"/>
                    <w:left w:val="none" w:sz="0" w:space="0" w:color="auto"/>
                    <w:bottom w:val="none" w:sz="0" w:space="0" w:color="auto"/>
                    <w:right w:val="none" w:sz="0" w:space="0" w:color="auto"/>
                  </w:divBdr>
                  <w:divsChild>
                    <w:div w:id="1239751475">
                      <w:marLeft w:val="0"/>
                      <w:marRight w:val="0"/>
                      <w:marTop w:val="0"/>
                      <w:marBottom w:val="0"/>
                      <w:divBdr>
                        <w:top w:val="none" w:sz="0" w:space="0" w:color="auto"/>
                        <w:left w:val="none" w:sz="0" w:space="0" w:color="auto"/>
                        <w:bottom w:val="none" w:sz="0" w:space="0" w:color="auto"/>
                        <w:right w:val="none" w:sz="0" w:space="0" w:color="auto"/>
                      </w:divBdr>
                    </w:div>
                  </w:divsChild>
                </w:div>
                <w:div w:id="70780445">
                  <w:marLeft w:val="0"/>
                  <w:marRight w:val="0"/>
                  <w:marTop w:val="0"/>
                  <w:marBottom w:val="0"/>
                  <w:divBdr>
                    <w:top w:val="none" w:sz="0" w:space="0" w:color="auto"/>
                    <w:left w:val="none" w:sz="0" w:space="0" w:color="auto"/>
                    <w:bottom w:val="none" w:sz="0" w:space="0" w:color="auto"/>
                    <w:right w:val="none" w:sz="0" w:space="0" w:color="auto"/>
                  </w:divBdr>
                  <w:divsChild>
                    <w:div w:id="603923745">
                      <w:marLeft w:val="0"/>
                      <w:marRight w:val="0"/>
                      <w:marTop w:val="0"/>
                      <w:marBottom w:val="0"/>
                      <w:divBdr>
                        <w:top w:val="none" w:sz="0" w:space="0" w:color="auto"/>
                        <w:left w:val="none" w:sz="0" w:space="0" w:color="auto"/>
                        <w:bottom w:val="none" w:sz="0" w:space="0" w:color="auto"/>
                        <w:right w:val="none" w:sz="0" w:space="0" w:color="auto"/>
                      </w:divBdr>
                    </w:div>
                  </w:divsChild>
                </w:div>
                <w:div w:id="131867655">
                  <w:marLeft w:val="0"/>
                  <w:marRight w:val="0"/>
                  <w:marTop w:val="0"/>
                  <w:marBottom w:val="0"/>
                  <w:divBdr>
                    <w:top w:val="none" w:sz="0" w:space="0" w:color="auto"/>
                    <w:left w:val="none" w:sz="0" w:space="0" w:color="auto"/>
                    <w:bottom w:val="none" w:sz="0" w:space="0" w:color="auto"/>
                    <w:right w:val="none" w:sz="0" w:space="0" w:color="auto"/>
                  </w:divBdr>
                  <w:divsChild>
                    <w:div w:id="694891911">
                      <w:marLeft w:val="0"/>
                      <w:marRight w:val="0"/>
                      <w:marTop w:val="0"/>
                      <w:marBottom w:val="0"/>
                      <w:divBdr>
                        <w:top w:val="none" w:sz="0" w:space="0" w:color="auto"/>
                        <w:left w:val="none" w:sz="0" w:space="0" w:color="auto"/>
                        <w:bottom w:val="none" w:sz="0" w:space="0" w:color="auto"/>
                        <w:right w:val="none" w:sz="0" w:space="0" w:color="auto"/>
                      </w:divBdr>
                    </w:div>
                  </w:divsChild>
                </w:div>
                <w:div w:id="212156106">
                  <w:marLeft w:val="0"/>
                  <w:marRight w:val="0"/>
                  <w:marTop w:val="0"/>
                  <w:marBottom w:val="0"/>
                  <w:divBdr>
                    <w:top w:val="none" w:sz="0" w:space="0" w:color="auto"/>
                    <w:left w:val="none" w:sz="0" w:space="0" w:color="auto"/>
                    <w:bottom w:val="none" w:sz="0" w:space="0" w:color="auto"/>
                    <w:right w:val="none" w:sz="0" w:space="0" w:color="auto"/>
                  </w:divBdr>
                  <w:divsChild>
                    <w:div w:id="983892268">
                      <w:marLeft w:val="0"/>
                      <w:marRight w:val="0"/>
                      <w:marTop w:val="0"/>
                      <w:marBottom w:val="0"/>
                      <w:divBdr>
                        <w:top w:val="none" w:sz="0" w:space="0" w:color="auto"/>
                        <w:left w:val="none" w:sz="0" w:space="0" w:color="auto"/>
                        <w:bottom w:val="none" w:sz="0" w:space="0" w:color="auto"/>
                        <w:right w:val="none" w:sz="0" w:space="0" w:color="auto"/>
                      </w:divBdr>
                    </w:div>
                  </w:divsChild>
                </w:div>
                <w:div w:id="242420991">
                  <w:marLeft w:val="0"/>
                  <w:marRight w:val="0"/>
                  <w:marTop w:val="0"/>
                  <w:marBottom w:val="0"/>
                  <w:divBdr>
                    <w:top w:val="none" w:sz="0" w:space="0" w:color="auto"/>
                    <w:left w:val="none" w:sz="0" w:space="0" w:color="auto"/>
                    <w:bottom w:val="none" w:sz="0" w:space="0" w:color="auto"/>
                    <w:right w:val="none" w:sz="0" w:space="0" w:color="auto"/>
                  </w:divBdr>
                  <w:divsChild>
                    <w:div w:id="1772624381">
                      <w:marLeft w:val="0"/>
                      <w:marRight w:val="0"/>
                      <w:marTop w:val="0"/>
                      <w:marBottom w:val="0"/>
                      <w:divBdr>
                        <w:top w:val="none" w:sz="0" w:space="0" w:color="auto"/>
                        <w:left w:val="none" w:sz="0" w:space="0" w:color="auto"/>
                        <w:bottom w:val="none" w:sz="0" w:space="0" w:color="auto"/>
                        <w:right w:val="none" w:sz="0" w:space="0" w:color="auto"/>
                      </w:divBdr>
                    </w:div>
                  </w:divsChild>
                </w:div>
                <w:div w:id="263078858">
                  <w:marLeft w:val="0"/>
                  <w:marRight w:val="0"/>
                  <w:marTop w:val="0"/>
                  <w:marBottom w:val="0"/>
                  <w:divBdr>
                    <w:top w:val="none" w:sz="0" w:space="0" w:color="auto"/>
                    <w:left w:val="none" w:sz="0" w:space="0" w:color="auto"/>
                    <w:bottom w:val="none" w:sz="0" w:space="0" w:color="auto"/>
                    <w:right w:val="none" w:sz="0" w:space="0" w:color="auto"/>
                  </w:divBdr>
                  <w:divsChild>
                    <w:div w:id="1317807267">
                      <w:marLeft w:val="0"/>
                      <w:marRight w:val="0"/>
                      <w:marTop w:val="0"/>
                      <w:marBottom w:val="0"/>
                      <w:divBdr>
                        <w:top w:val="none" w:sz="0" w:space="0" w:color="auto"/>
                        <w:left w:val="none" w:sz="0" w:space="0" w:color="auto"/>
                        <w:bottom w:val="none" w:sz="0" w:space="0" w:color="auto"/>
                        <w:right w:val="none" w:sz="0" w:space="0" w:color="auto"/>
                      </w:divBdr>
                    </w:div>
                  </w:divsChild>
                </w:div>
                <w:div w:id="307828028">
                  <w:marLeft w:val="0"/>
                  <w:marRight w:val="0"/>
                  <w:marTop w:val="0"/>
                  <w:marBottom w:val="0"/>
                  <w:divBdr>
                    <w:top w:val="none" w:sz="0" w:space="0" w:color="auto"/>
                    <w:left w:val="none" w:sz="0" w:space="0" w:color="auto"/>
                    <w:bottom w:val="none" w:sz="0" w:space="0" w:color="auto"/>
                    <w:right w:val="none" w:sz="0" w:space="0" w:color="auto"/>
                  </w:divBdr>
                  <w:divsChild>
                    <w:div w:id="1491870136">
                      <w:marLeft w:val="0"/>
                      <w:marRight w:val="0"/>
                      <w:marTop w:val="0"/>
                      <w:marBottom w:val="0"/>
                      <w:divBdr>
                        <w:top w:val="none" w:sz="0" w:space="0" w:color="auto"/>
                        <w:left w:val="none" w:sz="0" w:space="0" w:color="auto"/>
                        <w:bottom w:val="none" w:sz="0" w:space="0" w:color="auto"/>
                        <w:right w:val="none" w:sz="0" w:space="0" w:color="auto"/>
                      </w:divBdr>
                    </w:div>
                  </w:divsChild>
                </w:div>
                <w:div w:id="344553818">
                  <w:marLeft w:val="0"/>
                  <w:marRight w:val="0"/>
                  <w:marTop w:val="0"/>
                  <w:marBottom w:val="0"/>
                  <w:divBdr>
                    <w:top w:val="none" w:sz="0" w:space="0" w:color="auto"/>
                    <w:left w:val="none" w:sz="0" w:space="0" w:color="auto"/>
                    <w:bottom w:val="none" w:sz="0" w:space="0" w:color="auto"/>
                    <w:right w:val="none" w:sz="0" w:space="0" w:color="auto"/>
                  </w:divBdr>
                  <w:divsChild>
                    <w:div w:id="1670790369">
                      <w:marLeft w:val="0"/>
                      <w:marRight w:val="0"/>
                      <w:marTop w:val="0"/>
                      <w:marBottom w:val="0"/>
                      <w:divBdr>
                        <w:top w:val="none" w:sz="0" w:space="0" w:color="auto"/>
                        <w:left w:val="none" w:sz="0" w:space="0" w:color="auto"/>
                        <w:bottom w:val="none" w:sz="0" w:space="0" w:color="auto"/>
                        <w:right w:val="none" w:sz="0" w:space="0" w:color="auto"/>
                      </w:divBdr>
                    </w:div>
                  </w:divsChild>
                </w:div>
                <w:div w:id="367533767">
                  <w:marLeft w:val="0"/>
                  <w:marRight w:val="0"/>
                  <w:marTop w:val="0"/>
                  <w:marBottom w:val="0"/>
                  <w:divBdr>
                    <w:top w:val="none" w:sz="0" w:space="0" w:color="auto"/>
                    <w:left w:val="none" w:sz="0" w:space="0" w:color="auto"/>
                    <w:bottom w:val="none" w:sz="0" w:space="0" w:color="auto"/>
                    <w:right w:val="none" w:sz="0" w:space="0" w:color="auto"/>
                  </w:divBdr>
                  <w:divsChild>
                    <w:div w:id="1351637025">
                      <w:marLeft w:val="0"/>
                      <w:marRight w:val="0"/>
                      <w:marTop w:val="0"/>
                      <w:marBottom w:val="0"/>
                      <w:divBdr>
                        <w:top w:val="none" w:sz="0" w:space="0" w:color="auto"/>
                        <w:left w:val="none" w:sz="0" w:space="0" w:color="auto"/>
                        <w:bottom w:val="none" w:sz="0" w:space="0" w:color="auto"/>
                        <w:right w:val="none" w:sz="0" w:space="0" w:color="auto"/>
                      </w:divBdr>
                    </w:div>
                  </w:divsChild>
                </w:div>
                <w:div w:id="482967113">
                  <w:marLeft w:val="0"/>
                  <w:marRight w:val="0"/>
                  <w:marTop w:val="0"/>
                  <w:marBottom w:val="0"/>
                  <w:divBdr>
                    <w:top w:val="none" w:sz="0" w:space="0" w:color="auto"/>
                    <w:left w:val="none" w:sz="0" w:space="0" w:color="auto"/>
                    <w:bottom w:val="none" w:sz="0" w:space="0" w:color="auto"/>
                    <w:right w:val="none" w:sz="0" w:space="0" w:color="auto"/>
                  </w:divBdr>
                  <w:divsChild>
                    <w:div w:id="239215592">
                      <w:marLeft w:val="0"/>
                      <w:marRight w:val="0"/>
                      <w:marTop w:val="0"/>
                      <w:marBottom w:val="0"/>
                      <w:divBdr>
                        <w:top w:val="none" w:sz="0" w:space="0" w:color="auto"/>
                        <w:left w:val="none" w:sz="0" w:space="0" w:color="auto"/>
                        <w:bottom w:val="none" w:sz="0" w:space="0" w:color="auto"/>
                        <w:right w:val="none" w:sz="0" w:space="0" w:color="auto"/>
                      </w:divBdr>
                    </w:div>
                  </w:divsChild>
                </w:div>
                <w:div w:id="513033218">
                  <w:marLeft w:val="0"/>
                  <w:marRight w:val="0"/>
                  <w:marTop w:val="0"/>
                  <w:marBottom w:val="0"/>
                  <w:divBdr>
                    <w:top w:val="none" w:sz="0" w:space="0" w:color="auto"/>
                    <w:left w:val="none" w:sz="0" w:space="0" w:color="auto"/>
                    <w:bottom w:val="none" w:sz="0" w:space="0" w:color="auto"/>
                    <w:right w:val="none" w:sz="0" w:space="0" w:color="auto"/>
                  </w:divBdr>
                  <w:divsChild>
                    <w:div w:id="698817595">
                      <w:marLeft w:val="0"/>
                      <w:marRight w:val="0"/>
                      <w:marTop w:val="0"/>
                      <w:marBottom w:val="0"/>
                      <w:divBdr>
                        <w:top w:val="none" w:sz="0" w:space="0" w:color="auto"/>
                        <w:left w:val="none" w:sz="0" w:space="0" w:color="auto"/>
                        <w:bottom w:val="none" w:sz="0" w:space="0" w:color="auto"/>
                        <w:right w:val="none" w:sz="0" w:space="0" w:color="auto"/>
                      </w:divBdr>
                    </w:div>
                  </w:divsChild>
                </w:div>
                <w:div w:id="555094276">
                  <w:marLeft w:val="0"/>
                  <w:marRight w:val="0"/>
                  <w:marTop w:val="0"/>
                  <w:marBottom w:val="0"/>
                  <w:divBdr>
                    <w:top w:val="none" w:sz="0" w:space="0" w:color="auto"/>
                    <w:left w:val="none" w:sz="0" w:space="0" w:color="auto"/>
                    <w:bottom w:val="none" w:sz="0" w:space="0" w:color="auto"/>
                    <w:right w:val="none" w:sz="0" w:space="0" w:color="auto"/>
                  </w:divBdr>
                  <w:divsChild>
                    <w:div w:id="1966420312">
                      <w:marLeft w:val="0"/>
                      <w:marRight w:val="0"/>
                      <w:marTop w:val="0"/>
                      <w:marBottom w:val="0"/>
                      <w:divBdr>
                        <w:top w:val="none" w:sz="0" w:space="0" w:color="auto"/>
                        <w:left w:val="none" w:sz="0" w:space="0" w:color="auto"/>
                        <w:bottom w:val="none" w:sz="0" w:space="0" w:color="auto"/>
                        <w:right w:val="none" w:sz="0" w:space="0" w:color="auto"/>
                      </w:divBdr>
                    </w:div>
                  </w:divsChild>
                </w:div>
                <w:div w:id="565724566">
                  <w:marLeft w:val="0"/>
                  <w:marRight w:val="0"/>
                  <w:marTop w:val="0"/>
                  <w:marBottom w:val="0"/>
                  <w:divBdr>
                    <w:top w:val="none" w:sz="0" w:space="0" w:color="auto"/>
                    <w:left w:val="none" w:sz="0" w:space="0" w:color="auto"/>
                    <w:bottom w:val="none" w:sz="0" w:space="0" w:color="auto"/>
                    <w:right w:val="none" w:sz="0" w:space="0" w:color="auto"/>
                  </w:divBdr>
                  <w:divsChild>
                    <w:div w:id="972488932">
                      <w:marLeft w:val="0"/>
                      <w:marRight w:val="0"/>
                      <w:marTop w:val="0"/>
                      <w:marBottom w:val="0"/>
                      <w:divBdr>
                        <w:top w:val="none" w:sz="0" w:space="0" w:color="auto"/>
                        <w:left w:val="none" w:sz="0" w:space="0" w:color="auto"/>
                        <w:bottom w:val="none" w:sz="0" w:space="0" w:color="auto"/>
                        <w:right w:val="none" w:sz="0" w:space="0" w:color="auto"/>
                      </w:divBdr>
                    </w:div>
                  </w:divsChild>
                </w:div>
                <w:div w:id="573859760">
                  <w:marLeft w:val="0"/>
                  <w:marRight w:val="0"/>
                  <w:marTop w:val="0"/>
                  <w:marBottom w:val="0"/>
                  <w:divBdr>
                    <w:top w:val="none" w:sz="0" w:space="0" w:color="auto"/>
                    <w:left w:val="none" w:sz="0" w:space="0" w:color="auto"/>
                    <w:bottom w:val="none" w:sz="0" w:space="0" w:color="auto"/>
                    <w:right w:val="none" w:sz="0" w:space="0" w:color="auto"/>
                  </w:divBdr>
                  <w:divsChild>
                    <w:div w:id="458032089">
                      <w:marLeft w:val="0"/>
                      <w:marRight w:val="0"/>
                      <w:marTop w:val="0"/>
                      <w:marBottom w:val="0"/>
                      <w:divBdr>
                        <w:top w:val="none" w:sz="0" w:space="0" w:color="auto"/>
                        <w:left w:val="none" w:sz="0" w:space="0" w:color="auto"/>
                        <w:bottom w:val="none" w:sz="0" w:space="0" w:color="auto"/>
                        <w:right w:val="none" w:sz="0" w:space="0" w:color="auto"/>
                      </w:divBdr>
                    </w:div>
                  </w:divsChild>
                </w:div>
                <w:div w:id="605430099">
                  <w:marLeft w:val="0"/>
                  <w:marRight w:val="0"/>
                  <w:marTop w:val="0"/>
                  <w:marBottom w:val="0"/>
                  <w:divBdr>
                    <w:top w:val="none" w:sz="0" w:space="0" w:color="auto"/>
                    <w:left w:val="none" w:sz="0" w:space="0" w:color="auto"/>
                    <w:bottom w:val="none" w:sz="0" w:space="0" w:color="auto"/>
                    <w:right w:val="none" w:sz="0" w:space="0" w:color="auto"/>
                  </w:divBdr>
                  <w:divsChild>
                    <w:div w:id="546383025">
                      <w:marLeft w:val="0"/>
                      <w:marRight w:val="0"/>
                      <w:marTop w:val="0"/>
                      <w:marBottom w:val="0"/>
                      <w:divBdr>
                        <w:top w:val="none" w:sz="0" w:space="0" w:color="auto"/>
                        <w:left w:val="none" w:sz="0" w:space="0" w:color="auto"/>
                        <w:bottom w:val="none" w:sz="0" w:space="0" w:color="auto"/>
                        <w:right w:val="none" w:sz="0" w:space="0" w:color="auto"/>
                      </w:divBdr>
                    </w:div>
                  </w:divsChild>
                </w:div>
                <w:div w:id="625240059">
                  <w:marLeft w:val="0"/>
                  <w:marRight w:val="0"/>
                  <w:marTop w:val="0"/>
                  <w:marBottom w:val="0"/>
                  <w:divBdr>
                    <w:top w:val="none" w:sz="0" w:space="0" w:color="auto"/>
                    <w:left w:val="none" w:sz="0" w:space="0" w:color="auto"/>
                    <w:bottom w:val="none" w:sz="0" w:space="0" w:color="auto"/>
                    <w:right w:val="none" w:sz="0" w:space="0" w:color="auto"/>
                  </w:divBdr>
                  <w:divsChild>
                    <w:div w:id="110519818">
                      <w:marLeft w:val="0"/>
                      <w:marRight w:val="0"/>
                      <w:marTop w:val="0"/>
                      <w:marBottom w:val="0"/>
                      <w:divBdr>
                        <w:top w:val="none" w:sz="0" w:space="0" w:color="auto"/>
                        <w:left w:val="none" w:sz="0" w:space="0" w:color="auto"/>
                        <w:bottom w:val="none" w:sz="0" w:space="0" w:color="auto"/>
                        <w:right w:val="none" w:sz="0" w:space="0" w:color="auto"/>
                      </w:divBdr>
                    </w:div>
                  </w:divsChild>
                </w:div>
                <w:div w:id="680158190">
                  <w:marLeft w:val="0"/>
                  <w:marRight w:val="0"/>
                  <w:marTop w:val="0"/>
                  <w:marBottom w:val="0"/>
                  <w:divBdr>
                    <w:top w:val="none" w:sz="0" w:space="0" w:color="auto"/>
                    <w:left w:val="none" w:sz="0" w:space="0" w:color="auto"/>
                    <w:bottom w:val="none" w:sz="0" w:space="0" w:color="auto"/>
                    <w:right w:val="none" w:sz="0" w:space="0" w:color="auto"/>
                  </w:divBdr>
                  <w:divsChild>
                    <w:div w:id="1216552386">
                      <w:marLeft w:val="0"/>
                      <w:marRight w:val="0"/>
                      <w:marTop w:val="0"/>
                      <w:marBottom w:val="0"/>
                      <w:divBdr>
                        <w:top w:val="none" w:sz="0" w:space="0" w:color="auto"/>
                        <w:left w:val="none" w:sz="0" w:space="0" w:color="auto"/>
                        <w:bottom w:val="none" w:sz="0" w:space="0" w:color="auto"/>
                        <w:right w:val="none" w:sz="0" w:space="0" w:color="auto"/>
                      </w:divBdr>
                    </w:div>
                  </w:divsChild>
                </w:div>
                <w:div w:id="700281229">
                  <w:marLeft w:val="0"/>
                  <w:marRight w:val="0"/>
                  <w:marTop w:val="0"/>
                  <w:marBottom w:val="0"/>
                  <w:divBdr>
                    <w:top w:val="none" w:sz="0" w:space="0" w:color="auto"/>
                    <w:left w:val="none" w:sz="0" w:space="0" w:color="auto"/>
                    <w:bottom w:val="none" w:sz="0" w:space="0" w:color="auto"/>
                    <w:right w:val="none" w:sz="0" w:space="0" w:color="auto"/>
                  </w:divBdr>
                  <w:divsChild>
                    <w:div w:id="797912458">
                      <w:marLeft w:val="0"/>
                      <w:marRight w:val="0"/>
                      <w:marTop w:val="0"/>
                      <w:marBottom w:val="0"/>
                      <w:divBdr>
                        <w:top w:val="none" w:sz="0" w:space="0" w:color="auto"/>
                        <w:left w:val="none" w:sz="0" w:space="0" w:color="auto"/>
                        <w:bottom w:val="none" w:sz="0" w:space="0" w:color="auto"/>
                        <w:right w:val="none" w:sz="0" w:space="0" w:color="auto"/>
                      </w:divBdr>
                    </w:div>
                  </w:divsChild>
                </w:div>
                <w:div w:id="791677101">
                  <w:marLeft w:val="0"/>
                  <w:marRight w:val="0"/>
                  <w:marTop w:val="0"/>
                  <w:marBottom w:val="0"/>
                  <w:divBdr>
                    <w:top w:val="none" w:sz="0" w:space="0" w:color="auto"/>
                    <w:left w:val="none" w:sz="0" w:space="0" w:color="auto"/>
                    <w:bottom w:val="none" w:sz="0" w:space="0" w:color="auto"/>
                    <w:right w:val="none" w:sz="0" w:space="0" w:color="auto"/>
                  </w:divBdr>
                  <w:divsChild>
                    <w:div w:id="1032222846">
                      <w:marLeft w:val="0"/>
                      <w:marRight w:val="0"/>
                      <w:marTop w:val="0"/>
                      <w:marBottom w:val="0"/>
                      <w:divBdr>
                        <w:top w:val="none" w:sz="0" w:space="0" w:color="auto"/>
                        <w:left w:val="none" w:sz="0" w:space="0" w:color="auto"/>
                        <w:bottom w:val="none" w:sz="0" w:space="0" w:color="auto"/>
                        <w:right w:val="none" w:sz="0" w:space="0" w:color="auto"/>
                      </w:divBdr>
                    </w:div>
                  </w:divsChild>
                </w:div>
                <w:div w:id="806093632">
                  <w:marLeft w:val="0"/>
                  <w:marRight w:val="0"/>
                  <w:marTop w:val="0"/>
                  <w:marBottom w:val="0"/>
                  <w:divBdr>
                    <w:top w:val="none" w:sz="0" w:space="0" w:color="auto"/>
                    <w:left w:val="none" w:sz="0" w:space="0" w:color="auto"/>
                    <w:bottom w:val="none" w:sz="0" w:space="0" w:color="auto"/>
                    <w:right w:val="none" w:sz="0" w:space="0" w:color="auto"/>
                  </w:divBdr>
                  <w:divsChild>
                    <w:div w:id="1250429113">
                      <w:marLeft w:val="0"/>
                      <w:marRight w:val="0"/>
                      <w:marTop w:val="0"/>
                      <w:marBottom w:val="0"/>
                      <w:divBdr>
                        <w:top w:val="none" w:sz="0" w:space="0" w:color="auto"/>
                        <w:left w:val="none" w:sz="0" w:space="0" w:color="auto"/>
                        <w:bottom w:val="none" w:sz="0" w:space="0" w:color="auto"/>
                        <w:right w:val="none" w:sz="0" w:space="0" w:color="auto"/>
                      </w:divBdr>
                    </w:div>
                  </w:divsChild>
                </w:div>
                <w:div w:id="859776592">
                  <w:marLeft w:val="0"/>
                  <w:marRight w:val="0"/>
                  <w:marTop w:val="0"/>
                  <w:marBottom w:val="0"/>
                  <w:divBdr>
                    <w:top w:val="none" w:sz="0" w:space="0" w:color="auto"/>
                    <w:left w:val="none" w:sz="0" w:space="0" w:color="auto"/>
                    <w:bottom w:val="none" w:sz="0" w:space="0" w:color="auto"/>
                    <w:right w:val="none" w:sz="0" w:space="0" w:color="auto"/>
                  </w:divBdr>
                  <w:divsChild>
                    <w:div w:id="1486316672">
                      <w:marLeft w:val="0"/>
                      <w:marRight w:val="0"/>
                      <w:marTop w:val="0"/>
                      <w:marBottom w:val="0"/>
                      <w:divBdr>
                        <w:top w:val="none" w:sz="0" w:space="0" w:color="auto"/>
                        <w:left w:val="none" w:sz="0" w:space="0" w:color="auto"/>
                        <w:bottom w:val="none" w:sz="0" w:space="0" w:color="auto"/>
                        <w:right w:val="none" w:sz="0" w:space="0" w:color="auto"/>
                      </w:divBdr>
                    </w:div>
                  </w:divsChild>
                </w:div>
                <w:div w:id="867059186">
                  <w:marLeft w:val="0"/>
                  <w:marRight w:val="0"/>
                  <w:marTop w:val="0"/>
                  <w:marBottom w:val="0"/>
                  <w:divBdr>
                    <w:top w:val="none" w:sz="0" w:space="0" w:color="auto"/>
                    <w:left w:val="none" w:sz="0" w:space="0" w:color="auto"/>
                    <w:bottom w:val="none" w:sz="0" w:space="0" w:color="auto"/>
                    <w:right w:val="none" w:sz="0" w:space="0" w:color="auto"/>
                  </w:divBdr>
                  <w:divsChild>
                    <w:div w:id="1228801035">
                      <w:marLeft w:val="0"/>
                      <w:marRight w:val="0"/>
                      <w:marTop w:val="0"/>
                      <w:marBottom w:val="0"/>
                      <w:divBdr>
                        <w:top w:val="none" w:sz="0" w:space="0" w:color="auto"/>
                        <w:left w:val="none" w:sz="0" w:space="0" w:color="auto"/>
                        <w:bottom w:val="none" w:sz="0" w:space="0" w:color="auto"/>
                        <w:right w:val="none" w:sz="0" w:space="0" w:color="auto"/>
                      </w:divBdr>
                    </w:div>
                  </w:divsChild>
                </w:div>
                <w:div w:id="875429893">
                  <w:marLeft w:val="0"/>
                  <w:marRight w:val="0"/>
                  <w:marTop w:val="0"/>
                  <w:marBottom w:val="0"/>
                  <w:divBdr>
                    <w:top w:val="none" w:sz="0" w:space="0" w:color="auto"/>
                    <w:left w:val="none" w:sz="0" w:space="0" w:color="auto"/>
                    <w:bottom w:val="none" w:sz="0" w:space="0" w:color="auto"/>
                    <w:right w:val="none" w:sz="0" w:space="0" w:color="auto"/>
                  </w:divBdr>
                  <w:divsChild>
                    <w:div w:id="1208642736">
                      <w:marLeft w:val="0"/>
                      <w:marRight w:val="0"/>
                      <w:marTop w:val="0"/>
                      <w:marBottom w:val="0"/>
                      <w:divBdr>
                        <w:top w:val="none" w:sz="0" w:space="0" w:color="auto"/>
                        <w:left w:val="none" w:sz="0" w:space="0" w:color="auto"/>
                        <w:bottom w:val="none" w:sz="0" w:space="0" w:color="auto"/>
                        <w:right w:val="none" w:sz="0" w:space="0" w:color="auto"/>
                      </w:divBdr>
                    </w:div>
                  </w:divsChild>
                </w:div>
                <w:div w:id="906188614">
                  <w:marLeft w:val="0"/>
                  <w:marRight w:val="0"/>
                  <w:marTop w:val="0"/>
                  <w:marBottom w:val="0"/>
                  <w:divBdr>
                    <w:top w:val="none" w:sz="0" w:space="0" w:color="auto"/>
                    <w:left w:val="none" w:sz="0" w:space="0" w:color="auto"/>
                    <w:bottom w:val="none" w:sz="0" w:space="0" w:color="auto"/>
                    <w:right w:val="none" w:sz="0" w:space="0" w:color="auto"/>
                  </w:divBdr>
                  <w:divsChild>
                    <w:div w:id="2069377319">
                      <w:marLeft w:val="0"/>
                      <w:marRight w:val="0"/>
                      <w:marTop w:val="0"/>
                      <w:marBottom w:val="0"/>
                      <w:divBdr>
                        <w:top w:val="none" w:sz="0" w:space="0" w:color="auto"/>
                        <w:left w:val="none" w:sz="0" w:space="0" w:color="auto"/>
                        <w:bottom w:val="none" w:sz="0" w:space="0" w:color="auto"/>
                        <w:right w:val="none" w:sz="0" w:space="0" w:color="auto"/>
                      </w:divBdr>
                    </w:div>
                  </w:divsChild>
                </w:div>
                <w:div w:id="935017996">
                  <w:marLeft w:val="0"/>
                  <w:marRight w:val="0"/>
                  <w:marTop w:val="0"/>
                  <w:marBottom w:val="0"/>
                  <w:divBdr>
                    <w:top w:val="none" w:sz="0" w:space="0" w:color="auto"/>
                    <w:left w:val="none" w:sz="0" w:space="0" w:color="auto"/>
                    <w:bottom w:val="none" w:sz="0" w:space="0" w:color="auto"/>
                    <w:right w:val="none" w:sz="0" w:space="0" w:color="auto"/>
                  </w:divBdr>
                  <w:divsChild>
                    <w:div w:id="78407071">
                      <w:marLeft w:val="0"/>
                      <w:marRight w:val="0"/>
                      <w:marTop w:val="0"/>
                      <w:marBottom w:val="0"/>
                      <w:divBdr>
                        <w:top w:val="none" w:sz="0" w:space="0" w:color="auto"/>
                        <w:left w:val="none" w:sz="0" w:space="0" w:color="auto"/>
                        <w:bottom w:val="none" w:sz="0" w:space="0" w:color="auto"/>
                        <w:right w:val="none" w:sz="0" w:space="0" w:color="auto"/>
                      </w:divBdr>
                    </w:div>
                  </w:divsChild>
                </w:div>
                <w:div w:id="960310119">
                  <w:marLeft w:val="0"/>
                  <w:marRight w:val="0"/>
                  <w:marTop w:val="0"/>
                  <w:marBottom w:val="0"/>
                  <w:divBdr>
                    <w:top w:val="none" w:sz="0" w:space="0" w:color="auto"/>
                    <w:left w:val="none" w:sz="0" w:space="0" w:color="auto"/>
                    <w:bottom w:val="none" w:sz="0" w:space="0" w:color="auto"/>
                    <w:right w:val="none" w:sz="0" w:space="0" w:color="auto"/>
                  </w:divBdr>
                  <w:divsChild>
                    <w:div w:id="960261566">
                      <w:marLeft w:val="0"/>
                      <w:marRight w:val="0"/>
                      <w:marTop w:val="0"/>
                      <w:marBottom w:val="0"/>
                      <w:divBdr>
                        <w:top w:val="none" w:sz="0" w:space="0" w:color="auto"/>
                        <w:left w:val="none" w:sz="0" w:space="0" w:color="auto"/>
                        <w:bottom w:val="none" w:sz="0" w:space="0" w:color="auto"/>
                        <w:right w:val="none" w:sz="0" w:space="0" w:color="auto"/>
                      </w:divBdr>
                    </w:div>
                  </w:divsChild>
                </w:div>
                <w:div w:id="1019232219">
                  <w:marLeft w:val="0"/>
                  <w:marRight w:val="0"/>
                  <w:marTop w:val="0"/>
                  <w:marBottom w:val="0"/>
                  <w:divBdr>
                    <w:top w:val="none" w:sz="0" w:space="0" w:color="auto"/>
                    <w:left w:val="none" w:sz="0" w:space="0" w:color="auto"/>
                    <w:bottom w:val="none" w:sz="0" w:space="0" w:color="auto"/>
                    <w:right w:val="none" w:sz="0" w:space="0" w:color="auto"/>
                  </w:divBdr>
                  <w:divsChild>
                    <w:div w:id="1678967029">
                      <w:marLeft w:val="0"/>
                      <w:marRight w:val="0"/>
                      <w:marTop w:val="0"/>
                      <w:marBottom w:val="0"/>
                      <w:divBdr>
                        <w:top w:val="none" w:sz="0" w:space="0" w:color="auto"/>
                        <w:left w:val="none" w:sz="0" w:space="0" w:color="auto"/>
                        <w:bottom w:val="none" w:sz="0" w:space="0" w:color="auto"/>
                        <w:right w:val="none" w:sz="0" w:space="0" w:color="auto"/>
                      </w:divBdr>
                    </w:div>
                  </w:divsChild>
                </w:div>
                <w:div w:id="1047604304">
                  <w:marLeft w:val="0"/>
                  <w:marRight w:val="0"/>
                  <w:marTop w:val="0"/>
                  <w:marBottom w:val="0"/>
                  <w:divBdr>
                    <w:top w:val="none" w:sz="0" w:space="0" w:color="auto"/>
                    <w:left w:val="none" w:sz="0" w:space="0" w:color="auto"/>
                    <w:bottom w:val="none" w:sz="0" w:space="0" w:color="auto"/>
                    <w:right w:val="none" w:sz="0" w:space="0" w:color="auto"/>
                  </w:divBdr>
                  <w:divsChild>
                    <w:div w:id="579683374">
                      <w:marLeft w:val="0"/>
                      <w:marRight w:val="0"/>
                      <w:marTop w:val="0"/>
                      <w:marBottom w:val="0"/>
                      <w:divBdr>
                        <w:top w:val="none" w:sz="0" w:space="0" w:color="auto"/>
                        <w:left w:val="none" w:sz="0" w:space="0" w:color="auto"/>
                        <w:bottom w:val="none" w:sz="0" w:space="0" w:color="auto"/>
                        <w:right w:val="none" w:sz="0" w:space="0" w:color="auto"/>
                      </w:divBdr>
                    </w:div>
                  </w:divsChild>
                </w:div>
                <w:div w:id="1104810669">
                  <w:marLeft w:val="0"/>
                  <w:marRight w:val="0"/>
                  <w:marTop w:val="0"/>
                  <w:marBottom w:val="0"/>
                  <w:divBdr>
                    <w:top w:val="none" w:sz="0" w:space="0" w:color="auto"/>
                    <w:left w:val="none" w:sz="0" w:space="0" w:color="auto"/>
                    <w:bottom w:val="none" w:sz="0" w:space="0" w:color="auto"/>
                    <w:right w:val="none" w:sz="0" w:space="0" w:color="auto"/>
                  </w:divBdr>
                  <w:divsChild>
                    <w:div w:id="796335581">
                      <w:marLeft w:val="0"/>
                      <w:marRight w:val="0"/>
                      <w:marTop w:val="0"/>
                      <w:marBottom w:val="0"/>
                      <w:divBdr>
                        <w:top w:val="none" w:sz="0" w:space="0" w:color="auto"/>
                        <w:left w:val="none" w:sz="0" w:space="0" w:color="auto"/>
                        <w:bottom w:val="none" w:sz="0" w:space="0" w:color="auto"/>
                        <w:right w:val="none" w:sz="0" w:space="0" w:color="auto"/>
                      </w:divBdr>
                    </w:div>
                  </w:divsChild>
                </w:div>
                <w:div w:id="1219393899">
                  <w:marLeft w:val="0"/>
                  <w:marRight w:val="0"/>
                  <w:marTop w:val="0"/>
                  <w:marBottom w:val="0"/>
                  <w:divBdr>
                    <w:top w:val="none" w:sz="0" w:space="0" w:color="auto"/>
                    <w:left w:val="none" w:sz="0" w:space="0" w:color="auto"/>
                    <w:bottom w:val="none" w:sz="0" w:space="0" w:color="auto"/>
                    <w:right w:val="none" w:sz="0" w:space="0" w:color="auto"/>
                  </w:divBdr>
                  <w:divsChild>
                    <w:div w:id="376248330">
                      <w:marLeft w:val="0"/>
                      <w:marRight w:val="0"/>
                      <w:marTop w:val="0"/>
                      <w:marBottom w:val="0"/>
                      <w:divBdr>
                        <w:top w:val="none" w:sz="0" w:space="0" w:color="auto"/>
                        <w:left w:val="none" w:sz="0" w:space="0" w:color="auto"/>
                        <w:bottom w:val="none" w:sz="0" w:space="0" w:color="auto"/>
                        <w:right w:val="none" w:sz="0" w:space="0" w:color="auto"/>
                      </w:divBdr>
                    </w:div>
                  </w:divsChild>
                </w:div>
                <w:div w:id="1249659233">
                  <w:marLeft w:val="0"/>
                  <w:marRight w:val="0"/>
                  <w:marTop w:val="0"/>
                  <w:marBottom w:val="0"/>
                  <w:divBdr>
                    <w:top w:val="none" w:sz="0" w:space="0" w:color="auto"/>
                    <w:left w:val="none" w:sz="0" w:space="0" w:color="auto"/>
                    <w:bottom w:val="none" w:sz="0" w:space="0" w:color="auto"/>
                    <w:right w:val="none" w:sz="0" w:space="0" w:color="auto"/>
                  </w:divBdr>
                  <w:divsChild>
                    <w:div w:id="50033714">
                      <w:marLeft w:val="0"/>
                      <w:marRight w:val="0"/>
                      <w:marTop w:val="0"/>
                      <w:marBottom w:val="0"/>
                      <w:divBdr>
                        <w:top w:val="none" w:sz="0" w:space="0" w:color="auto"/>
                        <w:left w:val="none" w:sz="0" w:space="0" w:color="auto"/>
                        <w:bottom w:val="none" w:sz="0" w:space="0" w:color="auto"/>
                        <w:right w:val="none" w:sz="0" w:space="0" w:color="auto"/>
                      </w:divBdr>
                    </w:div>
                  </w:divsChild>
                </w:div>
                <w:div w:id="1447774134">
                  <w:marLeft w:val="0"/>
                  <w:marRight w:val="0"/>
                  <w:marTop w:val="0"/>
                  <w:marBottom w:val="0"/>
                  <w:divBdr>
                    <w:top w:val="none" w:sz="0" w:space="0" w:color="auto"/>
                    <w:left w:val="none" w:sz="0" w:space="0" w:color="auto"/>
                    <w:bottom w:val="none" w:sz="0" w:space="0" w:color="auto"/>
                    <w:right w:val="none" w:sz="0" w:space="0" w:color="auto"/>
                  </w:divBdr>
                  <w:divsChild>
                    <w:div w:id="1177580147">
                      <w:marLeft w:val="0"/>
                      <w:marRight w:val="0"/>
                      <w:marTop w:val="0"/>
                      <w:marBottom w:val="0"/>
                      <w:divBdr>
                        <w:top w:val="none" w:sz="0" w:space="0" w:color="auto"/>
                        <w:left w:val="none" w:sz="0" w:space="0" w:color="auto"/>
                        <w:bottom w:val="none" w:sz="0" w:space="0" w:color="auto"/>
                        <w:right w:val="none" w:sz="0" w:space="0" w:color="auto"/>
                      </w:divBdr>
                    </w:div>
                  </w:divsChild>
                </w:div>
                <w:div w:id="1481188525">
                  <w:marLeft w:val="0"/>
                  <w:marRight w:val="0"/>
                  <w:marTop w:val="0"/>
                  <w:marBottom w:val="0"/>
                  <w:divBdr>
                    <w:top w:val="none" w:sz="0" w:space="0" w:color="auto"/>
                    <w:left w:val="none" w:sz="0" w:space="0" w:color="auto"/>
                    <w:bottom w:val="none" w:sz="0" w:space="0" w:color="auto"/>
                    <w:right w:val="none" w:sz="0" w:space="0" w:color="auto"/>
                  </w:divBdr>
                  <w:divsChild>
                    <w:div w:id="1018388375">
                      <w:marLeft w:val="0"/>
                      <w:marRight w:val="0"/>
                      <w:marTop w:val="0"/>
                      <w:marBottom w:val="0"/>
                      <w:divBdr>
                        <w:top w:val="none" w:sz="0" w:space="0" w:color="auto"/>
                        <w:left w:val="none" w:sz="0" w:space="0" w:color="auto"/>
                        <w:bottom w:val="none" w:sz="0" w:space="0" w:color="auto"/>
                        <w:right w:val="none" w:sz="0" w:space="0" w:color="auto"/>
                      </w:divBdr>
                    </w:div>
                  </w:divsChild>
                </w:div>
                <w:div w:id="1493568662">
                  <w:marLeft w:val="0"/>
                  <w:marRight w:val="0"/>
                  <w:marTop w:val="0"/>
                  <w:marBottom w:val="0"/>
                  <w:divBdr>
                    <w:top w:val="none" w:sz="0" w:space="0" w:color="auto"/>
                    <w:left w:val="none" w:sz="0" w:space="0" w:color="auto"/>
                    <w:bottom w:val="none" w:sz="0" w:space="0" w:color="auto"/>
                    <w:right w:val="none" w:sz="0" w:space="0" w:color="auto"/>
                  </w:divBdr>
                  <w:divsChild>
                    <w:div w:id="1290822915">
                      <w:marLeft w:val="0"/>
                      <w:marRight w:val="0"/>
                      <w:marTop w:val="0"/>
                      <w:marBottom w:val="0"/>
                      <w:divBdr>
                        <w:top w:val="none" w:sz="0" w:space="0" w:color="auto"/>
                        <w:left w:val="none" w:sz="0" w:space="0" w:color="auto"/>
                        <w:bottom w:val="none" w:sz="0" w:space="0" w:color="auto"/>
                        <w:right w:val="none" w:sz="0" w:space="0" w:color="auto"/>
                      </w:divBdr>
                    </w:div>
                  </w:divsChild>
                </w:div>
                <w:div w:id="1669748138">
                  <w:marLeft w:val="0"/>
                  <w:marRight w:val="0"/>
                  <w:marTop w:val="0"/>
                  <w:marBottom w:val="0"/>
                  <w:divBdr>
                    <w:top w:val="none" w:sz="0" w:space="0" w:color="auto"/>
                    <w:left w:val="none" w:sz="0" w:space="0" w:color="auto"/>
                    <w:bottom w:val="none" w:sz="0" w:space="0" w:color="auto"/>
                    <w:right w:val="none" w:sz="0" w:space="0" w:color="auto"/>
                  </w:divBdr>
                  <w:divsChild>
                    <w:div w:id="211697074">
                      <w:marLeft w:val="0"/>
                      <w:marRight w:val="0"/>
                      <w:marTop w:val="0"/>
                      <w:marBottom w:val="0"/>
                      <w:divBdr>
                        <w:top w:val="none" w:sz="0" w:space="0" w:color="auto"/>
                        <w:left w:val="none" w:sz="0" w:space="0" w:color="auto"/>
                        <w:bottom w:val="none" w:sz="0" w:space="0" w:color="auto"/>
                        <w:right w:val="none" w:sz="0" w:space="0" w:color="auto"/>
                      </w:divBdr>
                    </w:div>
                  </w:divsChild>
                </w:div>
                <w:div w:id="1670447746">
                  <w:marLeft w:val="0"/>
                  <w:marRight w:val="0"/>
                  <w:marTop w:val="0"/>
                  <w:marBottom w:val="0"/>
                  <w:divBdr>
                    <w:top w:val="none" w:sz="0" w:space="0" w:color="auto"/>
                    <w:left w:val="none" w:sz="0" w:space="0" w:color="auto"/>
                    <w:bottom w:val="none" w:sz="0" w:space="0" w:color="auto"/>
                    <w:right w:val="none" w:sz="0" w:space="0" w:color="auto"/>
                  </w:divBdr>
                  <w:divsChild>
                    <w:div w:id="908346232">
                      <w:marLeft w:val="0"/>
                      <w:marRight w:val="0"/>
                      <w:marTop w:val="0"/>
                      <w:marBottom w:val="0"/>
                      <w:divBdr>
                        <w:top w:val="none" w:sz="0" w:space="0" w:color="auto"/>
                        <w:left w:val="none" w:sz="0" w:space="0" w:color="auto"/>
                        <w:bottom w:val="none" w:sz="0" w:space="0" w:color="auto"/>
                        <w:right w:val="none" w:sz="0" w:space="0" w:color="auto"/>
                      </w:divBdr>
                    </w:div>
                  </w:divsChild>
                </w:div>
                <w:div w:id="1680235095">
                  <w:marLeft w:val="0"/>
                  <w:marRight w:val="0"/>
                  <w:marTop w:val="0"/>
                  <w:marBottom w:val="0"/>
                  <w:divBdr>
                    <w:top w:val="none" w:sz="0" w:space="0" w:color="auto"/>
                    <w:left w:val="none" w:sz="0" w:space="0" w:color="auto"/>
                    <w:bottom w:val="none" w:sz="0" w:space="0" w:color="auto"/>
                    <w:right w:val="none" w:sz="0" w:space="0" w:color="auto"/>
                  </w:divBdr>
                  <w:divsChild>
                    <w:div w:id="2124760175">
                      <w:marLeft w:val="0"/>
                      <w:marRight w:val="0"/>
                      <w:marTop w:val="0"/>
                      <w:marBottom w:val="0"/>
                      <w:divBdr>
                        <w:top w:val="none" w:sz="0" w:space="0" w:color="auto"/>
                        <w:left w:val="none" w:sz="0" w:space="0" w:color="auto"/>
                        <w:bottom w:val="none" w:sz="0" w:space="0" w:color="auto"/>
                        <w:right w:val="none" w:sz="0" w:space="0" w:color="auto"/>
                      </w:divBdr>
                    </w:div>
                  </w:divsChild>
                </w:div>
                <w:div w:id="1762868905">
                  <w:marLeft w:val="0"/>
                  <w:marRight w:val="0"/>
                  <w:marTop w:val="0"/>
                  <w:marBottom w:val="0"/>
                  <w:divBdr>
                    <w:top w:val="none" w:sz="0" w:space="0" w:color="auto"/>
                    <w:left w:val="none" w:sz="0" w:space="0" w:color="auto"/>
                    <w:bottom w:val="none" w:sz="0" w:space="0" w:color="auto"/>
                    <w:right w:val="none" w:sz="0" w:space="0" w:color="auto"/>
                  </w:divBdr>
                  <w:divsChild>
                    <w:div w:id="1726221599">
                      <w:marLeft w:val="0"/>
                      <w:marRight w:val="0"/>
                      <w:marTop w:val="0"/>
                      <w:marBottom w:val="0"/>
                      <w:divBdr>
                        <w:top w:val="none" w:sz="0" w:space="0" w:color="auto"/>
                        <w:left w:val="none" w:sz="0" w:space="0" w:color="auto"/>
                        <w:bottom w:val="none" w:sz="0" w:space="0" w:color="auto"/>
                        <w:right w:val="none" w:sz="0" w:space="0" w:color="auto"/>
                      </w:divBdr>
                    </w:div>
                  </w:divsChild>
                </w:div>
                <w:div w:id="1800757397">
                  <w:marLeft w:val="0"/>
                  <w:marRight w:val="0"/>
                  <w:marTop w:val="0"/>
                  <w:marBottom w:val="0"/>
                  <w:divBdr>
                    <w:top w:val="none" w:sz="0" w:space="0" w:color="auto"/>
                    <w:left w:val="none" w:sz="0" w:space="0" w:color="auto"/>
                    <w:bottom w:val="none" w:sz="0" w:space="0" w:color="auto"/>
                    <w:right w:val="none" w:sz="0" w:space="0" w:color="auto"/>
                  </w:divBdr>
                  <w:divsChild>
                    <w:div w:id="1738477335">
                      <w:marLeft w:val="0"/>
                      <w:marRight w:val="0"/>
                      <w:marTop w:val="0"/>
                      <w:marBottom w:val="0"/>
                      <w:divBdr>
                        <w:top w:val="none" w:sz="0" w:space="0" w:color="auto"/>
                        <w:left w:val="none" w:sz="0" w:space="0" w:color="auto"/>
                        <w:bottom w:val="none" w:sz="0" w:space="0" w:color="auto"/>
                        <w:right w:val="none" w:sz="0" w:space="0" w:color="auto"/>
                      </w:divBdr>
                    </w:div>
                  </w:divsChild>
                </w:div>
                <w:div w:id="1802308110">
                  <w:marLeft w:val="0"/>
                  <w:marRight w:val="0"/>
                  <w:marTop w:val="0"/>
                  <w:marBottom w:val="0"/>
                  <w:divBdr>
                    <w:top w:val="none" w:sz="0" w:space="0" w:color="auto"/>
                    <w:left w:val="none" w:sz="0" w:space="0" w:color="auto"/>
                    <w:bottom w:val="none" w:sz="0" w:space="0" w:color="auto"/>
                    <w:right w:val="none" w:sz="0" w:space="0" w:color="auto"/>
                  </w:divBdr>
                  <w:divsChild>
                    <w:div w:id="934048615">
                      <w:marLeft w:val="0"/>
                      <w:marRight w:val="0"/>
                      <w:marTop w:val="0"/>
                      <w:marBottom w:val="0"/>
                      <w:divBdr>
                        <w:top w:val="none" w:sz="0" w:space="0" w:color="auto"/>
                        <w:left w:val="none" w:sz="0" w:space="0" w:color="auto"/>
                        <w:bottom w:val="none" w:sz="0" w:space="0" w:color="auto"/>
                        <w:right w:val="none" w:sz="0" w:space="0" w:color="auto"/>
                      </w:divBdr>
                    </w:div>
                  </w:divsChild>
                </w:div>
                <w:div w:id="1855726293">
                  <w:marLeft w:val="0"/>
                  <w:marRight w:val="0"/>
                  <w:marTop w:val="0"/>
                  <w:marBottom w:val="0"/>
                  <w:divBdr>
                    <w:top w:val="none" w:sz="0" w:space="0" w:color="auto"/>
                    <w:left w:val="none" w:sz="0" w:space="0" w:color="auto"/>
                    <w:bottom w:val="none" w:sz="0" w:space="0" w:color="auto"/>
                    <w:right w:val="none" w:sz="0" w:space="0" w:color="auto"/>
                  </w:divBdr>
                  <w:divsChild>
                    <w:div w:id="382221366">
                      <w:marLeft w:val="0"/>
                      <w:marRight w:val="0"/>
                      <w:marTop w:val="0"/>
                      <w:marBottom w:val="0"/>
                      <w:divBdr>
                        <w:top w:val="none" w:sz="0" w:space="0" w:color="auto"/>
                        <w:left w:val="none" w:sz="0" w:space="0" w:color="auto"/>
                        <w:bottom w:val="none" w:sz="0" w:space="0" w:color="auto"/>
                        <w:right w:val="none" w:sz="0" w:space="0" w:color="auto"/>
                      </w:divBdr>
                    </w:div>
                  </w:divsChild>
                </w:div>
                <w:div w:id="1955594879">
                  <w:marLeft w:val="0"/>
                  <w:marRight w:val="0"/>
                  <w:marTop w:val="0"/>
                  <w:marBottom w:val="0"/>
                  <w:divBdr>
                    <w:top w:val="none" w:sz="0" w:space="0" w:color="auto"/>
                    <w:left w:val="none" w:sz="0" w:space="0" w:color="auto"/>
                    <w:bottom w:val="none" w:sz="0" w:space="0" w:color="auto"/>
                    <w:right w:val="none" w:sz="0" w:space="0" w:color="auto"/>
                  </w:divBdr>
                  <w:divsChild>
                    <w:div w:id="830220474">
                      <w:marLeft w:val="0"/>
                      <w:marRight w:val="0"/>
                      <w:marTop w:val="0"/>
                      <w:marBottom w:val="0"/>
                      <w:divBdr>
                        <w:top w:val="none" w:sz="0" w:space="0" w:color="auto"/>
                        <w:left w:val="none" w:sz="0" w:space="0" w:color="auto"/>
                        <w:bottom w:val="none" w:sz="0" w:space="0" w:color="auto"/>
                        <w:right w:val="none" w:sz="0" w:space="0" w:color="auto"/>
                      </w:divBdr>
                    </w:div>
                  </w:divsChild>
                </w:div>
                <w:div w:id="2067221921">
                  <w:marLeft w:val="0"/>
                  <w:marRight w:val="0"/>
                  <w:marTop w:val="0"/>
                  <w:marBottom w:val="0"/>
                  <w:divBdr>
                    <w:top w:val="none" w:sz="0" w:space="0" w:color="auto"/>
                    <w:left w:val="none" w:sz="0" w:space="0" w:color="auto"/>
                    <w:bottom w:val="none" w:sz="0" w:space="0" w:color="auto"/>
                    <w:right w:val="none" w:sz="0" w:space="0" w:color="auto"/>
                  </w:divBdr>
                  <w:divsChild>
                    <w:div w:id="689798009">
                      <w:marLeft w:val="0"/>
                      <w:marRight w:val="0"/>
                      <w:marTop w:val="0"/>
                      <w:marBottom w:val="0"/>
                      <w:divBdr>
                        <w:top w:val="none" w:sz="0" w:space="0" w:color="auto"/>
                        <w:left w:val="none" w:sz="0" w:space="0" w:color="auto"/>
                        <w:bottom w:val="none" w:sz="0" w:space="0" w:color="auto"/>
                        <w:right w:val="none" w:sz="0" w:space="0" w:color="auto"/>
                      </w:divBdr>
                    </w:div>
                  </w:divsChild>
                </w:div>
                <w:div w:id="2094423826">
                  <w:marLeft w:val="0"/>
                  <w:marRight w:val="0"/>
                  <w:marTop w:val="0"/>
                  <w:marBottom w:val="0"/>
                  <w:divBdr>
                    <w:top w:val="none" w:sz="0" w:space="0" w:color="auto"/>
                    <w:left w:val="none" w:sz="0" w:space="0" w:color="auto"/>
                    <w:bottom w:val="none" w:sz="0" w:space="0" w:color="auto"/>
                    <w:right w:val="none" w:sz="0" w:space="0" w:color="auto"/>
                  </w:divBdr>
                  <w:divsChild>
                    <w:div w:id="534395017">
                      <w:marLeft w:val="0"/>
                      <w:marRight w:val="0"/>
                      <w:marTop w:val="0"/>
                      <w:marBottom w:val="0"/>
                      <w:divBdr>
                        <w:top w:val="none" w:sz="0" w:space="0" w:color="auto"/>
                        <w:left w:val="none" w:sz="0" w:space="0" w:color="auto"/>
                        <w:bottom w:val="none" w:sz="0" w:space="0" w:color="auto"/>
                        <w:right w:val="none" w:sz="0" w:space="0" w:color="auto"/>
                      </w:divBdr>
                    </w:div>
                  </w:divsChild>
                </w:div>
                <w:div w:id="2124765791">
                  <w:marLeft w:val="0"/>
                  <w:marRight w:val="0"/>
                  <w:marTop w:val="0"/>
                  <w:marBottom w:val="0"/>
                  <w:divBdr>
                    <w:top w:val="none" w:sz="0" w:space="0" w:color="auto"/>
                    <w:left w:val="none" w:sz="0" w:space="0" w:color="auto"/>
                    <w:bottom w:val="none" w:sz="0" w:space="0" w:color="auto"/>
                    <w:right w:val="none" w:sz="0" w:space="0" w:color="auto"/>
                  </w:divBdr>
                  <w:divsChild>
                    <w:div w:id="1245646338">
                      <w:marLeft w:val="0"/>
                      <w:marRight w:val="0"/>
                      <w:marTop w:val="0"/>
                      <w:marBottom w:val="0"/>
                      <w:divBdr>
                        <w:top w:val="none" w:sz="0" w:space="0" w:color="auto"/>
                        <w:left w:val="none" w:sz="0" w:space="0" w:color="auto"/>
                        <w:bottom w:val="none" w:sz="0" w:space="0" w:color="auto"/>
                        <w:right w:val="none" w:sz="0" w:space="0" w:color="auto"/>
                      </w:divBdr>
                    </w:div>
                  </w:divsChild>
                </w:div>
                <w:div w:id="2127575765">
                  <w:marLeft w:val="0"/>
                  <w:marRight w:val="0"/>
                  <w:marTop w:val="0"/>
                  <w:marBottom w:val="0"/>
                  <w:divBdr>
                    <w:top w:val="none" w:sz="0" w:space="0" w:color="auto"/>
                    <w:left w:val="none" w:sz="0" w:space="0" w:color="auto"/>
                    <w:bottom w:val="none" w:sz="0" w:space="0" w:color="auto"/>
                    <w:right w:val="none" w:sz="0" w:space="0" w:color="auto"/>
                  </w:divBdr>
                  <w:divsChild>
                    <w:div w:id="21160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4282">
          <w:marLeft w:val="0"/>
          <w:marRight w:val="0"/>
          <w:marTop w:val="0"/>
          <w:marBottom w:val="0"/>
          <w:divBdr>
            <w:top w:val="none" w:sz="0" w:space="0" w:color="auto"/>
            <w:left w:val="none" w:sz="0" w:space="0" w:color="auto"/>
            <w:bottom w:val="none" w:sz="0" w:space="0" w:color="auto"/>
            <w:right w:val="none" w:sz="0" w:space="0" w:color="auto"/>
          </w:divBdr>
        </w:div>
        <w:div w:id="2124568560">
          <w:marLeft w:val="0"/>
          <w:marRight w:val="0"/>
          <w:marTop w:val="0"/>
          <w:marBottom w:val="0"/>
          <w:divBdr>
            <w:top w:val="none" w:sz="0" w:space="0" w:color="auto"/>
            <w:left w:val="none" w:sz="0" w:space="0" w:color="auto"/>
            <w:bottom w:val="none" w:sz="0" w:space="0" w:color="auto"/>
            <w:right w:val="none" w:sz="0" w:space="0" w:color="auto"/>
          </w:divBdr>
        </w:div>
        <w:div w:id="2125415061">
          <w:marLeft w:val="0"/>
          <w:marRight w:val="0"/>
          <w:marTop w:val="0"/>
          <w:marBottom w:val="0"/>
          <w:divBdr>
            <w:top w:val="none" w:sz="0" w:space="0" w:color="auto"/>
            <w:left w:val="none" w:sz="0" w:space="0" w:color="auto"/>
            <w:bottom w:val="none" w:sz="0" w:space="0" w:color="auto"/>
            <w:right w:val="none" w:sz="0" w:space="0" w:color="auto"/>
          </w:divBdr>
        </w:div>
      </w:divsChild>
    </w:div>
    <w:div w:id="1068386532">
      <w:bodyDiv w:val="1"/>
      <w:marLeft w:val="0"/>
      <w:marRight w:val="0"/>
      <w:marTop w:val="0"/>
      <w:marBottom w:val="0"/>
      <w:divBdr>
        <w:top w:val="none" w:sz="0" w:space="0" w:color="auto"/>
        <w:left w:val="none" w:sz="0" w:space="0" w:color="auto"/>
        <w:bottom w:val="none" w:sz="0" w:space="0" w:color="auto"/>
        <w:right w:val="none" w:sz="0" w:space="0" w:color="auto"/>
      </w:divBdr>
      <w:divsChild>
        <w:div w:id="4719127">
          <w:marLeft w:val="0"/>
          <w:marRight w:val="0"/>
          <w:marTop w:val="0"/>
          <w:marBottom w:val="0"/>
          <w:divBdr>
            <w:top w:val="none" w:sz="0" w:space="0" w:color="auto"/>
            <w:left w:val="none" w:sz="0" w:space="0" w:color="auto"/>
            <w:bottom w:val="none" w:sz="0" w:space="0" w:color="auto"/>
            <w:right w:val="none" w:sz="0" w:space="0" w:color="auto"/>
          </w:divBdr>
          <w:divsChild>
            <w:div w:id="1217428382">
              <w:marLeft w:val="-75"/>
              <w:marRight w:val="0"/>
              <w:marTop w:val="30"/>
              <w:marBottom w:val="30"/>
              <w:divBdr>
                <w:top w:val="none" w:sz="0" w:space="0" w:color="auto"/>
                <w:left w:val="none" w:sz="0" w:space="0" w:color="auto"/>
                <w:bottom w:val="none" w:sz="0" w:space="0" w:color="auto"/>
                <w:right w:val="none" w:sz="0" w:space="0" w:color="auto"/>
              </w:divBdr>
              <w:divsChild>
                <w:div w:id="472604125">
                  <w:marLeft w:val="0"/>
                  <w:marRight w:val="0"/>
                  <w:marTop w:val="0"/>
                  <w:marBottom w:val="0"/>
                  <w:divBdr>
                    <w:top w:val="none" w:sz="0" w:space="0" w:color="auto"/>
                    <w:left w:val="none" w:sz="0" w:space="0" w:color="auto"/>
                    <w:bottom w:val="none" w:sz="0" w:space="0" w:color="auto"/>
                    <w:right w:val="none" w:sz="0" w:space="0" w:color="auto"/>
                  </w:divBdr>
                  <w:divsChild>
                    <w:div w:id="257913658">
                      <w:marLeft w:val="0"/>
                      <w:marRight w:val="0"/>
                      <w:marTop w:val="0"/>
                      <w:marBottom w:val="0"/>
                      <w:divBdr>
                        <w:top w:val="none" w:sz="0" w:space="0" w:color="auto"/>
                        <w:left w:val="none" w:sz="0" w:space="0" w:color="auto"/>
                        <w:bottom w:val="none" w:sz="0" w:space="0" w:color="auto"/>
                        <w:right w:val="none" w:sz="0" w:space="0" w:color="auto"/>
                      </w:divBdr>
                    </w:div>
                  </w:divsChild>
                </w:div>
                <w:div w:id="478889976">
                  <w:marLeft w:val="0"/>
                  <w:marRight w:val="0"/>
                  <w:marTop w:val="0"/>
                  <w:marBottom w:val="0"/>
                  <w:divBdr>
                    <w:top w:val="none" w:sz="0" w:space="0" w:color="auto"/>
                    <w:left w:val="none" w:sz="0" w:space="0" w:color="auto"/>
                    <w:bottom w:val="none" w:sz="0" w:space="0" w:color="auto"/>
                    <w:right w:val="none" w:sz="0" w:space="0" w:color="auto"/>
                  </w:divBdr>
                  <w:divsChild>
                    <w:div w:id="642740526">
                      <w:marLeft w:val="0"/>
                      <w:marRight w:val="0"/>
                      <w:marTop w:val="0"/>
                      <w:marBottom w:val="0"/>
                      <w:divBdr>
                        <w:top w:val="none" w:sz="0" w:space="0" w:color="auto"/>
                        <w:left w:val="none" w:sz="0" w:space="0" w:color="auto"/>
                        <w:bottom w:val="none" w:sz="0" w:space="0" w:color="auto"/>
                        <w:right w:val="none" w:sz="0" w:space="0" w:color="auto"/>
                      </w:divBdr>
                    </w:div>
                  </w:divsChild>
                </w:div>
                <w:div w:id="649990937">
                  <w:marLeft w:val="0"/>
                  <w:marRight w:val="0"/>
                  <w:marTop w:val="0"/>
                  <w:marBottom w:val="0"/>
                  <w:divBdr>
                    <w:top w:val="none" w:sz="0" w:space="0" w:color="auto"/>
                    <w:left w:val="none" w:sz="0" w:space="0" w:color="auto"/>
                    <w:bottom w:val="none" w:sz="0" w:space="0" w:color="auto"/>
                    <w:right w:val="none" w:sz="0" w:space="0" w:color="auto"/>
                  </w:divBdr>
                  <w:divsChild>
                    <w:div w:id="781270205">
                      <w:marLeft w:val="0"/>
                      <w:marRight w:val="0"/>
                      <w:marTop w:val="0"/>
                      <w:marBottom w:val="0"/>
                      <w:divBdr>
                        <w:top w:val="none" w:sz="0" w:space="0" w:color="auto"/>
                        <w:left w:val="none" w:sz="0" w:space="0" w:color="auto"/>
                        <w:bottom w:val="none" w:sz="0" w:space="0" w:color="auto"/>
                        <w:right w:val="none" w:sz="0" w:space="0" w:color="auto"/>
                      </w:divBdr>
                    </w:div>
                  </w:divsChild>
                </w:div>
                <w:div w:id="818964878">
                  <w:marLeft w:val="0"/>
                  <w:marRight w:val="0"/>
                  <w:marTop w:val="0"/>
                  <w:marBottom w:val="0"/>
                  <w:divBdr>
                    <w:top w:val="none" w:sz="0" w:space="0" w:color="auto"/>
                    <w:left w:val="none" w:sz="0" w:space="0" w:color="auto"/>
                    <w:bottom w:val="none" w:sz="0" w:space="0" w:color="auto"/>
                    <w:right w:val="none" w:sz="0" w:space="0" w:color="auto"/>
                  </w:divBdr>
                  <w:divsChild>
                    <w:div w:id="2028093656">
                      <w:marLeft w:val="0"/>
                      <w:marRight w:val="0"/>
                      <w:marTop w:val="0"/>
                      <w:marBottom w:val="0"/>
                      <w:divBdr>
                        <w:top w:val="none" w:sz="0" w:space="0" w:color="auto"/>
                        <w:left w:val="none" w:sz="0" w:space="0" w:color="auto"/>
                        <w:bottom w:val="none" w:sz="0" w:space="0" w:color="auto"/>
                        <w:right w:val="none" w:sz="0" w:space="0" w:color="auto"/>
                      </w:divBdr>
                    </w:div>
                  </w:divsChild>
                </w:div>
                <w:div w:id="906573051">
                  <w:marLeft w:val="0"/>
                  <w:marRight w:val="0"/>
                  <w:marTop w:val="0"/>
                  <w:marBottom w:val="0"/>
                  <w:divBdr>
                    <w:top w:val="none" w:sz="0" w:space="0" w:color="auto"/>
                    <w:left w:val="none" w:sz="0" w:space="0" w:color="auto"/>
                    <w:bottom w:val="none" w:sz="0" w:space="0" w:color="auto"/>
                    <w:right w:val="none" w:sz="0" w:space="0" w:color="auto"/>
                  </w:divBdr>
                  <w:divsChild>
                    <w:div w:id="143593838">
                      <w:marLeft w:val="0"/>
                      <w:marRight w:val="0"/>
                      <w:marTop w:val="0"/>
                      <w:marBottom w:val="0"/>
                      <w:divBdr>
                        <w:top w:val="none" w:sz="0" w:space="0" w:color="auto"/>
                        <w:left w:val="none" w:sz="0" w:space="0" w:color="auto"/>
                        <w:bottom w:val="none" w:sz="0" w:space="0" w:color="auto"/>
                        <w:right w:val="none" w:sz="0" w:space="0" w:color="auto"/>
                      </w:divBdr>
                    </w:div>
                  </w:divsChild>
                </w:div>
                <w:div w:id="957880292">
                  <w:marLeft w:val="0"/>
                  <w:marRight w:val="0"/>
                  <w:marTop w:val="0"/>
                  <w:marBottom w:val="0"/>
                  <w:divBdr>
                    <w:top w:val="none" w:sz="0" w:space="0" w:color="auto"/>
                    <w:left w:val="none" w:sz="0" w:space="0" w:color="auto"/>
                    <w:bottom w:val="none" w:sz="0" w:space="0" w:color="auto"/>
                    <w:right w:val="none" w:sz="0" w:space="0" w:color="auto"/>
                  </w:divBdr>
                  <w:divsChild>
                    <w:div w:id="1800605421">
                      <w:marLeft w:val="0"/>
                      <w:marRight w:val="0"/>
                      <w:marTop w:val="0"/>
                      <w:marBottom w:val="0"/>
                      <w:divBdr>
                        <w:top w:val="none" w:sz="0" w:space="0" w:color="auto"/>
                        <w:left w:val="none" w:sz="0" w:space="0" w:color="auto"/>
                        <w:bottom w:val="none" w:sz="0" w:space="0" w:color="auto"/>
                        <w:right w:val="none" w:sz="0" w:space="0" w:color="auto"/>
                      </w:divBdr>
                    </w:div>
                  </w:divsChild>
                </w:div>
                <w:div w:id="985276295">
                  <w:marLeft w:val="0"/>
                  <w:marRight w:val="0"/>
                  <w:marTop w:val="0"/>
                  <w:marBottom w:val="0"/>
                  <w:divBdr>
                    <w:top w:val="none" w:sz="0" w:space="0" w:color="auto"/>
                    <w:left w:val="none" w:sz="0" w:space="0" w:color="auto"/>
                    <w:bottom w:val="none" w:sz="0" w:space="0" w:color="auto"/>
                    <w:right w:val="none" w:sz="0" w:space="0" w:color="auto"/>
                  </w:divBdr>
                  <w:divsChild>
                    <w:div w:id="508447791">
                      <w:marLeft w:val="0"/>
                      <w:marRight w:val="0"/>
                      <w:marTop w:val="0"/>
                      <w:marBottom w:val="0"/>
                      <w:divBdr>
                        <w:top w:val="none" w:sz="0" w:space="0" w:color="auto"/>
                        <w:left w:val="none" w:sz="0" w:space="0" w:color="auto"/>
                        <w:bottom w:val="none" w:sz="0" w:space="0" w:color="auto"/>
                        <w:right w:val="none" w:sz="0" w:space="0" w:color="auto"/>
                      </w:divBdr>
                    </w:div>
                  </w:divsChild>
                </w:div>
                <w:div w:id="1025210742">
                  <w:marLeft w:val="0"/>
                  <w:marRight w:val="0"/>
                  <w:marTop w:val="0"/>
                  <w:marBottom w:val="0"/>
                  <w:divBdr>
                    <w:top w:val="none" w:sz="0" w:space="0" w:color="auto"/>
                    <w:left w:val="none" w:sz="0" w:space="0" w:color="auto"/>
                    <w:bottom w:val="none" w:sz="0" w:space="0" w:color="auto"/>
                    <w:right w:val="none" w:sz="0" w:space="0" w:color="auto"/>
                  </w:divBdr>
                  <w:divsChild>
                    <w:div w:id="1629310603">
                      <w:marLeft w:val="0"/>
                      <w:marRight w:val="0"/>
                      <w:marTop w:val="0"/>
                      <w:marBottom w:val="0"/>
                      <w:divBdr>
                        <w:top w:val="none" w:sz="0" w:space="0" w:color="auto"/>
                        <w:left w:val="none" w:sz="0" w:space="0" w:color="auto"/>
                        <w:bottom w:val="none" w:sz="0" w:space="0" w:color="auto"/>
                        <w:right w:val="none" w:sz="0" w:space="0" w:color="auto"/>
                      </w:divBdr>
                    </w:div>
                  </w:divsChild>
                </w:div>
                <w:div w:id="1028292169">
                  <w:marLeft w:val="0"/>
                  <w:marRight w:val="0"/>
                  <w:marTop w:val="0"/>
                  <w:marBottom w:val="0"/>
                  <w:divBdr>
                    <w:top w:val="none" w:sz="0" w:space="0" w:color="auto"/>
                    <w:left w:val="none" w:sz="0" w:space="0" w:color="auto"/>
                    <w:bottom w:val="none" w:sz="0" w:space="0" w:color="auto"/>
                    <w:right w:val="none" w:sz="0" w:space="0" w:color="auto"/>
                  </w:divBdr>
                  <w:divsChild>
                    <w:div w:id="990064111">
                      <w:marLeft w:val="0"/>
                      <w:marRight w:val="0"/>
                      <w:marTop w:val="0"/>
                      <w:marBottom w:val="0"/>
                      <w:divBdr>
                        <w:top w:val="none" w:sz="0" w:space="0" w:color="auto"/>
                        <w:left w:val="none" w:sz="0" w:space="0" w:color="auto"/>
                        <w:bottom w:val="none" w:sz="0" w:space="0" w:color="auto"/>
                        <w:right w:val="none" w:sz="0" w:space="0" w:color="auto"/>
                      </w:divBdr>
                    </w:div>
                  </w:divsChild>
                </w:div>
                <w:div w:id="1054695901">
                  <w:marLeft w:val="0"/>
                  <w:marRight w:val="0"/>
                  <w:marTop w:val="0"/>
                  <w:marBottom w:val="0"/>
                  <w:divBdr>
                    <w:top w:val="none" w:sz="0" w:space="0" w:color="auto"/>
                    <w:left w:val="none" w:sz="0" w:space="0" w:color="auto"/>
                    <w:bottom w:val="none" w:sz="0" w:space="0" w:color="auto"/>
                    <w:right w:val="none" w:sz="0" w:space="0" w:color="auto"/>
                  </w:divBdr>
                  <w:divsChild>
                    <w:div w:id="60955228">
                      <w:marLeft w:val="0"/>
                      <w:marRight w:val="0"/>
                      <w:marTop w:val="0"/>
                      <w:marBottom w:val="0"/>
                      <w:divBdr>
                        <w:top w:val="none" w:sz="0" w:space="0" w:color="auto"/>
                        <w:left w:val="none" w:sz="0" w:space="0" w:color="auto"/>
                        <w:bottom w:val="none" w:sz="0" w:space="0" w:color="auto"/>
                        <w:right w:val="none" w:sz="0" w:space="0" w:color="auto"/>
                      </w:divBdr>
                    </w:div>
                  </w:divsChild>
                </w:div>
                <w:div w:id="1108695819">
                  <w:marLeft w:val="0"/>
                  <w:marRight w:val="0"/>
                  <w:marTop w:val="0"/>
                  <w:marBottom w:val="0"/>
                  <w:divBdr>
                    <w:top w:val="none" w:sz="0" w:space="0" w:color="auto"/>
                    <w:left w:val="none" w:sz="0" w:space="0" w:color="auto"/>
                    <w:bottom w:val="none" w:sz="0" w:space="0" w:color="auto"/>
                    <w:right w:val="none" w:sz="0" w:space="0" w:color="auto"/>
                  </w:divBdr>
                  <w:divsChild>
                    <w:div w:id="1016998793">
                      <w:marLeft w:val="0"/>
                      <w:marRight w:val="0"/>
                      <w:marTop w:val="0"/>
                      <w:marBottom w:val="0"/>
                      <w:divBdr>
                        <w:top w:val="none" w:sz="0" w:space="0" w:color="auto"/>
                        <w:left w:val="none" w:sz="0" w:space="0" w:color="auto"/>
                        <w:bottom w:val="none" w:sz="0" w:space="0" w:color="auto"/>
                        <w:right w:val="none" w:sz="0" w:space="0" w:color="auto"/>
                      </w:divBdr>
                    </w:div>
                  </w:divsChild>
                </w:div>
                <w:div w:id="1166287962">
                  <w:marLeft w:val="0"/>
                  <w:marRight w:val="0"/>
                  <w:marTop w:val="0"/>
                  <w:marBottom w:val="0"/>
                  <w:divBdr>
                    <w:top w:val="none" w:sz="0" w:space="0" w:color="auto"/>
                    <w:left w:val="none" w:sz="0" w:space="0" w:color="auto"/>
                    <w:bottom w:val="none" w:sz="0" w:space="0" w:color="auto"/>
                    <w:right w:val="none" w:sz="0" w:space="0" w:color="auto"/>
                  </w:divBdr>
                  <w:divsChild>
                    <w:div w:id="1176578700">
                      <w:marLeft w:val="0"/>
                      <w:marRight w:val="0"/>
                      <w:marTop w:val="0"/>
                      <w:marBottom w:val="0"/>
                      <w:divBdr>
                        <w:top w:val="none" w:sz="0" w:space="0" w:color="auto"/>
                        <w:left w:val="none" w:sz="0" w:space="0" w:color="auto"/>
                        <w:bottom w:val="none" w:sz="0" w:space="0" w:color="auto"/>
                        <w:right w:val="none" w:sz="0" w:space="0" w:color="auto"/>
                      </w:divBdr>
                    </w:div>
                  </w:divsChild>
                </w:div>
                <w:div w:id="1192719438">
                  <w:marLeft w:val="0"/>
                  <w:marRight w:val="0"/>
                  <w:marTop w:val="0"/>
                  <w:marBottom w:val="0"/>
                  <w:divBdr>
                    <w:top w:val="none" w:sz="0" w:space="0" w:color="auto"/>
                    <w:left w:val="none" w:sz="0" w:space="0" w:color="auto"/>
                    <w:bottom w:val="none" w:sz="0" w:space="0" w:color="auto"/>
                    <w:right w:val="none" w:sz="0" w:space="0" w:color="auto"/>
                  </w:divBdr>
                  <w:divsChild>
                    <w:div w:id="1050423985">
                      <w:marLeft w:val="0"/>
                      <w:marRight w:val="0"/>
                      <w:marTop w:val="0"/>
                      <w:marBottom w:val="0"/>
                      <w:divBdr>
                        <w:top w:val="none" w:sz="0" w:space="0" w:color="auto"/>
                        <w:left w:val="none" w:sz="0" w:space="0" w:color="auto"/>
                        <w:bottom w:val="none" w:sz="0" w:space="0" w:color="auto"/>
                        <w:right w:val="none" w:sz="0" w:space="0" w:color="auto"/>
                      </w:divBdr>
                    </w:div>
                  </w:divsChild>
                </w:div>
                <w:div w:id="1207373786">
                  <w:marLeft w:val="0"/>
                  <w:marRight w:val="0"/>
                  <w:marTop w:val="0"/>
                  <w:marBottom w:val="0"/>
                  <w:divBdr>
                    <w:top w:val="none" w:sz="0" w:space="0" w:color="auto"/>
                    <w:left w:val="none" w:sz="0" w:space="0" w:color="auto"/>
                    <w:bottom w:val="none" w:sz="0" w:space="0" w:color="auto"/>
                    <w:right w:val="none" w:sz="0" w:space="0" w:color="auto"/>
                  </w:divBdr>
                  <w:divsChild>
                    <w:div w:id="169611924">
                      <w:marLeft w:val="0"/>
                      <w:marRight w:val="0"/>
                      <w:marTop w:val="0"/>
                      <w:marBottom w:val="0"/>
                      <w:divBdr>
                        <w:top w:val="none" w:sz="0" w:space="0" w:color="auto"/>
                        <w:left w:val="none" w:sz="0" w:space="0" w:color="auto"/>
                        <w:bottom w:val="none" w:sz="0" w:space="0" w:color="auto"/>
                        <w:right w:val="none" w:sz="0" w:space="0" w:color="auto"/>
                      </w:divBdr>
                    </w:div>
                  </w:divsChild>
                </w:div>
                <w:div w:id="1276517751">
                  <w:marLeft w:val="0"/>
                  <w:marRight w:val="0"/>
                  <w:marTop w:val="0"/>
                  <w:marBottom w:val="0"/>
                  <w:divBdr>
                    <w:top w:val="none" w:sz="0" w:space="0" w:color="auto"/>
                    <w:left w:val="none" w:sz="0" w:space="0" w:color="auto"/>
                    <w:bottom w:val="none" w:sz="0" w:space="0" w:color="auto"/>
                    <w:right w:val="none" w:sz="0" w:space="0" w:color="auto"/>
                  </w:divBdr>
                  <w:divsChild>
                    <w:div w:id="235286610">
                      <w:marLeft w:val="0"/>
                      <w:marRight w:val="0"/>
                      <w:marTop w:val="0"/>
                      <w:marBottom w:val="0"/>
                      <w:divBdr>
                        <w:top w:val="none" w:sz="0" w:space="0" w:color="auto"/>
                        <w:left w:val="none" w:sz="0" w:space="0" w:color="auto"/>
                        <w:bottom w:val="none" w:sz="0" w:space="0" w:color="auto"/>
                        <w:right w:val="none" w:sz="0" w:space="0" w:color="auto"/>
                      </w:divBdr>
                    </w:div>
                  </w:divsChild>
                </w:div>
                <w:div w:id="1302614599">
                  <w:marLeft w:val="0"/>
                  <w:marRight w:val="0"/>
                  <w:marTop w:val="0"/>
                  <w:marBottom w:val="0"/>
                  <w:divBdr>
                    <w:top w:val="none" w:sz="0" w:space="0" w:color="auto"/>
                    <w:left w:val="none" w:sz="0" w:space="0" w:color="auto"/>
                    <w:bottom w:val="none" w:sz="0" w:space="0" w:color="auto"/>
                    <w:right w:val="none" w:sz="0" w:space="0" w:color="auto"/>
                  </w:divBdr>
                  <w:divsChild>
                    <w:div w:id="61562792">
                      <w:marLeft w:val="0"/>
                      <w:marRight w:val="0"/>
                      <w:marTop w:val="0"/>
                      <w:marBottom w:val="0"/>
                      <w:divBdr>
                        <w:top w:val="none" w:sz="0" w:space="0" w:color="auto"/>
                        <w:left w:val="none" w:sz="0" w:space="0" w:color="auto"/>
                        <w:bottom w:val="none" w:sz="0" w:space="0" w:color="auto"/>
                        <w:right w:val="none" w:sz="0" w:space="0" w:color="auto"/>
                      </w:divBdr>
                    </w:div>
                  </w:divsChild>
                </w:div>
                <w:div w:id="1376125827">
                  <w:marLeft w:val="0"/>
                  <w:marRight w:val="0"/>
                  <w:marTop w:val="0"/>
                  <w:marBottom w:val="0"/>
                  <w:divBdr>
                    <w:top w:val="none" w:sz="0" w:space="0" w:color="auto"/>
                    <w:left w:val="none" w:sz="0" w:space="0" w:color="auto"/>
                    <w:bottom w:val="none" w:sz="0" w:space="0" w:color="auto"/>
                    <w:right w:val="none" w:sz="0" w:space="0" w:color="auto"/>
                  </w:divBdr>
                  <w:divsChild>
                    <w:div w:id="1265303644">
                      <w:marLeft w:val="0"/>
                      <w:marRight w:val="0"/>
                      <w:marTop w:val="0"/>
                      <w:marBottom w:val="0"/>
                      <w:divBdr>
                        <w:top w:val="none" w:sz="0" w:space="0" w:color="auto"/>
                        <w:left w:val="none" w:sz="0" w:space="0" w:color="auto"/>
                        <w:bottom w:val="none" w:sz="0" w:space="0" w:color="auto"/>
                        <w:right w:val="none" w:sz="0" w:space="0" w:color="auto"/>
                      </w:divBdr>
                    </w:div>
                  </w:divsChild>
                </w:div>
                <w:div w:id="1378623619">
                  <w:marLeft w:val="0"/>
                  <w:marRight w:val="0"/>
                  <w:marTop w:val="0"/>
                  <w:marBottom w:val="0"/>
                  <w:divBdr>
                    <w:top w:val="none" w:sz="0" w:space="0" w:color="auto"/>
                    <w:left w:val="none" w:sz="0" w:space="0" w:color="auto"/>
                    <w:bottom w:val="none" w:sz="0" w:space="0" w:color="auto"/>
                    <w:right w:val="none" w:sz="0" w:space="0" w:color="auto"/>
                  </w:divBdr>
                  <w:divsChild>
                    <w:div w:id="411661903">
                      <w:marLeft w:val="0"/>
                      <w:marRight w:val="0"/>
                      <w:marTop w:val="0"/>
                      <w:marBottom w:val="0"/>
                      <w:divBdr>
                        <w:top w:val="none" w:sz="0" w:space="0" w:color="auto"/>
                        <w:left w:val="none" w:sz="0" w:space="0" w:color="auto"/>
                        <w:bottom w:val="none" w:sz="0" w:space="0" w:color="auto"/>
                        <w:right w:val="none" w:sz="0" w:space="0" w:color="auto"/>
                      </w:divBdr>
                    </w:div>
                  </w:divsChild>
                </w:div>
                <w:div w:id="1436830642">
                  <w:marLeft w:val="0"/>
                  <w:marRight w:val="0"/>
                  <w:marTop w:val="0"/>
                  <w:marBottom w:val="0"/>
                  <w:divBdr>
                    <w:top w:val="none" w:sz="0" w:space="0" w:color="auto"/>
                    <w:left w:val="none" w:sz="0" w:space="0" w:color="auto"/>
                    <w:bottom w:val="none" w:sz="0" w:space="0" w:color="auto"/>
                    <w:right w:val="none" w:sz="0" w:space="0" w:color="auto"/>
                  </w:divBdr>
                  <w:divsChild>
                    <w:div w:id="777026394">
                      <w:marLeft w:val="0"/>
                      <w:marRight w:val="0"/>
                      <w:marTop w:val="0"/>
                      <w:marBottom w:val="0"/>
                      <w:divBdr>
                        <w:top w:val="none" w:sz="0" w:space="0" w:color="auto"/>
                        <w:left w:val="none" w:sz="0" w:space="0" w:color="auto"/>
                        <w:bottom w:val="none" w:sz="0" w:space="0" w:color="auto"/>
                        <w:right w:val="none" w:sz="0" w:space="0" w:color="auto"/>
                      </w:divBdr>
                    </w:div>
                  </w:divsChild>
                </w:div>
                <w:div w:id="1528105864">
                  <w:marLeft w:val="0"/>
                  <w:marRight w:val="0"/>
                  <w:marTop w:val="0"/>
                  <w:marBottom w:val="0"/>
                  <w:divBdr>
                    <w:top w:val="none" w:sz="0" w:space="0" w:color="auto"/>
                    <w:left w:val="none" w:sz="0" w:space="0" w:color="auto"/>
                    <w:bottom w:val="none" w:sz="0" w:space="0" w:color="auto"/>
                    <w:right w:val="none" w:sz="0" w:space="0" w:color="auto"/>
                  </w:divBdr>
                  <w:divsChild>
                    <w:div w:id="1674380087">
                      <w:marLeft w:val="0"/>
                      <w:marRight w:val="0"/>
                      <w:marTop w:val="0"/>
                      <w:marBottom w:val="0"/>
                      <w:divBdr>
                        <w:top w:val="none" w:sz="0" w:space="0" w:color="auto"/>
                        <w:left w:val="none" w:sz="0" w:space="0" w:color="auto"/>
                        <w:bottom w:val="none" w:sz="0" w:space="0" w:color="auto"/>
                        <w:right w:val="none" w:sz="0" w:space="0" w:color="auto"/>
                      </w:divBdr>
                    </w:div>
                  </w:divsChild>
                </w:div>
                <w:div w:id="1557081349">
                  <w:marLeft w:val="0"/>
                  <w:marRight w:val="0"/>
                  <w:marTop w:val="0"/>
                  <w:marBottom w:val="0"/>
                  <w:divBdr>
                    <w:top w:val="none" w:sz="0" w:space="0" w:color="auto"/>
                    <w:left w:val="none" w:sz="0" w:space="0" w:color="auto"/>
                    <w:bottom w:val="none" w:sz="0" w:space="0" w:color="auto"/>
                    <w:right w:val="none" w:sz="0" w:space="0" w:color="auto"/>
                  </w:divBdr>
                  <w:divsChild>
                    <w:div w:id="1896771657">
                      <w:marLeft w:val="0"/>
                      <w:marRight w:val="0"/>
                      <w:marTop w:val="0"/>
                      <w:marBottom w:val="0"/>
                      <w:divBdr>
                        <w:top w:val="none" w:sz="0" w:space="0" w:color="auto"/>
                        <w:left w:val="none" w:sz="0" w:space="0" w:color="auto"/>
                        <w:bottom w:val="none" w:sz="0" w:space="0" w:color="auto"/>
                        <w:right w:val="none" w:sz="0" w:space="0" w:color="auto"/>
                      </w:divBdr>
                    </w:div>
                  </w:divsChild>
                </w:div>
                <w:div w:id="1682969523">
                  <w:marLeft w:val="0"/>
                  <w:marRight w:val="0"/>
                  <w:marTop w:val="0"/>
                  <w:marBottom w:val="0"/>
                  <w:divBdr>
                    <w:top w:val="none" w:sz="0" w:space="0" w:color="auto"/>
                    <w:left w:val="none" w:sz="0" w:space="0" w:color="auto"/>
                    <w:bottom w:val="none" w:sz="0" w:space="0" w:color="auto"/>
                    <w:right w:val="none" w:sz="0" w:space="0" w:color="auto"/>
                  </w:divBdr>
                  <w:divsChild>
                    <w:div w:id="2028822157">
                      <w:marLeft w:val="0"/>
                      <w:marRight w:val="0"/>
                      <w:marTop w:val="0"/>
                      <w:marBottom w:val="0"/>
                      <w:divBdr>
                        <w:top w:val="none" w:sz="0" w:space="0" w:color="auto"/>
                        <w:left w:val="none" w:sz="0" w:space="0" w:color="auto"/>
                        <w:bottom w:val="none" w:sz="0" w:space="0" w:color="auto"/>
                        <w:right w:val="none" w:sz="0" w:space="0" w:color="auto"/>
                      </w:divBdr>
                    </w:div>
                  </w:divsChild>
                </w:div>
                <w:div w:id="1690715870">
                  <w:marLeft w:val="0"/>
                  <w:marRight w:val="0"/>
                  <w:marTop w:val="0"/>
                  <w:marBottom w:val="0"/>
                  <w:divBdr>
                    <w:top w:val="none" w:sz="0" w:space="0" w:color="auto"/>
                    <w:left w:val="none" w:sz="0" w:space="0" w:color="auto"/>
                    <w:bottom w:val="none" w:sz="0" w:space="0" w:color="auto"/>
                    <w:right w:val="none" w:sz="0" w:space="0" w:color="auto"/>
                  </w:divBdr>
                  <w:divsChild>
                    <w:div w:id="706954000">
                      <w:marLeft w:val="0"/>
                      <w:marRight w:val="0"/>
                      <w:marTop w:val="0"/>
                      <w:marBottom w:val="0"/>
                      <w:divBdr>
                        <w:top w:val="none" w:sz="0" w:space="0" w:color="auto"/>
                        <w:left w:val="none" w:sz="0" w:space="0" w:color="auto"/>
                        <w:bottom w:val="none" w:sz="0" w:space="0" w:color="auto"/>
                        <w:right w:val="none" w:sz="0" w:space="0" w:color="auto"/>
                      </w:divBdr>
                    </w:div>
                  </w:divsChild>
                </w:div>
                <w:div w:id="1718505462">
                  <w:marLeft w:val="0"/>
                  <w:marRight w:val="0"/>
                  <w:marTop w:val="0"/>
                  <w:marBottom w:val="0"/>
                  <w:divBdr>
                    <w:top w:val="none" w:sz="0" w:space="0" w:color="auto"/>
                    <w:left w:val="none" w:sz="0" w:space="0" w:color="auto"/>
                    <w:bottom w:val="none" w:sz="0" w:space="0" w:color="auto"/>
                    <w:right w:val="none" w:sz="0" w:space="0" w:color="auto"/>
                  </w:divBdr>
                  <w:divsChild>
                    <w:div w:id="2034646873">
                      <w:marLeft w:val="0"/>
                      <w:marRight w:val="0"/>
                      <w:marTop w:val="0"/>
                      <w:marBottom w:val="0"/>
                      <w:divBdr>
                        <w:top w:val="none" w:sz="0" w:space="0" w:color="auto"/>
                        <w:left w:val="none" w:sz="0" w:space="0" w:color="auto"/>
                        <w:bottom w:val="none" w:sz="0" w:space="0" w:color="auto"/>
                        <w:right w:val="none" w:sz="0" w:space="0" w:color="auto"/>
                      </w:divBdr>
                    </w:div>
                  </w:divsChild>
                </w:div>
                <w:div w:id="1911646791">
                  <w:marLeft w:val="0"/>
                  <w:marRight w:val="0"/>
                  <w:marTop w:val="0"/>
                  <w:marBottom w:val="0"/>
                  <w:divBdr>
                    <w:top w:val="none" w:sz="0" w:space="0" w:color="auto"/>
                    <w:left w:val="none" w:sz="0" w:space="0" w:color="auto"/>
                    <w:bottom w:val="none" w:sz="0" w:space="0" w:color="auto"/>
                    <w:right w:val="none" w:sz="0" w:space="0" w:color="auto"/>
                  </w:divBdr>
                  <w:divsChild>
                    <w:div w:id="641538736">
                      <w:marLeft w:val="0"/>
                      <w:marRight w:val="0"/>
                      <w:marTop w:val="0"/>
                      <w:marBottom w:val="0"/>
                      <w:divBdr>
                        <w:top w:val="none" w:sz="0" w:space="0" w:color="auto"/>
                        <w:left w:val="none" w:sz="0" w:space="0" w:color="auto"/>
                        <w:bottom w:val="none" w:sz="0" w:space="0" w:color="auto"/>
                        <w:right w:val="none" w:sz="0" w:space="0" w:color="auto"/>
                      </w:divBdr>
                    </w:div>
                  </w:divsChild>
                </w:div>
                <w:div w:id="1954169138">
                  <w:marLeft w:val="0"/>
                  <w:marRight w:val="0"/>
                  <w:marTop w:val="0"/>
                  <w:marBottom w:val="0"/>
                  <w:divBdr>
                    <w:top w:val="none" w:sz="0" w:space="0" w:color="auto"/>
                    <w:left w:val="none" w:sz="0" w:space="0" w:color="auto"/>
                    <w:bottom w:val="none" w:sz="0" w:space="0" w:color="auto"/>
                    <w:right w:val="none" w:sz="0" w:space="0" w:color="auto"/>
                  </w:divBdr>
                  <w:divsChild>
                    <w:div w:id="892693234">
                      <w:marLeft w:val="0"/>
                      <w:marRight w:val="0"/>
                      <w:marTop w:val="0"/>
                      <w:marBottom w:val="0"/>
                      <w:divBdr>
                        <w:top w:val="none" w:sz="0" w:space="0" w:color="auto"/>
                        <w:left w:val="none" w:sz="0" w:space="0" w:color="auto"/>
                        <w:bottom w:val="none" w:sz="0" w:space="0" w:color="auto"/>
                        <w:right w:val="none" w:sz="0" w:space="0" w:color="auto"/>
                      </w:divBdr>
                    </w:div>
                  </w:divsChild>
                </w:div>
                <w:div w:id="1955096266">
                  <w:marLeft w:val="0"/>
                  <w:marRight w:val="0"/>
                  <w:marTop w:val="0"/>
                  <w:marBottom w:val="0"/>
                  <w:divBdr>
                    <w:top w:val="none" w:sz="0" w:space="0" w:color="auto"/>
                    <w:left w:val="none" w:sz="0" w:space="0" w:color="auto"/>
                    <w:bottom w:val="none" w:sz="0" w:space="0" w:color="auto"/>
                    <w:right w:val="none" w:sz="0" w:space="0" w:color="auto"/>
                  </w:divBdr>
                  <w:divsChild>
                    <w:div w:id="1286698485">
                      <w:marLeft w:val="0"/>
                      <w:marRight w:val="0"/>
                      <w:marTop w:val="0"/>
                      <w:marBottom w:val="0"/>
                      <w:divBdr>
                        <w:top w:val="none" w:sz="0" w:space="0" w:color="auto"/>
                        <w:left w:val="none" w:sz="0" w:space="0" w:color="auto"/>
                        <w:bottom w:val="none" w:sz="0" w:space="0" w:color="auto"/>
                        <w:right w:val="none" w:sz="0" w:space="0" w:color="auto"/>
                      </w:divBdr>
                    </w:div>
                  </w:divsChild>
                </w:div>
                <w:div w:id="2063088694">
                  <w:marLeft w:val="0"/>
                  <w:marRight w:val="0"/>
                  <w:marTop w:val="0"/>
                  <w:marBottom w:val="0"/>
                  <w:divBdr>
                    <w:top w:val="none" w:sz="0" w:space="0" w:color="auto"/>
                    <w:left w:val="none" w:sz="0" w:space="0" w:color="auto"/>
                    <w:bottom w:val="none" w:sz="0" w:space="0" w:color="auto"/>
                    <w:right w:val="none" w:sz="0" w:space="0" w:color="auto"/>
                  </w:divBdr>
                  <w:divsChild>
                    <w:div w:id="290598755">
                      <w:marLeft w:val="0"/>
                      <w:marRight w:val="0"/>
                      <w:marTop w:val="0"/>
                      <w:marBottom w:val="0"/>
                      <w:divBdr>
                        <w:top w:val="none" w:sz="0" w:space="0" w:color="auto"/>
                        <w:left w:val="none" w:sz="0" w:space="0" w:color="auto"/>
                        <w:bottom w:val="none" w:sz="0" w:space="0" w:color="auto"/>
                        <w:right w:val="none" w:sz="0" w:space="0" w:color="auto"/>
                      </w:divBdr>
                    </w:div>
                  </w:divsChild>
                </w:div>
                <w:div w:id="2124380406">
                  <w:marLeft w:val="0"/>
                  <w:marRight w:val="0"/>
                  <w:marTop w:val="0"/>
                  <w:marBottom w:val="0"/>
                  <w:divBdr>
                    <w:top w:val="none" w:sz="0" w:space="0" w:color="auto"/>
                    <w:left w:val="none" w:sz="0" w:space="0" w:color="auto"/>
                    <w:bottom w:val="none" w:sz="0" w:space="0" w:color="auto"/>
                    <w:right w:val="none" w:sz="0" w:space="0" w:color="auto"/>
                  </w:divBdr>
                  <w:divsChild>
                    <w:div w:id="1876841825">
                      <w:marLeft w:val="0"/>
                      <w:marRight w:val="0"/>
                      <w:marTop w:val="0"/>
                      <w:marBottom w:val="0"/>
                      <w:divBdr>
                        <w:top w:val="none" w:sz="0" w:space="0" w:color="auto"/>
                        <w:left w:val="none" w:sz="0" w:space="0" w:color="auto"/>
                        <w:bottom w:val="none" w:sz="0" w:space="0" w:color="auto"/>
                        <w:right w:val="none" w:sz="0" w:space="0" w:color="auto"/>
                      </w:divBdr>
                    </w:div>
                  </w:divsChild>
                </w:div>
                <w:div w:id="2146392128">
                  <w:marLeft w:val="0"/>
                  <w:marRight w:val="0"/>
                  <w:marTop w:val="0"/>
                  <w:marBottom w:val="0"/>
                  <w:divBdr>
                    <w:top w:val="none" w:sz="0" w:space="0" w:color="auto"/>
                    <w:left w:val="none" w:sz="0" w:space="0" w:color="auto"/>
                    <w:bottom w:val="none" w:sz="0" w:space="0" w:color="auto"/>
                    <w:right w:val="none" w:sz="0" w:space="0" w:color="auto"/>
                  </w:divBdr>
                  <w:divsChild>
                    <w:div w:id="1409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588">
          <w:marLeft w:val="0"/>
          <w:marRight w:val="0"/>
          <w:marTop w:val="0"/>
          <w:marBottom w:val="0"/>
          <w:divBdr>
            <w:top w:val="none" w:sz="0" w:space="0" w:color="auto"/>
            <w:left w:val="none" w:sz="0" w:space="0" w:color="auto"/>
            <w:bottom w:val="none" w:sz="0" w:space="0" w:color="auto"/>
            <w:right w:val="none" w:sz="0" w:space="0" w:color="auto"/>
          </w:divBdr>
        </w:div>
        <w:div w:id="27923519">
          <w:marLeft w:val="0"/>
          <w:marRight w:val="0"/>
          <w:marTop w:val="0"/>
          <w:marBottom w:val="0"/>
          <w:divBdr>
            <w:top w:val="none" w:sz="0" w:space="0" w:color="auto"/>
            <w:left w:val="none" w:sz="0" w:space="0" w:color="auto"/>
            <w:bottom w:val="none" w:sz="0" w:space="0" w:color="auto"/>
            <w:right w:val="none" w:sz="0" w:space="0" w:color="auto"/>
          </w:divBdr>
          <w:divsChild>
            <w:div w:id="290285148">
              <w:marLeft w:val="-75"/>
              <w:marRight w:val="0"/>
              <w:marTop w:val="30"/>
              <w:marBottom w:val="30"/>
              <w:divBdr>
                <w:top w:val="none" w:sz="0" w:space="0" w:color="auto"/>
                <w:left w:val="none" w:sz="0" w:space="0" w:color="auto"/>
                <w:bottom w:val="none" w:sz="0" w:space="0" w:color="auto"/>
                <w:right w:val="none" w:sz="0" w:space="0" w:color="auto"/>
              </w:divBdr>
              <w:divsChild>
                <w:div w:id="107506785">
                  <w:marLeft w:val="0"/>
                  <w:marRight w:val="0"/>
                  <w:marTop w:val="0"/>
                  <w:marBottom w:val="0"/>
                  <w:divBdr>
                    <w:top w:val="none" w:sz="0" w:space="0" w:color="auto"/>
                    <w:left w:val="none" w:sz="0" w:space="0" w:color="auto"/>
                    <w:bottom w:val="none" w:sz="0" w:space="0" w:color="auto"/>
                    <w:right w:val="none" w:sz="0" w:space="0" w:color="auto"/>
                  </w:divBdr>
                  <w:divsChild>
                    <w:div w:id="223764774">
                      <w:marLeft w:val="0"/>
                      <w:marRight w:val="0"/>
                      <w:marTop w:val="0"/>
                      <w:marBottom w:val="0"/>
                      <w:divBdr>
                        <w:top w:val="none" w:sz="0" w:space="0" w:color="auto"/>
                        <w:left w:val="none" w:sz="0" w:space="0" w:color="auto"/>
                        <w:bottom w:val="none" w:sz="0" w:space="0" w:color="auto"/>
                        <w:right w:val="none" w:sz="0" w:space="0" w:color="auto"/>
                      </w:divBdr>
                    </w:div>
                  </w:divsChild>
                </w:div>
                <w:div w:id="568656699">
                  <w:marLeft w:val="0"/>
                  <w:marRight w:val="0"/>
                  <w:marTop w:val="0"/>
                  <w:marBottom w:val="0"/>
                  <w:divBdr>
                    <w:top w:val="none" w:sz="0" w:space="0" w:color="auto"/>
                    <w:left w:val="none" w:sz="0" w:space="0" w:color="auto"/>
                    <w:bottom w:val="none" w:sz="0" w:space="0" w:color="auto"/>
                    <w:right w:val="none" w:sz="0" w:space="0" w:color="auto"/>
                  </w:divBdr>
                  <w:divsChild>
                    <w:div w:id="1843737631">
                      <w:marLeft w:val="0"/>
                      <w:marRight w:val="0"/>
                      <w:marTop w:val="0"/>
                      <w:marBottom w:val="0"/>
                      <w:divBdr>
                        <w:top w:val="none" w:sz="0" w:space="0" w:color="auto"/>
                        <w:left w:val="none" w:sz="0" w:space="0" w:color="auto"/>
                        <w:bottom w:val="none" w:sz="0" w:space="0" w:color="auto"/>
                        <w:right w:val="none" w:sz="0" w:space="0" w:color="auto"/>
                      </w:divBdr>
                    </w:div>
                  </w:divsChild>
                </w:div>
                <w:div w:id="690954923">
                  <w:marLeft w:val="0"/>
                  <w:marRight w:val="0"/>
                  <w:marTop w:val="0"/>
                  <w:marBottom w:val="0"/>
                  <w:divBdr>
                    <w:top w:val="none" w:sz="0" w:space="0" w:color="auto"/>
                    <w:left w:val="none" w:sz="0" w:space="0" w:color="auto"/>
                    <w:bottom w:val="none" w:sz="0" w:space="0" w:color="auto"/>
                    <w:right w:val="none" w:sz="0" w:space="0" w:color="auto"/>
                  </w:divBdr>
                  <w:divsChild>
                    <w:div w:id="1369183087">
                      <w:marLeft w:val="0"/>
                      <w:marRight w:val="0"/>
                      <w:marTop w:val="0"/>
                      <w:marBottom w:val="0"/>
                      <w:divBdr>
                        <w:top w:val="none" w:sz="0" w:space="0" w:color="auto"/>
                        <w:left w:val="none" w:sz="0" w:space="0" w:color="auto"/>
                        <w:bottom w:val="none" w:sz="0" w:space="0" w:color="auto"/>
                        <w:right w:val="none" w:sz="0" w:space="0" w:color="auto"/>
                      </w:divBdr>
                    </w:div>
                  </w:divsChild>
                </w:div>
                <w:div w:id="1068847751">
                  <w:marLeft w:val="0"/>
                  <w:marRight w:val="0"/>
                  <w:marTop w:val="0"/>
                  <w:marBottom w:val="0"/>
                  <w:divBdr>
                    <w:top w:val="none" w:sz="0" w:space="0" w:color="auto"/>
                    <w:left w:val="none" w:sz="0" w:space="0" w:color="auto"/>
                    <w:bottom w:val="none" w:sz="0" w:space="0" w:color="auto"/>
                    <w:right w:val="none" w:sz="0" w:space="0" w:color="auto"/>
                  </w:divBdr>
                  <w:divsChild>
                    <w:div w:id="2134865316">
                      <w:marLeft w:val="0"/>
                      <w:marRight w:val="0"/>
                      <w:marTop w:val="0"/>
                      <w:marBottom w:val="0"/>
                      <w:divBdr>
                        <w:top w:val="none" w:sz="0" w:space="0" w:color="auto"/>
                        <w:left w:val="none" w:sz="0" w:space="0" w:color="auto"/>
                        <w:bottom w:val="none" w:sz="0" w:space="0" w:color="auto"/>
                        <w:right w:val="none" w:sz="0" w:space="0" w:color="auto"/>
                      </w:divBdr>
                    </w:div>
                  </w:divsChild>
                </w:div>
                <w:div w:id="1417479367">
                  <w:marLeft w:val="0"/>
                  <w:marRight w:val="0"/>
                  <w:marTop w:val="0"/>
                  <w:marBottom w:val="0"/>
                  <w:divBdr>
                    <w:top w:val="none" w:sz="0" w:space="0" w:color="auto"/>
                    <w:left w:val="none" w:sz="0" w:space="0" w:color="auto"/>
                    <w:bottom w:val="none" w:sz="0" w:space="0" w:color="auto"/>
                    <w:right w:val="none" w:sz="0" w:space="0" w:color="auto"/>
                  </w:divBdr>
                  <w:divsChild>
                    <w:div w:id="888763032">
                      <w:marLeft w:val="0"/>
                      <w:marRight w:val="0"/>
                      <w:marTop w:val="0"/>
                      <w:marBottom w:val="0"/>
                      <w:divBdr>
                        <w:top w:val="none" w:sz="0" w:space="0" w:color="auto"/>
                        <w:left w:val="none" w:sz="0" w:space="0" w:color="auto"/>
                        <w:bottom w:val="none" w:sz="0" w:space="0" w:color="auto"/>
                        <w:right w:val="none" w:sz="0" w:space="0" w:color="auto"/>
                      </w:divBdr>
                    </w:div>
                  </w:divsChild>
                </w:div>
                <w:div w:id="2135100651">
                  <w:marLeft w:val="0"/>
                  <w:marRight w:val="0"/>
                  <w:marTop w:val="0"/>
                  <w:marBottom w:val="0"/>
                  <w:divBdr>
                    <w:top w:val="none" w:sz="0" w:space="0" w:color="auto"/>
                    <w:left w:val="none" w:sz="0" w:space="0" w:color="auto"/>
                    <w:bottom w:val="none" w:sz="0" w:space="0" w:color="auto"/>
                    <w:right w:val="none" w:sz="0" w:space="0" w:color="auto"/>
                  </w:divBdr>
                  <w:divsChild>
                    <w:div w:id="18783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2241">
          <w:marLeft w:val="0"/>
          <w:marRight w:val="0"/>
          <w:marTop w:val="0"/>
          <w:marBottom w:val="0"/>
          <w:divBdr>
            <w:top w:val="none" w:sz="0" w:space="0" w:color="auto"/>
            <w:left w:val="none" w:sz="0" w:space="0" w:color="auto"/>
            <w:bottom w:val="none" w:sz="0" w:space="0" w:color="auto"/>
            <w:right w:val="none" w:sz="0" w:space="0" w:color="auto"/>
          </w:divBdr>
        </w:div>
        <w:div w:id="46533409">
          <w:marLeft w:val="0"/>
          <w:marRight w:val="0"/>
          <w:marTop w:val="0"/>
          <w:marBottom w:val="0"/>
          <w:divBdr>
            <w:top w:val="none" w:sz="0" w:space="0" w:color="auto"/>
            <w:left w:val="none" w:sz="0" w:space="0" w:color="auto"/>
            <w:bottom w:val="none" w:sz="0" w:space="0" w:color="auto"/>
            <w:right w:val="none" w:sz="0" w:space="0" w:color="auto"/>
          </w:divBdr>
          <w:divsChild>
            <w:div w:id="436557443">
              <w:marLeft w:val="-75"/>
              <w:marRight w:val="0"/>
              <w:marTop w:val="30"/>
              <w:marBottom w:val="30"/>
              <w:divBdr>
                <w:top w:val="none" w:sz="0" w:space="0" w:color="auto"/>
                <w:left w:val="none" w:sz="0" w:space="0" w:color="auto"/>
                <w:bottom w:val="none" w:sz="0" w:space="0" w:color="auto"/>
                <w:right w:val="none" w:sz="0" w:space="0" w:color="auto"/>
              </w:divBdr>
              <w:divsChild>
                <w:div w:id="18288525">
                  <w:marLeft w:val="0"/>
                  <w:marRight w:val="0"/>
                  <w:marTop w:val="0"/>
                  <w:marBottom w:val="0"/>
                  <w:divBdr>
                    <w:top w:val="none" w:sz="0" w:space="0" w:color="auto"/>
                    <w:left w:val="none" w:sz="0" w:space="0" w:color="auto"/>
                    <w:bottom w:val="none" w:sz="0" w:space="0" w:color="auto"/>
                    <w:right w:val="none" w:sz="0" w:space="0" w:color="auto"/>
                  </w:divBdr>
                  <w:divsChild>
                    <w:div w:id="2127194760">
                      <w:marLeft w:val="0"/>
                      <w:marRight w:val="0"/>
                      <w:marTop w:val="0"/>
                      <w:marBottom w:val="0"/>
                      <w:divBdr>
                        <w:top w:val="none" w:sz="0" w:space="0" w:color="auto"/>
                        <w:left w:val="none" w:sz="0" w:space="0" w:color="auto"/>
                        <w:bottom w:val="none" w:sz="0" w:space="0" w:color="auto"/>
                        <w:right w:val="none" w:sz="0" w:space="0" w:color="auto"/>
                      </w:divBdr>
                    </w:div>
                  </w:divsChild>
                </w:div>
                <w:div w:id="44645916">
                  <w:marLeft w:val="0"/>
                  <w:marRight w:val="0"/>
                  <w:marTop w:val="0"/>
                  <w:marBottom w:val="0"/>
                  <w:divBdr>
                    <w:top w:val="none" w:sz="0" w:space="0" w:color="auto"/>
                    <w:left w:val="none" w:sz="0" w:space="0" w:color="auto"/>
                    <w:bottom w:val="none" w:sz="0" w:space="0" w:color="auto"/>
                    <w:right w:val="none" w:sz="0" w:space="0" w:color="auto"/>
                  </w:divBdr>
                  <w:divsChild>
                    <w:div w:id="1129930218">
                      <w:marLeft w:val="0"/>
                      <w:marRight w:val="0"/>
                      <w:marTop w:val="0"/>
                      <w:marBottom w:val="0"/>
                      <w:divBdr>
                        <w:top w:val="none" w:sz="0" w:space="0" w:color="auto"/>
                        <w:left w:val="none" w:sz="0" w:space="0" w:color="auto"/>
                        <w:bottom w:val="none" w:sz="0" w:space="0" w:color="auto"/>
                        <w:right w:val="none" w:sz="0" w:space="0" w:color="auto"/>
                      </w:divBdr>
                    </w:div>
                  </w:divsChild>
                </w:div>
                <w:div w:id="57286999">
                  <w:marLeft w:val="0"/>
                  <w:marRight w:val="0"/>
                  <w:marTop w:val="0"/>
                  <w:marBottom w:val="0"/>
                  <w:divBdr>
                    <w:top w:val="none" w:sz="0" w:space="0" w:color="auto"/>
                    <w:left w:val="none" w:sz="0" w:space="0" w:color="auto"/>
                    <w:bottom w:val="none" w:sz="0" w:space="0" w:color="auto"/>
                    <w:right w:val="none" w:sz="0" w:space="0" w:color="auto"/>
                  </w:divBdr>
                  <w:divsChild>
                    <w:div w:id="613291657">
                      <w:marLeft w:val="0"/>
                      <w:marRight w:val="0"/>
                      <w:marTop w:val="0"/>
                      <w:marBottom w:val="0"/>
                      <w:divBdr>
                        <w:top w:val="none" w:sz="0" w:space="0" w:color="auto"/>
                        <w:left w:val="none" w:sz="0" w:space="0" w:color="auto"/>
                        <w:bottom w:val="none" w:sz="0" w:space="0" w:color="auto"/>
                        <w:right w:val="none" w:sz="0" w:space="0" w:color="auto"/>
                      </w:divBdr>
                    </w:div>
                  </w:divsChild>
                </w:div>
                <w:div w:id="244996172">
                  <w:marLeft w:val="0"/>
                  <w:marRight w:val="0"/>
                  <w:marTop w:val="0"/>
                  <w:marBottom w:val="0"/>
                  <w:divBdr>
                    <w:top w:val="none" w:sz="0" w:space="0" w:color="auto"/>
                    <w:left w:val="none" w:sz="0" w:space="0" w:color="auto"/>
                    <w:bottom w:val="none" w:sz="0" w:space="0" w:color="auto"/>
                    <w:right w:val="none" w:sz="0" w:space="0" w:color="auto"/>
                  </w:divBdr>
                  <w:divsChild>
                    <w:div w:id="119885820">
                      <w:marLeft w:val="0"/>
                      <w:marRight w:val="0"/>
                      <w:marTop w:val="0"/>
                      <w:marBottom w:val="0"/>
                      <w:divBdr>
                        <w:top w:val="none" w:sz="0" w:space="0" w:color="auto"/>
                        <w:left w:val="none" w:sz="0" w:space="0" w:color="auto"/>
                        <w:bottom w:val="none" w:sz="0" w:space="0" w:color="auto"/>
                        <w:right w:val="none" w:sz="0" w:space="0" w:color="auto"/>
                      </w:divBdr>
                    </w:div>
                  </w:divsChild>
                </w:div>
                <w:div w:id="339477510">
                  <w:marLeft w:val="0"/>
                  <w:marRight w:val="0"/>
                  <w:marTop w:val="0"/>
                  <w:marBottom w:val="0"/>
                  <w:divBdr>
                    <w:top w:val="none" w:sz="0" w:space="0" w:color="auto"/>
                    <w:left w:val="none" w:sz="0" w:space="0" w:color="auto"/>
                    <w:bottom w:val="none" w:sz="0" w:space="0" w:color="auto"/>
                    <w:right w:val="none" w:sz="0" w:space="0" w:color="auto"/>
                  </w:divBdr>
                  <w:divsChild>
                    <w:div w:id="277371484">
                      <w:marLeft w:val="0"/>
                      <w:marRight w:val="0"/>
                      <w:marTop w:val="0"/>
                      <w:marBottom w:val="0"/>
                      <w:divBdr>
                        <w:top w:val="none" w:sz="0" w:space="0" w:color="auto"/>
                        <w:left w:val="none" w:sz="0" w:space="0" w:color="auto"/>
                        <w:bottom w:val="none" w:sz="0" w:space="0" w:color="auto"/>
                        <w:right w:val="none" w:sz="0" w:space="0" w:color="auto"/>
                      </w:divBdr>
                    </w:div>
                  </w:divsChild>
                </w:div>
                <w:div w:id="513886355">
                  <w:marLeft w:val="0"/>
                  <w:marRight w:val="0"/>
                  <w:marTop w:val="0"/>
                  <w:marBottom w:val="0"/>
                  <w:divBdr>
                    <w:top w:val="none" w:sz="0" w:space="0" w:color="auto"/>
                    <w:left w:val="none" w:sz="0" w:space="0" w:color="auto"/>
                    <w:bottom w:val="none" w:sz="0" w:space="0" w:color="auto"/>
                    <w:right w:val="none" w:sz="0" w:space="0" w:color="auto"/>
                  </w:divBdr>
                  <w:divsChild>
                    <w:div w:id="54163245">
                      <w:marLeft w:val="0"/>
                      <w:marRight w:val="0"/>
                      <w:marTop w:val="0"/>
                      <w:marBottom w:val="0"/>
                      <w:divBdr>
                        <w:top w:val="none" w:sz="0" w:space="0" w:color="auto"/>
                        <w:left w:val="none" w:sz="0" w:space="0" w:color="auto"/>
                        <w:bottom w:val="none" w:sz="0" w:space="0" w:color="auto"/>
                        <w:right w:val="none" w:sz="0" w:space="0" w:color="auto"/>
                      </w:divBdr>
                    </w:div>
                  </w:divsChild>
                </w:div>
                <w:div w:id="555892908">
                  <w:marLeft w:val="0"/>
                  <w:marRight w:val="0"/>
                  <w:marTop w:val="0"/>
                  <w:marBottom w:val="0"/>
                  <w:divBdr>
                    <w:top w:val="none" w:sz="0" w:space="0" w:color="auto"/>
                    <w:left w:val="none" w:sz="0" w:space="0" w:color="auto"/>
                    <w:bottom w:val="none" w:sz="0" w:space="0" w:color="auto"/>
                    <w:right w:val="none" w:sz="0" w:space="0" w:color="auto"/>
                  </w:divBdr>
                  <w:divsChild>
                    <w:div w:id="2087532438">
                      <w:marLeft w:val="0"/>
                      <w:marRight w:val="0"/>
                      <w:marTop w:val="0"/>
                      <w:marBottom w:val="0"/>
                      <w:divBdr>
                        <w:top w:val="none" w:sz="0" w:space="0" w:color="auto"/>
                        <w:left w:val="none" w:sz="0" w:space="0" w:color="auto"/>
                        <w:bottom w:val="none" w:sz="0" w:space="0" w:color="auto"/>
                        <w:right w:val="none" w:sz="0" w:space="0" w:color="auto"/>
                      </w:divBdr>
                    </w:div>
                  </w:divsChild>
                </w:div>
                <w:div w:id="672530455">
                  <w:marLeft w:val="0"/>
                  <w:marRight w:val="0"/>
                  <w:marTop w:val="0"/>
                  <w:marBottom w:val="0"/>
                  <w:divBdr>
                    <w:top w:val="none" w:sz="0" w:space="0" w:color="auto"/>
                    <w:left w:val="none" w:sz="0" w:space="0" w:color="auto"/>
                    <w:bottom w:val="none" w:sz="0" w:space="0" w:color="auto"/>
                    <w:right w:val="none" w:sz="0" w:space="0" w:color="auto"/>
                  </w:divBdr>
                  <w:divsChild>
                    <w:div w:id="807435117">
                      <w:marLeft w:val="0"/>
                      <w:marRight w:val="0"/>
                      <w:marTop w:val="0"/>
                      <w:marBottom w:val="0"/>
                      <w:divBdr>
                        <w:top w:val="none" w:sz="0" w:space="0" w:color="auto"/>
                        <w:left w:val="none" w:sz="0" w:space="0" w:color="auto"/>
                        <w:bottom w:val="none" w:sz="0" w:space="0" w:color="auto"/>
                        <w:right w:val="none" w:sz="0" w:space="0" w:color="auto"/>
                      </w:divBdr>
                    </w:div>
                  </w:divsChild>
                </w:div>
                <w:div w:id="680082364">
                  <w:marLeft w:val="0"/>
                  <w:marRight w:val="0"/>
                  <w:marTop w:val="0"/>
                  <w:marBottom w:val="0"/>
                  <w:divBdr>
                    <w:top w:val="none" w:sz="0" w:space="0" w:color="auto"/>
                    <w:left w:val="none" w:sz="0" w:space="0" w:color="auto"/>
                    <w:bottom w:val="none" w:sz="0" w:space="0" w:color="auto"/>
                    <w:right w:val="none" w:sz="0" w:space="0" w:color="auto"/>
                  </w:divBdr>
                  <w:divsChild>
                    <w:div w:id="1767580712">
                      <w:marLeft w:val="0"/>
                      <w:marRight w:val="0"/>
                      <w:marTop w:val="0"/>
                      <w:marBottom w:val="0"/>
                      <w:divBdr>
                        <w:top w:val="none" w:sz="0" w:space="0" w:color="auto"/>
                        <w:left w:val="none" w:sz="0" w:space="0" w:color="auto"/>
                        <w:bottom w:val="none" w:sz="0" w:space="0" w:color="auto"/>
                        <w:right w:val="none" w:sz="0" w:space="0" w:color="auto"/>
                      </w:divBdr>
                    </w:div>
                  </w:divsChild>
                </w:div>
                <w:div w:id="906960971">
                  <w:marLeft w:val="0"/>
                  <w:marRight w:val="0"/>
                  <w:marTop w:val="0"/>
                  <w:marBottom w:val="0"/>
                  <w:divBdr>
                    <w:top w:val="none" w:sz="0" w:space="0" w:color="auto"/>
                    <w:left w:val="none" w:sz="0" w:space="0" w:color="auto"/>
                    <w:bottom w:val="none" w:sz="0" w:space="0" w:color="auto"/>
                    <w:right w:val="none" w:sz="0" w:space="0" w:color="auto"/>
                  </w:divBdr>
                  <w:divsChild>
                    <w:div w:id="1862820629">
                      <w:marLeft w:val="0"/>
                      <w:marRight w:val="0"/>
                      <w:marTop w:val="0"/>
                      <w:marBottom w:val="0"/>
                      <w:divBdr>
                        <w:top w:val="none" w:sz="0" w:space="0" w:color="auto"/>
                        <w:left w:val="none" w:sz="0" w:space="0" w:color="auto"/>
                        <w:bottom w:val="none" w:sz="0" w:space="0" w:color="auto"/>
                        <w:right w:val="none" w:sz="0" w:space="0" w:color="auto"/>
                      </w:divBdr>
                    </w:div>
                  </w:divsChild>
                </w:div>
                <w:div w:id="950476899">
                  <w:marLeft w:val="0"/>
                  <w:marRight w:val="0"/>
                  <w:marTop w:val="0"/>
                  <w:marBottom w:val="0"/>
                  <w:divBdr>
                    <w:top w:val="none" w:sz="0" w:space="0" w:color="auto"/>
                    <w:left w:val="none" w:sz="0" w:space="0" w:color="auto"/>
                    <w:bottom w:val="none" w:sz="0" w:space="0" w:color="auto"/>
                    <w:right w:val="none" w:sz="0" w:space="0" w:color="auto"/>
                  </w:divBdr>
                  <w:divsChild>
                    <w:div w:id="278142970">
                      <w:marLeft w:val="0"/>
                      <w:marRight w:val="0"/>
                      <w:marTop w:val="0"/>
                      <w:marBottom w:val="0"/>
                      <w:divBdr>
                        <w:top w:val="none" w:sz="0" w:space="0" w:color="auto"/>
                        <w:left w:val="none" w:sz="0" w:space="0" w:color="auto"/>
                        <w:bottom w:val="none" w:sz="0" w:space="0" w:color="auto"/>
                        <w:right w:val="none" w:sz="0" w:space="0" w:color="auto"/>
                      </w:divBdr>
                    </w:div>
                  </w:divsChild>
                </w:div>
                <w:div w:id="1046030089">
                  <w:marLeft w:val="0"/>
                  <w:marRight w:val="0"/>
                  <w:marTop w:val="0"/>
                  <w:marBottom w:val="0"/>
                  <w:divBdr>
                    <w:top w:val="none" w:sz="0" w:space="0" w:color="auto"/>
                    <w:left w:val="none" w:sz="0" w:space="0" w:color="auto"/>
                    <w:bottom w:val="none" w:sz="0" w:space="0" w:color="auto"/>
                    <w:right w:val="none" w:sz="0" w:space="0" w:color="auto"/>
                  </w:divBdr>
                  <w:divsChild>
                    <w:div w:id="709963604">
                      <w:marLeft w:val="0"/>
                      <w:marRight w:val="0"/>
                      <w:marTop w:val="0"/>
                      <w:marBottom w:val="0"/>
                      <w:divBdr>
                        <w:top w:val="none" w:sz="0" w:space="0" w:color="auto"/>
                        <w:left w:val="none" w:sz="0" w:space="0" w:color="auto"/>
                        <w:bottom w:val="none" w:sz="0" w:space="0" w:color="auto"/>
                        <w:right w:val="none" w:sz="0" w:space="0" w:color="auto"/>
                      </w:divBdr>
                    </w:div>
                  </w:divsChild>
                </w:div>
                <w:div w:id="1171219296">
                  <w:marLeft w:val="0"/>
                  <w:marRight w:val="0"/>
                  <w:marTop w:val="0"/>
                  <w:marBottom w:val="0"/>
                  <w:divBdr>
                    <w:top w:val="none" w:sz="0" w:space="0" w:color="auto"/>
                    <w:left w:val="none" w:sz="0" w:space="0" w:color="auto"/>
                    <w:bottom w:val="none" w:sz="0" w:space="0" w:color="auto"/>
                    <w:right w:val="none" w:sz="0" w:space="0" w:color="auto"/>
                  </w:divBdr>
                  <w:divsChild>
                    <w:div w:id="1299532877">
                      <w:marLeft w:val="0"/>
                      <w:marRight w:val="0"/>
                      <w:marTop w:val="0"/>
                      <w:marBottom w:val="0"/>
                      <w:divBdr>
                        <w:top w:val="none" w:sz="0" w:space="0" w:color="auto"/>
                        <w:left w:val="none" w:sz="0" w:space="0" w:color="auto"/>
                        <w:bottom w:val="none" w:sz="0" w:space="0" w:color="auto"/>
                        <w:right w:val="none" w:sz="0" w:space="0" w:color="auto"/>
                      </w:divBdr>
                    </w:div>
                  </w:divsChild>
                </w:div>
                <w:div w:id="1186752783">
                  <w:marLeft w:val="0"/>
                  <w:marRight w:val="0"/>
                  <w:marTop w:val="0"/>
                  <w:marBottom w:val="0"/>
                  <w:divBdr>
                    <w:top w:val="none" w:sz="0" w:space="0" w:color="auto"/>
                    <w:left w:val="none" w:sz="0" w:space="0" w:color="auto"/>
                    <w:bottom w:val="none" w:sz="0" w:space="0" w:color="auto"/>
                    <w:right w:val="none" w:sz="0" w:space="0" w:color="auto"/>
                  </w:divBdr>
                  <w:divsChild>
                    <w:div w:id="64185026">
                      <w:marLeft w:val="0"/>
                      <w:marRight w:val="0"/>
                      <w:marTop w:val="0"/>
                      <w:marBottom w:val="0"/>
                      <w:divBdr>
                        <w:top w:val="none" w:sz="0" w:space="0" w:color="auto"/>
                        <w:left w:val="none" w:sz="0" w:space="0" w:color="auto"/>
                        <w:bottom w:val="none" w:sz="0" w:space="0" w:color="auto"/>
                        <w:right w:val="none" w:sz="0" w:space="0" w:color="auto"/>
                      </w:divBdr>
                    </w:div>
                  </w:divsChild>
                </w:div>
                <w:div w:id="1218317100">
                  <w:marLeft w:val="0"/>
                  <w:marRight w:val="0"/>
                  <w:marTop w:val="0"/>
                  <w:marBottom w:val="0"/>
                  <w:divBdr>
                    <w:top w:val="none" w:sz="0" w:space="0" w:color="auto"/>
                    <w:left w:val="none" w:sz="0" w:space="0" w:color="auto"/>
                    <w:bottom w:val="none" w:sz="0" w:space="0" w:color="auto"/>
                    <w:right w:val="none" w:sz="0" w:space="0" w:color="auto"/>
                  </w:divBdr>
                  <w:divsChild>
                    <w:div w:id="338048409">
                      <w:marLeft w:val="0"/>
                      <w:marRight w:val="0"/>
                      <w:marTop w:val="0"/>
                      <w:marBottom w:val="0"/>
                      <w:divBdr>
                        <w:top w:val="none" w:sz="0" w:space="0" w:color="auto"/>
                        <w:left w:val="none" w:sz="0" w:space="0" w:color="auto"/>
                        <w:bottom w:val="none" w:sz="0" w:space="0" w:color="auto"/>
                        <w:right w:val="none" w:sz="0" w:space="0" w:color="auto"/>
                      </w:divBdr>
                    </w:div>
                  </w:divsChild>
                </w:div>
                <w:div w:id="1465153244">
                  <w:marLeft w:val="0"/>
                  <w:marRight w:val="0"/>
                  <w:marTop w:val="0"/>
                  <w:marBottom w:val="0"/>
                  <w:divBdr>
                    <w:top w:val="none" w:sz="0" w:space="0" w:color="auto"/>
                    <w:left w:val="none" w:sz="0" w:space="0" w:color="auto"/>
                    <w:bottom w:val="none" w:sz="0" w:space="0" w:color="auto"/>
                    <w:right w:val="none" w:sz="0" w:space="0" w:color="auto"/>
                  </w:divBdr>
                  <w:divsChild>
                    <w:div w:id="1384790819">
                      <w:marLeft w:val="0"/>
                      <w:marRight w:val="0"/>
                      <w:marTop w:val="0"/>
                      <w:marBottom w:val="0"/>
                      <w:divBdr>
                        <w:top w:val="none" w:sz="0" w:space="0" w:color="auto"/>
                        <w:left w:val="none" w:sz="0" w:space="0" w:color="auto"/>
                        <w:bottom w:val="none" w:sz="0" w:space="0" w:color="auto"/>
                        <w:right w:val="none" w:sz="0" w:space="0" w:color="auto"/>
                      </w:divBdr>
                    </w:div>
                  </w:divsChild>
                </w:div>
                <w:div w:id="1470856090">
                  <w:marLeft w:val="0"/>
                  <w:marRight w:val="0"/>
                  <w:marTop w:val="0"/>
                  <w:marBottom w:val="0"/>
                  <w:divBdr>
                    <w:top w:val="none" w:sz="0" w:space="0" w:color="auto"/>
                    <w:left w:val="none" w:sz="0" w:space="0" w:color="auto"/>
                    <w:bottom w:val="none" w:sz="0" w:space="0" w:color="auto"/>
                    <w:right w:val="none" w:sz="0" w:space="0" w:color="auto"/>
                  </w:divBdr>
                  <w:divsChild>
                    <w:div w:id="133841099">
                      <w:marLeft w:val="0"/>
                      <w:marRight w:val="0"/>
                      <w:marTop w:val="0"/>
                      <w:marBottom w:val="0"/>
                      <w:divBdr>
                        <w:top w:val="none" w:sz="0" w:space="0" w:color="auto"/>
                        <w:left w:val="none" w:sz="0" w:space="0" w:color="auto"/>
                        <w:bottom w:val="none" w:sz="0" w:space="0" w:color="auto"/>
                        <w:right w:val="none" w:sz="0" w:space="0" w:color="auto"/>
                      </w:divBdr>
                    </w:div>
                  </w:divsChild>
                </w:div>
                <w:div w:id="1471053675">
                  <w:marLeft w:val="0"/>
                  <w:marRight w:val="0"/>
                  <w:marTop w:val="0"/>
                  <w:marBottom w:val="0"/>
                  <w:divBdr>
                    <w:top w:val="none" w:sz="0" w:space="0" w:color="auto"/>
                    <w:left w:val="none" w:sz="0" w:space="0" w:color="auto"/>
                    <w:bottom w:val="none" w:sz="0" w:space="0" w:color="auto"/>
                    <w:right w:val="none" w:sz="0" w:space="0" w:color="auto"/>
                  </w:divBdr>
                  <w:divsChild>
                    <w:div w:id="218371913">
                      <w:marLeft w:val="0"/>
                      <w:marRight w:val="0"/>
                      <w:marTop w:val="0"/>
                      <w:marBottom w:val="0"/>
                      <w:divBdr>
                        <w:top w:val="none" w:sz="0" w:space="0" w:color="auto"/>
                        <w:left w:val="none" w:sz="0" w:space="0" w:color="auto"/>
                        <w:bottom w:val="none" w:sz="0" w:space="0" w:color="auto"/>
                        <w:right w:val="none" w:sz="0" w:space="0" w:color="auto"/>
                      </w:divBdr>
                    </w:div>
                  </w:divsChild>
                </w:div>
                <w:div w:id="1533614425">
                  <w:marLeft w:val="0"/>
                  <w:marRight w:val="0"/>
                  <w:marTop w:val="0"/>
                  <w:marBottom w:val="0"/>
                  <w:divBdr>
                    <w:top w:val="none" w:sz="0" w:space="0" w:color="auto"/>
                    <w:left w:val="none" w:sz="0" w:space="0" w:color="auto"/>
                    <w:bottom w:val="none" w:sz="0" w:space="0" w:color="auto"/>
                    <w:right w:val="none" w:sz="0" w:space="0" w:color="auto"/>
                  </w:divBdr>
                  <w:divsChild>
                    <w:div w:id="1855151059">
                      <w:marLeft w:val="0"/>
                      <w:marRight w:val="0"/>
                      <w:marTop w:val="0"/>
                      <w:marBottom w:val="0"/>
                      <w:divBdr>
                        <w:top w:val="none" w:sz="0" w:space="0" w:color="auto"/>
                        <w:left w:val="none" w:sz="0" w:space="0" w:color="auto"/>
                        <w:bottom w:val="none" w:sz="0" w:space="0" w:color="auto"/>
                        <w:right w:val="none" w:sz="0" w:space="0" w:color="auto"/>
                      </w:divBdr>
                    </w:div>
                  </w:divsChild>
                </w:div>
                <w:div w:id="1728144812">
                  <w:marLeft w:val="0"/>
                  <w:marRight w:val="0"/>
                  <w:marTop w:val="0"/>
                  <w:marBottom w:val="0"/>
                  <w:divBdr>
                    <w:top w:val="none" w:sz="0" w:space="0" w:color="auto"/>
                    <w:left w:val="none" w:sz="0" w:space="0" w:color="auto"/>
                    <w:bottom w:val="none" w:sz="0" w:space="0" w:color="auto"/>
                    <w:right w:val="none" w:sz="0" w:space="0" w:color="auto"/>
                  </w:divBdr>
                  <w:divsChild>
                    <w:div w:id="1137184428">
                      <w:marLeft w:val="0"/>
                      <w:marRight w:val="0"/>
                      <w:marTop w:val="0"/>
                      <w:marBottom w:val="0"/>
                      <w:divBdr>
                        <w:top w:val="none" w:sz="0" w:space="0" w:color="auto"/>
                        <w:left w:val="none" w:sz="0" w:space="0" w:color="auto"/>
                        <w:bottom w:val="none" w:sz="0" w:space="0" w:color="auto"/>
                        <w:right w:val="none" w:sz="0" w:space="0" w:color="auto"/>
                      </w:divBdr>
                    </w:div>
                  </w:divsChild>
                </w:div>
                <w:div w:id="1792743436">
                  <w:marLeft w:val="0"/>
                  <w:marRight w:val="0"/>
                  <w:marTop w:val="0"/>
                  <w:marBottom w:val="0"/>
                  <w:divBdr>
                    <w:top w:val="none" w:sz="0" w:space="0" w:color="auto"/>
                    <w:left w:val="none" w:sz="0" w:space="0" w:color="auto"/>
                    <w:bottom w:val="none" w:sz="0" w:space="0" w:color="auto"/>
                    <w:right w:val="none" w:sz="0" w:space="0" w:color="auto"/>
                  </w:divBdr>
                  <w:divsChild>
                    <w:div w:id="5462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588">
          <w:marLeft w:val="0"/>
          <w:marRight w:val="0"/>
          <w:marTop w:val="0"/>
          <w:marBottom w:val="0"/>
          <w:divBdr>
            <w:top w:val="none" w:sz="0" w:space="0" w:color="auto"/>
            <w:left w:val="none" w:sz="0" w:space="0" w:color="auto"/>
            <w:bottom w:val="none" w:sz="0" w:space="0" w:color="auto"/>
            <w:right w:val="none" w:sz="0" w:space="0" w:color="auto"/>
          </w:divBdr>
        </w:div>
        <w:div w:id="59332642">
          <w:marLeft w:val="0"/>
          <w:marRight w:val="0"/>
          <w:marTop w:val="0"/>
          <w:marBottom w:val="0"/>
          <w:divBdr>
            <w:top w:val="none" w:sz="0" w:space="0" w:color="auto"/>
            <w:left w:val="none" w:sz="0" w:space="0" w:color="auto"/>
            <w:bottom w:val="none" w:sz="0" w:space="0" w:color="auto"/>
            <w:right w:val="none" w:sz="0" w:space="0" w:color="auto"/>
          </w:divBdr>
        </w:div>
        <w:div w:id="215505677">
          <w:marLeft w:val="0"/>
          <w:marRight w:val="0"/>
          <w:marTop w:val="0"/>
          <w:marBottom w:val="0"/>
          <w:divBdr>
            <w:top w:val="none" w:sz="0" w:space="0" w:color="auto"/>
            <w:left w:val="none" w:sz="0" w:space="0" w:color="auto"/>
            <w:bottom w:val="none" w:sz="0" w:space="0" w:color="auto"/>
            <w:right w:val="none" w:sz="0" w:space="0" w:color="auto"/>
          </w:divBdr>
          <w:divsChild>
            <w:div w:id="1024096418">
              <w:marLeft w:val="-75"/>
              <w:marRight w:val="0"/>
              <w:marTop w:val="30"/>
              <w:marBottom w:val="30"/>
              <w:divBdr>
                <w:top w:val="none" w:sz="0" w:space="0" w:color="auto"/>
                <w:left w:val="none" w:sz="0" w:space="0" w:color="auto"/>
                <w:bottom w:val="none" w:sz="0" w:space="0" w:color="auto"/>
                <w:right w:val="none" w:sz="0" w:space="0" w:color="auto"/>
              </w:divBdr>
              <w:divsChild>
                <w:div w:id="9795907">
                  <w:marLeft w:val="0"/>
                  <w:marRight w:val="0"/>
                  <w:marTop w:val="0"/>
                  <w:marBottom w:val="0"/>
                  <w:divBdr>
                    <w:top w:val="none" w:sz="0" w:space="0" w:color="auto"/>
                    <w:left w:val="none" w:sz="0" w:space="0" w:color="auto"/>
                    <w:bottom w:val="none" w:sz="0" w:space="0" w:color="auto"/>
                    <w:right w:val="none" w:sz="0" w:space="0" w:color="auto"/>
                  </w:divBdr>
                  <w:divsChild>
                    <w:div w:id="377630316">
                      <w:marLeft w:val="0"/>
                      <w:marRight w:val="0"/>
                      <w:marTop w:val="0"/>
                      <w:marBottom w:val="0"/>
                      <w:divBdr>
                        <w:top w:val="none" w:sz="0" w:space="0" w:color="auto"/>
                        <w:left w:val="none" w:sz="0" w:space="0" w:color="auto"/>
                        <w:bottom w:val="none" w:sz="0" w:space="0" w:color="auto"/>
                        <w:right w:val="none" w:sz="0" w:space="0" w:color="auto"/>
                      </w:divBdr>
                    </w:div>
                  </w:divsChild>
                </w:div>
                <w:div w:id="60761211">
                  <w:marLeft w:val="0"/>
                  <w:marRight w:val="0"/>
                  <w:marTop w:val="0"/>
                  <w:marBottom w:val="0"/>
                  <w:divBdr>
                    <w:top w:val="none" w:sz="0" w:space="0" w:color="auto"/>
                    <w:left w:val="none" w:sz="0" w:space="0" w:color="auto"/>
                    <w:bottom w:val="none" w:sz="0" w:space="0" w:color="auto"/>
                    <w:right w:val="none" w:sz="0" w:space="0" w:color="auto"/>
                  </w:divBdr>
                  <w:divsChild>
                    <w:div w:id="673532249">
                      <w:marLeft w:val="0"/>
                      <w:marRight w:val="0"/>
                      <w:marTop w:val="0"/>
                      <w:marBottom w:val="0"/>
                      <w:divBdr>
                        <w:top w:val="none" w:sz="0" w:space="0" w:color="auto"/>
                        <w:left w:val="none" w:sz="0" w:space="0" w:color="auto"/>
                        <w:bottom w:val="none" w:sz="0" w:space="0" w:color="auto"/>
                        <w:right w:val="none" w:sz="0" w:space="0" w:color="auto"/>
                      </w:divBdr>
                    </w:div>
                  </w:divsChild>
                </w:div>
                <w:div w:id="110370409">
                  <w:marLeft w:val="0"/>
                  <w:marRight w:val="0"/>
                  <w:marTop w:val="0"/>
                  <w:marBottom w:val="0"/>
                  <w:divBdr>
                    <w:top w:val="none" w:sz="0" w:space="0" w:color="auto"/>
                    <w:left w:val="none" w:sz="0" w:space="0" w:color="auto"/>
                    <w:bottom w:val="none" w:sz="0" w:space="0" w:color="auto"/>
                    <w:right w:val="none" w:sz="0" w:space="0" w:color="auto"/>
                  </w:divBdr>
                  <w:divsChild>
                    <w:div w:id="369694178">
                      <w:marLeft w:val="0"/>
                      <w:marRight w:val="0"/>
                      <w:marTop w:val="0"/>
                      <w:marBottom w:val="0"/>
                      <w:divBdr>
                        <w:top w:val="none" w:sz="0" w:space="0" w:color="auto"/>
                        <w:left w:val="none" w:sz="0" w:space="0" w:color="auto"/>
                        <w:bottom w:val="none" w:sz="0" w:space="0" w:color="auto"/>
                        <w:right w:val="none" w:sz="0" w:space="0" w:color="auto"/>
                      </w:divBdr>
                    </w:div>
                  </w:divsChild>
                </w:div>
                <w:div w:id="148710624">
                  <w:marLeft w:val="0"/>
                  <w:marRight w:val="0"/>
                  <w:marTop w:val="0"/>
                  <w:marBottom w:val="0"/>
                  <w:divBdr>
                    <w:top w:val="none" w:sz="0" w:space="0" w:color="auto"/>
                    <w:left w:val="none" w:sz="0" w:space="0" w:color="auto"/>
                    <w:bottom w:val="none" w:sz="0" w:space="0" w:color="auto"/>
                    <w:right w:val="none" w:sz="0" w:space="0" w:color="auto"/>
                  </w:divBdr>
                  <w:divsChild>
                    <w:div w:id="852960706">
                      <w:marLeft w:val="0"/>
                      <w:marRight w:val="0"/>
                      <w:marTop w:val="0"/>
                      <w:marBottom w:val="0"/>
                      <w:divBdr>
                        <w:top w:val="none" w:sz="0" w:space="0" w:color="auto"/>
                        <w:left w:val="none" w:sz="0" w:space="0" w:color="auto"/>
                        <w:bottom w:val="none" w:sz="0" w:space="0" w:color="auto"/>
                        <w:right w:val="none" w:sz="0" w:space="0" w:color="auto"/>
                      </w:divBdr>
                    </w:div>
                  </w:divsChild>
                </w:div>
                <w:div w:id="205224062">
                  <w:marLeft w:val="0"/>
                  <w:marRight w:val="0"/>
                  <w:marTop w:val="0"/>
                  <w:marBottom w:val="0"/>
                  <w:divBdr>
                    <w:top w:val="none" w:sz="0" w:space="0" w:color="auto"/>
                    <w:left w:val="none" w:sz="0" w:space="0" w:color="auto"/>
                    <w:bottom w:val="none" w:sz="0" w:space="0" w:color="auto"/>
                    <w:right w:val="none" w:sz="0" w:space="0" w:color="auto"/>
                  </w:divBdr>
                  <w:divsChild>
                    <w:div w:id="1058699646">
                      <w:marLeft w:val="0"/>
                      <w:marRight w:val="0"/>
                      <w:marTop w:val="0"/>
                      <w:marBottom w:val="0"/>
                      <w:divBdr>
                        <w:top w:val="none" w:sz="0" w:space="0" w:color="auto"/>
                        <w:left w:val="none" w:sz="0" w:space="0" w:color="auto"/>
                        <w:bottom w:val="none" w:sz="0" w:space="0" w:color="auto"/>
                        <w:right w:val="none" w:sz="0" w:space="0" w:color="auto"/>
                      </w:divBdr>
                    </w:div>
                  </w:divsChild>
                </w:div>
                <w:div w:id="293486648">
                  <w:marLeft w:val="0"/>
                  <w:marRight w:val="0"/>
                  <w:marTop w:val="0"/>
                  <w:marBottom w:val="0"/>
                  <w:divBdr>
                    <w:top w:val="none" w:sz="0" w:space="0" w:color="auto"/>
                    <w:left w:val="none" w:sz="0" w:space="0" w:color="auto"/>
                    <w:bottom w:val="none" w:sz="0" w:space="0" w:color="auto"/>
                    <w:right w:val="none" w:sz="0" w:space="0" w:color="auto"/>
                  </w:divBdr>
                  <w:divsChild>
                    <w:div w:id="83380099">
                      <w:marLeft w:val="0"/>
                      <w:marRight w:val="0"/>
                      <w:marTop w:val="0"/>
                      <w:marBottom w:val="0"/>
                      <w:divBdr>
                        <w:top w:val="none" w:sz="0" w:space="0" w:color="auto"/>
                        <w:left w:val="none" w:sz="0" w:space="0" w:color="auto"/>
                        <w:bottom w:val="none" w:sz="0" w:space="0" w:color="auto"/>
                        <w:right w:val="none" w:sz="0" w:space="0" w:color="auto"/>
                      </w:divBdr>
                    </w:div>
                  </w:divsChild>
                </w:div>
                <w:div w:id="450055590">
                  <w:marLeft w:val="0"/>
                  <w:marRight w:val="0"/>
                  <w:marTop w:val="0"/>
                  <w:marBottom w:val="0"/>
                  <w:divBdr>
                    <w:top w:val="none" w:sz="0" w:space="0" w:color="auto"/>
                    <w:left w:val="none" w:sz="0" w:space="0" w:color="auto"/>
                    <w:bottom w:val="none" w:sz="0" w:space="0" w:color="auto"/>
                    <w:right w:val="none" w:sz="0" w:space="0" w:color="auto"/>
                  </w:divBdr>
                  <w:divsChild>
                    <w:div w:id="1952317491">
                      <w:marLeft w:val="0"/>
                      <w:marRight w:val="0"/>
                      <w:marTop w:val="0"/>
                      <w:marBottom w:val="0"/>
                      <w:divBdr>
                        <w:top w:val="none" w:sz="0" w:space="0" w:color="auto"/>
                        <w:left w:val="none" w:sz="0" w:space="0" w:color="auto"/>
                        <w:bottom w:val="none" w:sz="0" w:space="0" w:color="auto"/>
                        <w:right w:val="none" w:sz="0" w:space="0" w:color="auto"/>
                      </w:divBdr>
                    </w:div>
                  </w:divsChild>
                </w:div>
                <w:div w:id="453254622">
                  <w:marLeft w:val="0"/>
                  <w:marRight w:val="0"/>
                  <w:marTop w:val="0"/>
                  <w:marBottom w:val="0"/>
                  <w:divBdr>
                    <w:top w:val="none" w:sz="0" w:space="0" w:color="auto"/>
                    <w:left w:val="none" w:sz="0" w:space="0" w:color="auto"/>
                    <w:bottom w:val="none" w:sz="0" w:space="0" w:color="auto"/>
                    <w:right w:val="none" w:sz="0" w:space="0" w:color="auto"/>
                  </w:divBdr>
                  <w:divsChild>
                    <w:div w:id="587159222">
                      <w:marLeft w:val="0"/>
                      <w:marRight w:val="0"/>
                      <w:marTop w:val="0"/>
                      <w:marBottom w:val="0"/>
                      <w:divBdr>
                        <w:top w:val="none" w:sz="0" w:space="0" w:color="auto"/>
                        <w:left w:val="none" w:sz="0" w:space="0" w:color="auto"/>
                        <w:bottom w:val="none" w:sz="0" w:space="0" w:color="auto"/>
                        <w:right w:val="none" w:sz="0" w:space="0" w:color="auto"/>
                      </w:divBdr>
                    </w:div>
                  </w:divsChild>
                </w:div>
                <w:div w:id="462626018">
                  <w:marLeft w:val="0"/>
                  <w:marRight w:val="0"/>
                  <w:marTop w:val="0"/>
                  <w:marBottom w:val="0"/>
                  <w:divBdr>
                    <w:top w:val="none" w:sz="0" w:space="0" w:color="auto"/>
                    <w:left w:val="none" w:sz="0" w:space="0" w:color="auto"/>
                    <w:bottom w:val="none" w:sz="0" w:space="0" w:color="auto"/>
                    <w:right w:val="none" w:sz="0" w:space="0" w:color="auto"/>
                  </w:divBdr>
                  <w:divsChild>
                    <w:div w:id="37702975">
                      <w:marLeft w:val="0"/>
                      <w:marRight w:val="0"/>
                      <w:marTop w:val="0"/>
                      <w:marBottom w:val="0"/>
                      <w:divBdr>
                        <w:top w:val="none" w:sz="0" w:space="0" w:color="auto"/>
                        <w:left w:val="none" w:sz="0" w:space="0" w:color="auto"/>
                        <w:bottom w:val="none" w:sz="0" w:space="0" w:color="auto"/>
                        <w:right w:val="none" w:sz="0" w:space="0" w:color="auto"/>
                      </w:divBdr>
                    </w:div>
                  </w:divsChild>
                </w:div>
                <w:div w:id="525825271">
                  <w:marLeft w:val="0"/>
                  <w:marRight w:val="0"/>
                  <w:marTop w:val="0"/>
                  <w:marBottom w:val="0"/>
                  <w:divBdr>
                    <w:top w:val="none" w:sz="0" w:space="0" w:color="auto"/>
                    <w:left w:val="none" w:sz="0" w:space="0" w:color="auto"/>
                    <w:bottom w:val="none" w:sz="0" w:space="0" w:color="auto"/>
                    <w:right w:val="none" w:sz="0" w:space="0" w:color="auto"/>
                  </w:divBdr>
                  <w:divsChild>
                    <w:div w:id="652832169">
                      <w:marLeft w:val="0"/>
                      <w:marRight w:val="0"/>
                      <w:marTop w:val="0"/>
                      <w:marBottom w:val="0"/>
                      <w:divBdr>
                        <w:top w:val="none" w:sz="0" w:space="0" w:color="auto"/>
                        <w:left w:val="none" w:sz="0" w:space="0" w:color="auto"/>
                        <w:bottom w:val="none" w:sz="0" w:space="0" w:color="auto"/>
                        <w:right w:val="none" w:sz="0" w:space="0" w:color="auto"/>
                      </w:divBdr>
                    </w:div>
                  </w:divsChild>
                </w:div>
                <w:div w:id="533494674">
                  <w:marLeft w:val="0"/>
                  <w:marRight w:val="0"/>
                  <w:marTop w:val="0"/>
                  <w:marBottom w:val="0"/>
                  <w:divBdr>
                    <w:top w:val="none" w:sz="0" w:space="0" w:color="auto"/>
                    <w:left w:val="none" w:sz="0" w:space="0" w:color="auto"/>
                    <w:bottom w:val="none" w:sz="0" w:space="0" w:color="auto"/>
                    <w:right w:val="none" w:sz="0" w:space="0" w:color="auto"/>
                  </w:divBdr>
                  <w:divsChild>
                    <w:div w:id="781457834">
                      <w:marLeft w:val="0"/>
                      <w:marRight w:val="0"/>
                      <w:marTop w:val="0"/>
                      <w:marBottom w:val="0"/>
                      <w:divBdr>
                        <w:top w:val="none" w:sz="0" w:space="0" w:color="auto"/>
                        <w:left w:val="none" w:sz="0" w:space="0" w:color="auto"/>
                        <w:bottom w:val="none" w:sz="0" w:space="0" w:color="auto"/>
                        <w:right w:val="none" w:sz="0" w:space="0" w:color="auto"/>
                      </w:divBdr>
                    </w:div>
                  </w:divsChild>
                </w:div>
                <w:div w:id="607928596">
                  <w:marLeft w:val="0"/>
                  <w:marRight w:val="0"/>
                  <w:marTop w:val="0"/>
                  <w:marBottom w:val="0"/>
                  <w:divBdr>
                    <w:top w:val="none" w:sz="0" w:space="0" w:color="auto"/>
                    <w:left w:val="none" w:sz="0" w:space="0" w:color="auto"/>
                    <w:bottom w:val="none" w:sz="0" w:space="0" w:color="auto"/>
                    <w:right w:val="none" w:sz="0" w:space="0" w:color="auto"/>
                  </w:divBdr>
                  <w:divsChild>
                    <w:div w:id="554312991">
                      <w:marLeft w:val="0"/>
                      <w:marRight w:val="0"/>
                      <w:marTop w:val="0"/>
                      <w:marBottom w:val="0"/>
                      <w:divBdr>
                        <w:top w:val="none" w:sz="0" w:space="0" w:color="auto"/>
                        <w:left w:val="none" w:sz="0" w:space="0" w:color="auto"/>
                        <w:bottom w:val="none" w:sz="0" w:space="0" w:color="auto"/>
                        <w:right w:val="none" w:sz="0" w:space="0" w:color="auto"/>
                      </w:divBdr>
                    </w:div>
                  </w:divsChild>
                </w:div>
                <w:div w:id="666905789">
                  <w:marLeft w:val="0"/>
                  <w:marRight w:val="0"/>
                  <w:marTop w:val="0"/>
                  <w:marBottom w:val="0"/>
                  <w:divBdr>
                    <w:top w:val="none" w:sz="0" w:space="0" w:color="auto"/>
                    <w:left w:val="none" w:sz="0" w:space="0" w:color="auto"/>
                    <w:bottom w:val="none" w:sz="0" w:space="0" w:color="auto"/>
                    <w:right w:val="none" w:sz="0" w:space="0" w:color="auto"/>
                  </w:divBdr>
                  <w:divsChild>
                    <w:div w:id="1047802167">
                      <w:marLeft w:val="0"/>
                      <w:marRight w:val="0"/>
                      <w:marTop w:val="0"/>
                      <w:marBottom w:val="0"/>
                      <w:divBdr>
                        <w:top w:val="none" w:sz="0" w:space="0" w:color="auto"/>
                        <w:left w:val="none" w:sz="0" w:space="0" w:color="auto"/>
                        <w:bottom w:val="none" w:sz="0" w:space="0" w:color="auto"/>
                        <w:right w:val="none" w:sz="0" w:space="0" w:color="auto"/>
                      </w:divBdr>
                    </w:div>
                  </w:divsChild>
                </w:div>
                <w:div w:id="695039943">
                  <w:marLeft w:val="0"/>
                  <w:marRight w:val="0"/>
                  <w:marTop w:val="0"/>
                  <w:marBottom w:val="0"/>
                  <w:divBdr>
                    <w:top w:val="none" w:sz="0" w:space="0" w:color="auto"/>
                    <w:left w:val="none" w:sz="0" w:space="0" w:color="auto"/>
                    <w:bottom w:val="none" w:sz="0" w:space="0" w:color="auto"/>
                    <w:right w:val="none" w:sz="0" w:space="0" w:color="auto"/>
                  </w:divBdr>
                  <w:divsChild>
                    <w:div w:id="1995798300">
                      <w:marLeft w:val="0"/>
                      <w:marRight w:val="0"/>
                      <w:marTop w:val="0"/>
                      <w:marBottom w:val="0"/>
                      <w:divBdr>
                        <w:top w:val="none" w:sz="0" w:space="0" w:color="auto"/>
                        <w:left w:val="none" w:sz="0" w:space="0" w:color="auto"/>
                        <w:bottom w:val="none" w:sz="0" w:space="0" w:color="auto"/>
                        <w:right w:val="none" w:sz="0" w:space="0" w:color="auto"/>
                      </w:divBdr>
                    </w:div>
                  </w:divsChild>
                </w:div>
                <w:div w:id="752896680">
                  <w:marLeft w:val="0"/>
                  <w:marRight w:val="0"/>
                  <w:marTop w:val="0"/>
                  <w:marBottom w:val="0"/>
                  <w:divBdr>
                    <w:top w:val="none" w:sz="0" w:space="0" w:color="auto"/>
                    <w:left w:val="none" w:sz="0" w:space="0" w:color="auto"/>
                    <w:bottom w:val="none" w:sz="0" w:space="0" w:color="auto"/>
                    <w:right w:val="none" w:sz="0" w:space="0" w:color="auto"/>
                  </w:divBdr>
                  <w:divsChild>
                    <w:div w:id="2083526128">
                      <w:marLeft w:val="0"/>
                      <w:marRight w:val="0"/>
                      <w:marTop w:val="0"/>
                      <w:marBottom w:val="0"/>
                      <w:divBdr>
                        <w:top w:val="none" w:sz="0" w:space="0" w:color="auto"/>
                        <w:left w:val="none" w:sz="0" w:space="0" w:color="auto"/>
                        <w:bottom w:val="none" w:sz="0" w:space="0" w:color="auto"/>
                        <w:right w:val="none" w:sz="0" w:space="0" w:color="auto"/>
                      </w:divBdr>
                    </w:div>
                  </w:divsChild>
                </w:div>
                <w:div w:id="767577730">
                  <w:marLeft w:val="0"/>
                  <w:marRight w:val="0"/>
                  <w:marTop w:val="0"/>
                  <w:marBottom w:val="0"/>
                  <w:divBdr>
                    <w:top w:val="none" w:sz="0" w:space="0" w:color="auto"/>
                    <w:left w:val="none" w:sz="0" w:space="0" w:color="auto"/>
                    <w:bottom w:val="none" w:sz="0" w:space="0" w:color="auto"/>
                    <w:right w:val="none" w:sz="0" w:space="0" w:color="auto"/>
                  </w:divBdr>
                  <w:divsChild>
                    <w:div w:id="1266034158">
                      <w:marLeft w:val="0"/>
                      <w:marRight w:val="0"/>
                      <w:marTop w:val="0"/>
                      <w:marBottom w:val="0"/>
                      <w:divBdr>
                        <w:top w:val="none" w:sz="0" w:space="0" w:color="auto"/>
                        <w:left w:val="none" w:sz="0" w:space="0" w:color="auto"/>
                        <w:bottom w:val="none" w:sz="0" w:space="0" w:color="auto"/>
                        <w:right w:val="none" w:sz="0" w:space="0" w:color="auto"/>
                      </w:divBdr>
                    </w:div>
                  </w:divsChild>
                </w:div>
                <w:div w:id="786042670">
                  <w:marLeft w:val="0"/>
                  <w:marRight w:val="0"/>
                  <w:marTop w:val="0"/>
                  <w:marBottom w:val="0"/>
                  <w:divBdr>
                    <w:top w:val="none" w:sz="0" w:space="0" w:color="auto"/>
                    <w:left w:val="none" w:sz="0" w:space="0" w:color="auto"/>
                    <w:bottom w:val="none" w:sz="0" w:space="0" w:color="auto"/>
                    <w:right w:val="none" w:sz="0" w:space="0" w:color="auto"/>
                  </w:divBdr>
                  <w:divsChild>
                    <w:div w:id="415857867">
                      <w:marLeft w:val="0"/>
                      <w:marRight w:val="0"/>
                      <w:marTop w:val="0"/>
                      <w:marBottom w:val="0"/>
                      <w:divBdr>
                        <w:top w:val="none" w:sz="0" w:space="0" w:color="auto"/>
                        <w:left w:val="none" w:sz="0" w:space="0" w:color="auto"/>
                        <w:bottom w:val="none" w:sz="0" w:space="0" w:color="auto"/>
                        <w:right w:val="none" w:sz="0" w:space="0" w:color="auto"/>
                      </w:divBdr>
                    </w:div>
                  </w:divsChild>
                </w:div>
                <w:div w:id="788813804">
                  <w:marLeft w:val="0"/>
                  <w:marRight w:val="0"/>
                  <w:marTop w:val="0"/>
                  <w:marBottom w:val="0"/>
                  <w:divBdr>
                    <w:top w:val="none" w:sz="0" w:space="0" w:color="auto"/>
                    <w:left w:val="none" w:sz="0" w:space="0" w:color="auto"/>
                    <w:bottom w:val="none" w:sz="0" w:space="0" w:color="auto"/>
                    <w:right w:val="none" w:sz="0" w:space="0" w:color="auto"/>
                  </w:divBdr>
                  <w:divsChild>
                    <w:div w:id="151335747">
                      <w:marLeft w:val="0"/>
                      <w:marRight w:val="0"/>
                      <w:marTop w:val="0"/>
                      <w:marBottom w:val="0"/>
                      <w:divBdr>
                        <w:top w:val="none" w:sz="0" w:space="0" w:color="auto"/>
                        <w:left w:val="none" w:sz="0" w:space="0" w:color="auto"/>
                        <w:bottom w:val="none" w:sz="0" w:space="0" w:color="auto"/>
                        <w:right w:val="none" w:sz="0" w:space="0" w:color="auto"/>
                      </w:divBdr>
                    </w:div>
                  </w:divsChild>
                </w:div>
                <w:div w:id="839124625">
                  <w:marLeft w:val="0"/>
                  <w:marRight w:val="0"/>
                  <w:marTop w:val="0"/>
                  <w:marBottom w:val="0"/>
                  <w:divBdr>
                    <w:top w:val="none" w:sz="0" w:space="0" w:color="auto"/>
                    <w:left w:val="none" w:sz="0" w:space="0" w:color="auto"/>
                    <w:bottom w:val="none" w:sz="0" w:space="0" w:color="auto"/>
                    <w:right w:val="none" w:sz="0" w:space="0" w:color="auto"/>
                  </w:divBdr>
                  <w:divsChild>
                    <w:div w:id="847057462">
                      <w:marLeft w:val="0"/>
                      <w:marRight w:val="0"/>
                      <w:marTop w:val="0"/>
                      <w:marBottom w:val="0"/>
                      <w:divBdr>
                        <w:top w:val="none" w:sz="0" w:space="0" w:color="auto"/>
                        <w:left w:val="none" w:sz="0" w:space="0" w:color="auto"/>
                        <w:bottom w:val="none" w:sz="0" w:space="0" w:color="auto"/>
                        <w:right w:val="none" w:sz="0" w:space="0" w:color="auto"/>
                      </w:divBdr>
                    </w:div>
                  </w:divsChild>
                </w:div>
                <w:div w:id="875001554">
                  <w:marLeft w:val="0"/>
                  <w:marRight w:val="0"/>
                  <w:marTop w:val="0"/>
                  <w:marBottom w:val="0"/>
                  <w:divBdr>
                    <w:top w:val="none" w:sz="0" w:space="0" w:color="auto"/>
                    <w:left w:val="none" w:sz="0" w:space="0" w:color="auto"/>
                    <w:bottom w:val="none" w:sz="0" w:space="0" w:color="auto"/>
                    <w:right w:val="none" w:sz="0" w:space="0" w:color="auto"/>
                  </w:divBdr>
                  <w:divsChild>
                    <w:div w:id="1074232263">
                      <w:marLeft w:val="0"/>
                      <w:marRight w:val="0"/>
                      <w:marTop w:val="0"/>
                      <w:marBottom w:val="0"/>
                      <w:divBdr>
                        <w:top w:val="none" w:sz="0" w:space="0" w:color="auto"/>
                        <w:left w:val="none" w:sz="0" w:space="0" w:color="auto"/>
                        <w:bottom w:val="none" w:sz="0" w:space="0" w:color="auto"/>
                        <w:right w:val="none" w:sz="0" w:space="0" w:color="auto"/>
                      </w:divBdr>
                    </w:div>
                  </w:divsChild>
                </w:div>
                <w:div w:id="978455182">
                  <w:marLeft w:val="0"/>
                  <w:marRight w:val="0"/>
                  <w:marTop w:val="0"/>
                  <w:marBottom w:val="0"/>
                  <w:divBdr>
                    <w:top w:val="none" w:sz="0" w:space="0" w:color="auto"/>
                    <w:left w:val="none" w:sz="0" w:space="0" w:color="auto"/>
                    <w:bottom w:val="none" w:sz="0" w:space="0" w:color="auto"/>
                    <w:right w:val="none" w:sz="0" w:space="0" w:color="auto"/>
                  </w:divBdr>
                  <w:divsChild>
                    <w:div w:id="166679873">
                      <w:marLeft w:val="0"/>
                      <w:marRight w:val="0"/>
                      <w:marTop w:val="0"/>
                      <w:marBottom w:val="0"/>
                      <w:divBdr>
                        <w:top w:val="none" w:sz="0" w:space="0" w:color="auto"/>
                        <w:left w:val="none" w:sz="0" w:space="0" w:color="auto"/>
                        <w:bottom w:val="none" w:sz="0" w:space="0" w:color="auto"/>
                        <w:right w:val="none" w:sz="0" w:space="0" w:color="auto"/>
                      </w:divBdr>
                    </w:div>
                  </w:divsChild>
                </w:div>
                <w:div w:id="1079520884">
                  <w:marLeft w:val="0"/>
                  <w:marRight w:val="0"/>
                  <w:marTop w:val="0"/>
                  <w:marBottom w:val="0"/>
                  <w:divBdr>
                    <w:top w:val="none" w:sz="0" w:space="0" w:color="auto"/>
                    <w:left w:val="none" w:sz="0" w:space="0" w:color="auto"/>
                    <w:bottom w:val="none" w:sz="0" w:space="0" w:color="auto"/>
                    <w:right w:val="none" w:sz="0" w:space="0" w:color="auto"/>
                  </w:divBdr>
                  <w:divsChild>
                    <w:div w:id="741411092">
                      <w:marLeft w:val="0"/>
                      <w:marRight w:val="0"/>
                      <w:marTop w:val="0"/>
                      <w:marBottom w:val="0"/>
                      <w:divBdr>
                        <w:top w:val="none" w:sz="0" w:space="0" w:color="auto"/>
                        <w:left w:val="none" w:sz="0" w:space="0" w:color="auto"/>
                        <w:bottom w:val="none" w:sz="0" w:space="0" w:color="auto"/>
                        <w:right w:val="none" w:sz="0" w:space="0" w:color="auto"/>
                      </w:divBdr>
                    </w:div>
                  </w:divsChild>
                </w:div>
                <w:div w:id="1147015414">
                  <w:marLeft w:val="0"/>
                  <w:marRight w:val="0"/>
                  <w:marTop w:val="0"/>
                  <w:marBottom w:val="0"/>
                  <w:divBdr>
                    <w:top w:val="none" w:sz="0" w:space="0" w:color="auto"/>
                    <w:left w:val="none" w:sz="0" w:space="0" w:color="auto"/>
                    <w:bottom w:val="none" w:sz="0" w:space="0" w:color="auto"/>
                    <w:right w:val="none" w:sz="0" w:space="0" w:color="auto"/>
                  </w:divBdr>
                  <w:divsChild>
                    <w:div w:id="1618022439">
                      <w:marLeft w:val="0"/>
                      <w:marRight w:val="0"/>
                      <w:marTop w:val="0"/>
                      <w:marBottom w:val="0"/>
                      <w:divBdr>
                        <w:top w:val="none" w:sz="0" w:space="0" w:color="auto"/>
                        <w:left w:val="none" w:sz="0" w:space="0" w:color="auto"/>
                        <w:bottom w:val="none" w:sz="0" w:space="0" w:color="auto"/>
                        <w:right w:val="none" w:sz="0" w:space="0" w:color="auto"/>
                      </w:divBdr>
                    </w:div>
                  </w:divsChild>
                </w:div>
                <w:div w:id="1306349792">
                  <w:marLeft w:val="0"/>
                  <w:marRight w:val="0"/>
                  <w:marTop w:val="0"/>
                  <w:marBottom w:val="0"/>
                  <w:divBdr>
                    <w:top w:val="none" w:sz="0" w:space="0" w:color="auto"/>
                    <w:left w:val="none" w:sz="0" w:space="0" w:color="auto"/>
                    <w:bottom w:val="none" w:sz="0" w:space="0" w:color="auto"/>
                    <w:right w:val="none" w:sz="0" w:space="0" w:color="auto"/>
                  </w:divBdr>
                  <w:divsChild>
                    <w:div w:id="2142920045">
                      <w:marLeft w:val="0"/>
                      <w:marRight w:val="0"/>
                      <w:marTop w:val="0"/>
                      <w:marBottom w:val="0"/>
                      <w:divBdr>
                        <w:top w:val="none" w:sz="0" w:space="0" w:color="auto"/>
                        <w:left w:val="none" w:sz="0" w:space="0" w:color="auto"/>
                        <w:bottom w:val="none" w:sz="0" w:space="0" w:color="auto"/>
                        <w:right w:val="none" w:sz="0" w:space="0" w:color="auto"/>
                      </w:divBdr>
                    </w:div>
                  </w:divsChild>
                </w:div>
                <w:div w:id="1415934061">
                  <w:marLeft w:val="0"/>
                  <w:marRight w:val="0"/>
                  <w:marTop w:val="0"/>
                  <w:marBottom w:val="0"/>
                  <w:divBdr>
                    <w:top w:val="none" w:sz="0" w:space="0" w:color="auto"/>
                    <w:left w:val="none" w:sz="0" w:space="0" w:color="auto"/>
                    <w:bottom w:val="none" w:sz="0" w:space="0" w:color="auto"/>
                    <w:right w:val="none" w:sz="0" w:space="0" w:color="auto"/>
                  </w:divBdr>
                  <w:divsChild>
                    <w:div w:id="697506036">
                      <w:marLeft w:val="0"/>
                      <w:marRight w:val="0"/>
                      <w:marTop w:val="0"/>
                      <w:marBottom w:val="0"/>
                      <w:divBdr>
                        <w:top w:val="none" w:sz="0" w:space="0" w:color="auto"/>
                        <w:left w:val="none" w:sz="0" w:space="0" w:color="auto"/>
                        <w:bottom w:val="none" w:sz="0" w:space="0" w:color="auto"/>
                        <w:right w:val="none" w:sz="0" w:space="0" w:color="auto"/>
                      </w:divBdr>
                    </w:div>
                  </w:divsChild>
                </w:div>
                <w:div w:id="1436056545">
                  <w:marLeft w:val="0"/>
                  <w:marRight w:val="0"/>
                  <w:marTop w:val="0"/>
                  <w:marBottom w:val="0"/>
                  <w:divBdr>
                    <w:top w:val="none" w:sz="0" w:space="0" w:color="auto"/>
                    <w:left w:val="none" w:sz="0" w:space="0" w:color="auto"/>
                    <w:bottom w:val="none" w:sz="0" w:space="0" w:color="auto"/>
                    <w:right w:val="none" w:sz="0" w:space="0" w:color="auto"/>
                  </w:divBdr>
                  <w:divsChild>
                    <w:div w:id="1150903419">
                      <w:marLeft w:val="0"/>
                      <w:marRight w:val="0"/>
                      <w:marTop w:val="0"/>
                      <w:marBottom w:val="0"/>
                      <w:divBdr>
                        <w:top w:val="none" w:sz="0" w:space="0" w:color="auto"/>
                        <w:left w:val="none" w:sz="0" w:space="0" w:color="auto"/>
                        <w:bottom w:val="none" w:sz="0" w:space="0" w:color="auto"/>
                        <w:right w:val="none" w:sz="0" w:space="0" w:color="auto"/>
                      </w:divBdr>
                    </w:div>
                  </w:divsChild>
                </w:div>
                <w:div w:id="1462456416">
                  <w:marLeft w:val="0"/>
                  <w:marRight w:val="0"/>
                  <w:marTop w:val="0"/>
                  <w:marBottom w:val="0"/>
                  <w:divBdr>
                    <w:top w:val="none" w:sz="0" w:space="0" w:color="auto"/>
                    <w:left w:val="none" w:sz="0" w:space="0" w:color="auto"/>
                    <w:bottom w:val="none" w:sz="0" w:space="0" w:color="auto"/>
                    <w:right w:val="none" w:sz="0" w:space="0" w:color="auto"/>
                  </w:divBdr>
                  <w:divsChild>
                    <w:div w:id="1954088729">
                      <w:marLeft w:val="0"/>
                      <w:marRight w:val="0"/>
                      <w:marTop w:val="0"/>
                      <w:marBottom w:val="0"/>
                      <w:divBdr>
                        <w:top w:val="none" w:sz="0" w:space="0" w:color="auto"/>
                        <w:left w:val="none" w:sz="0" w:space="0" w:color="auto"/>
                        <w:bottom w:val="none" w:sz="0" w:space="0" w:color="auto"/>
                        <w:right w:val="none" w:sz="0" w:space="0" w:color="auto"/>
                      </w:divBdr>
                    </w:div>
                  </w:divsChild>
                </w:div>
                <w:div w:id="1527985740">
                  <w:marLeft w:val="0"/>
                  <w:marRight w:val="0"/>
                  <w:marTop w:val="0"/>
                  <w:marBottom w:val="0"/>
                  <w:divBdr>
                    <w:top w:val="none" w:sz="0" w:space="0" w:color="auto"/>
                    <w:left w:val="none" w:sz="0" w:space="0" w:color="auto"/>
                    <w:bottom w:val="none" w:sz="0" w:space="0" w:color="auto"/>
                    <w:right w:val="none" w:sz="0" w:space="0" w:color="auto"/>
                  </w:divBdr>
                  <w:divsChild>
                    <w:div w:id="1012801988">
                      <w:marLeft w:val="0"/>
                      <w:marRight w:val="0"/>
                      <w:marTop w:val="0"/>
                      <w:marBottom w:val="0"/>
                      <w:divBdr>
                        <w:top w:val="none" w:sz="0" w:space="0" w:color="auto"/>
                        <w:left w:val="none" w:sz="0" w:space="0" w:color="auto"/>
                        <w:bottom w:val="none" w:sz="0" w:space="0" w:color="auto"/>
                        <w:right w:val="none" w:sz="0" w:space="0" w:color="auto"/>
                      </w:divBdr>
                    </w:div>
                  </w:divsChild>
                </w:div>
                <w:div w:id="1594388823">
                  <w:marLeft w:val="0"/>
                  <w:marRight w:val="0"/>
                  <w:marTop w:val="0"/>
                  <w:marBottom w:val="0"/>
                  <w:divBdr>
                    <w:top w:val="none" w:sz="0" w:space="0" w:color="auto"/>
                    <w:left w:val="none" w:sz="0" w:space="0" w:color="auto"/>
                    <w:bottom w:val="none" w:sz="0" w:space="0" w:color="auto"/>
                    <w:right w:val="none" w:sz="0" w:space="0" w:color="auto"/>
                  </w:divBdr>
                  <w:divsChild>
                    <w:div w:id="1467315678">
                      <w:marLeft w:val="0"/>
                      <w:marRight w:val="0"/>
                      <w:marTop w:val="0"/>
                      <w:marBottom w:val="0"/>
                      <w:divBdr>
                        <w:top w:val="none" w:sz="0" w:space="0" w:color="auto"/>
                        <w:left w:val="none" w:sz="0" w:space="0" w:color="auto"/>
                        <w:bottom w:val="none" w:sz="0" w:space="0" w:color="auto"/>
                        <w:right w:val="none" w:sz="0" w:space="0" w:color="auto"/>
                      </w:divBdr>
                    </w:div>
                  </w:divsChild>
                </w:div>
                <w:div w:id="1850290973">
                  <w:marLeft w:val="0"/>
                  <w:marRight w:val="0"/>
                  <w:marTop w:val="0"/>
                  <w:marBottom w:val="0"/>
                  <w:divBdr>
                    <w:top w:val="none" w:sz="0" w:space="0" w:color="auto"/>
                    <w:left w:val="none" w:sz="0" w:space="0" w:color="auto"/>
                    <w:bottom w:val="none" w:sz="0" w:space="0" w:color="auto"/>
                    <w:right w:val="none" w:sz="0" w:space="0" w:color="auto"/>
                  </w:divBdr>
                  <w:divsChild>
                    <w:div w:id="1317804283">
                      <w:marLeft w:val="0"/>
                      <w:marRight w:val="0"/>
                      <w:marTop w:val="0"/>
                      <w:marBottom w:val="0"/>
                      <w:divBdr>
                        <w:top w:val="none" w:sz="0" w:space="0" w:color="auto"/>
                        <w:left w:val="none" w:sz="0" w:space="0" w:color="auto"/>
                        <w:bottom w:val="none" w:sz="0" w:space="0" w:color="auto"/>
                        <w:right w:val="none" w:sz="0" w:space="0" w:color="auto"/>
                      </w:divBdr>
                    </w:div>
                  </w:divsChild>
                </w:div>
                <w:div w:id="1902985452">
                  <w:marLeft w:val="0"/>
                  <w:marRight w:val="0"/>
                  <w:marTop w:val="0"/>
                  <w:marBottom w:val="0"/>
                  <w:divBdr>
                    <w:top w:val="none" w:sz="0" w:space="0" w:color="auto"/>
                    <w:left w:val="none" w:sz="0" w:space="0" w:color="auto"/>
                    <w:bottom w:val="none" w:sz="0" w:space="0" w:color="auto"/>
                    <w:right w:val="none" w:sz="0" w:space="0" w:color="auto"/>
                  </w:divBdr>
                  <w:divsChild>
                    <w:div w:id="50154681">
                      <w:marLeft w:val="0"/>
                      <w:marRight w:val="0"/>
                      <w:marTop w:val="0"/>
                      <w:marBottom w:val="0"/>
                      <w:divBdr>
                        <w:top w:val="none" w:sz="0" w:space="0" w:color="auto"/>
                        <w:left w:val="none" w:sz="0" w:space="0" w:color="auto"/>
                        <w:bottom w:val="none" w:sz="0" w:space="0" w:color="auto"/>
                        <w:right w:val="none" w:sz="0" w:space="0" w:color="auto"/>
                      </w:divBdr>
                    </w:div>
                  </w:divsChild>
                </w:div>
                <w:div w:id="1916088451">
                  <w:marLeft w:val="0"/>
                  <w:marRight w:val="0"/>
                  <w:marTop w:val="0"/>
                  <w:marBottom w:val="0"/>
                  <w:divBdr>
                    <w:top w:val="none" w:sz="0" w:space="0" w:color="auto"/>
                    <w:left w:val="none" w:sz="0" w:space="0" w:color="auto"/>
                    <w:bottom w:val="none" w:sz="0" w:space="0" w:color="auto"/>
                    <w:right w:val="none" w:sz="0" w:space="0" w:color="auto"/>
                  </w:divBdr>
                  <w:divsChild>
                    <w:div w:id="1978142514">
                      <w:marLeft w:val="0"/>
                      <w:marRight w:val="0"/>
                      <w:marTop w:val="0"/>
                      <w:marBottom w:val="0"/>
                      <w:divBdr>
                        <w:top w:val="none" w:sz="0" w:space="0" w:color="auto"/>
                        <w:left w:val="none" w:sz="0" w:space="0" w:color="auto"/>
                        <w:bottom w:val="none" w:sz="0" w:space="0" w:color="auto"/>
                        <w:right w:val="none" w:sz="0" w:space="0" w:color="auto"/>
                      </w:divBdr>
                    </w:div>
                  </w:divsChild>
                </w:div>
                <w:div w:id="2055231560">
                  <w:marLeft w:val="0"/>
                  <w:marRight w:val="0"/>
                  <w:marTop w:val="0"/>
                  <w:marBottom w:val="0"/>
                  <w:divBdr>
                    <w:top w:val="none" w:sz="0" w:space="0" w:color="auto"/>
                    <w:left w:val="none" w:sz="0" w:space="0" w:color="auto"/>
                    <w:bottom w:val="none" w:sz="0" w:space="0" w:color="auto"/>
                    <w:right w:val="none" w:sz="0" w:space="0" w:color="auto"/>
                  </w:divBdr>
                  <w:divsChild>
                    <w:div w:id="325134822">
                      <w:marLeft w:val="0"/>
                      <w:marRight w:val="0"/>
                      <w:marTop w:val="0"/>
                      <w:marBottom w:val="0"/>
                      <w:divBdr>
                        <w:top w:val="none" w:sz="0" w:space="0" w:color="auto"/>
                        <w:left w:val="none" w:sz="0" w:space="0" w:color="auto"/>
                        <w:bottom w:val="none" w:sz="0" w:space="0" w:color="auto"/>
                        <w:right w:val="none" w:sz="0" w:space="0" w:color="auto"/>
                      </w:divBdr>
                    </w:div>
                  </w:divsChild>
                </w:div>
                <w:div w:id="2067223007">
                  <w:marLeft w:val="0"/>
                  <w:marRight w:val="0"/>
                  <w:marTop w:val="0"/>
                  <w:marBottom w:val="0"/>
                  <w:divBdr>
                    <w:top w:val="none" w:sz="0" w:space="0" w:color="auto"/>
                    <w:left w:val="none" w:sz="0" w:space="0" w:color="auto"/>
                    <w:bottom w:val="none" w:sz="0" w:space="0" w:color="auto"/>
                    <w:right w:val="none" w:sz="0" w:space="0" w:color="auto"/>
                  </w:divBdr>
                  <w:divsChild>
                    <w:div w:id="537162056">
                      <w:marLeft w:val="0"/>
                      <w:marRight w:val="0"/>
                      <w:marTop w:val="0"/>
                      <w:marBottom w:val="0"/>
                      <w:divBdr>
                        <w:top w:val="none" w:sz="0" w:space="0" w:color="auto"/>
                        <w:left w:val="none" w:sz="0" w:space="0" w:color="auto"/>
                        <w:bottom w:val="none" w:sz="0" w:space="0" w:color="auto"/>
                        <w:right w:val="none" w:sz="0" w:space="0" w:color="auto"/>
                      </w:divBdr>
                    </w:div>
                  </w:divsChild>
                </w:div>
                <w:div w:id="2129540610">
                  <w:marLeft w:val="0"/>
                  <w:marRight w:val="0"/>
                  <w:marTop w:val="0"/>
                  <w:marBottom w:val="0"/>
                  <w:divBdr>
                    <w:top w:val="none" w:sz="0" w:space="0" w:color="auto"/>
                    <w:left w:val="none" w:sz="0" w:space="0" w:color="auto"/>
                    <w:bottom w:val="none" w:sz="0" w:space="0" w:color="auto"/>
                    <w:right w:val="none" w:sz="0" w:space="0" w:color="auto"/>
                  </w:divBdr>
                  <w:divsChild>
                    <w:div w:id="1107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80897">
          <w:marLeft w:val="0"/>
          <w:marRight w:val="0"/>
          <w:marTop w:val="0"/>
          <w:marBottom w:val="0"/>
          <w:divBdr>
            <w:top w:val="none" w:sz="0" w:space="0" w:color="auto"/>
            <w:left w:val="none" w:sz="0" w:space="0" w:color="auto"/>
            <w:bottom w:val="none" w:sz="0" w:space="0" w:color="auto"/>
            <w:right w:val="none" w:sz="0" w:space="0" w:color="auto"/>
          </w:divBdr>
        </w:div>
        <w:div w:id="239800010">
          <w:marLeft w:val="0"/>
          <w:marRight w:val="0"/>
          <w:marTop w:val="0"/>
          <w:marBottom w:val="0"/>
          <w:divBdr>
            <w:top w:val="none" w:sz="0" w:space="0" w:color="auto"/>
            <w:left w:val="none" w:sz="0" w:space="0" w:color="auto"/>
            <w:bottom w:val="none" w:sz="0" w:space="0" w:color="auto"/>
            <w:right w:val="none" w:sz="0" w:space="0" w:color="auto"/>
          </w:divBdr>
        </w:div>
        <w:div w:id="249244338">
          <w:marLeft w:val="0"/>
          <w:marRight w:val="0"/>
          <w:marTop w:val="0"/>
          <w:marBottom w:val="0"/>
          <w:divBdr>
            <w:top w:val="none" w:sz="0" w:space="0" w:color="auto"/>
            <w:left w:val="none" w:sz="0" w:space="0" w:color="auto"/>
            <w:bottom w:val="none" w:sz="0" w:space="0" w:color="auto"/>
            <w:right w:val="none" w:sz="0" w:space="0" w:color="auto"/>
          </w:divBdr>
        </w:div>
        <w:div w:id="264657763">
          <w:marLeft w:val="0"/>
          <w:marRight w:val="0"/>
          <w:marTop w:val="0"/>
          <w:marBottom w:val="0"/>
          <w:divBdr>
            <w:top w:val="none" w:sz="0" w:space="0" w:color="auto"/>
            <w:left w:val="none" w:sz="0" w:space="0" w:color="auto"/>
            <w:bottom w:val="none" w:sz="0" w:space="0" w:color="auto"/>
            <w:right w:val="none" w:sz="0" w:space="0" w:color="auto"/>
          </w:divBdr>
        </w:div>
        <w:div w:id="269438378">
          <w:marLeft w:val="0"/>
          <w:marRight w:val="0"/>
          <w:marTop w:val="0"/>
          <w:marBottom w:val="0"/>
          <w:divBdr>
            <w:top w:val="none" w:sz="0" w:space="0" w:color="auto"/>
            <w:left w:val="none" w:sz="0" w:space="0" w:color="auto"/>
            <w:bottom w:val="none" w:sz="0" w:space="0" w:color="auto"/>
            <w:right w:val="none" w:sz="0" w:space="0" w:color="auto"/>
          </w:divBdr>
        </w:div>
        <w:div w:id="405109103">
          <w:marLeft w:val="0"/>
          <w:marRight w:val="0"/>
          <w:marTop w:val="0"/>
          <w:marBottom w:val="0"/>
          <w:divBdr>
            <w:top w:val="none" w:sz="0" w:space="0" w:color="auto"/>
            <w:left w:val="none" w:sz="0" w:space="0" w:color="auto"/>
            <w:bottom w:val="none" w:sz="0" w:space="0" w:color="auto"/>
            <w:right w:val="none" w:sz="0" w:space="0" w:color="auto"/>
          </w:divBdr>
          <w:divsChild>
            <w:div w:id="2068187401">
              <w:marLeft w:val="-75"/>
              <w:marRight w:val="0"/>
              <w:marTop w:val="30"/>
              <w:marBottom w:val="30"/>
              <w:divBdr>
                <w:top w:val="none" w:sz="0" w:space="0" w:color="auto"/>
                <w:left w:val="none" w:sz="0" w:space="0" w:color="auto"/>
                <w:bottom w:val="none" w:sz="0" w:space="0" w:color="auto"/>
                <w:right w:val="none" w:sz="0" w:space="0" w:color="auto"/>
              </w:divBdr>
              <w:divsChild>
                <w:div w:id="126439395">
                  <w:marLeft w:val="0"/>
                  <w:marRight w:val="0"/>
                  <w:marTop w:val="0"/>
                  <w:marBottom w:val="0"/>
                  <w:divBdr>
                    <w:top w:val="none" w:sz="0" w:space="0" w:color="auto"/>
                    <w:left w:val="none" w:sz="0" w:space="0" w:color="auto"/>
                    <w:bottom w:val="none" w:sz="0" w:space="0" w:color="auto"/>
                    <w:right w:val="none" w:sz="0" w:space="0" w:color="auto"/>
                  </w:divBdr>
                  <w:divsChild>
                    <w:div w:id="1122265329">
                      <w:marLeft w:val="0"/>
                      <w:marRight w:val="0"/>
                      <w:marTop w:val="0"/>
                      <w:marBottom w:val="0"/>
                      <w:divBdr>
                        <w:top w:val="none" w:sz="0" w:space="0" w:color="auto"/>
                        <w:left w:val="none" w:sz="0" w:space="0" w:color="auto"/>
                        <w:bottom w:val="none" w:sz="0" w:space="0" w:color="auto"/>
                        <w:right w:val="none" w:sz="0" w:space="0" w:color="auto"/>
                      </w:divBdr>
                    </w:div>
                  </w:divsChild>
                </w:div>
                <w:div w:id="462574673">
                  <w:marLeft w:val="0"/>
                  <w:marRight w:val="0"/>
                  <w:marTop w:val="0"/>
                  <w:marBottom w:val="0"/>
                  <w:divBdr>
                    <w:top w:val="none" w:sz="0" w:space="0" w:color="auto"/>
                    <w:left w:val="none" w:sz="0" w:space="0" w:color="auto"/>
                    <w:bottom w:val="none" w:sz="0" w:space="0" w:color="auto"/>
                    <w:right w:val="none" w:sz="0" w:space="0" w:color="auto"/>
                  </w:divBdr>
                  <w:divsChild>
                    <w:div w:id="637490239">
                      <w:marLeft w:val="0"/>
                      <w:marRight w:val="0"/>
                      <w:marTop w:val="0"/>
                      <w:marBottom w:val="0"/>
                      <w:divBdr>
                        <w:top w:val="none" w:sz="0" w:space="0" w:color="auto"/>
                        <w:left w:val="none" w:sz="0" w:space="0" w:color="auto"/>
                        <w:bottom w:val="none" w:sz="0" w:space="0" w:color="auto"/>
                        <w:right w:val="none" w:sz="0" w:space="0" w:color="auto"/>
                      </w:divBdr>
                    </w:div>
                  </w:divsChild>
                </w:div>
                <w:div w:id="577903030">
                  <w:marLeft w:val="0"/>
                  <w:marRight w:val="0"/>
                  <w:marTop w:val="0"/>
                  <w:marBottom w:val="0"/>
                  <w:divBdr>
                    <w:top w:val="none" w:sz="0" w:space="0" w:color="auto"/>
                    <w:left w:val="none" w:sz="0" w:space="0" w:color="auto"/>
                    <w:bottom w:val="none" w:sz="0" w:space="0" w:color="auto"/>
                    <w:right w:val="none" w:sz="0" w:space="0" w:color="auto"/>
                  </w:divBdr>
                  <w:divsChild>
                    <w:div w:id="681976932">
                      <w:marLeft w:val="0"/>
                      <w:marRight w:val="0"/>
                      <w:marTop w:val="0"/>
                      <w:marBottom w:val="0"/>
                      <w:divBdr>
                        <w:top w:val="none" w:sz="0" w:space="0" w:color="auto"/>
                        <w:left w:val="none" w:sz="0" w:space="0" w:color="auto"/>
                        <w:bottom w:val="none" w:sz="0" w:space="0" w:color="auto"/>
                        <w:right w:val="none" w:sz="0" w:space="0" w:color="auto"/>
                      </w:divBdr>
                    </w:div>
                  </w:divsChild>
                </w:div>
                <w:div w:id="665977891">
                  <w:marLeft w:val="0"/>
                  <w:marRight w:val="0"/>
                  <w:marTop w:val="0"/>
                  <w:marBottom w:val="0"/>
                  <w:divBdr>
                    <w:top w:val="none" w:sz="0" w:space="0" w:color="auto"/>
                    <w:left w:val="none" w:sz="0" w:space="0" w:color="auto"/>
                    <w:bottom w:val="none" w:sz="0" w:space="0" w:color="auto"/>
                    <w:right w:val="none" w:sz="0" w:space="0" w:color="auto"/>
                  </w:divBdr>
                  <w:divsChild>
                    <w:div w:id="1586038979">
                      <w:marLeft w:val="0"/>
                      <w:marRight w:val="0"/>
                      <w:marTop w:val="0"/>
                      <w:marBottom w:val="0"/>
                      <w:divBdr>
                        <w:top w:val="none" w:sz="0" w:space="0" w:color="auto"/>
                        <w:left w:val="none" w:sz="0" w:space="0" w:color="auto"/>
                        <w:bottom w:val="none" w:sz="0" w:space="0" w:color="auto"/>
                        <w:right w:val="none" w:sz="0" w:space="0" w:color="auto"/>
                      </w:divBdr>
                    </w:div>
                  </w:divsChild>
                </w:div>
                <w:div w:id="673803460">
                  <w:marLeft w:val="0"/>
                  <w:marRight w:val="0"/>
                  <w:marTop w:val="0"/>
                  <w:marBottom w:val="0"/>
                  <w:divBdr>
                    <w:top w:val="none" w:sz="0" w:space="0" w:color="auto"/>
                    <w:left w:val="none" w:sz="0" w:space="0" w:color="auto"/>
                    <w:bottom w:val="none" w:sz="0" w:space="0" w:color="auto"/>
                    <w:right w:val="none" w:sz="0" w:space="0" w:color="auto"/>
                  </w:divBdr>
                  <w:divsChild>
                    <w:div w:id="1678851601">
                      <w:marLeft w:val="0"/>
                      <w:marRight w:val="0"/>
                      <w:marTop w:val="0"/>
                      <w:marBottom w:val="0"/>
                      <w:divBdr>
                        <w:top w:val="none" w:sz="0" w:space="0" w:color="auto"/>
                        <w:left w:val="none" w:sz="0" w:space="0" w:color="auto"/>
                        <w:bottom w:val="none" w:sz="0" w:space="0" w:color="auto"/>
                        <w:right w:val="none" w:sz="0" w:space="0" w:color="auto"/>
                      </w:divBdr>
                    </w:div>
                  </w:divsChild>
                </w:div>
                <w:div w:id="724258463">
                  <w:marLeft w:val="0"/>
                  <w:marRight w:val="0"/>
                  <w:marTop w:val="0"/>
                  <w:marBottom w:val="0"/>
                  <w:divBdr>
                    <w:top w:val="none" w:sz="0" w:space="0" w:color="auto"/>
                    <w:left w:val="none" w:sz="0" w:space="0" w:color="auto"/>
                    <w:bottom w:val="none" w:sz="0" w:space="0" w:color="auto"/>
                    <w:right w:val="none" w:sz="0" w:space="0" w:color="auto"/>
                  </w:divBdr>
                  <w:divsChild>
                    <w:div w:id="1047143608">
                      <w:marLeft w:val="0"/>
                      <w:marRight w:val="0"/>
                      <w:marTop w:val="0"/>
                      <w:marBottom w:val="0"/>
                      <w:divBdr>
                        <w:top w:val="none" w:sz="0" w:space="0" w:color="auto"/>
                        <w:left w:val="none" w:sz="0" w:space="0" w:color="auto"/>
                        <w:bottom w:val="none" w:sz="0" w:space="0" w:color="auto"/>
                        <w:right w:val="none" w:sz="0" w:space="0" w:color="auto"/>
                      </w:divBdr>
                    </w:div>
                  </w:divsChild>
                </w:div>
                <w:div w:id="775445049">
                  <w:marLeft w:val="0"/>
                  <w:marRight w:val="0"/>
                  <w:marTop w:val="0"/>
                  <w:marBottom w:val="0"/>
                  <w:divBdr>
                    <w:top w:val="none" w:sz="0" w:space="0" w:color="auto"/>
                    <w:left w:val="none" w:sz="0" w:space="0" w:color="auto"/>
                    <w:bottom w:val="none" w:sz="0" w:space="0" w:color="auto"/>
                    <w:right w:val="none" w:sz="0" w:space="0" w:color="auto"/>
                  </w:divBdr>
                  <w:divsChild>
                    <w:div w:id="1914315469">
                      <w:marLeft w:val="0"/>
                      <w:marRight w:val="0"/>
                      <w:marTop w:val="0"/>
                      <w:marBottom w:val="0"/>
                      <w:divBdr>
                        <w:top w:val="none" w:sz="0" w:space="0" w:color="auto"/>
                        <w:left w:val="none" w:sz="0" w:space="0" w:color="auto"/>
                        <w:bottom w:val="none" w:sz="0" w:space="0" w:color="auto"/>
                        <w:right w:val="none" w:sz="0" w:space="0" w:color="auto"/>
                      </w:divBdr>
                    </w:div>
                  </w:divsChild>
                </w:div>
                <w:div w:id="961423677">
                  <w:marLeft w:val="0"/>
                  <w:marRight w:val="0"/>
                  <w:marTop w:val="0"/>
                  <w:marBottom w:val="0"/>
                  <w:divBdr>
                    <w:top w:val="none" w:sz="0" w:space="0" w:color="auto"/>
                    <w:left w:val="none" w:sz="0" w:space="0" w:color="auto"/>
                    <w:bottom w:val="none" w:sz="0" w:space="0" w:color="auto"/>
                    <w:right w:val="none" w:sz="0" w:space="0" w:color="auto"/>
                  </w:divBdr>
                  <w:divsChild>
                    <w:div w:id="1798792110">
                      <w:marLeft w:val="0"/>
                      <w:marRight w:val="0"/>
                      <w:marTop w:val="0"/>
                      <w:marBottom w:val="0"/>
                      <w:divBdr>
                        <w:top w:val="none" w:sz="0" w:space="0" w:color="auto"/>
                        <w:left w:val="none" w:sz="0" w:space="0" w:color="auto"/>
                        <w:bottom w:val="none" w:sz="0" w:space="0" w:color="auto"/>
                        <w:right w:val="none" w:sz="0" w:space="0" w:color="auto"/>
                      </w:divBdr>
                    </w:div>
                  </w:divsChild>
                </w:div>
                <w:div w:id="1067651984">
                  <w:marLeft w:val="0"/>
                  <w:marRight w:val="0"/>
                  <w:marTop w:val="0"/>
                  <w:marBottom w:val="0"/>
                  <w:divBdr>
                    <w:top w:val="none" w:sz="0" w:space="0" w:color="auto"/>
                    <w:left w:val="none" w:sz="0" w:space="0" w:color="auto"/>
                    <w:bottom w:val="none" w:sz="0" w:space="0" w:color="auto"/>
                    <w:right w:val="none" w:sz="0" w:space="0" w:color="auto"/>
                  </w:divBdr>
                  <w:divsChild>
                    <w:div w:id="1297758197">
                      <w:marLeft w:val="0"/>
                      <w:marRight w:val="0"/>
                      <w:marTop w:val="0"/>
                      <w:marBottom w:val="0"/>
                      <w:divBdr>
                        <w:top w:val="none" w:sz="0" w:space="0" w:color="auto"/>
                        <w:left w:val="none" w:sz="0" w:space="0" w:color="auto"/>
                        <w:bottom w:val="none" w:sz="0" w:space="0" w:color="auto"/>
                        <w:right w:val="none" w:sz="0" w:space="0" w:color="auto"/>
                      </w:divBdr>
                    </w:div>
                  </w:divsChild>
                </w:div>
                <w:div w:id="1131047888">
                  <w:marLeft w:val="0"/>
                  <w:marRight w:val="0"/>
                  <w:marTop w:val="0"/>
                  <w:marBottom w:val="0"/>
                  <w:divBdr>
                    <w:top w:val="none" w:sz="0" w:space="0" w:color="auto"/>
                    <w:left w:val="none" w:sz="0" w:space="0" w:color="auto"/>
                    <w:bottom w:val="none" w:sz="0" w:space="0" w:color="auto"/>
                    <w:right w:val="none" w:sz="0" w:space="0" w:color="auto"/>
                  </w:divBdr>
                  <w:divsChild>
                    <w:div w:id="1825049492">
                      <w:marLeft w:val="0"/>
                      <w:marRight w:val="0"/>
                      <w:marTop w:val="0"/>
                      <w:marBottom w:val="0"/>
                      <w:divBdr>
                        <w:top w:val="none" w:sz="0" w:space="0" w:color="auto"/>
                        <w:left w:val="none" w:sz="0" w:space="0" w:color="auto"/>
                        <w:bottom w:val="none" w:sz="0" w:space="0" w:color="auto"/>
                        <w:right w:val="none" w:sz="0" w:space="0" w:color="auto"/>
                      </w:divBdr>
                    </w:div>
                  </w:divsChild>
                </w:div>
                <w:div w:id="1329600451">
                  <w:marLeft w:val="0"/>
                  <w:marRight w:val="0"/>
                  <w:marTop w:val="0"/>
                  <w:marBottom w:val="0"/>
                  <w:divBdr>
                    <w:top w:val="none" w:sz="0" w:space="0" w:color="auto"/>
                    <w:left w:val="none" w:sz="0" w:space="0" w:color="auto"/>
                    <w:bottom w:val="none" w:sz="0" w:space="0" w:color="auto"/>
                    <w:right w:val="none" w:sz="0" w:space="0" w:color="auto"/>
                  </w:divBdr>
                  <w:divsChild>
                    <w:div w:id="1118180238">
                      <w:marLeft w:val="0"/>
                      <w:marRight w:val="0"/>
                      <w:marTop w:val="0"/>
                      <w:marBottom w:val="0"/>
                      <w:divBdr>
                        <w:top w:val="none" w:sz="0" w:space="0" w:color="auto"/>
                        <w:left w:val="none" w:sz="0" w:space="0" w:color="auto"/>
                        <w:bottom w:val="none" w:sz="0" w:space="0" w:color="auto"/>
                        <w:right w:val="none" w:sz="0" w:space="0" w:color="auto"/>
                      </w:divBdr>
                    </w:div>
                  </w:divsChild>
                </w:div>
                <w:div w:id="1335105284">
                  <w:marLeft w:val="0"/>
                  <w:marRight w:val="0"/>
                  <w:marTop w:val="0"/>
                  <w:marBottom w:val="0"/>
                  <w:divBdr>
                    <w:top w:val="none" w:sz="0" w:space="0" w:color="auto"/>
                    <w:left w:val="none" w:sz="0" w:space="0" w:color="auto"/>
                    <w:bottom w:val="none" w:sz="0" w:space="0" w:color="auto"/>
                    <w:right w:val="none" w:sz="0" w:space="0" w:color="auto"/>
                  </w:divBdr>
                  <w:divsChild>
                    <w:div w:id="29302775">
                      <w:marLeft w:val="0"/>
                      <w:marRight w:val="0"/>
                      <w:marTop w:val="0"/>
                      <w:marBottom w:val="0"/>
                      <w:divBdr>
                        <w:top w:val="none" w:sz="0" w:space="0" w:color="auto"/>
                        <w:left w:val="none" w:sz="0" w:space="0" w:color="auto"/>
                        <w:bottom w:val="none" w:sz="0" w:space="0" w:color="auto"/>
                        <w:right w:val="none" w:sz="0" w:space="0" w:color="auto"/>
                      </w:divBdr>
                    </w:div>
                  </w:divsChild>
                </w:div>
                <w:div w:id="1380131929">
                  <w:marLeft w:val="0"/>
                  <w:marRight w:val="0"/>
                  <w:marTop w:val="0"/>
                  <w:marBottom w:val="0"/>
                  <w:divBdr>
                    <w:top w:val="none" w:sz="0" w:space="0" w:color="auto"/>
                    <w:left w:val="none" w:sz="0" w:space="0" w:color="auto"/>
                    <w:bottom w:val="none" w:sz="0" w:space="0" w:color="auto"/>
                    <w:right w:val="none" w:sz="0" w:space="0" w:color="auto"/>
                  </w:divBdr>
                  <w:divsChild>
                    <w:div w:id="731660034">
                      <w:marLeft w:val="0"/>
                      <w:marRight w:val="0"/>
                      <w:marTop w:val="0"/>
                      <w:marBottom w:val="0"/>
                      <w:divBdr>
                        <w:top w:val="none" w:sz="0" w:space="0" w:color="auto"/>
                        <w:left w:val="none" w:sz="0" w:space="0" w:color="auto"/>
                        <w:bottom w:val="none" w:sz="0" w:space="0" w:color="auto"/>
                        <w:right w:val="none" w:sz="0" w:space="0" w:color="auto"/>
                      </w:divBdr>
                    </w:div>
                  </w:divsChild>
                </w:div>
                <w:div w:id="1401295926">
                  <w:marLeft w:val="0"/>
                  <w:marRight w:val="0"/>
                  <w:marTop w:val="0"/>
                  <w:marBottom w:val="0"/>
                  <w:divBdr>
                    <w:top w:val="none" w:sz="0" w:space="0" w:color="auto"/>
                    <w:left w:val="none" w:sz="0" w:space="0" w:color="auto"/>
                    <w:bottom w:val="none" w:sz="0" w:space="0" w:color="auto"/>
                    <w:right w:val="none" w:sz="0" w:space="0" w:color="auto"/>
                  </w:divBdr>
                  <w:divsChild>
                    <w:div w:id="174654023">
                      <w:marLeft w:val="0"/>
                      <w:marRight w:val="0"/>
                      <w:marTop w:val="0"/>
                      <w:marBottom w:val="0"/>
                      <w:divBdr>
                        <w:top w:val="none" w:sz="0" w:space="0" w:color="auto"/>
                        <w:left w:val="none" w:sz="0" w:space="0" w:color="auto"/>
                        <w:bottom w:val="none" w:sz="0" w:space="0" w:color="auto"/>
                        <w:right w:val="none" w:sz="0" w:space="0" w:color="auto"/>
                      </w:divBdr>
                    </w:div>
                  </w:divsChild>
                </w:div>
                <w:div w:id="1505587816">
                  <w:marLeft w:val="0"/>
                  <w:marRight w:val="0"/>
                  <w:marTop w:val="0"/>
                  <w:marBottom w:val="0"/>
                  <w:divBdr>
                    <w:top w:val="none" w:sz="0" w:space="0" w:color="auto"/>
                    <w:left w:val="none" w:sz="0" w:space="0" w:color="auto"/>
                    <w:bottom w:val="none" w:sz="0" w:space="0" w:color="auto"/>
                    <w:right w:val="none" w:sz="0" w:space="0" w:color="auto"/>
                  </w:divBdr>
                  <w:divsChild>
                    <w:div w:id="1117529026">
                      <w:marLeft w:val="0"/>
                      <w:marRight w:val="0"/>
                      <w:marTop w:val="0"/>
                      <w:marBottom w:val="0"/>
                      <w:divBdr>
                        <w:top w:val="none" w:sz="0" w:space="0" w:color="auto"/>
                        <w:left w:val="none" w:sz="0" w:space="0" w:color="auto"/>
                        <w:bottom w:val="none" w:sz="0" w:space="0" w:color="auto"/>
                        <w:right w:val="none" w:sz="0" w:space="0" w:color="auto"/>
                      </w:divBdr>
                    </w:div>
                  </w:divsChild>
                </w:div>
                <w:div w:id="1815758753">
                  <w:marLeft w:val="0"/>
                  <w:marRight w:val="0"/>
                  <w:marTop w:val="0"/>
                  <w:marBottom w:val="0"/>
                  <w:divBdr>
                    <w:top w:val="none" w:sz="0" w:space="0" w:color="auto"/>
                    <w:left w:val="none" w:sz="0" w:space="0" w:color="auto"/>
                    <w:bottom w:val="none" w:sz="0" w:space="0" w:color="auto"/>
                    <w:right w:val="none" w:sz="0" w:space="0" w:color="auto"/>
                  </w:divBdr>
                  <w:divsChild>
                    <w:div w:id="1119835825">
                      <w:marLeft w:val="0"/>
                      <w:marRight w:val="0"/>
                      <w:marTop w:val="0"/>
                      <w:marBottom w:val="0"/>
                      <w:divBdr>
                        <w:top w:val="none" w:sz="0" w:space="0" w:color="auto"/>
                        <w:left w:val="none" w:sz="0" w:space="0" w:color="auto"/>
                        <w:bottom w:val="none" w:sz="0" w:space="0" w:color="auto"/>
                        <w:right w:val="none" w:sz="0" w:space="0" w:color="auto"/>
                      </w:divBdr>
                    </w:div>
                  </w:divsChild>
                </w:div>
                <w:div w:id="1833447053">
                  <w:marLeft w:val="0"/>
                  <w:marRight w:val="0"/>
                  <w:marTop w:val="0"/>
                  <w:marBottom w:val="0"/>
                  <w:divBdr>
                    <w:top w:val="none" w:sz="0" w:space="0" w:color="auto"/>
                    <w:left w:val="none" w:sz="0" w:space="0" w:color="auto"/>
                    <w:bottom w:val="none" w:sz="0" w:space="0" w:color="auto"/>
                    <w:right w:val="none" w:sz="0" w:space="0" w:color="auto"/>
                  </w:divBdr>
                  <w:divsChild>
                    <w:div w:id="1849637511">
                      <w:marLeft w:val="0"/>
                      <w:marRight w:val="0"/>
                      <w:marTop w:val="0"/>
                      <w:marBottom w:val="0"/>
                      <w:divBdr>
                        <w:top w:val="none" w:sz="0" w:space="0" w:color="auto"/>
                        <w:left w:val="none" w:sz="0" w:space="0" w:color="auto"/>
                        <w:bottom w:val="none" w:sz="0" w:space="0" w:color="auto"/>
                        <w:right w:val="none" w:sz="0" w:space="0" w:color="auto"/>
                      </w:divBdr>
                    </w:div>
                  </w:divsChild>
                </w:div>
                <w:div w:id="1927419538">
                  <w:marLeft w:val="0"/>
                  <w:marRight w:val="0"/>
                  <w:marTop w:val="0"/>
                  <w:marBottom w:val="0"/>
                  <w:divBdr>
                    <w:top w:val="none" w:sz="0" w:space="0" w:color="auto"/>
                    <w:left w:val="none" w:sz="0" w:space="0" w:color="auto"/>
                    <w:bottom w:val="none" w:sz="0" w:space="0" w:color="auto"/>
                    <w:right w:val="none" w:sz="0" w:space="0" w:color="auto"/>
                  </w:divBdr>
                  <w:divsChild>
                    <w:div w:id="435557737">
                      <w:marLeft w:val="0"/>
                      <w:marRight w:val="0"/>
                      <w:marTop w:val="0"/>
                      <w:marBottom w:val="0"/>
                      <w:divBdr>
                        <w:top w:val="none" w:sz="0" w:space="0" w:color="auto"/>
                        <w:left w:val="none" w:sz="0" w:space="0" w:color="auto"/>
                        <w:bottom w:val="none" w:sz="0" w:space="0" w:color="auto"/>
                        <w:right w:val="none" w:sz="0" w:space="0" w:color="auto"/>
                      </w:divBdr>
                    </w:div>
                  </w:divsChild>
                </w:div>
                <w:div w:id="2021854497">
                  <w:marLeft w:val="0"/>
                  <w:marRight w:val="0"/>
                  <w:marTop w:val="0"/>
                  <w:marBottom w:val="0"/>
                  <w:divBdr>
                    <w:top w:val="none" w:sz="0" w:space="0" w:color="auto"/>
                    <w:left w:val="none" w:sz="0" w:space="0" w:color="auto"/>
                    <w:bottom w:val="none" w:sz="0" w:space="0" w:color="auto"/>
                    <w:right w:val="none" w:sz="0" w:space="0" w:color="auto"/>
                  </w:divBdr>
                  <w:divsChild>
                    <w:div w:id="1313876167">
                      <w:marLeft w:val="0"/>
                      <w:marRight w:val="0"/>
                      <w:marTop w:val="0"/>
                      <w:marBottom w:val="0"/>
                      <w:divBdr>
                        <w:top w:val="none" w:sz="0" w:space="0" w:color="auto"/>
                        <w:left w:val="none" w:sz="0" w:space="0" w:color="auto"/>
                        <w:bottom w:val="none" w:sz="0" w:space="0" w:color="auto"/>
                        <w:right w:val="none" w:sz="0" w:space="0" w:color="auto"/>
                      </w:divBdr>
                    </w:div>
                  </w:divsChild>
                </w:div>
                <w:div w:id="2071414574">
                  <w:marLeft w:val="0"/>
                  <w:marRight w:val="0"/>
                  <w:marTop w:val="0"/>
                  <w:marBottom w:val="0"/>
                  <w:divBdr>
                    <w:top w:val="none" w:sz="0" w:space="0" w:color="auto"/>
                    <w:left w:val="none" w:sz="0" w:space="0" w:color="auto"/>
                    <w:bottom w:val="none" w:sz="0" w:space="0" w:color="auto"/>
                    <w:right w:val="none" w:sz="0" w:space="0" w:color="auto"/>
                  </w:divBdr>
                  <w:divsChild>
                    <w:div w:id="2339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70110">
          <w:marLeft w:val="0"/>
          <w:marRight w:val="0"/>
          <w:marTop w:val="0"/>
          <w:marBottom w:val="0"/>
          <w:divBdr>
            <w:top w:val="none" w:sz="0" w:space="0" w:color="auto"/>
            <w:left w:val="none" w:sz="0" w:space="0" w:color="auto"/>
            <w:bottom w:val="none" w:sz="0" w:space="0" w:color="auto"/>
            <w:right w:val="none" w:sz="0" w:space="0" w:color="auto"/>
          </w:divBdr>
        </w:div>
        <w:div w:id="413164052">
          <w:marLeft w:val="0"/>
          <w:marRight w:val="0"/>
          <w:marTop w:val="0"/>
          <w:marBottom w:val="0"/>
          <w:divBdr>
            <w:top w:val="none" w:sz="0" w:space="0" w:color="auto"/>
            <w:left w:val="none" w:sz="0" w:space="0" w:color="auto"/>
            <w:bottom w:val="none" w:sz="0" w:space="0" w:color="auto"/>
            <w:right w:val="none" w:sz="0" w:space="0" w:color="auto"/>
          </w:divBdr>
        </w:div>
        <w:div w:id="426000579">
          <w:marLeft w:val="0"/>
          <w:marRight w:val="0"/>
          <w:marTop w:val="0"/>
          <w:marBottom w:val="0"/>
          <w:divBdr>
            <w:top w:val="none" w:sz="0" w:space="0" w:color="auto"/>
            <w:left w:val="none" w:sz="0" w:space="0" w:color="auto"/>
            <w:bottom w:val="none" w:sz="0" w:space="0" w:color="auto"/>
            <w:right w:val="none" w:sz="0" w:space="0" w:color="auto"/>
          </w:divBdr>
        </w:div>
        <w:div w:id="452939264">
          <w:marLeft w:val="0"/>
          <w:marRight w:val="0"/>
          <w:marTop w:val="0"/>
          <w:marBottom w:val="0"/>
          <w:divBdr>
            <w:top w:val="none" w:sz="0" w:space="0" w:color="auto"/>
            <w:left w:val="none" w:sz="0" w:space="0" w:color="auto"/>
            <w:bottom w:val="none" w:sz="0" w:space="0" w:color="auto"/>
            <w:right w:val="none" w:sz="0" w:space="0" w:color="auto"/>
          </w:divBdr>
        </w:div>
        <w:div w:id="607128237">
          <w:marLeft w:val="0"/>
          <w:marRight w:val="0"/>
          <w:marTop w:val="0"/>
          <w:marBottom w:val="0"/>
          <w:divBdr>
            <w:top w:val="none" w:sz="0" w:space="0" w:color="auto"/>
            <w:left w:val="none" w:sz="0" w:space="0" w:color="auto"/>
            <w:bottom w:val="none" w:sz="0" w:space="0" w:color="auto"/>
            <w:right w:val="none" w:sz="0" w:space="0" w:color="auto"/>
          </w:divBdr>
        </w:div>
        <w:div w:id="684131706">
          <w:marLeft w:val="0"/>
          <w:marRight w:val="0"/>
          <w:marTop w:val="0"/>
          <w:marBottom w:val="0"/>
          <w:divBdr>
            <w:top w:val="none" w:sz="0" w:space="0" w:color="auto"/>
            <w:left w:val="none" w:sz="0" w:space="0" w:color="auto"/>
            <w:bottom w:val="none" w:sz="0" w:space="0" w:color="auto"/>
            <w:right w:val="none" w:sz="0" w:space="0" w:color="auto"/>
          </w:divBdr>
        </w:div>
        <w:div w:id="706218709">
          <w:marLeft w:val="0"/>
          <w:marRight w:val="0"/>
          <w:marTop w:val="0"/>
          <w:marBottom w:val="0"/>
          <w:divBdr>
            <w:top w:val="none" w:sz="0" w:space="0" w:color="auto"/>
            <w:left w:val="none" w:sz="0" w:space="0" w:color="auto"/>
            <w:bottom w:val="none" w:sz="0" w:space="0" w:color="auto"/>
            <w:right w:val="none" w:sz="0" w:space="0" w:color="auto"/>
          </w:divBdr>
        </w:div>
        <w:div w:id="863785932">
          <w:marLeft w:val="0"/>
          <w:marRight w:val="0"/>
          <w:marTop w:val="0"/>
          <w:marBottom w:val="0"/>
          <w:divBdr>
            <w:top w:val="none" w:sz="0" w:space="0" w:color="auto"/>
            <w:left w:val="none" w:sz="0" w:space="0" w:color="auto"/>
            <w:bottom w:val="none" w:sz="0" w:space="0" w:color="auto"/>
            <w:right w:val="none" w:sz="0" w:space="0" w:color="auto"/>
          </w:divBdr>
        </w:div>
        <w:div w:id="955939885">
          <w:marLeft w:val="0"/>
          <w:marRight w:val="0"/>
          <w:marTop w:val="0"/>
          <w:marBottom w:val="0"/>
          <w:divBdr>
            <w:top w:val="none" w:sz="0" w:space="0" w:color="auto"/>
            <w:left w:val="none" w:sz="0" w:space="0" w:color="auto"/>
            <w:bottom w:val="none" w:sz="0" w:space="0" w:color="auto"/>
            <w:right w:val="none" w:sz="0" w:space="0" w:color="auto"/>
          </w:divBdr>
        </w:div>
        <w:div w:id="985015307">
          <w:marLeft w:val="0"/>
          <w:marRight w:val="0"/>
          <w:marTop w:val="0"/>
          <w:marBottom w:val="0"/>
          <w:divBdr>
            <w:top w:val="none" w:sz="0" w:space="0" w:color="auto"/>
            <w:left w:val="none" w:sz="0" w:space="0" w:color="auto"/>
            <w:bottom w:val="none" w:sz="0" w:space="0" w:color="auto"/>
            <w:right w:val="none" w:sz="0" w:space="0" w:color="auto"/>
          </w:divBdr>
        </w:div>
        <w:div w:id="1062946744">
          <w:marLeft w:val="0"/>
          <w:marRight w:val="0"/>
          <w:marTop w:val="0"/>
          <w:marBottom w:val="0"/>
          <w:divBdr>
            <w:top w:val="none" w:sz="0" w:space="0" w:color="auto"/>
            <w:left w:val="none" w:sz="0" w:space="0" w:color="auto"/>
            <w:bottom w:val="none" w:sz="0" w:space="0" w:color="auto"/>
            <w:right w:val="none" w:sz="0" w:space="0" w:color="auto"/>
          </w:divBdr>
        </w:div>
        <w:div w:id="1069964620">
          <w:marLeft w:val="0"/>
          <w:marRight w:val="0"/>
          <w:marTop w:val="0"/>
          <w:marBottom w:val="0"/>
          <w:divBdr>
            <w:top w:val="none" w:sz="0" w:space="0" w:color="auto"/>
            <w:left w:val="none" w:sz="0" w:space="0" w:color="auto"/>
            <w:bottom w:val="none" w:sz="0" w:space="0" w:color="auto"/>
            <w:right w:val="none" w:sz="0" w:space="0" w:color="auto"/>
          </w:divBdr>
        </w:div>
        <w:div w:id="1174564695">
          <w:marLeft w:val="0"/>
          <w:marRight w:val="0"/>
          <w:marTop w:val="0"/>
          <w:marBottom w:val="0"/>
          <w:divBdr>
            <w:top w:val="none" w:sz="0" w:space="0" w:color="auto"/>
            <w:left w:val="none" w:sz="0" w:space="0" w:color="auto"/>
            <w:bottom w:val="none" w:sz="0" w:space="0" w:color="auto"/>
            <w:right w:val="none" w:sz="0" w:space="0" w:color="auto"/>
          </w:divBdr>
        </w:div>
        <w:div w:id="1207716364">
          <w:marLeft w:val="0"/>
          <w:marRight w:val="0"/>
          <w:marTop w:val="0"/>
          <w:marBottom w:val="0"/>
          <w:divBdr>
            <w:top w:val="none" w:sz="0" w:space="0" w:color="auto"/>
            <w:left w:val="none" w:sz="0" w:space="0" w:color="auto"/>
            <w:bottom w:val="none" w:sz="0" w:space="0" w:color="auto"/>
            <w:right w:val="none" w:sz="0" w:space="0" w:color="auto"/>
          </w:divBdr>
        </w:div>
        <w:div w:id="1337264545">
          <w:marLeft w:val="0"/>
          <w:marRight w:val="0"/>
          <w:marTop w:val="0"/>
          <w:marBottom w:val="0"/>
          <w:divBdr>
            <w:top w:val="none" w:sz="0" w:space="0" w:color="auto"/>
            <w:left w:val="none" w:sz="0" w:space="0" w:color="auto"/>
            <w:bottom w:val="none" w:sz="0" w:space="0" w:color="auto"/>
            <w:right w:val="none" w:sz="0" w:space="0" w:color="auto"/>
          </w:divBdr>
        </w:div>
        <w:div w:id="1388797102">
          <w:marLeft w:val="0"/>
          <w:marRight w:val="0"/>
          <w:marTop w:val="0"/>
          <w:marBottom w:val="0"/>
          <w:divBdr>
            <w:top w:val="none" w:sz="0" w:space="0" w:color="auto"/>
            <w:left w:val="none" w:sz="0" w:space="0" w:color="auto"/>
            <w:bottom w:val="none" w:sz="0" w:space="0" w:color="auto"/>
            <w:right w:val="none" w:sz="0" w:space="0" w:color="auto"/>
          </w:divBdr>
        </w:div>
        <w:div w:id="1564022901">
          <w:marLeft w:val="0"/>
          <w:marRight w:val="0"/>
          <w:marTop w:val="0"/>
          <w:marBottom w:val="0"/>
          <w:divBdr>
            <w:top w:val="none" w:sz="0" w:space="0" w:color="auto"/>
            <w:left w:val="none" w:sz="0" w:space="0" w:color="auto"/>
            <w:bottom w:val="none" w:sz="0" w:space="0" w:color="auto"/>
            <w:right w:val="none" w:sz="0" w:space="0" w:color="auto"/>
          </w:divBdr>
        </w:div>
        <w:div w:id="1589147677">
          <w:marLeft w:val="0"/>
          <w:marRight w:val="0"/>
          <w:marTop w:val="0"/>
          <w:marBottom w:val="0"/>
          <w:divBdr>
            <w:top w:val="none" w:sz="0" w:space="0" w:color="auto"/>
            <w:left w:val="none" w:sz="0" w:space="0" w:color="auto"/>
            <w:bottom w:val="none" w:sz="0" w:space="0" w:color="auto"/>
            <w:right w:val="none" w:sz="0" w:space="0" w:color="auto"/>
          </w:divBdr>
          <w:divsChild>
            <w:div w:id="1148209957">
              <w:marLeft w:val="-75"/>
              <w:marRight w:val="0"/>
              <w:marTop w:val="30"/>
              <w:marBottom w:val="30"/>
              <w:divBdr>
                <w:top w:val="none" w:sz="0" w:space="0" w:color="auto"/>
                <w:left w:val="none" w:sz="0" w:space="0" w:color="auto"/>
                <w:bottom w:val="none" w:sz="0" w:space="0" w:color="auto"/>
                <w:right w:val="none" w:sz="0" w:space="0" w:color="auto"/>
              </w:divBdr>
              <w:divsChild>
                <w:div w:id="17435386">
                  <w:marLeft w:val="0"/>
                  <w:marRight w:val="0"/>
                  <w:marTop w:val="0"/>
                  <w:marBottom w:val="0"/>
                  <w:divBdr>
                    <w:top w:val="none" w:sz="0" w:space="0" w:color="auto"/>
                    <w:left w:val="none" w:sz="0" w:space="0" w:color="auto"/>
                    <w:bottom w:val="none" w:sz="0" w:space="0" w:color="auto"/>
                    <w:right w:val="none" w:sz="0" w:space="0" w:color="auto"/>
                  </w:divBdr>
                  <w:divsChild>
                    <w:div w:id="1081683464">
                      <w:marLeft w:val="0"/>
                      <w:marRight w:val="0"/>
                      <w:marTop w:val="0"/>
                      <w:marBottom w:val="0"/>
                      <w:divBdr>
                        <w:top w:val="none" w:sz="0" w:space="0" w:color="auto"/>
                        <w:left w:val="none" w:sz="0" w:space="0" w:color="auto"/>
                        <w:bottom w:val="none" w:sz="0" w:space="0" w:color="auto"/>
                        <w:right w:val="none" w:sz="0" w:space="0" w:color="auto"/>
                      </w:divBdr>
                    </w:div>
                  </w:divsChild>
                </w:div>
                <w:div w:id="75321390">
                  <w:marLeft w:val="0"/>
                  <w:marRight w:val="0"/>
                  <w:marTop w:val="0"/>
                  <w:marBottom w:val="0"/>
                  <w:divBdr>
                    <w:top w:val="none" w:sz="0" w:space="0" w:color="auto"/>
                    <w:left w:val="none" w:sz="0" w:space="0" w:color="auto"/>
                    <w:bottom w:val="none" w:sz="0" w:space="0" w:color="auto"/>
                    <w:right w:val="none" w:sz="0" w:space="0" w:color="auto"/>
                  </w:divBdr>
                  <w:divsChild>
                    <w:div w:id="1688941582">
                      <w:marLeft w:val="0"/>
                      <w:marRight w:val="0"/>
                      <w:marTop w:val="0"/>
                      <w:marBottom w:val="0"/>
                      <w:divBdr>
                        <w:top w:val="none" w:sz="0" w:space="0" w:color="auto"/>
                        <w:left w:val="none" w:sz="0" w:space="0" w:color="auto"/>
                        <w:bottom w:val="none" w:sz="0" w:space="0" w:color="auto"/>
                        <w:right w:val="none" w:sz="0" w:space="0" w:color="auto"/>
                      </w:divBdr>
                    </w:div>
                  </w:divsChild>
                </w:div>
                <w:div w:id="94446181">
                  <w:marLeft w:val="0"/>
                  <w:marRight w:val="0"/>
                  <w:marTop w:val="0"/>
                  <w:marBottom w:val="0"/>
                  <w:divBdr>
                    <w:top w:val="none" w:sz="0" w:space="0" w:color="auto"/>
                    <w:left w:val="none" w:sz="0" w:space="0" w:color="auto"/>
                    <w:bottom w:val="none" w:sz="0" w:space="0" w:color="auto"/>
                    <w:right w:val="none" w:sz="0" w:space="0" w:color="auto"/>
                  </w:divBdr>
                  <w:divsChild>
                    <w:div w:id="581840749">
                      <w:marLeft w:val="0"/>
                      <w:marRight w:val="0"/>
                      <w:marTop w:val="0"/>
                      <w:marBottom w:val="0"/>
                      <w:divBdr>
                        <w:top w:val="none" w:sz="0" w:space="0" w:color="auto"/>
                        <w:left w:val="none" w:sz="0" w:space="0" w:color="auto"/>
                        <w:bottom w:val="none" w:sz="0" w:space="0" w:color="auto"/>
                        <w:right w:val="none" w:sz="0" w:space="0" w:color="auto"/>
                      </w:divBdr>
                    </w:div>
                  </w:divsChild>
                </w:div>
                <w:div w:id="116532155">
                  <w:marLeft w:val="0"/>
                  <w:marRight w:val="0"/>
                  <w:marTop w:val="0"/>
                  <w:marBottom w:val="0"/>
                  <w:divBdr>
                    <w:top w:val="none" w:sz="0" w:space="0" w:color="auto"/>
                    <w:left w:val="none" w:sz="0" w:space="0" w:color="auto"/>
                    <w:bottom w:val="none" w:sz="0" w:space="0" w:color="auto"/>
                    <w:right w:val="none" w:sz="0" w:space="0" w:color="auto"/>
                  </w:divBdr>
                  <w:divsChild>
                    <w:div w:id="21713505">
                      <w:marLeft w:val="0"/>
                      <w:marRight w:val="0"/>
                      <w:marTop w:val="0"/>
                      <w:marBottom w:val="0"/>
                      <w:divBdr>
                        <w:top w:val="none" w:sz="0" w:space="0" w:color="auto"/>
                        <w:left w:val="none" w:sz="0" w:space="0" w:color="auto"/>
                        <w:bottom w:val="none" w:sz="0" w:space="0" w:color="auto"/>
                        <w:right w:val="none" w:sz="0" w:space="0" w:color="auto"/>
                      </w:divBdr>
                    </w:div>
                  </w:divsChild>
                </w:div>
                <w:div w:id="132217508">
                  <w:marLeft w:val="0"/>
                  <w:marRight w:val="0"/>
                  <w:marTop w:val="0"/>
                  <w:marBottom w:val="0"/>
                  <w:divBdr>
                    <w:top w:val="none" w:sz="0" w:space="0" w:color="auto"/>
                    <w:left w:val="none" w:sz="0" w:space="0" w:color="auto"/>
                    <w:bottom w:val="none" w:sz="0" w:space="0" w:color="auto"/>
                    <w:right w:val="none" w:sz="0" w:space="0" w:color="auto"/>
                  </w:divBdr>
                  <w:divsChild>
                    <w:div w:id="1497770814">
                      <w:marLeft w:val="0"/>
                      <w:marRight w:val="0"/>
                      <w:marTop w:val="0"/>
                      <w:marBottom w:val="0"/>
                      <w:divBdr>
                        <w:top w:val="none" w:sz="0" w:space="0" w:color="auto"/>
                        <w:left w:val="none" w:sz="0" w:space="0" w:color="auto"/>
                        <w:bottom w:val="none" w:sz="0" w:space="0" w:color="auto"/>
                        <w:right w:val="none" w:sz="0" w:space="0" w:color="auto"/>
                      </w:divBdr>
                    </w:div>
                  </w:divsChild>
                </w:div>
                <w:div w:id="210314482">
                  <w:marLeft w:val="0"/>
                  <w:marRight w:val="0"/>
                  <w:marTop w:val="0"/>
                  <w:marBottom w:val="0"/>
                  <w:divBdr>
                    <w:top w:val="none" w:sz="0" w:space="0" w:color="auto"/>
                    <w:left w:val="none" w:sz="0" w:space="0" w:color="auto"/>
                    <w:bottom w:val="none" w:sz="0" w:space="0" w:color="auto"/>
                    <w:right w:val="none" w:sz="0" w:space="0" w:color="auto"/>
                  </w:divBdr>
                  <w:divsChild>
                    <w:div w:id="399250133">
                      <w:marLeft w:val="0"/>
                      <w:marRight w:val="0"/>
                      <w:marTop w:val="0"/>
                      <w:marBottom w:val="0"/>
                      <w:divBdr>
                        <w:top w:val="none" w:sz="0" w:space="0" w:color="auto"/>
                        <w:left w:val="none" w:sz="0" w:space="0" w:color="auto"/>
                        <w:bottom w:val="none" w:sz="0" w:space="0" w:color="auto"/>
                        <w:right w:val="none" w:sz="0" w:space="0" w:color="auto"/>
                      </w:divBdr>
                    </w:div>
                  </w:divsChild>
                </w:div>
                <w:div w:id="355739085">
                  <w:marLeft w:val="0"/>
                  <w:marRight w:val="0"/>
                  <w:marTop w:val="0"/>
                  <w:marBottom w:val="0"/>
                  <w:divBdr>
                    <w:top w:val="none" w:sz="0" w:space="0" w:color="auto"/>
                    <w:left w:val="none" w:sz="0" w:space="0" w:color="auto"/>
                    <w:bottom w:val="none" w:sz="0" w:space="0" w:color="auto"/>
                    <w:right w:val="none" w:sz="0" w:space="0" w:color="auto"/>
                  </w:divBdr>
                  <w:divsChild>
                    <w:div w:id="1378746605">
                      <w:marLeft w:val="0"/>
                      <w:marRight w:val="0"/>
                      <w:marTop w:val="0"/>
                      <w:marBottom w:val="0"/>
                      <w:divBdr>
                        <w:top w:val="none" w:sz="0" w:space="0" w:color="auto"/>
                        <w:left w:val="none" w:sz="0" w:space="0" w:color="auto"/>
                        <w:bottom w:val="none" w:sz="0" w:space="0" w:color="auto"/>
                        <w:right w:val="none" w:sz="0" w:space="0" w:color="auto"/>
                      </w:divBdr>
                    </w:div>
                  </w:divsChild>
                </w:div>
                <w:div w:id="367099233">
                  <w:marLeft w:val="0"/>
                  <w:marRight w:val="0"/>
                  <w:marTop w:val="0"/>
                  <w:marBottom w:val="0"/>
                  <w:divBdr>
                    <w:top w:val="none" w:sz="0" w:space="0" w:color="auto"/>
                    <w:left w:val="none" w:sz="0" w:space="0" w:color="auto"/>
                    <w:bottom w:val="none" w:sz="0" w:space="0" w:color="auto"/>
                    <w:right w:val="none" w:sz="0" w:space="0" w:color="auto"/>
                  </w:divBdr>
                  <w:divsChild>
                    <w:div w:id="826287914">
                      <w:marLeft w:val="0"/>
                      <w:marRight w:val="0"/>
                      <w:marTop w:val="0"/>
                      <w:marBottom w:val="0"/>
                      <w:divBdr>
                        <w:top w:val="none" w:sz="0" w:space="0" w:color="auto"/>
                        <w:left w:val="none" w:sz="0" w:space="0" w:color="auto"/>
                        <w:bottom w:val="none" w:sz="0" w:space="0" w:color="auto"/>
                        <w:right w:val="none" w:sz="0" w:space="0" w:color="auto"/>
                      </w:divBdr>
                    </w:div>
                  </w:divsChild>
                </w:div>
                <w:div w:id="388655639">
                  <w:marLeft w:val="0"/>
                  <w:marRight w:val="0"/>
                  <w:marTop w:val="0"/>
                  <w:marBottom w:val="0"/>
                  <w:divBdr>
                    <w:top w:val="none" w:sz="0" w:space="0" w:color="auto"/>
                    <w:left w:val="none" w:sz="0" w:space="0" w:color="auto"/>
                    <w:bottom w:val="none" w:sz="0" w:space="0" w:color="auto"/>
                    <w:right w:val="none" w:sz="0" w:space="0" w:color="auto"/>
                  </w:divBdr>
                  <w:divsChild>
                    <w:div w:id="1039816370">
                      <w:marLeft w:val="0"/>
                      <w:marRight w:val="0"/>
                      <w:marTop w:val="0"/>
                      <w:marBottom w:val="0"/>
                      <w:divBdr>
                        <w:top w:val="none" w:sz="0" w:space="0" w:color="auto"/>
                        <w:left w:val="none" w:sz="0" w:space="0" w:color="auto"/>
                        <w:bottom w:val="none" w:sz="0" w:space="0" w:color="auto"/>
                        <w:right w:val="none" w:sz="0" w:space="0" w:color="auto"/>
                      </w:divBdr>
                    </w:div>
                  </w:divsChild>
                </w:div>
                <w:div w:id="453210757">
                  <w:marLeft w:val="0"/>
                  <w:marRight w:val="0"/>
                  <w:marTop w:val="0"/>
                  <w:marBottom w:val="0"/>
                  <w:divBdr>
                    <w:top w:val="none" w:sz="0" w:space="0" w:color="auto"/>
                    <w:left w:val="none" w:sz="0" w:space="0" w:color="auto"/>
                    <w:bottom w:val="none" w:sz="0" w:space="0" w:color="auto"/>
                    <w:right w:val="none" w:sz="0" w:space="0" w:color="auto"/>
                  </w:divBdr>
                  <w:divsChild>
                    <w:div w:id="491723819">
                      <w:marLeft w:val="0"/>
                      <w:marRight w:val="0"/>
                      <w:marTop w:val="0"/>
                      <w:marBottom w:val="0"/>
                      <w:divBdr>
                        <w:top w:val="none" w:sz="0" w:space="0" w:color="auto"/>
                        <w:left w:val="none" w:sz="0" w:space="0" w:color="auto"/>
                        <w:bottom w:val="none" w:sz="0" w:space="0" w:color="auto"/>
                        <w:right w:val="none" w:sz="0" w:space="0" w:color="auto"/>
                      </w:divBdr>
                    </w:div>
                  </w:divsChild>
                </w:div>
                <w:div w:id="626855919">
                  <w:marLeft w:val="0"/>
                  <w:marRight w:val="0"/>
                  <w:marTop w:val="0"/>
                  <w:marBottom w:val="0"/>
                  <w:divBdr>
                    <w:top w:val="none" w:sz="0" w:space="0" w:color="auto"/>
                    <w:left w:val="none" w:sz="0" w:space="0" w:color="auto"/>
                    <w:bottom w:val="none" w:sz="0" w:space="0" w:color="auto"/>
                    <w:right w:val="none" w:sz="0" w:space="0" w:color="auto"/>
                  </w:divBdr>
                  <w:divsChild>
                    <w:div w:id="1772509264">
                      <w:marLeft w:val="0"/>
                      <w:marRight w:val="0"/>
                      <w:marTop w:val="0"/>
                      <w:marBottom w:val="0"/>
                      <w:divBdr>
                        <w:top w:val="none" w:sz="0" w:space="0" w:color="auto"/>
                        <w:left w:val="none" w:sz="0" w:space="0" w:color="auto"/>
                        <w:bottom w:val="none" w:sz="0" w:space="0" w:color="auto"/>
                        <w:right w:val="none" w:sz="0" w:space="0" w:color="auto"/>
                      </w:divBdr>
                    </w:div>
                  </w:divsChild>
                </w:div>
                <w:div w:id="675117237">
                  <w:marLeft w:val="0"/>
                  <w:marRight w:val="0"/>
                  <w:marTop w:val="0"/>
                  <w:marBottom w:val="0"/>
                  <w:divBdr>
                    <w:top w:val="none" w:sz="0" w:space="0" w:color="auto"/>
                    <w:left w:val="none" w:sz="0" w:space="0" w:color="auto"/>
                    <w:bottom w:val="none" w:sz="0" w:space="0" w:color="auto"/>
                    <w:right w:val="none" w:sz="0" w:space="0" w:color="auto"/>
                  </w:divBdr>
                  <w:divsChild>
                    <w:div w:id="1491410383">
                      <w:marLeft w:val="0"/>
                      <w:marRight w:val="0"/>
                      <w:marTop w:val="0"/>
                      <w:marBottom w:val="0"/>
                      <w:divBdr>
                        <w:top w:val="none" w:sz="0" w:space="0" w:color="auto"/>
                        <w:left w:val="none" w:sz="0" w:space="0" w:color="auto"/>
                        <w:bottom w:val="none" w:sz="0" w:space="0" w:color="auto"/>
                        <w:right w:val="none" w:sz="0" w:space="0" w:color="auto"/>
                      </w:divBdr>
                    </w:div>
                  </w:divsChild>
                </w:div>
                <w:div w:id="690761322">
                  <w:marLeft w:val="0"/>
                  <w:marRight w:val="0"/>
                  <w:marTop w:val="0"/>
                  <w:marBottom w:val="0"/>
                  <w:divBdr>
                    <w:top w:val="none" w:sz="0" w:space="0" w:color="auto"/>
                    <w:left w:val="none" w:sz="0" w:space="0" w:color="auto"/>
                    <w:bottom w:val="none" w:sz="0" w:space="0" w:color="auto"/>
                    <w:right w:val="none" w:sz="0" w:space="0" w:color="auto"/>
                  </w:divBdr>
                  <w:divsChild>
                    <w:div w:id="635642513">
                      <w:marLeft w:val="0"/>
                      <w:marRight w:val="0"/>
                      <w:marTop w:val="0"/>
                      <w:marBottom w:val="0"/>
                      <w:divBdr>
                        <w:top w:val="none" w:sz="0" w:space="0" w:color="auto"/>
                        <w:left w:val="none" w:sz="0" w:space="0" w:color="auto"/>
                        <w:bottom w:val="none" w:sz="0" w:space="0" w:color="auto"/>
                        <w:right w:val="none" w:sz="0" w:space="0" w:color="auto"/>
                      </w:divBdr>
                    </w:div>
                  </w:divsChild>
                </w:div>
                <w:div w:id="695081791">
                  <w:marLeft w:val="0"/>
                  <w:marRight w:val="0"/>
                  <w:marTop w:val="0"/>
                  <w:marBottom w:val="0"/>
                  <w:divBdr>
                    <w:top w:val="none" w:sz="0" w:space="0" w:color="auto"/>
                    <w:left w:val="none" w:sz="0" w:space="0" w:color="auto"/>
                    <w:bottom w:val="none" w:sz="0" w:space="0" w:color="auto"/>
                    <w:right w:val="none" w:sz="0" w:space="0" w:color="auto"/>
                  </w:divBdr>
                  <w:divsChild>
                    <w:div w:id="1398894130">
                      <w:marLeft w:val="0"/>
                      <w:marRight w:val="0"/>
                      <w:marTop w:val="0"/>
                      <w:marBottom w:val="0"/>
                      <w:divBdr>
                        <w:top w:val="none" w:sz="0" w:space="0" w:color="auto"/>
                        <w:left w:val="none" w:sz="0" w:space="0" w:color="auto"/>
                        <w:bottom w:val="none" w:sz="0" w:space="0" w:color="auto"/>
                        <w:right w:val="none" w:sz="0" w:space="0" w:color="auto"/>
                      </w:divBdr>
                    </w:div>
                  </w:divsChild>
                </w:div>
                <w:div w:id="709839342">
                  <w:marLeft w:val="0"/>
                  <w:marRight w:val="0"/>
                  <w:marTop w:val="0"/>
                  <w:marBottom w:val="0"/>
                  <w:divBdr>
                    <w:top w:val="none" w:sz="0" w:space="0" w:color="auto"/>
                    <w:left w:val="none" w:sz="0" w:space="0" w:color="auto"/>
                    <w:bottom w:val="none" w:sz="0" w:space="0" w:color="auto"/>
                    <w:right w:val="none" w:sz="0" w:space="0" w:color="auto"/>
                  </w:divBdr>
                  <w:divsChild>
                    <w:div w:id="833568063">
                      <w:marLeft w:val="0"/>
                      <w:marRight w:val="0"/>
                      <w:marTop w:val="0"/>
                      <w:marBottom w:val="0"/>
                      <w:divBdr>
                        <w:top w:val="none" w:sz="0" w:space="0" w:color="auto"/>
                        <w:left w:val="none" w:sz="0" w:space="0" w:color="auto"/>
                        <w:bottom w:val="none" w:sz="0" w:space="0" w:color="auto"/>
                        <w:right w:val="none" w:sz="0" w:space="0" w:color="auto"/>
                      </w:divBdr>
                    </w:div>
                  </w:divsChild>
                </w:div>
                <w:div w:id="794327212">
                  <w:marLeft w:val="0"/>
                  <w:marRight w:val="0"/>
                  <w:marTop w:val="0"/>
                  <w:marBottom w:val="0"/>
                  <w:divBdr>
                    <w:top w:val="none" w:sz="0" w:space="0" w:color="auto"/>
                    <w:left w:val="none" w:sz="0" w:space="0" w:color="auto"/>
                    <w:bottom w:val="none" w:sz="0" w:space="0" w:color="auto"/>
                    <w:right w:val="none" w:sz="0" w:space="0" w:color="auto"/>
                  </w:divBdr>
                  <w:divsChild>
                    <w:div w:id="300505472">
                      <w:marLeft w:val="0"/>
                      <w:marRight w:val="0"/>
                      <w:marTop w:val="0"/>
                      <w:marBottom w:val="0"/>
                      <w:divBdr>
                        <w:top w:val="none" w:sz="0" w:space="0" w:color="auto"/>
                        <w:left w:val="none" w:sz="0" w:space="0" w:color="auto"/>
                        <w:bottom w:val="none" w:sz="0" w:space="0" w:color="auto"/>
                        <w:right w:val="none" w:sz="0" w:space="0" w:color="auto"/>
                      </w:divBdr>
                    </w:div>
                  </w:divsChild>
                </w:div>
                <w:div w:id="896666098">
                  <w:marLeft w:val="0"/>
                  <w:marRight w:val="0"/>
                  <w:marTop w:val="0"/>
                  <w:marBottom w:val="0"/>
                  <w:divBdr>
                    <w:top w:val="none" w:sz="0" w:space="0" w:color="auto"/>
                    <w:left w:val="none" w:sz="0" w:space="0" w:color="auto"/>
                    <w:bottom w:val="none" w:sz="0" w:space="0" w:color="auto"/>
                    <w:right w:val="none" w:sz="0" w:space="0" w:color="auto"/>
                  </w:divBdr>
                  <w:divsChild>
                    <w:div w:id="123155825">
                      <w:marLeft w:val="0"/>
                      <w:marRight w:val="0"/>
                      <w:marTop w:val="0"/>
                      <w:marBottom w:val="0"/>
                      <w:divBdr>
                        <w:top w:val="none" w:sz="0" w:space="0" w:color="auto"/>
                        <w:left w:val="none" w:sz="0" w:space="0" w:color="auto"/>
                        <w:bottom w:val="none" w:sz="0" w:space="0" w:color="auto"/>
                        <w:right w:val="none" w:sz="0" w:space="0" w:color="auto"/>
                      </w:divBdr>
                    </w:div>
                  </w:divsChild>
                </w:div>
                <w:div w:id="924220115">
                  <w:marLeft w:val="0"/>
                  <w:marRight w:val="0"/>
                  <w:marTop w:val="0"/>
                  <w:marBottom w:val="0"/>
                  <w:divBdr>
                    <w:top w:val="none" w:sz="0" w:space="0" w:color="auto"/>
                    <w:left w:val="none" w:sz="0" w:space="0" w:color="auto"/>
                    <w:bottom w:val="none" w:sz="0" w:space="0" w:color="auto"/>
                    <w:right w:val="none" w:sz="0" w:space="0" w:color="auto"/>
                  </w:divBdr>
                  <w:divsChild>
                    <w:div w:id="2050061902">
                      <w:marLeft w:val="0"/>
                      <w:marRight w:val="0"/>
                      <w:marTop w:val="0"/>
                      <w:marBottom w:val="0"/>
                      <w:divBdr>
                        <w:top w:val="none" w:sz="0" w:space="0" w:color="auto"/>
                        <w:left w:val="none" w:sz="0" w:space="0" w:color="auto"/>
                        <w:bottom w:val="none" w:sz="0" w:space="0" w:color="auto"/>
                        <w:right w:val="none" w:sz="0" w:space="0" w:color="auto"/>
                      </w:divBdr>
                    </w:div>
                  </w:divsChild>
                </w:div>
                <w:div w:id="957100037">
                  <w:marLeft w:val="0"/>
                  <w:marRight w:val="0"/>
                  <w:marTop w:val="0"/>
                  <w:marBottom w:val="0"/>
                  <w:divBdr>
                    <w:top w:val="none" w:sz="0" w:space="0" w:color="auto"/>
                    <w:left w:val="none" w:sz="0" w:space="0" w:color="auto"/>
                    <w:bottom w:val="none" w:sz="0" w:space="0" w:color="auto"/>
                    <w:right w:val="none" w:sz="0" w:space="0" w:color="auto"/>
                  </w:divBdr>
                  <w:divsChild>
                    <w:div w:id="29230749">
                      <w:marLeft w:val="0"/>
                      <w:marRight w:val="0"/>
                      <w:marTop w:val="0"/>
                      <w:marBottom w:val="0"/>
                      <w:divBdr>
                        <w:top w:val="none" w:sz="0" w:space="0" w:color="auto"/>
                        <w:left w:val="none" w:sz="0" w:space="0" w:color="auto"/>
                        <w:bottom w:val="none" w:sz="0" w:space="0" w:color="auto"/>
                        <w:right w:val="none" w:sz="0" w:space="0" w:color="auto"/>
                      </w:divBdr>
                    </w:div>
                  </w:divsChild>
                </w:div>
                <w:div w:id="1060590809">
                  <w:marLeft w:val="0"/>
                  <w:marRight w:val="0"/>
                  <w:marTop w:val="0"/>
                  <w:marBottom w:val="0"/>
                  <w:divBdr>
                    <w:top w:val="none" w:sz="0" w:space="0" w:color="auto"/>
                    <w:left w:val="none" w:sz="0" w:space="0" w:color="auto"/>
                    <w:bottom w:val="none" w:sz="0" w:space="0" w:color="auto"/>
                    <w:right w:val="none" w:sz="0" w:space="0" w:color="auto"/>
                  </w:divBdr>
                  <w:divsChild>
                    <w:div w:id="1697267768">
                      <w:marLeft w:val="0"/>
                      <w:marRight w:val="0"/>
                      <w:marTop w:val="0"/>
                      <w:marBottom w:val="0"/>
                      <w:divBdr>
                        <w:top w:val="none" w:sz="0" w:space="0" w:color="auto"/>
                        <w:left w:val="none" w:sz="0" w:space="0" w:color="auto"/>
                        <w:bottom w:val="none" w:sz="0" w:space="0" w:color="auto"/>
                        <w:right w:val="none" w:sz="0" w:space="0" w:color="auto"/>
                      </w:divBdr>
                    </w:div>
                  </w:divsChild>
                </w:div>
                <w:div w:id="1079601189">
                  <w:marLeft w:val="0"/>
                  <w:marRight w:val="0"/>
                  <w:marTop w:val="0"/>
                  <w:marBottom w:val="0"/>
                  <w:divBdr>
                    <w:top w:val="none" w:sz="0" w:space="0" w:color="auto"/>
                    <w:left w:val="none" w:sz="0" w:space="0" w:color="auto"/>
                    <w:bottom w:val="none" w:sz="0" w:space="0" w:color="auto"/>
                    <w:right w:val="none" w:sz="0" w:space="0" w:color="auto"/>
                  </w:divBdr>
                  <w:divsChild>
                    <w:div w:id="618997501">
                      <w:marLeft w:val="0"/>
                      <w:marRight w:val="0"/>
                      <w:marTop w:val="0"/>
                      <w:marBottom w:val="0"/>
                      <w:divBdr>
                        <w:top w:val="none" w:sz="0" w:space="0" w:color="auto"/>
                        <w:left w:val="none" w:sz="0" w:space="0" w:color="auto"/>
                        <w:bottom w:val="none" w:sz="0" w:space="0" w:color="auto"/>
                        <w:right w:val="none" w:sz="0" w:space="0" w:color="auto"/>
                      </w:divBdr>
                    </w:div>
                  </w:divsChild>
                </w:div>
                <w:div w:id="1191188040">
                  <w:marLeft w:val="0"/>
                  <w:marRight w:val="0"/>
                  <w:marTop w:val="0"/>
                  <w:marBottom w:val="0"/>
                  <w:divBdr>
                    <w:top w:val="none" w:sz="0" w:space="0" w:color="auto"/>
                    <w:left w:val="none" w:sz="0" w:space="0" w:color="auto"/>
                    <w:bottom w:val="none" w:sz="0" w:space="0" w:color="auto"/>
                    <w:right w:val="none" w:sz="0" w:space="0" w:color="auto"/>
                  </w:divBdr>
                  <w:divsChild>
                    <w:div w:id="525100761">
                      <w:marLeft w:val="0"/>
                      <w:marRight w:val="0"/>
                      <w:marTop w:val="0"/>
                      <w:marBottom w:val="0"/>
                      <w:divBdr>
                        <w:top w:val="none" w:sz="0" w:space="0" w:color="auto"/>
                        <w:left w:val="none" w:sz="0" w:space="0" w:color="auto"/>
                        <w:bottom w:val="none" w:sz="0" w:space="0" w:color="auto"/>
                        <w:right w:val="none" w:sz="0" w:space="0" w:color="auto"/>
                      </w:divBdr>
                    </w:div>
                  </w:divsChild>
                </w:div>
                <w:div w:id="1223448190">
                  <w:marLeft w:val="0"/>
                  <w:marRight w:val="0"/>
                  <w:marTop w:val="0"/>
                  <w:marBottom w:val="0"/>
                  <w:divBdr>
                    <w:top w:val="none" w:sz="0" w:space="0" w:color="auto"/>
                    <w:left w:val="none" w:sz="0" w:space="0" w:color="auto"/>
                    <w:bottom w:val="none" w:sz="0" w:space="0" w:color="auto"/>
                    <w:right w:val="none" w:sz="0" w:space="0" w:color="auto"/>
                  </w:divBdr>
                  <w:divsChild>
                    <w:div w:id="1584412584">
                      <w:marLeft w:val="0"/>
                      <w:marRight w:val="0"/>
                      <w:marTop w:val="0"/>
                      <w:marBottom w:val="0"/>
                      <w:divBdr>
                        <w:top w:val="none" w:sz="0" w:space="0" w:color="auto"/>
                        <w:left w:val="none" w:sz="0" w:space="0" w:color="auto"/>
                        <w:bottom w:val="none" w:sz="0" w:space="0" w:color="auto"/>
                        <w:right w:val="none" w:sz="0" w:space="0" w:color="auto"/>
                      </w:divBdr>
                    </w:div>
                  </w:divsChild>
                </w:div>
                <w:div w:id="1381593684">
                  <w:marLeft w:val="0"/>
                  <w:marRight w:val="0"/>
                  <w:marTop w:val="0"/>
                  <w:marBottom w:val="0"/>
                  <w:divBdr>
                    <w:top w:val="none" w:sz="0" w:space="0" w:color="auto"/>
                    <w:left w:val="none" w:sz="0" w:space="0" w:color="auto"/>
                    <w:bottom w:val="none" w:sz="0" w:space="0" w:color="auto"/>
                    <w:right w:val="none" w:sz="0" w:space="0" w:color="auto"/>
                  </w:divBdr>
                  <w:divsChild>
                    <w:div w:id="108739186">
                      <w:marLeft w:val="0"/>
                      <w:marRight w:val="0"/>
                      <w:marTop w:val="0"/>
                      <w:marBottom w:val="0"/>
                      <w:divBdr>
                        <w:top w:val="none" w:sz="0" w:space="0" w:color="auto"/>
                        <w:left w:val="none" w:sz="0" w:space="0" w:color="auto"/>
                        <w:bottom w:val="none" w:sz="0" w:space="0" w:color="auto"/>
                        <w:right w:val="none" w:sz="0" w:space="0" w:color="auto"/>
                      </w:divBdr>
                    </w:div>
                  </w:divsChild>
                </w:div>
                <w:div w:id="1410536818">
                  <w:marLeft w:val="0"/>
                  <w:marRight w:val="0"/>
                  <w:marTop w:val="0"/>
                  <w:marBottom w:val="0"/>
                  <w:divBdr>
                    <w:top w:val="none" w:sz="0" w:space="0" w:color="auto"/>
                    <w:left w:val="none" w:sz="0" w:space="0" w:color="auto"/>
                    <w:bottom w:val="none" w:sz="0" w:space="0" w:color="auto"/>
                    <w:right w:val="none" w:sz="0" w:space="0" w:color="auto"/>
                  </w:divBdr>
                  <w:divsChild>
                    <w:div w:id="555552361">
                      <w:marLeft w:val="0"/>
                      <w:marRight w:val="0"/>
                      <w:marTop w:val="0"/>
                      <w:marBottom w:val="0"/>
                      <w:divBdr>
                        <w:top w:val="none" w:sz="0" w:space="0" w:color="auto"/>
                        <w:left w:val="none" w:sz="0" w:space="0" w:color="auto"/>
                        <w:bottom w:val="none" w:sz="0" w:space="0" w:color="auto"/>
                        <w:right w:val="none" w:sz="0" w:space="0" w:color="auto"/>
                      </w:divBdr>
                    </w:div>
                  </w:divsChild>
                </w:div>
                <w:div w:id="1420365598">
                  <w:marLeft w:val="0"/>
                  <w:marRight w:val="0"/>
                  <w:marTop w:val="0"/>
                  <w:marBottom w:val="0"/>
                  <w:divBdr>
                    <w:top w:val="none" w:sz="0" w:space="0" w:color="auto"/>
                    <w:left w:val="none" w:sz="0" w:space="0" w:color="auto"/>
                    <w:bottom w:val="none" w:sz="0" w:space="0" w:color="auto"/>
                    <w:right w:val="none" w:sz="0" w:space="0" w:color="auto"/>
                  </w:divBdr>
                  <w:divsChild>
                    <w:div w:id="1090588705">
                      <w:marLeft w:val="0"/>
                      <w:marRight w:val="0"/>
                      <w:marTop w:val="0"/>
                      <w:marBottom w:val="0"/>
                      <w:divBdr>
                        <w:top w:val="none" w:sz="0" w:space="0" w:color="auto"/>
                        <w:left w:val="none" w:sz="0" w:space="0" w:color="auto"/>
                        <w:bottom w:val="none" w:sz="0" w:space="0" w:color="auto"/>
                        <w:right w:val="none" w:sz="0" w:space="0" w:color="auto"/>
                      </w:divBdr>
                    </w:div>
                  </w:divsChild>
                </w:div>
                <w:div w:id="1445659687">
                  <w:marLeft w:val="0"/>
                  <w:marRight w:val="0"/>
                  <w:marTop w:val="0"/>
                  <w:marBottom w:val="0"/>
                  <w:divBdr>
                    <w:top w:val="none" w:sz="0" w:space="0" w:color="auto"/>
                    <w:left w:val="none" w:sz="0" w:space="0" w:color="auto"/>
                    <w:bottom w:val="none" w:sz="0" w:space="0" w:color="auto"/>
                    <w:right w:val="none" w:sz="0" w:space="0" w:color="auto"/>
                  </w:divBdr>
                  <w:divsChild>
                    <w:div w:id="941181262">
                      <w:marLeft w:val="0"/>
                      <w:marRight w:val="0"/>
                      <w:marTop w:val="0"/>
                      <w:marBottom w:val="0"/>
                      <w:divBdr>
                        <w:top w:val="none" w:sz="0" w:space="0" w:color="auto"/>
                        <w:left w:val="none" w:sz="0" w:space="0" w:color="auto"/>
                        <w:bottom w:val="none" w:sz="0" w:space="0" w:color="auto"/>
                        <w:right w:val="none" w:sz="0" w:space="0" w:color="auto"/>
                      </w:divBdr>
                    </w:div>
                  </w:divsChild>
                </w:div>
                <w:div w:id="1488522009">
                  <w:marLeft w:val="0"/>
                  <w:marRight w:val="0"/>
                  <w:marTop w:val="0"/>
                  <w:marBottom w:val="0"/>
                  <w:divBdr>
                    <w:top w:val="none" w:sz="0" w:space="0" w:color="auto"/>
                    <w:left w:val="none" w:sz="0" w:space="0" w:color="auto"/>
                    <w:bottom w:val="none" w:sz="0" w:space="0" w:color="auto"/>
                    <w:right w:val="none" w:sz="0" w:space="0" w:color="auto"/>
                  </w:divBdr>
                  <w:divsChild>
                    <w:div w:id="2101825514">
                      <w:marLeft w:val="0"/>
                      <w:marRight w:val="0"/>
                      <w:marTop w:val="0"/>
                      <w:marBottom w:val="0"/>
                      <w:divBdr>
                        <w:top w:val="none" w:sz="0" w:space="0" w:color="auto"/>
                        <w:left w:val="none" w:sz="0" w:space="0" w:color="auto"/>
                        <w:bottom w:val="none" w:sz="0" w:space="0" w:color="auto"/>
                        <w:right w:val="none" w:sz="0" w:space="0" w:color="auto"/>
                      </w:divBdr>
                    </w:div>
                  </w:divsChild>
                </w:div>
                <w:div w:id="1555316397">
                  <w:marLeft w:val="0"/>
                  <w:marRight w:val="0"/>
                  <w:marTop w:val="0"/>
                  <w:marBottom w:val="0"/>
                  <w:divBdr>
                    <w:top w:val="none" w:sz="0" w:space="0" w:color="auto"/>
                    <w:left w:val="none" w:sz="0" w:space="0" w:color="auto"/>
                    <w:bottom w:val="none" w:sz="0" w:space="0" w:color="auto"/>
                    <w:right w:val="none" w:sz="0" w:space="0" w:color="auto"/>
                  </w:divBdr>
                  <w:divsChild>
                    <w:div w:id="199706805">
                      <w:marLeft w:val="0"/>
                      <w:marRight w:val="0"/>
                      <w:marTop w:val="0"/>
                      <w:marBottom w:val="0"/>
                      <w:divBdr>
                        <w:top w:val="none" w:sz="0" w:space="0" w:color="auto"/>
                        <w:left w:val="none" w:sz="0" w:space="0" w:color="auto"/>
                        <w:bottom w:val="none" w:sz="0" w:space="0" w:color="auto"/>
                        <w:right w:val="none" w:sz="0" w:space="0" w:color="auto"/>
                      </w:divBdr>
                    </w:div>
                  </w:divsChild>
                </w:div>
                <w:div w:id="1603997926">
                  <w:marLeft w:val="0"/>
                  <w:marRight w:val="0"/>
                  <w:marTop w:val="0"/>
                  <w:marBottom w:val="0"/>
                  <w:divBdr>
                    <w:top w:val="none" w:sz="0" w:space="0" w:color="auto"/>
                    <w:left w:val="none" w:sz="0" w:space="0" w:color="auto"/>
                    <w:bottom w:val="none" w:sz="0" w:space="0" w:color="auto"/>
                    <w:right w:val="none" w:sz="0" w:space="0" w:color="auto"/>
                  </w:divBdr>
                  <w:divsChild>
                    <w:div w:id="2102331365">
                      <w:marLeft w:val="0"/>
                      <w:marRight w:val="0"/>
                      <w:marTop w:val="0"/>
                      <w:marBottom w:val="0"/>
                      <w:divBdr>
                        <w:top w:val="none" w:sz="0" w:space="0" w:color="auto"/>
                        <w:left w:val="none" w:sz="0" w:space="0" w:color="auto"/>
                        <w:bottom w:val="none" w:sz="0" w:space="0" w:color="auto"/>
                        <w:right w:val="none" w:sz="0" w:space="0" w:color="auto"/>
                      </w:divBdr>
                    </w:div>
                  </w:divsChild>
                </w:div>
                <w:div w:id="1618758531">
                  <w:marLeft w:val="0"/>
                  <w:marRight w:val="0"/>
                  <w:marTop w:val="0"/>
                  <w:marBottom w:val="0"/>
                  <w:divBdr>
                    <w:top w:val="none" w:sz="0" w:space="0" w:color="auto"/>
                    <w:left w:val="none" w:sz="0" w:space="0" w:color="auto"/>
                    <w:bottom w:val="none" w:sz="0" w:space="0" w:color="auto"/>
                    <w:right w:val="none" w:sz="0" w:space="0" w:color="auto"/>
                  </w:divBdr>
                  <w:divsChild>
                    <w:div w:id="1559972134">
                      <w:marLeft w:val="0"/>
                      <w:marRight w:val="0"/>
                      <w:marTop w:val="0"/>
                      <w:marBottom w:val="0"/>
                      <w:divBdr>
                        <w:top w:val="none" w:sz="0" w:space="0" w:color="auto"/>
                        <w:left w:val="none" w:sz="0" w:space="0" w:color="auto"/>
                        <w:bottom w:val="none" w:sz="0" w:space="0" w:color="auto"/>
                        <w:right w:val="none" w:sz="0" w:space="0" w:color="auto"/>
                      </w:divBdr>
                    </w:div>
                  </w:divsChild>
                </w:div>
                <w:div w:id="1657303396">
                  <w:marLeft w:val="0"/>
                  <w:marRight w:val="0"/>
                  <w:marTop w:val="0"/>
                  <w:marBottom w:val="0"/>
                  <w:divBdr>
                    <w:top w:val="none" w:sz="0" w:space="0" w:color="auto"/>
                    <w:left w:val="none" w:sz="0" w:space="0" w:color="auto"/>
                    <w:bottom w:val="none" w:sz="0" w:space="0" w:color="auto"/>
                    <w:right w:val="none" w:sz="0" w:space="0" w:color="auto"/>
                  </w:divBdr>
                  <w:divsChild>
                    <w:div w:id="1229539536">
                      <w:marLeft w:val="0"/>
                      <w:marRight w:val="0"/>
                      <w:marTop w:val="0"/>
                      <w:marBottom w:val="0"/>
                      <w:divBdr>
                        <w:top w:val="none" w:sz="0" w:space="0" w:color="auto"/>
                        <w:left w:val="none" w:sz="0" w:space="0" w:color="auto"/>
                        <w:bottom w:val="none" w:sz="0" w:space="0" w:color="auto"/>
                        <w:right w:val="none" w:sz="0" w:space="0" w:color="auto"/>
                      </w:divBdr>
                    </w:div>
                  </w:divsChild>
                </w:div>
                <w:div w:id="1704478546">
                  <w:marLeft w:val="0"/>
                  <w:marRight w:val="0"/>
                  <w:marTop w:val="0"/>
                  <w:marBottom w:val="0"/>
                  <w:divBdr>
                    <w:top w:val="none" w:sz="0" w:space="0" w:color="auto"/>
                    <w:left w:val="none" w:sz="0" w:space="0" w:color="auto"/>
                    <w:bottom w:val="none" w:sz="0" w:space="0" w:color="auto"/>
                    <w:right w:val="none" w:sz="0" w:space="0" w:color="auto"/>
                  </w:divBdr>
                  <w:divsChild>
                    <w:div w:id="155809523">
                      <w:marLeft w:val="0"/>
                      <w:marRight w:val="0"/>
                      <w:marTop w:val="0"/>
                      <w:marBottom w:val="0"/>
                      <w:divBdr>
                        <w:top w:val="none" w:sz="0" w:space="0" w:color="auto"/>
                        <w:left w:val="none" w:sz="0" w:space="0" w:color="auto"/>
                        <w:bottom w:val="none" w:sz="0" w:space="0" w:color="auto"/>
                        <w:right w:val="none" w:sz="0" w:space="0" w:color="auto"/>
                      </w:divBdr>
                    </w:div>
                  </w:divsChild>
                </w:div>
                <w:div w:id="1734810137">
                  <w:marLeft w:val="0"/>
                  <w:marRight w:val="0"/>
                  <w:marTop w:val="0"/>
                  <w:marBottom w:val="0"/>
                  <w:divBdr>
                    <w:top w:val="none" w:sz="0" w:space="0" w:color="auto"/>
                    <w:left w:val="none" w:sz="0" w:space="0" w:color="auto"/>
                    <w:bottom w:val="none" w:sz="0" w:space="0" w:color="auto"/>
                    <w:right w:val="none" w:sz="0" w:space="0" w:color="auto"/>
                  </w:divBdr>
                  <w:divsChild>
                    <w:div w:id="841160218">
                      <w:marLeft w:val="0"/>
                      <w:marRight w:val="0"/>
                      <w:marTop w:val="0"/>
                      <w:marBottom w:val="0"/>
                      <w:divBdr>
                        <w:top w:val="none" w:sz="0" w:space="0" w:color="auto"/>
                        <w:left w:val="none" w:sz="0" w:space="0" w:color="auto"/>
                        <w:bottom w:val="none" w:sz="0" w:space="0" w:color="auto"/>
                        <w:right w:val="none" w:sz="0" w:space="0" w:color="auto"/>
                      </w:divBdr>
                    </w:div>
                  </w:divsChild>
                </w:div>
                <w:div w:id="1798179218">
                  <w:marLeft w:val="0"/>
                  <w:marRight w:val="0"/>
                  <w:marTop w:val="0"/>
                  <w:marBottom w:val="0"/>
                  <w:divBdr>
                    <w:top w:val="none" w:sz="0" w:space="0" w:color="auto"/>
                    <w:left w:val="none" w:sz="0" w:space="0" w:color="auto"/>
                    <w:bottom w:val="none" w:sz="0" w:space="0" w:color="auto"/>
                    <w:right w:val="none" w:sz="0" w:space="0" w:color="auto"/>
                  </w:divBdr>
                  <w:divsChild>
                    <w:div w:id="1040664043">
                      <w:marLeft w:val="0"/>
                      <w:marRight w:val="0"/>
                      <w:marTop w:val="0"/>
                      <w:marBottom w:val="0"/>
                      <w:divBdr>
                        <w:top w:val="none" w:sz="0" w:space="0" w:color="auto"/>
                        <w:left w:val="none" w:sz="0" w:space="0" w:color="auto"/>
                        <w:bottom w:val="none" w:sz="0" w:space="0" w:color="auto"/>
                        <w:right w:val="none" w:sz="0" w:space="0" w:color="auto"/>
                      </w:divBdr>
                    </w:div>
                  </w:divsChild>
                </w:div>
                <w:div w:id="1877698855">
                  <w:marLeft w:val="0"/>
                  <w:marRight w:val="0"/>
                  <w:marTop w:val="0"/>
                  <w:marBottom w:val="0"/>
                  <w:divBdr>
                    <w:top w:val="none" w:sz="0" w:space="0" w:color="auto"/>
                    <w:left w:val="none" w:sz="0" w:space="0" w:color="auto"/>
                    <w:bottom w:val="none" w:sz="0" w:space="0" w:color="auto"/>
                    <w:right w:val="none" w:sz="0" w:space="0" w:color="auto"/>
                  </w:divBdr>
                  <w:divsChild>
                    <w:div w:id="1685785687">
                      <w:marLeft w:val="0"/>
                      <w:marRight w:val="0"/>
                      <w:marTop w:val="0"/>
                      <w:marBottom w:val="0"/>
                      <w:divBdr>
                        <w:top w:val="none" w:sz="0" w:space="0" w:color="auto"/>
                        <w:left w:val="none" w:sz="0" w:space="0" w:color="auto"/>
                        <w:bottom w:val="none" w:sz="0" w:space="0" w:color="auto"/>
                        <w:right w:val="none" w:sz="0" w:space="0" w:color="auto"/>
                      </w:divBdr>
                    </w:div>
                  </w:divsChild>
                </w:div>
                <w:div w:id="1889756897">
                  <w:marLeft w:val="0"/>
                  <w:marRight w:val="0"/>
                  <w:marTop w:val="0"/>
                  <w:marBottom w:val="0"/>
                  <w:divBdr>
                    <w:top w:val="none" w:sz="0" w:space="0" w:color="auto"/>
                    <w:left w:val="none" w:sz="0" w:space="0" w:color="auto"/>
                    <w:bottom w:val="none" w:sz="0" w:space="0" w:color="auto"/>
                    <w:right w:val="none" w:sz="0" w:space="0" w:color="auto"/>
                  </w:divBdr>
                  <w:divsChild>
                    <w:div w:id="854344184">
                      <w:marLeft w:val="0"/>
                      <w:marRight w:val="0"/>
                      <w:marTop w:val="0"/>
                      <w:marBottom w:val="0"/>
                      <w:divBdr>
                        <w:top w:val="none" w:sz="0" w:space="0" w:color="auto"/>
                        <w:left w:val="none" w:sz="0" w:space="0" w:color="auto"/>
                        <w:bottom w:val="none" w:sz="0" w:space="0" w:color="auto"/>
                        <w:right w:val="none" w:sz="0" w:space="0" w:color="auto"/>
                      </w:divBdr>
                    </w:div>
                  </w:divsChild>
                </w:div>
                <w:div w:id="1937593663">
                  <w:marLeft w:val="0"/>
                  <w:marRight w:val="0"/>
                  <w:marTop w:val="0"/>
                  <w:marBottom w:val="0"/>
                  <w:divBdr>
                    <w:top w:val="none" w:sz="0" w:space="0" w:color="auto"/>
                    <w:left w:val="none" w:sz="0" w:space="0" w:color="auto"/>
                    <w:bottom w:val="none" w:sz="0" w:space="0" w:color="auto"/>
                    <w:right w:val="none" w:sz="0" w:space="0" w:color="auto"/>
                  </w:divBdr>
                  <w:divsChild>
                    <w:div w:id="1210874875">
                      <w:marLeft w:val="0"/>
                      <w:marRight w:val="0"/>
                      <w:marTop w:val="0"/>
                      <w:marBottom w:val="0"/>
                      <w:divBdr>
                        <w:top w:val="none" w:sz="0" w:space="0" w:color="auto"/>
                        <w:left w:val="none" w:sz="0" w:space="0" w:color="auto"/>
                        <w:bottom w:val="none" w:sz="0" w:space="0" w:color="auto"/>
                        <w:right w:val="none" w:sz="0" w:space="0" w:color="auto"/>
                      </w:divBdr>
                    </w:div>
                  </w:divsChild>
                </w:div>
                <w:div w:id="2007202637">
                  <w:marLeft w:val="0"/>
                  <w:marRight w:val="0"/>
                  <w:marTop w:val="0"/>
                  <w:marBottom w:val="0"/>
                  <w:divBdr>
                    <w:top w:val="none" w:sz="0" w:space="0" w:color="auto"/>
                    <w:left w:val="none" w:sz="0" w:space="0" w:color="auto"/>
                    <w:bottom w:val="none" w:sz="0" w:space="0" w:color="auto"/>
                    <w:right w:val="none" w:sz="0" w:space="0" w:color="auto"/>
                  </w:divBdr>
                  <w:divsChild>
                    <w:div w:id="817266346">
                      <w:marLeft w:val="0"/>
                      <w:marRight w:val="0"/>
                      <w:marTop w:val="0"/>
                      <w:marBottom w:val="0"/>
                      <w:divBdr>
                        <w:top w:val="none" w:sz="0" w:space="0" w:color="auto"/>
                        <w:left w:val="none" w:sz="0" w:space="0" w:color="auto"/>
                        <w:bottom w:val="none" w:sz="0" w:space="0" w:color="auto"/>
                        <w:right w:val="none" w:sz="0" w:space="0" w:color="auto"/>
                      </w:divBdr>
                    </w:div>
                  </w:divsChild>
                </w:div>
                <w:div w:id="2025015015">
                  <w:marLeft w:val="0"/>
                  <w:marRight w:val="0"/>
                  <w:marTop w:val="0"/>
                  <w:marBottom w:val="0"/>
                  <w:divBdr>
                    <w:top w:val="none" w:sz="0" w:space="0" w:color="auto"/>
                    <w:left w:val="none" w:sz="0" w:space="0" w:color="auto"/>
                    <w:bottom w:val="none" w:sz="0" w:space="0" w:color="auto"/>
                    <w:right w:val="none" w:sz="0" w:space="0" w:color="auto"/>
                  </w:divBdr>
                  <w:divsChild>
                    <w:div w:id="1670861309">
                      <w:marLeft w:val="0"/>
                      <w:marRight w:val="0"/>
                      <w:marTop w:val="0"/>
                      <w:marBottom w:val="0"/>
                      <w:divBdr>
                        <w:top w:val="none" w:sz="0" w:space="0" w:color="auto"/>
                        <w:left w:val="none" w:sz="0" w:space="0" w:color="auto"/>
                        <w:bottom w:val="none" w:sz="0" w:space="0" w:color="auto"/>
                        <w:right w:val="none" w:sz="0" w:space="0" w:color="auto"/>
                      </w:divBdr>
                    </w:div>
                  </w:divsChild>
                </w:div>
                <w:div w:id="2055424206">
                  <w:marLeft w:val="0"/>
                  <w:marRight w:val="0"/>
                  <w:marTop w:val="0"/>
                  <w:marBottom w:val="0"/>
                  <w:divBdr>
                    <w:top w:val="none" w:sz="0" w:space="0" w:color="auto"/>
                    <w:left w:val="none" w:sz="0" w:space="0" w:color="auto"/>
                    <w:bottom w:val="none" w:sz="0" w:space="0" w:color="auto"/>
                    <w:right w:val="none" w:sz="0" w:space="0" w:color="auto"/>
                  </w:divBdr>
                  <w:divsChild>
                    <w:div w:id="182521523">
                      <w:marLeft w:val="0"/>
                      <w:marRight w:val="0"/>
                      <w:marTop w:val="0"/>
                      <w:marBottom w:val="0"/>
                      <w:divBdr>
                        <w:top w:val="none" w:sz="0" w:space="0" w:color="auto"/>
                        <w:left w:val="none" w:sz="0" w:space="0" w:color="auto"/>
                        <w:bottom w:val="none" w:sz="0" w:space="0" w:color="auto"/>
                        <w:right w:val="none" w:sz="0" w:space="0" w:color="auto"/>
                      </w:divBdr>
                    </w:div>
                  </w:divsChild>
                </w:div>
                <w:div w:id="2102675265">
                  <w:marLeft w:val="0"/>
                  <w:marRight w:val="0"/>
                  <w:marTop w:val="0"/>
                  <w:marBottom w:val="0"/>
                  <w:divBdr>
                    <w:top w:val="none" w:sz="0" w:space="0" w:color="auto"/>
                    <w:left w:val="none" w:sz="0" w:space="0" w:color="auto"/>
                    <w:bottom w:val="none" w:sz="0" w:space="0" w:color="auto"/>
                    <w:right w:val="none" w:sz="0" w:space="0" w:color="auto"/>
                  </w:divBdr>
                  <w:divsChild>
                    <w:div w:id="4169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8357">
          <w:marLeft w:val="0"/>
          <w:marRight w:val="0"/>
          <w:marTop w:val="0"/>
          <w:marBottom w:val="0"/>
          <w:divBdr>
            <w:top w:val="none" w:sz="0" w:space="0" w:color="auto"/>
            <w:left w:val="none" w:sz="0" w:space="0" w:color="auto"/>
            <w:bottom w:val="none" w:sz="0" w:space="0" w:color="auto"/>
            <w:right w:val="none" w:sz="0" w:space="0" w:color="auto"/>
          </w:divBdr>
        </w:div>
        <w:div w:id="1706446676">
          <w:marLeft w:val="0"/>
          <w:marRight w:val="0"/>
          <w:marTop w:val="0"/>
          <w:marBottom w:val="0"/>
          <w:divBdr>
            <w:top w:val="none" w:sz="0" w:space="0" w:color="auto"/>
            <w:left w:val="none" w:sz="0" w:space="0" w:color="auto"/>
            <w:bottom w:val="none" w:sz="0" w:space="0" w:color="auto"/>
            <w:right w:val="none" w:sz="0" w:space="0" w:color="auto"/>
          </w:divBdr>
        </w:div>
        <w:div w:id="1738283494">
          <w:marLeft w:val="0"/>
          <w:marRight w:val="0"/>
          <w:marTop w:val="0"/>
          <w:marBottom w:val="0"/>
          <w:divBdr>
            <w:top w:val="none" w:sz="0" w:space="0" w:color="auto"/>
            <w:left w:val="none" w:sz="0" w:space="0" w:color="auto"/>
            <w:bottom w:val="none" w:sz="0" w:space="0" w:color="auto"/>
            <w:right w:val="none" w:sz="0" w:space="0" w:color="auto"/>
          </w:divBdr>
          <w:divsChild>
            <w:div w:id="1269193754">
              <w:marLeft w:val="-75"/>
              <w:marRight w:val="0"/>
              <w:marTop w:val="30"/>
              <w:marBottom w:val="30"/>
              <w:divBdr>
                <w:top w:val="none" w:sz="0" w:space="0" w:color="auto"/>
                <w:left w:val="none" w:sz="0" w:space="0" w:color="auto"/>
                <w:bottom w:val="none" w:sz="0" w:space="0" w:color="auto"/>
                <w:right w:val="none" w:sz="0" w:space="0" w:color="auto"/>
              </w:divBdr>
              <w:divsChild>
                <w:div w:id="18631074">
                  <w:marLeft w:val="0"/>
                  <w:marRight w:val="0"/>
                  <w:marTop w:val="0"/>
                  <w:marBottom w:val="0"/>
                  <w:divBdr>
                    <w:top w:val="none" w:sz="0" w:space="0" w:color="auto"/>
                    <w:left w:val="none" w:sz="0" w:space="0" w:color="auto"/>
                    <w:bottom w:val="none" w:sz="0" w:space="0" w:color="auto"/>
                    <w:right w:val="none" w:sz="0" w:space="0" w:color="auto"/>
                  </w:divBdr>
                  <w:divsChild>
                    <w:div w:id="49771034">
                      <w:marLeft w:val="0"/>
                      <w:marRight w:val="0"/>
                      <w:marTop w:val="0"/>
                      <w:marBottom w:val="0"/>
                      <w:divBdr>
                        <w:top w:val="none" w:sz="0" w:space="0" w:color="auto"/>
                        <w:left w:val="none" w:sz="0" w:space="0" w:color="auto"/>
                        <w:bottom w:val="none" w:sz="0" w:space="0" w:color="auto"/>
                        <w:right w:val="none" w:sz="0" w:space="0" w:color="auto"/>
                      </w:divBdr>
                    </w:div>
                  </w:divsChild>
                </w:div>
                <w:div w:id="85932048">
                  <w:marLeft w:val="0"/>
                  <w:marRight w:val="0"/>
                  <w:marTop w:val="0"/>
                  <w:marBottom w:val="0"/>
                  <w:divBdr>
                    <w:top w:val="none" w:sz="0" w:space="0" w:color="auto"/>
                    <w:left w:val="none" w:sz="0" w:space="0" w:color="auto"/>
                    <w:bottom w:val="none" w:sz="0" w:space="0" w:color="auto"/>
                    <w:right w:val="none" w:sz="0" w:space="0" w:color="auto"/>
                  </w:divBdr>
                  <w:divsChild>
                    <w:div w:id="1561793734">
                      <w:marLeft w:val="0"/>
                      <w:marRight w:val="0"/>
                      <w:marTop w:val="0"/>
                      <w:marBottom w:val="0"/>
                      <w:divBdr>
                        <w:top w:val="none" w:sz="0" w:space="0" w:color="auto"/>
                        <w:left w:val="none" w:sz="0" w:space="0" w:color="auto"/>
                        <w:bottom w:val="none" w:sz="0" w:space="0" w:color="auto"/>
                        <w:right w:val="none" w:sz="0" w:space="0" w:color="auto"/>
                      </w:divBdr>
                    </w:div>
                  </w:divsChild>
                </w:div>
                <w:div w:id="118577527">
                  <w:marLeft w:val="0"/>
                  <w:marRight w:val="0"/>
                  <w:marTop w:val="0"/>
                  <w:marBottom w:val="0"/>
                  <w:divBdr>
                    <w:top w:val="none" w:sz="0" w:space="0" w:color="auto"/>
                    <w:left w:val="none" w:sz="0" w:space="0" w:color="auto"/>
                    <w:bottom w:val="none" w:sz="0" w:space="0" w:color="auto"/>
                    <w:right w:val="none" w:sz="0" w:space="0" w:color="auto"/>
                  </w:divBdr>
                  <w:divsChild>
                    <w:div w:id="2063796011">
                      <w:marLeft w:val="0"/>
                      <w:marRight w:val="0"/>
                      <w:marTop w:val="0"/>
                      <w:marBottom w:val="0"/>
                      <w:divBdr>
                        <w:top w:val="none" w:sz="0" w:space="0" w:color="auto"/>
                        <w:left w:val="none" w:sz="0" w:space="0" w:color="auto"/>
                        <w:bottom w:val="none" w:sz="0" w:space="0" w:color="auto"/>
                        <w:right w:val="none" w:sz="0" w:space="0" w:color="auto"/>
                      </w:divBdr>
                    </w:div>
                  </w:divsChild>
                </w:div>
                <w:div w:id="167641254">
                  <w:marLeft w:val="0"/>
                  <w:marRight w:val="0"/>
                  <w:marTop w:val="0"/>
                  <w:marBottom w:val="0"/>
                  <w:divBdr>
                    <w:top w:val="none" w:sz="0" w:space="0" w:color="auto"/>
                    <w:left w:val="none" w:sz="0" w:space="0" w:color="auto"/>
                    <w:bottom w:val="none" w:sz="0" w:space="0" w:color="auto"/>
                    <w:right w:val="none" w:sz="0" w:space="0" w:color="auto"/>
                  </w:divBdr>
                  <w:divsChild>
                    <w:div w:id="1247810755">
                      <w:marLeft w:val="0"/>
                      <w:marRight w:val="0"/>
                      <w:marTop w:val="0"/>
                      <w:marBottom w:val="0"/>
                      <w:divBdr>
                        <w:top w:val="none" w:sz="0" w:space="0" w:color="auto"/>
                        <w:left w:val="none" w:sz="0" w:space="0" w:color="auto"/>
                        <w:bottom w:val="none" w:sz="0" w:space="0" w:color="auto"/>
                        <w:right w:val="none" w:sz="0" w:space="0" w:color="auto"/>
                      </w:divBdr>
                    </w:div>
                  </w:divsChild>
                </w:div>
                <w:div w:id="223412442">
                  <w:marLeft w:val="0"/>
                  <w:marRight w:val="0"/>
                  <w:marTop w:val="0"/>
                  <w:marBottom w:val="0"/>
                  <w:divBdr>
                    <w:top w:val="none" w:sz="0" w:space="0" w:color="auto"/>
                    <w:left w:val="none" w:sz="0" w:space="0" w:color="auto"/>
                    <w:bottom w:val="none" w:sz="0" w:space="0" w:color="auto"/>
                    <w:right w:val="none" w:sz="0" w:space="0" w:color="auto"/>
                  </w:divBdr>
                  <w:divsChild>
                    <w:div w:id="1600867884">
                      <w:marLeft w:val="0"/>
                      <w:marRight w:val="0"/>
                      <w:marTop w:val="0"/>
                      <w:marBottom w:val="0"/>
                      <w:divBdr>
                        <w:top w:val="none" w:sz="0" w:space="0" w:color="auto"/>
                        <w:left w:val="none" w:sz="0" w:space="0" w:color="auto"/>
                        <w:bottom w:val="none" w:sz="0" w:space="0" w:color="auto"/>
                        <w:right w:val="none" w:sz="0" w:space="0" w:color="auto"/>
                      </w:divBdr>
                    </w:div>
                  </w:divsChild>
                </w:div>
                <w:div w:id="286595059">
                  <w:marLeft w:val="0"/>
                  <w:marRight w:val="0"/>
                  <w:marTop w:val="0"/>
                  <w:marBottom w:val="0"/>
                  <w:divBdr>
                    <w:top w:val="none" w:sz="0" w:space="0" w:color="auto"/>
                    <w:left w:val="none" w:sz="0" w:space="0" w:color="auto"/>
                    <w:bottom w:val="none" w:sz="0" w:space="0" w:color="auto"/>
                    <w:right w:val="none" w:sz="0" w:space="0" w:color="auto"/>
                  </w:divBdr>
                  <w:divsChild>
                    <w:div w:id="1519343402">
                      <w:marLeft w:val="0"/>
                      <w:marRight w:val="0"/>
                      <w:marTop w:val="0"/>
                      <w:marBottom w:val="0"/>
                      <w:divBdr>
                        <w:top w:val="none" w:sz="0" w:space="0" w:color="auto"/>
                        <w:left w:val="none" w:sz="0" w:space="0" w:color="auto"/>
                        <w:bottom w:val="none" w:sz="0" w:space="0" w:color="auto"/>
                        <w:right w:val="none" w:sz="0" w:space="0" w:color="auto"/>
                      </w:divBdr>
                    </w:div>
                  </w:divsChild>
                </w:div>
                <w:div w:id="300772961">
                  <w:marLeft w:val="0"/>
                  <w:marRight w:val="0"/>
                  <w:marTop w:val="0"/>
                  <w:marBottom w:val="0"/>
                  <w:divBdr>
                    <w:top w:val="none" w:sz="0" w:space="0" w:color="auto"/>
                    <w:left w:val="none" w:sz="0" w:space="0" w:color="auto"/>
                    <w:bottom w:val="none" w:sz="0" w:space="0" w:color="auto"/>
                    <w:right w:val="none" w:sz="0" w:space="0" w:color="auto"/>
                  </w:divBdr>
                  <w:divsChild>
                    <w:div w:id="1808738948">
                      <w:marLeft w:val="0"/>
                      <w:marRight w:val="0"/>
                      <w:marTop w:val="0"/>
                      <w:marBottom w:val="0"/>
                      <w:divBdr>
                        <w:top w:val="none" w:sz="0" w:space="0" w:color="auto"/>
                        <w:left w:val="none" w:sz="0" w:space="0" w:color="auto"/>
                        <w:bottom w:val="none" w:sz="0" w:space="0" w:color="auto"/>
                        <w:right w:val="none" w:sz="0" w:space="0" w:color="auto"/>
                      </w:divBdr>
                    </w:div>
                  </w:divsChild>
                </w:div>
                <w:div w:id="329067259">
                  <w:marLeft w:val="0"/>
                  <w:marRight w:val="0"/>
                  <w:marTop w:val="0"/>
                  <w:marBottom w:val="0"/>
                  <w:divBdr>
                    <w:top w:val="none" w:sz="0" w:space="0" w:color="auto"/>
                    <w:left w:val="none" w:sz="0" w:space="0" w:color="auto"/>
                    <w:bottom w:val="none" w:sz="0" w:space="0" w:color="auto"/>
                    <w:right w:val="none" w:sz="0" w:space="0" w:color="auto"/>
                  </w:divBdr>
                  <w:divsChild>
                    <w:div w:id="1062370450">
                      <w:marLeft w:val="0"/>
                      <w:marRight w:val="0"/>
                      <w:marTop w:val="0"/>
                      <w:marBottom w:val="0"/>
                      <w:divBdr>
                        <w:top w:val="none" w:sz="0" w:space="0" w:color="auto"/>
                        <w:left w:val="none" w:sz="0" w:space="0" w:color="auto"/>
                        <w:bottom w:val="none" w:sz="0" w:space="0" w:color="auto"/>
                        <w:right w:val="none" w:sz="0" w:space="0" w:color="auto"/>
                      </w:divBdr>
                    </w:div>
                  </w:divsChild>
                </w:div>
                <w:div w:id="483359352">
                  <w:marLeft w:val="0"/>
                  <w:marRight w:val="0"/>
                  <w:marTop w:val="0"/>
                  <w:marBottom w:val="0"/>
                  <w:divBdr>
                    <w:top w:val="none" w:sz="0" w:space="0" w:color="auto"/>
                    <w:left w:val="none" w:sz="0" w:space="0" w:color="auto"/>
                    <w:bottom w:val="none" w:sz="0" w:space="0" w:color="auto"/>
                    <w:right w:val="none" w:sz="0" w:space="0" w:color="auto"/>
                  </w:divBdr>
                  <w:divsChild>
                    <w:div w:id="1059593689">
                      <w:marLeft w:val="0"/>
                      <w:marRight w:val="0"/>
                      <w:marTop w:val="0"/>
                      <w:marBottom w:val="0"/>
                      <w:divBdr>
                        <w:top w:val="none" w:sz="0" w:space="0" w:color="auto"/>
                        <w:left w:val="none" w:sz="0" w:space="0" w:color="auto"/>
                        <w:bottom w:val="none" w:sz="0" w:space="0" w:color="auto"/>
                        <w:right w:val="none" w:sz="0" w:space="0" w:color="auto"/>
                      </w:divBdr>
                    </w:div>
                  </w:divsChild>
                </w:div>
                <w:div w:id="612052539">
                  <w:marLeft w:val="0"/>
                  <w:marRight w:val="0"/>
                  <w:marTop w:val="0"/>
                  <w:marBottom w:val="0"/>
                  <w:divBdr>
                    <w:top w:val="none" w:sz="0" w:space="0" w:color="auto"/>
                    <w:left w:val="none" w:sz="0" w:space="0" w:color="auto"/>
                    <w:bottom w:val="none" w:sz="0" w:space="0" w:color="auto"/>
                    <w:right w:val="none" w:sz="0" w:space="0" w:color="auto"/>
                  </w:divBdr>
                  <w:divsChild>
                    <w:div w:id="159925757">
                      <w:marLeft w:val="0"/>
                      <w:marRight w:val="0"/>
                      <w:marTop w:val="0"/>
                      <w:marBottom w:val="0"/>
                      <w:divBdr>
                        <w:top w:val="none" w:sz="0" w:space="0" w:color="auto"/>
                        <w:left w:val="none" w:sz="0" w:space="0" w:color="auto"/>
                        <w:bottom w:val="none" w:sz="0" w:space="0" w:color="auto"/>
                        <w:right w:val="none" w:sz="0" w:space="0" w:color="auto"/>
                      </w:divBdr>
                    </w:div>
                  </w:divsChild>
                </w:div>
                <w:div w:id="664548430">
                  <w:marLeft w:val="0"/>
                  <w:marRight w:val="0"/>
                  <w:marTop w:val="0"/>
                  <w:marBottom w:val="0"/>
                  <w:divBdr>
                    <w:top w:val="none" w:sz="0" w:space="0" w:color="auto"/>
                    <w:left w:val="none" w:sz="0" w:space="0" w:color="auto"/>
                    <w:bottom w:val="none" w:sz="0" w:space="0" w:color="auto"/>
                    <w:right w:val="none" w:sz="0" w:space="0" w:color="auto"/>
                  </w:divBdr>
                  <w:divsChild>
                    <w:div w:id="390422876">
                      <w:marLeft w:val="0"/>
                      <w:marRight w:val="0"/>
                      <w:marTop w:val="0"/>
                      <w:marBottom w:val="0"/>
                      <w:divBdr>
                        <w:top w:val="none" w:sz="0" w:space="0" w:color="auto"/>
                        <w:left w:val="none" w:sz="0" w:space="0" w:color="auto"/>
                        <w:bottom w:val="none" w:sz="0" w:space="0" w:color="auto"/>
                        <w:right w:val="none" w:sz="0" w:space="0" w:color="auto"/>
                      </w:divBdr>
                    </w:div>
                  </w:divsChild>
                </w:div>
                <w:div w:id="671688047">
                  <w:marLeft w:val="0"/>
                  <w:marRight w:val="0"/>
                  <w:marTop w:val="0"/>
                  <w:marBottom w:val="0"/>
                  <w:divBdr>
                    <w:top w:val="none" w:sz="0" w:space="0" w:color="auto"/>
                    <w:left w:val="none" w:sz="0" w:space="0" w:color="auto"/>
                    <w:bottom w:val="none" w:sz="0" w:space="0" w:color="auto"/>
                    <w:right w:val="none" w:sz="0" w:space="0" w:color="auto"/>
                  </w:divBdr>
                  <w:divsChild>
                    <w:div w:id="806705853">
                      <w:marLeft w:val="0"/>
                      <w:marRight w:val="0"/>
                      <w:marTop w:val="0"/>
                      <w:marBottom w:val="0"/>
                      <w:divBdr>
                        <w:top w:val="none" w:sz="0" w:space="0" w:color="auto"/>
                        <w:left w:val="none" w:sz="0" w:space="0" w:color="auto"/>
                        <w:bottom w:val="none" w:sz="0" w:space="0" w:color="auto"/>
                        <w:right w:val="none" w:sz="0" w:space="0" w:color="auto"/>
                      </w:divBdr>
                    </w:div>
                  </w:divsChild>
                </w:div>
                <w:div w:id="742991545">
                  <w:marLeft w:val="0"/>
                  <w:marRight w:val="0"/>
                  <w:marTop w:val="0"/>
                  <w:marBottom w:val="0"/>
                  <w:divBdr>
                    <w:top w:val="none" w:sz="0" w:space="0" w:color="auto"/>
                    <w:left w:val="none" w:sz="0" w:space="0" w:color="auto"/>
                    <w:bottom w:val="none" w:sz="0" w:space="0" w:color="auto"/>
                    <w:right w:val="none" w:sz="0" w:space="0" w:color="auto"/>
                  </w:divBdr>
                  <w:divsChild>
                    <w:div w:id="2076197136">
                      <w:marLeft w:val="0"/>
                      <w:marRight w:val="0"/>
                      <w:marTop w:val="0"/>
                      <w:marBottom w:val="0"/>
                      <w:divBdr>
                        <w:top w:val="none" w:sz="0" w:space="0" w:color="auto"/>
                        <w:left w:val="none" w:sz="0" w:space="0" w:color="auto"/>
                        <w:bottom w:val="none" w:sz="0" w:space="0" w:color="auto"/>
                        <w:right w:val="none" w:sz="0" w:space="0" w:color="auto"/>
                      </w:divBdr>
                    </w:div>
                  </w:divsChild>
                </w:div>
                <w:div w:id="865172680">
                  <w:marLeft w:val="0"/>
                  <w:marRight w:val="0"/>
                  <w:marTop w:val="0"/>
                  <w:marBottom w:val="0"/>
                  <w:divBdr>
                    <w:top w:val="none" w:sz="0" w:space="0" w:color="auto"/>
                    <w:left w:val="none" w:sz="0" w:space="0" w:color="auto"/>
                    <w:bottom w:val="none" w:sz="0" w:space="0" w:color="auto"/>
                    <w:right w:val="none" w:sz="0" w:space="0" w:color="auto"/>
                  </w:divBdr>
                  <w:divsChild>
                    <w:div w:id="1202667379">
                      <w:marLeft w:val="0"/>
                      <w:marRight w:val="0"/>
                      <w:marTop w:val="0"/>
                      <w:marBottom w:val="0"/>
                      <w:divBdr>
                        <w:top w:val="none" w:sz="0" w:space="0" w:color="auto"/>
                        <w:left w:val="none" w:sz="0" w:space="0" w:color="auto"/>
                        <w:bottom w:val="none" w:sz="0" w:space="0" w:color="auto"/>
                        <w:right w:val="none" w:sz="0" w:space="0" w:color="auto"/>
                      </w:divBdr>
                    </w:div>
                  </w:divsChild>
                </w:div>
                <w:div w:id="903375488">
                  <w:marLeft w:val="0"/>
                  <w:marRight w:val="0"/>
                  <w:marTop w:val="0"/>
                  <w:marBottom w:val="0"/>
                  <w:divBdr>
                    <w:top w:val="none" w:sz="0" w:space="0" w:color="auto"/>
                    <w:left w:val="none" w:sz="0" w:space="0" w:color="auto"/>
                    <w:bottom w:val="none" w:sz="0" w:space="0" w:color="auto"/>
                    <w:right w:val="none" w:sz="0" w:space="0" w:color="auto"/>
                  </w:divBdr>
                  <w:divsChild>
                    <w:div w:id="1971129970">
                      <w:marLeft w:val="0"/>
                      <w:marRight w:val="0"/>
                      <w:marTop w:val="0"/>
                      <w:marBottom w:val="0"/>
                      <w:divBdr>
                        <w:top w:val="none" w:sz="0" w:space="0" w:color="auto"/>
                        <w:left w:val="none" w:sz="0" w:space="0" w:color="auto"/>
                        <w:bottom w:val="none" w:sz="0" w:space="0" w:color="auto"/>
                        <w:right w:val="none" w:sz="0" w:space="0" w:color="auto"/>
                      </w:divBdr>
                    </w:div>
                  </w:divsChild>
                </w:div>
                <w:div w:id="923026695">
                  <w:marLeft w:val="0"/>
                  <w:marRight w:val="0"/>
                  <w:marTop w:val="0"/>
                  <w:marBottom w:val="0"/>
                  <w:divBdr>
                    <w:top w:val="none" w:sz="0" w:space="0" w:color="auto"/>
                    <w:left w:val="none" w:sz="0" w:space="0" w:color="auto"/>
                    <w:bottom w:val="none" w:sz="0" w:space="0" w:color="auto"/>
                    <w:right w:val="none" w:sz="0" w:space="0" w:color="auto"/>
                  </w:divBdr>
                  <w:divsChild>
                    <w:div w:id="601837148">
                      <w:marLeft w:val="0"/>
                      <w:marRight w:val="0"/>
                      <w:marTop w:val="0"/>
                      <w:marBottom w:val="0"/>
                      <w:divBdr>
                        <w:top w:val="none" w:sz="0" w:space="0" w:color="auto"/>
                        <w:left w:val="none" w:sz="0" w:space="0" w:color="auto"/>
                        <w:bottom w:val="none" w:sz="0" w:space="0" w:color="auto"/>
                        <w:right w:val="none" w:sz="0" w:space="0" w:color="auto"/>
                      </w:divBdr>
                    </w:div>
                  </w:divsChild>
                </w:div>
                <w:div w:id="933243589">
                  <w:marLeft w:val="0"/>
                  <w:marRight w:val="0"/>
                  <w:marTop w:val="0"/>
                  <w:marBottom w:val="0"/>
                  <w:divBdr>
                    <w:top w:val="none" w:sz="0" w:space="0" w:color="auto"/>
                    <w:left w:val="none" w:sz="0" w:space="0" w:color="auto"/>
                    <w:bottom w:val="none" w:sz="0" w:space="0" w:color="auto"/>
                    <w:right w:val="none" w:sz="0" w:space="0" w:color="auto"/>
                  </w:divBdr>
                  <w:divsChild>
                    <w:div w:id="209153260">
                      <w:marLeft w:val="0"/>
                      <w:marRight w:val="0"/>
                      <w:marTop w:val="0"/>
                      <w:marBottom w:val="0"/>
                      <w:divBdr>
                        <w:top w:val="none" w:sz="0" w:space="0" w:color="auto"/>
                        <w:left w:val="none" w:sz="0" w:space="0" w:color="auto"/>
                        <w:bottom w:val="none" w:sz="0" w:space="0" w:color="auto"/>
                        <w:right w:val="none" w:sz="0" w:space="0" w:color="auto"/>
                      </w:divBdr>
                    </w:div>
                  </w:divsChild>
                </w:div>
                <w:div w:id="950012113">
                  <w:marLeft w:val="0"/>
                  <w:marRight w:val="0"/>
                  <w:marTop w:val="0"/>
                  <w:marBottom w:val="0"/>
                  <w:divBdr>
                    <w:top w:val="none" w:sz="0" w:space="0" w:color="auto"/>
                    <w:left w:val="none" w:sz="0" w:space="0" w:color="auto"/>
                    <w:bottom w:val="none" w:sz="0" w:space="0" w:color="auto"/>
                    <w:right w:val="none" w:sz="0" w:space="0" w:color="auto"/>
                  </w:divBdr>
                  <w:divsChild>
                    <w:div w:id="1518541600">
                      <w:marLeft w:val="0"/>
                      <w:marRight w:val="0"/>
                      <w:marTop w:val="0"/>
                      <w:marBottom w:val="0"/>
                      <w:divBdr>
                        <w:top w:val="none" w:sz="0" w:space="0" w:color="auto"/>
                        <w:left w:val="none" w:sz="0" w:space="0" w:color="auto"/>
                        <w:bottom w:val="none" w:sz="0" w:space="0" w:color="auto"/>
                        <w:right w:val="none" w:sz="0" w:space="0" w:color="auto"/>
                      </w:divBdr>
                    </w:div>
                  </w:divsChild>
                </w:div>
                <w:div w:id="994722284">
                  <w:marLeft w:val="0"/>
                  <w:marRight w:val="0"/>
                  <w:marTop w:val="0"/>
                  <w:marBottom w:val="0"/>
                  <w:divBdr>
                    <w:top w:val="none" w:sz="0" w:space="0" w:color="auto"/>
                    <w:left w:val="none" w:sz="0" w:space="0" w:color="auto"/>
                    <w:bottom w:val="none" w:sz="0" w:space="0" w:color="auto"/>
                    <w:right w:val="none" w:sz="0" w:space="0" w:color="auto"/>
                  </w:divBdr>
                  <w:divsChild>
                    <w:div w:id="2068261732">
                      <w:marLeft w:val="0"/>
                      <w:marRight w:val="0"/>
                      <w:marTop w:val="0"/>
                      <w:marBottom w:val="0"/>
                      <w:divBdr>
                        <w:top w:val="none" w:sz="0" w:space="0" w:color="auto"/>
                        <w:left w:val="none" w:sz="0" w:space="0" w:color="auto"/>
                        <w:bottom w:val="none" w:sz="0" w:space="0" w:color="auto"/>
                        <w:right w:val="none" w:sz="0" w:space="0" w:color="auto"/>
                      </w:divBdr>
                    </w:div>
                  </w:divsChild>
                </w:div>
                <w:div w:id="1006439892">
                  <w:marLeft w:val="0"/>
                  <w:marRight w:val="0"/>
                  <w:marTop w:val="0"/>
                  <w:marBottom w:val="0"/>
                  <w:divBdr>
                    <w:top w:val="none" w:sz="0" w:space="0" w:color="auto"/>
                    <w:left w:val="none" w:sz="0" w:space="0" w:color="auto"/>
                    <w:bottom w:val="none" w:sz="0" w:space="0" w:color="auto"/>
                    <w:right w:val="none" w:sz="0" w:space="0" w:color="auto"/>
                  </w:divBdr>
                  <w:divsChild>
                    <w:div w:id="696006491">
                      <w:marLeft w:val="0"/>
                      <w:marRight w:val="0"/>
                      <w:marTop w:val="0"/>
                      <w:marBottom w:val="0"/>
                      <w:divBdr>
                        <w:top w:val="none" w:sz="0" w:space="0" w:color="auto"/>
                        <w:left w:val="none" w:sz="0" w:space="0" w:color="auto"/>
                        <w:bottom w:val="none" w:sz="0" w:space="0" w:color="auto"/>
                        <w:right w:val="none" w:sz="0" w:space="0" w:color="auto"/>
                      </w:divBdr>
                    </w:div>
                  </w:divsChild>
                </w:div>
                <w:div w:id="1047023443">
                  <w:marLeft w:val="0"/>
                  <w:marRight w:val="0"/>
                  <w:marTop w:val="0"/>
                  <w:marBottom w:val="0"/>
                  <w:divBdr>
                    <w:top w:val="none" w:sz="0" w:space="0" w:color="auto"/>
                    <w:left w:val="none" w:sz="0" w:space="0" w:color="auto"/>
                    <w:bottom w:val="none" w:sz="0" w:space="0" w:color="auto"/>
                    <w:right w:val="none" w:sz="0" w:space="0" w:color="auto"/>
                  </w:divBdr>
                  <w:divsChild>
                    <w:div w:id="1600945292">
                      <w:marLeft w:val="0"/>
                      <w:marRight w:val="0"/>
                      <w:marTop w:val="0"/>
                      <w:marBottom w:val="0"/>
                      <w:divBdr>
                        <w:top w:val="none" w:sz="0" w:space="0" w:color="auto"/>
                        <w:left w:val="none" w:sz="0" w:space="0" w:color="auto"/>
                        <w:bottom w:val="none" w:sz="0" w:space="0" w:color="auto"/>
                        <w:right w:val="none" w:sz="0" w:space="0" w:color="auto"/>
                      </w:divBdr>
                    </w:div>
                  </w:divsChild>
                </w:div>
                <w:div w:id="1069770451">
                  <w:marLeft w:val="0"/>
                  <w:marRight w:val="0"/>
                  <w:marTop w:val="0"/>
                  <w:marBottom w:val="0"/>
                  <w:divBdr>
                    <w:top w:val="none" w:sz="0" w:space="0" w:color="auto"/>
                    <w:left w:val="none" w:sz="0" w:space="0" w:color="auto"/>
                    <w:bottom w:val="none" w:sz="0" w:space="0" w:color="auto"/>
                    <w:right w:val="none" w:sz="0" w:space="0" w:color="auto"/>
                  </w:divBdr>
                  <w:divsChild>
                    <w:div w:id="704601730">
                      <w:marLeft w:val="0"/>
                      <w:marRight w:val="0"/>
                      <w:marTop w:val="0"/>
                      <w:marBottom w:val="0"/>
                      <w:divBdr>
                        <w:top w:val="none" w:sz="0" w:space="0" w:color="auto"/>
                        <w:left w:val="none" w:sz="0" w:space="0" w:color="auto"/>
                        <w:bottom w:val="none" w:sz="0" w:space="0" w:color="auto"/>
                        <w:right w:val="none" w:sz="0" w:space="0" w:color="auto"/>
                      </w:divBdr>
                    </w:div>
                  </w:divsChild>
                </w:div>
                <w:div w:id="1121608741">
                  <w:marLeft w:val="0"/>
                  <w:marRight w:val="0"/>
                  <w:marTop w:val="0"/>
                  <w:marBottom w:val="0"/>
                  <w:divBdr>
                    <w:top w:val="none" w:sz="0" w:space="0" w:color="auto"/>
                    <w:left w:val="none" w:sz="0" w:space="0" w:color="auto"/>
                    <w:bottom w:val="none" w:sz="0" w:space="0" w:color="auto"/>
                    <w:right w:val="none" w:sz="0" w:space="0" w:color="auto"/>
                  </w:divBdr>
                  <w:divsChild>
                    <w:div w:id="1724060011">
                      <w:marLeft w:val="0"/>
                      <w:marRight w:val="0"/>
                      <w:marTop w:val="0"/>
                      <w:marBottom w:val="0"/>
                      <w:divBdr>
                        <w:top w:val="none" w:sz="0" w:space="0" w:color="auto"/>
                        <w:left w:val="none" w:sz="0" w:space="0" w:color="auto"/>
                        <w:bottom w:val="none" w:sz="0" w:space="0" w:color="auto"/>
                        <w:right w:val="none" w:sz="0" w:space="0" w:color="auto"/>
                      </w:divBdr>
                    </w:div>
                  </w:divsChild>
                </w:div>
                <w:div w:id="1180318971">
                  <w:marLeft w:val="0"/>
                  <w:marRight w:val="0"/>
                  <w:marTop w:val="0"/>
                  <w:marBottom w:val="0"/>
                  <w:divBdr>
                    <w:top w:val="none" w:sz="0" w:space="0" w:color="auto"/>
                    <w:left w:val="none" w:sz="0" w:space="0" w:color="auto"/>
                    <w:bottom w:val="none" w:sz="0" w:space="0" w:color="auto"/>
                    <w:right w:val="none" w:sz="0" w:space="0" w:color="auto"/>
                  </w:divBdr>
                  <w:divsChild>
                    <w:div w:id="93064678">
                      <w:marLeft w:val="0"/>
                      <w:marRight w:val="0"/>
                      <w:marTop w:val="0"/>
                      <w:marBottom w:val="0"/>
                      <w:divBdr>
                        <w:top w:val="none" w:sz="0" w:space="0" w:color="auto"/>
                        <w:left w:val="none" w:sz="0" w:space="0" w:color="auto"/>
                        <w:bottom w:val="none" w:sz="0" w:space="0" w:color="auto"/>
                        <w:right w:val="none" w:sz="0" w:space="0" w:color="auto"/>
                      </w:divBdr>
                    </w:div>
                  </w:divsChild>
                </w:div>
                <w:div w:id="1197814951">
                  <w:marLeft w:val="0"/>
                  <w:marRight w:val="0"/>
                  <w:marTop w:val="0"/>
                  <w:marBottom w:val="0"/>
                  <w:divBdr>
                    <w:top w:val="none" w:sz="0" w:space="0" w:color="auto"/>
                    <w:left w:val="none" w:sz="0" w:space="0" w:color="auto"/>
                    <w:bottom w:val="none" w:sz="0" w:space="0" w:color="auto"/>
                    <w:right w:val="none" w:sz="0" w:space="0" w:color="auto"/>
                  </w:divBdr>
                  <w:divsChild>
                    <w:div w:id="610433381">
                      <w:marLeft w:val="0"/>
                      <w:marRight w:val="0"/>
                      <w:marTop w:val="0"/>
                      <w:marBottom w:val="0"/>
                      <w:divBdr>
                        <w:top w:val="none" w:sz="0" w:space="0" w:color="auto"/>
                        <w:left w:val="none" w:sz="0" w:space="0" w:color="auto"/>
                        <w:bottom w:val="none" w:sz="0" w:space="0" w:color="auto"/>
                        <w:right w:val="none" w:sz="0" w:space="0" w:color="auto"/>
                      </w:divBdr>
                    </w:div>
                  </w:divsChild>
                </w:div>
                <w:div w:id="1218391372">
                  <w:marLeft w:val="0"/>
                  <w:marRight w:val="0"/>
                  <w:marTop w:val="0"/>
                  <w:marBottom w:val="0"/>
                  <w:divBdr>
                    <w:top w:val="none" w:sz="0" w:space="0" w:color="auto"/>
                    <w:left w:val="none" w:sz="0" w:space="0" w:color="auto"/>
                    <w:bottom w:val="none" w:sz="0" w:space="0" w:color="auto"/>
                    <w:right w:val="none" w:sz="0" w:space="0" w:color="auto"/>
                  </w:divBdr>
                  <w:divsChild>
                    <w:div w:id="1618022530">
                      <w:marLeft w:val="0"/>
                      <w:marRight w:val="0"/>
                      <w:marTop w:val="0"/>
                      <w:marBottom w:val="0"/>
                      <w:divBdr>
                        <w:top w:val="none" w:sz="0" w:space="0" w:color="auto"/>
                        <w:left w:val="none" w:sz="0" w:space="0" w:color="auto"/>
                        <w:bottom w:val="none" w:sz="0" w:space="0" w:color="auto"/>
                        <w:right w:val="none" w:sz="0" w:space="0" w:color="auto"/>
                      </w:divBdr>
                    </w:div>
                  </w:divsChild>
                </w:div>
                <w:div w:id="1238394596">
                  <w:marLeft w:val="0"/>
                  <w:marRight w:val="0"/>
                  <w:marTop w:val="0"/>
                  <w:marBottom w:val="0"/>
                  <w:divBdr>
                    <w:top w:val="none" w:sz="0" w:space="0" w:color="auto"/>
                    <w:left w:val="none" w:sz="0" w:space="0" w:color="auto"/>
                    <w:bottom w:val="none" w:sz="0" w:space="0" w:color="auto"/>
                    <w:right w:val="none" w:sz="0" w:space="0" w:color="auto"/>
                  </w:divBdr>
                  <w:divsChild>
                    <w:div w:id="741027041">
                      <w:marLeft w:val="0"/>
                      <w:marRight w:val="0"/>
                      <w:marTop w:val="0"/>
                      <w:marBottom w:val="0"/>
                      <w:divBdr>
                        <w:top w:val="none" w:sz="0" w:space="0" w:color="auto"/>
                        <w:left w:val="none" w:sz="0" w:space="0" w:color="auto"/>
                        <w:bottom w:val="none" w:sz="0" w:space="0" w:color="auto"/>
                        <w:right w:val="none" w:sz="0" w:space="0" w:color="auto"/>
                      </w:divBdr>
                    </w:div>
                  </w:divsChild>
                </w:div>
                <w:div w:id="1312637221">
                  <w:marLeft w:val="0"/>
                  <w:marRight w:val="0"/>
                  <w:marTop w:val="0"/>
                  <w:marBottom w:val="0"/>
                  <w:divBdr>
                    <w:top w:val="none" w:sz="0" w:space="0" w:color="auto"/>
                    <w:left w:val="none" w:sz="0" w:space="0" w:color="auto"/>
                    <w:bottom w:val="none" w:sz="0" w:space="0" w:color="auto"/>
                    <w:right w:val="none" w:sz="0" w:space="0" w:color="auto"/>
                  </w:divBdr>
                  <w:divsChild>
                    <w:div w:id="1763523427">
                      <w:marLeft w:val="0"/>
                      <w:marRight w:val="0"/>
                      <w:marTop w:val="0"/>
                      <w:marBottom w:val="0"/>
                      <w:divBdr>
                        <w:top w:val="none" w:sz="0" w:space="0" w:color="auto"/>
                        <w:left w:val="none" w:sz="0" w:space="0" w:color="auto"/>
                        <w:bottom w:val="none" w:sz="0" w:space="0" w:color="auto"/>
                        <w:right w:val="none" w:sz="0" w:space="0" w:color="auto"/>
                      </w:divBdr>
                    </w:div>
                  </w:divsChild>
                </w:div>
                <w:div w:id="1369378029">
                  <w:marLeft w:val="0"/>
                  <w:marRight w:val="0"/>
                  <w:marTop w:val="0"/>
                  <w:marBottom w:val="0"/>
                  <w:divBdr>
                    <w:top w:val="none" w:sz="0" w:space="0" w:color="auto"/>
                    <w:left w:val="none" w:sz="0" w:space="0" w:color="auto"/>
                    <w:bottom w:val="none" w:sz="0" w:space="0" w:color="auto"/>
                    <w:right w:val="none" w:sz="0" w:space="0" w:color="auto"/>
                  </w:divBdr>
                  <w:divsChild>
                    <w:div w:id="351348144">
                      <w:marLeft w:val="0"/>
                      <w:marRight w:val="0"/>
                      <w:marTop w:val="0"/>
                      <w:marBottom w:val="0"/>
                      <w:divBdr>
                        <w:top w:val="none" w:sz="0" w:space="0" w:color="auto"/>
                        <w:left w:val="none" w:sz="0" w:space="0" w:color="auto"/>
                        <w:bottom w:val="none" w:sz="0" w:space="0" w:color="auto"/>
                        <w:right w:val="none" w:sz="0" w:space="0" w:color="auto"/>
                      </w:divBdr>
                    </w:div>
                  </w:divsChild>
                </w:div>
                <w:div w:id="1381511636">
                  <w:marLeft w:val="0"/>
                  <w:marRight w:val="0"/>
                  <w:marTop w:val="0"/>
                  <w:marBottom w:val="0"/>
                  <w:divBdr>
                    <w:top w:val="none" w:sz="0" w:space="0" w:color="auto"/>
                    <w:left w:val="none" w:sz="0" w:space="0" w:color="auto"/>
                    <w:bottom w:val="none" w:sz="0" w:space="0" w:color="auto"/>
                    <w:right w:val="none" w:sz="0" w:space="0" w:color="auto"/>
                  </w:divBdr>
                  <w:divsChild>
                    <w:div w:id="976690187">
                      <w:marLeft w:val="0"/>
                      <w:marRight w:val="0"/>
                      <w:marTop w:val="0"/>
                      <w:marBottom w:val="0"/>
                      <w:divBdr>
                        <w:top w:val="none" w:sz="0" w:space="0" w:color="auto"/>
                        <w:left w:val="none" w:sz="0" w:space="0" w:color="auto"/>
                        <w:bottom w:val="none" w:sz="0" w:space="0" w:color="auto"/>
                        <w:right w:val="none" w:sz="0" w:space="0" w:color="auto"/>
                      </w:divBdr>
                    </w:div>
                  </w:divsChild>
                </w:div>
                <w:div w:id="1413814384">
                  <w:marLeft w:val="0"/>
                  <w:marRight w:val="0"/>
                  <w:marTop w:val="0"/>
                  <w:marBottom w:val="0"/>
                  <w:divBdr>
                    <w:top w:val="none" w:sz="0" w:space="0" w:color="auto"/>
                    <w:left w:val="none" w:sz="0" w:space="0" w:color="auto"/>
                    <w:bottom w:val="none" w:sz="0" w:space="0" w:color="auto"/>
                    <w:right w:val="none" w:sz="0" w:space="0" w:color="auto"/>
                  </w:divBdr>
                  <w:divsChild>
                    <w:div w:id="938374728">
                      <w:marLeft w:val="0"/>
                      <w:marRight w:val="0"/>
                      <w:marTop w:val="0"/>
                      <w:marBottom w:val="0"/>
                      <w:divBdr>
                        <w:top w:val="none" w:sz="0" w:space="0" w:color="auto"/>
                        <w:left w:val="none" w:sz="0" w:space="0" w:color="auto"/>
                        <w:bottom w:val="none" w:sz="0" w:space="0" w:color="auto"/>
                        <w:right w:val="none" w:sz="0" w:space="0" w:color="auto"/>
                      </w:divBdr>
                    </w:div>
                  </w:divsChild>
                </w:div>
                <w:div w:id="1639873211">
                  <w:marLeft w:val="0"/>
                  <w:marRight w:val="0"/>
                  <w:marTop w:val="0"/>
                  <w:marBottom w:val="0"/>
                  <w:divBdr>
                    <w:top w:val="none" w:sz="0" w:space="0" w:color="auto"/>
                    <w:left w:val="none" w:sz="0" w:space="0" w:color="auto"/>
                    <w:bottom w:val="none" w:sz="0" w:space="0" w:color="auto"/>
                    <w:right w:val="none" w:sz="0" w:space="0" w:color="auto"/>
                  </w:divBdr>
                  <w:divsChild>
                    <w:div w:id="566915583">
                      <w:marLeft w:val="0"/>
                      <w:marRight w:val="0"/>
                      <w:marTop w:val="0"/>
                      <w:marBottom w:val="0"/>
                      <w:divBdr>
                        <w:top w:val="none" w:sz="0" w:space="0" w:color="auto"/>
                        <w:left w:val="none" w:sz="0" w:space="0" w:color="auto"/>
                        <w:bottom w:val="none" w:sz="0" w:space="0" w:color="auto"/>
                        <w:right w:val="none" w:sz="0" w:space="0" w:color="auto"/>
                      </w:divBdr>
                    </w:div>
                  </w:divsChild>
                </w:div>
                <w:div w:id="1646856876">
                  <w:marLeft w:val="0"/>
                  <w:marRight w:val="0"/>
                  <w:marTop w:val="0"/>
                  <w:marBottom w:val="0"/>
                  <w:divBdr>
                    <w:top w:val="none" w:sz="0" w:space="0" w:color="auto"/>
                    <w:left w:val="none" w:sz="0" w:space="0" w:color="auto"/>
                    <w:bottom w:val="none" w:sz="0" w:space="0" w:color="auto"/>
                    <w:right w:val="none" w:sz="0" w:space="0" w:color="auto"/>
                  </w:divBdr>
                  <w:divsChild>
                    <w:div w:id="1546600281">
                      <w:marLeft w:val="0"/>
                      <w:marRight w:val="0"/>
                      <w:marTop w:val="0"/>
                      <w:marBottom w:val="0"/>
                      <w:divBdr>
                        <w:top w:val="none" w:sz="0" w:space="0" w:color="auto"/>
                        <w:left w:val="none" w:sz="0" w:space="0" w:color="auto"/>
                        <w:bottom w:val="none" w:sz="0" w:space="0" w:color="auto"/>
                        <w:right w:val="none" w:sz="0" w:space="0" w:color="auto"/>
                      </w:divBdr>
                    </w:div>
                  </w:divsChild>
                </w:div>
                <w:div w:id="1653365690">
                  <w:marLeft w:val="0"/>
                  <w:marRight w:val="0"/>
                  <w:marTop w:val="0"/>
                  <w:marBottom w:val="0"/>
                  <w:divBdr>
                    <w:top w:val="none" w:sz="0" w:space="0" w:color="auto"/>
                    <w:left w:val="none" w:sz="0" w:space="0" w:color="auto"/>
                    <w:bottom w:val="none" w:sz="0" w:space="0" w:color="auto"/>
                    <w:right w:val="none" w:sz="0" w:space="0" w:color="auto"/>
                  </w:divBdr>
                  <w:divsChild>
                    <w:div w:id="498735188">
                      <w:marLeft w:val="0"/>
                      <w:marRight w:val="0"/>
                      <w:marTop w:val="0"/>
                      <w:marBottom w:val="0"/>
                      <w:divBdr>
                        <w:top w:val="none" w:sz="0" w:space="0" w:color="auto"/>
                        <w:left w:val="none" w:sz="0" w:space="0" w:color="auto"/>
                        <w:bottom w:val="none" w:sz="0" w:space="0" w:color="auto"/>
                        <w:right w:val="none" w:sz="0" w:space="0" w:color="auto"/>
                      </w:divBdr>
                    </w:div>
                  </w:divsChild>
                </w:div>
                <w:div w:id="1699113486">
                  <w:marLeft w:val="0"/>
                  <w:marRight w:val="0"/>
                  <w:marTop w:val="0"/>
                  <w:marBottom w:val="0"/>
                  <w:divBdr>
                    <w:top w:val="none" w:sz="0" w:space="0" w:color="auto"/>
                    <w:left w:val="none" w:sz="0" w:space="0" w:color="auto"/>
                    <w:bottom w:val="none" w:sz="0" w:space="0" w:color="auto"/>
                    <w:right w:val="none" w:sz="0" w:space="0" w:color="auto"/>
                  </w:divBdr>
                  <w:divsChild>
                    <w:div w:id="656803770">
                      <w:marLeft w:val="0"/>
                      <w:marRight w:val="0"/>
                      <w:marTop w:val="0"/>
                      <w:marBottom w:val="0"/>
                      <w:divBdr>
                        <w:top w:val="none" w:sz="0" w:space="0" w:color="auto"/>
                        <w:left w:val="none" w:sz="0" w:space="0" w:color="auto"/>
                        <w:bottom w:val="none" w:sz="0" w:space="0" w:color="auto"/>
                        <w:right w:val="none" w:sz="0" w:space="0" w:color="auto"/>
                      </w:divBdr>
                    </w:div>
                  </w:divsChild>
                </w:div>
                <w:div w:id="1732732869">
                  <w:marLeft w:val="0"/>
                  <w:marRight w:val="0"/>
                  <w:marTop w:val="0"/>
                  <w:marBottom w:val="0"/>
                  <w:divBdr>
                    <w:top w:val="none" w:sz="0" w:space="0" w:color="auto"/>
                    <w:left w:val="none" w:sz="0" w:space="0" w:color="auto"/>
                    <w:bottom w:val="none" w:sz="0" w:space="0" w:color="auto"/>
                    <w:right w:val="none" w:sz="0" w:space="0" w:color="auto"/>
                  </w:divBdr>
                  <w:divsChild>
                    <w:div w:id="191116087">
                      <w:marLeft w:val="0"/>
                      <w:marRight w:val="0"/>
                      <w:marTop w:val="0"/>
                      <w:marBottom w:val="0"/>
                      <w:divBdr>
                        <w:top w:val="none" w:sz="0" w:space="0" w:color="auto"/>
                        <w:left w:val="none" w:sz="0" w:space="0" w:color="auto"/>
                        <w:bottom w:val="none" w:sz="0" w:space="0" w:color="auto"/>
                        <w:right w:val="none" w:sz="0" w:space="0" w:color="auto"/>
                      </w:divBdr>
                    </w:div>
                  </w:divsChild>
                </w:div>
                <w:div w:id="1744835207">
                  <w:marLeft w:val="0"/>
                  <w:marRight w:val="0"/>
                  <w:marTop w:val="0"/>
                  <w:marBottom w:val="0"/>
                  <w:divBdr>
                    <w:top w:val="none" w:sz="0" w:space="0" w:color="auto"/>
                    <w:left w:val="none" w:sz="0" w:space="0" w:color="auto"/>
                    <w:bottom w:val="none" w:sz="0" w:space="0" w:color="auto"/>
                    <w:right w:val="none" w:sz="0" w:space="0" w:color="auto"/>
                  </w:divBdr>
                  <w:divsChild>
                    <w:div w:id="1308824370">
                      <w:marLeft w:val="0"/>
                      <w:marRight w:val="0"/>
                      <w:marTop w:val="0"/>
                      <w:marBottom w:val="0"/>
                      <w:divBdr>
                        <w:top w:val="none" w:sz="0" w:space="0" w:color="auto"/>
                        <w:left w:val="none" w:sz="0" w:space="0" w:color="auto"/>
                        <w:bottom w:val="none" w:sz="0" w:space="0" w:color="auto"/>
                        <w:right w:val="none" w:sz="0" w:space="0" w:color="auto"/>
                      </w:divBdr>
                    </w:div>
                  </w:divsChild>
                </w:div>
                <w:div w:id="1764491735">
                  <w:marLeft w:val="0"/>
                  <w:marRight w:val="0"/>
                  <w:marTop w:val="0"/>
                  <w:marBottom w:val="0"/>
                  <w:divBdr>
                    <w:top w:val="none" w:sz="0" w:space="0" w:color="auto"/>
                    <w:left w:val="none" w:sz="0" w:space="0" w:color="auto"/>
                    <w:bottom w:val="none" w:sz="0" w:space="0" w:color="auto"/>
                    <w:right w:val="none" w:sz="0" w:space="0" w:color="auto"/>
                  </w:divBdr>
                  <w:divsChild>
                    <w:div w:id="128329587">
                      <w:marLeft w:val="0"/>
                      <w:marRight w:val="0"/>
                      <w:marTop w:val="0"/>
                      <w:marBottom w:val="0"/>
                      <w:divBdr>
                        <w:top w:val="none" w:sz="0" w:space="0" w:color="auto"/>
                        <w:left w:val="none" w:sz="0" w:space="0" w:color="auto"/>
                        <w:bottom w:val="none" w:sz="0" w:space="0" w:color="auto"/>
                        <w:right w:val="none" w:sz="0" w:space="0" w:color="auto"/>
                      </w:divBdr>
                    </w:div>
                  </w:divsChild>
                </w:div>
                <w:div w:id="1832791373">
                  <w:marLeft w:val="0"/>
                  <w:marRight w:val="0"/>
                  <w:marTop w:val="0"/>
                  <w:marBottom w:val="0"/>
                  <w:divBdr>
                    <w:top w:val="none" w:sz="0" w:space="0" w:color="auto"/>
                    <w:left w:val="none" w:sz="0" w:space="0" w:color="auto"/>
                    <w:bottom w:val="none" w:sz="0" w:space="0" w:color="auto"/>
                    <w:right w:val="none" w:sz="0" w:space="0" w:color="auto"/>
                  </w:divBdr>
                  <w:divsChild>
                    <w:div w:id="147861837">
                      <w:marLeft w:val="0"/>
                      <w:marRight w:val="0"/>
                      <w:marTop w:val="0"/>
                      <w:marBottom w:val="0"/>
                      <w:divBdr>
                        <w:top w:val="none" w:sz="0" w:space="0" w:color="auto"/>
                        <w:left w:val="none" w:sz="0" w:space="0" w:color="auto"/>
                        <w:bottom w:val="none" w:sz="0" w:space="0" w:color="auto"/>
                        <w:right w:val="none" w:sz="0" w:space="0" w:color="auto"/>
                      </w:divBdr>
                    </w:div>
                  </w:divsChild>
                </w:div>
                <w:div w:id="1885097159">
                  <w:marLeft w:val="0"/>
                  <w:marRight w:val="0"/>
                  <w:marTop w:val="0"/>
                  <w:marBottom w:val="0"/>
                  <w:divBdr>
                    <w:top w:val="none" w:sz="0" w:space="0" w:color="auto"/>
                    <w:left w:val="none" w:sz="0" w:space="0" w:color="auto"/>
                    <w:bottom w:val="none" w:sz="0" w:space="0" w:color="auto"/>
                    <w:right w:val="none" w:sz="0" w:space="0" w:color="auto"/>
                  </w:divBdr>
                  <w:divsChild>
                    <w:div w:id="402919108">
                      <w:marLeft w:val="0"/>
                      <w:marRight w:val="0"/>
                      <w:marTop w:val="0"/>
                      <w:marBottom w:val="0"/>
                      <w:divBdr>
                        <w:top w:val="none" w:sz="0" w:space="0" w:color="auto"/>
                        <w:left w:val="none" w:sz="0" w:space="0" w:color="auto"/>
                        <w:bottom w:val="none" w:sz="0" w:space="0" w:color="auto"/>
                        <w:right w:val="none" w:sz="0" w:space="0" w:color="auto"/>
                      </w:divBdr>
                    </w:div>
                  </w:divsChild>
                </w:div>
                <w:div w:id="1940990894">
                  <w:marLeft w:val="0"/>
                  <w:marRight w:val="0"/>
                  <w:marTop w:val="0"/>
                  <w:marBottom w:val="0"/>
                  <w:divBdr>
                    <w:top w:val="none" w:sz="0" w:space="0" w:color="auto"/>
                    <w:left w:val="none" w:sz="0" w:space="0" w:color="auto"/>
                    <w:bottom w:val="none" w:sz="0" w:space="0" w:color="auto"/>
                    <w:right w:val="none" w:sz="0" w:space="0" w:color="auto"/>
                  </w:divBdr>
                  <w:divsChild>
                    <w:div w:id="1539970242">
                      <w:marLeft w:val="0"/>
                      <w:marRight w:val="0"/>
                      <w:marTop w:val="0"/>
                      <w:marBottom w:val="0"/>
                      <w:divBdr>
                        <w:top w:val="none" w:sz="0" w:space="0" w:color="auto"/>
                        <w:left w:val="none" w:sz="0" w:space="0" w:color="auto"/>
                        <w:bottom w:val="none" w:sz="0" w:space="0" w:color="auto"/>
                        <w:right w:val="none" w:sz="0" w:space="0" w:color="auto"/>
                      </w:divBdr>
                    </w:div>
                  </w:divsChild>
                </w:div>
                <w:div w:id="1970160108">
                  <w:marLeft w:val="0"/>
                  <w:marRight w:val="0"/>
                  <w:marTop w:val="0"/>
                  <w:marBottom w:val="0"/>
                  <w:divBdr>
                    <w:top w:val="none" w:sz="0" w:space="0" w:color="auto"/>
                    <w:left w:val="none" w:sz="0" w:space="0" w:color="auto"/>
                    <w:bottom w:val="none" w:sz="0" w:space="0" w:color="auto"/>
                    <w:right w:val="none" w:sz="0" w:space="0" w:color="auto"/>
                  </w:divBdr>
                  <w:divsChild>
                    <w:div w:id="560211220">
                      <w:marLeft w:val="0"/>
                      <w:marRight w:val="0"/>
                      <w:marTop w:val="0"/>
                      <w:marBottom w:val="0"/>
                      <w:divBdr>
                        <w:top w:val="none" w:sz="0" w:space="0" w:color="auto"/>
                        <w:left w:val="none" w:sz="0" w:space="0" w:color="auto"/>
                        <w:bottom w:val="none" w:sz="0" w:space="0" w:color="auto"/>
                        <w:right w:val="none" w:sz="0" w:space="0" w:color="auto"/>
                      </w:divBdr>
                    </w:div>
                  </w:divsChild>
                </w:div>
                <w:div w:id="2034114833">
                  <w:marLeft w:val="0"/>
                  <w:marRight w:val="0"/>
                  <w:marTop w:val="0"/>
                  <w:marBottom w:val="0"/>
                  <w:divBdr>
                    <w:top w:val="none" w:sz="0" w:space="0" w:color="auto"/>
                    <w:left w:val="none" w:sz="0" w:space="0" w:color="auto"/>
                    <w:bottom w:val="none" w:sz="0" w:space="0" w:color="auto"/>
                    <w:right w:val="none" w:sz="0" w:space="0" w:color="auto"/>
                  </w:divBdr>
                  <w:divsChild>
                    <w:div w:id="49501753">
                      <w:marLeft w:val="0"/>
                      <w:marRight w:val="0"/>
                      <w:marTop w:val="0"/>
                      <w:marBottom w:val="0"/>
                      <w:divBdr>
                        <w:top w:val="none" w:sz="0" w:space="0" w:color="auto"/>
                        <w:left w:val="none" w:sz="0" w:space="0" w:color="auto"/>
                        <w:bottom w:val="none" w:sz="0" w:space="0" w:color="auto"/>
                        <w:right w:val="none" w:sz="0" w:space="0" w:color="auto"/>
                      </w:divBdr>
                    </w:div>
                  </w:divsChild>
                </w:div>
                <w:div w:id="2041661602">
                  <w:marLeft w:val="0"/>
                  <w:marRight w:val="0"/>
                  <w:marTop w:val="0"/>
                  <w:marBottom w:val="0"/>
                  <w:divBdr>
                    <w:top w:val="none" w:sz="0" w:space="0" w:color="auto"/>
                    <w:left w:val="none" w:sz="0" w:space="0" w:color="auto"/>
                    <w:bottom w:val="none" w:sz="0" w:space="0" w:color="auto"/>
                    <w:right w:val="none" w:sz="0" w:space="0" w:color="auto"/>
                  </w:divBdr>
                  <w:divsChild>
                    <w:div w:id="1126659704">
                      <w:marLeft w:val="0"/>
                      <w:marRight w:val="0"/>
                      <w:marTop w:val="0"/>
                      <w:marBottom w:val="0"/>
                      <w:divBdr>
                        <w:top w:val="none" w:sz="0" w:space="0" w:color="auto"/>
                        <w:left w:val="none" w:sz="0" w:space="0" w:color="auto"/>
                        <w:bottom w:val="none" w:sz="0" w:space="0" w:color="auto"/>
                        <w:right w:val="none" w:sz="0" w:space="0" w:color="auto"/>
                      </w:divBdr>
                    </w:div>
                  </w:divsChild>
                </w:div>
                <w:div w:id="2048020664">
                  <w:marLeft w:val="0"/>
                  <w:marRight w:val="0"/>
                  <w:marTop w:val="0"/>
                  <w:marBottom w:val="0"/>
                  <w:divBdr>
                    <w:top w:val="none" w:sz="0" w:space="0" w:color="auto"/>
                    <w:left w:val="none" w:sz="0" w:space="0" w:color="auto"/>
                    <w:bottom w:val="none" w:sz="0" w:space="0" w:color="auto"/>
                    <w:right w:val="none" w:sz="0" w:space="0" w:color="auto"/>
                  </w:divBdr>
                  <w:divsChild>
                    <w:div w:id="816803374">
                      <w:marLeft w:val="0"/>
                      <w:marRight w:val="0"/>
                      <w:marTop w:val="0"/>
                      <w:marBottom w:val="0"/>
                      <w:divBdr>
                        <w:top w:val="none" w:sz="0" w:space="0" w:color="auto"/>
                        <w:left w:val="none" w:sz="0" w:space="0" w:color="auto"/>
                        <w:bottom w:val="none" w:sz="0" w:space="0" w:color="auto"/>
                        <w:right w:val="none" w:sz="0" w:space="0" w:color="auto"/>
                      </w:divBdr>
                    </w:div>
                  </w:divsChild>
                </w:div>
                <w:div w:id="2061859629">
                  <w:marLeft w:val="0"/>
                  <w:marRight w:val="0"/>
                  <w:marTop w:val="0"/>
                  <w:marBottom w:val="0"/>
                  <w:divBdr>
                    <w:top w:val="none" w:sz="0" w:space="0" w:color="auto"/>
                    <w:left w:val="none" w:sz="0" w:space="0" w:color="auto"/>
                    <w:bottom w:val="none" w:sz="0" w:space="0" w:color="auto"/>
                    <w:right w:val="none" w:sz="0" w:space="0" w:color="auto"/>
                  </w:divBdr>
                  <w:divsChild>
                    <w:div w:id="242228362">
                      <w:marLeft w:val="0"/>
                      <w:marRight w:val="0"/>
                      <w:marTop w:val="0"/>
                      <w:marBottom w:val="0"/>
                      <w:divBdr>
                        <w:top w:val="none" w:sz="0" w:space="0" w:color="auto"/>
                        <w:left w:val="none" w:sz="0" w:space="0" w:color="auto"/>
                        <w:bottom w:val="none" w:sz="0" w:space="0" w:color="auto"/>
                        <w:right w:val="none" w:sz="0" w:space="0" w:color="auto"/>
                      </w:divBdr>
                    </w:div>
                  </w:divsChild>
                </w:div>
                <w:div w:id="2117753951">
                  <w:marLeft w:val="0"/>
                  <w:marRight w:val="0"/>
                  <w:marTop w:val="0"/>
                  <w:marBottom w:val="0"/>
                  <w:divBdr>
                    <w:top w:val="none" w:sz="0" w:space="0" w:color="auto"/>
                    <w:left w:val="none" w:sz="0" w:space="0" w:color="auto"/>
                    <w:bottom w:val="none" w:sz="0" w:space="0" w:color="auto"/>
                    <w:right w:val="none" w:sz="0" w:space="0" w:color="auto"/>
                  </w:divBdr>
                  <w:divsChild>
                    <w:div w:id="1383866917">
                      <w:marLeft w:val="0"/>
                      <w:marRight w:val="0"/>
                      <w:marTop w:val="0"/>
                      <w:marBottom w:val="0"/>
                      <w:divBdr>
                        <w:top w:val="none" w:sz="0" w:space="0" w:color="auto"/>
                        <w:left w:val="none" w:sz="0" w:space="0" w:color="auto"/>
                        <w:bottom w:val="none" w:sz="0" w:space="0" w:color="auto"/>
                        <w:right w:val="none" w:sz="0" w:space="0" w:color="auto"/>
                      </w:divBdr>
                    </w:div>
                  </w:divsChild>
                </w:div>
                <w:div w:id="2129155983">
                  <w:marLeft w:val="0"/>
                  <w:marRight w:val="0"/>
                  <w:marTop w:val="0"/>
                  <w:marBottom w:val="0"/>
                  <w:divBdr>
                    <w:top w:val="none" w:sz="0" w:space="0" w:color="auto"/>
                    <w:left w:val="none" w:sz="0" w:space="0" w:color="auto"/>
                    <w:bottom w:val="none" w:sz="0" w:space="0" w:color="auto"/>
                    <w:right w:val="none" w:sz="0" w:space="0" w:color="auto"/>
                  </w:divBdr>
                  <w:divsChild>
                    <w:div w:id="1567253935">
                      <w:marLeft w:val="0"/>
                      <w:marRight w:val="0"/>
                      <w:marTop w:val="0"/>
                      <w:marBottom w:val="0"/>
                      <w:divBdr>
                        <w:top w:val="none" w:sz="0" w:space="0" w:color="auto"/>
                        <w:left w:val="none" w:sz="0" w:space="0" w:color="auto"/>
                        <w:bottom w:val="none" w:sz="0" w:space="0" w:color="auto"/>
                        <w:right w:val="none" w:sz="0" w:space="0" w:color="auto"/>
                      </w:divBdr>
                    </w:div>
                  </w:divsChild>
                </w:div>
                <w:div w:id="2139179826">
                  <w:marLeft w:val="0"/>
                  <w:marRight w:val="0"/>
                  <w:marTop w:val="0"/>
                  <w:marBottom w:val="0"/>
                  <w:divBdr>
                    <w:top w:val="none" w:sz="0" w:space="0" w:color="auto"/>
                    <w:left w:val="none" w:sz="0" w:space="0" w:color="auto"/>
                    <w:bottom w:val="none" w:sz="0" w:space="0" w:color="auto"/>
                    <w:right w:val="none" w:sz="0" w:space="0" w:color="auto"/>
                  </w:divBdr>
                  <w:divsChild>
                    <w:div w:id="1018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1784">
          <w:marLeft w:val="0"/>
          <w:marRight w:val="0"/>
          <w:marTop w:val="0"/>
          <w:marBottom w:val="0"/>
          <w:divBdr>
            <w:top w:val="none" w:sz="0" w:space="0" w:color="auto"/>
            <w:left w:val="none" w:sz="0" w:space="0" w:color="auto"/>
            <w:bottom w:val="none" w:sz="0" w:space="0" w:color="auto"/>
            <w:right w:val="none" w:sz="0" w:space="0" w:color="auto"/>
          </w:divBdr>
        </w:div>
        <w:div w:id="1823277601">
          <w:marLeft w:val="0"/>
          <w:marRight w:val="0"/>
          <w:marTop w:val="0"/>
          <w:marBottom w:val="0"/>
          <w:divBdr>
            <w:top w:val="none" w:sz="0" w:space="0" w:color="auto"/>
            <w:left w:val="none" w:sz="0" w:space="0" w:color="auto"/>
            <w:bottom w:val="none" w:sz="0" w:space="0" w:color="auto"/>
            <w:right w:val="none" w:sz="0" w:space="0" w:color="auto"/>
          </w:divBdr>
        </w:div>
        <w:div w:id="1869489925">
          <w:marLeft w:val="0"/>
          <w:marRight w:val="0"/>
          <w:marTop w:val="0"/>
          <w:marBottom w:val="0"/>
          <w:divBdr>
            <w:top w:val="none" w:sz="0" w:space="0" w:color="auto"/>
            <w:left w:val="none" w:sz="0" w:space="0" w:color="auto"/>
            <w:bottom w:val="none" w:sz="0" w:space="0" w:color="auto"/>
            <w:right w:val="none" w:sz="0" w:space="0" w:color="auto"/>
          </w:divBdr>
        </w:div>
        <w:div w:id="1968971858">
          <w:marLeft w:val="0"/>
          <w:marRight w:val="0"/>
          <w:marTop w:val="0"/>
          <w:marBottom w:val="0"/>
          <w:divBdr>
            <w:top w:val="none" w:sz="0" w:space="0" w:color="auto"/>
            <w:left w:val="none" w:sz="0" w:space="0" w:color="auto"/>
            <w:bottom w:val="none" w:sz="0" w:space="0" w:color="auto"/>
            <w:right w:val="none" w:sz="0" w:space="0" w:color="auto"/>
          </w:divBdr>
          <w:divsChild>
            <w:div w:id="283972055">
              <w:marLeft w:val="-75"/>
              <w:marRight w:val="0"/>
              <w:marTop w:val="30"/>
              <w:marBottom w:val="30"/>
              <w:divBdr>
                <w:top w:val="none" w:sz="0" w:space="0" w:color="auto"/>
                <w:left w:val="none" w:sz="0" w:space="0" w:color="auto"/>
                <w:bottom w:val="none" w:sz="0" w:space="0" w:color="auto"/>
                <w:right w:val="none" w:sz="0" w:space="0" w:color="auto"/>
              </w:divBdr>
              <w:divsChild>
                <w:div w:id="201551932">
                  <w:marLeft w:val="0"/>
                  <w:marRight w:val="0"/>
                  <w:marTop w:val="0"/>
                  <w:marBottom w:val="0"/>
                  <w:divBdr>
                    <w:top w:val="none" w:sz="0" w:space="0" w:color="auto"/>
                    <w:left w:val="none" w:sz="0" w:space="0" w:color="auto"/>
                    <w:bottom w:val="none" w:sz="0" w:space="0" w:color="auto"/>
                    <w:right w:val="none" w:sz="0" w:space="0" w:color="auto"/>
                  </w:divBdr>
                  <w:divsChild>
                    <w:div w:id="72048270">
                      <w:marLeft w:val="0"/>
                      <w:marRight w:val="0"/>
                      <w:marTop w:val="0"/>
                      <w:marBottom w:val="0"/>
                      <w:divBdr>
                        <w:top w:val="none" w:sz="0" w:space="0" w:color="auto"/>
                        <w:left w:val="none" w:sz="0" w:space="0" w:color="auto"/>
                        <w:bottom w:val="none" w:sz="0" w:space="0" w:color="auto"/>
                        <w:right w:val="none" w:sz="0" w:space="0" w:color="auto"/>
                      </w:divBdr>
                    </w:div>
                  </w:divsChild>
                </w:div>
                <w:div w:id="223419656">
                  <w:marLeft w:val="0"/>
                  <w:marRight w:val="0"/>
                  <w:marTop w:val="0"/>
                  <w:marBottom w:val="0"/>
                  <w:divBdr>
                    <w:top w:val="none" w:sz="0" w:space="0" w:color="auto"/>
                    <w:left w:val="none" w:sz="0" w:space="0" w:color="auto"/>
                    <w:bottom w:val="none" w:sz="0" w:space="0" w:color="auto"/>
                    <w:right w:val="none" w:sz="0" w:space="0" w:color="auto"/>
                  </w:divBdr>
                  <w:divsChild>
                    <w:div w:id="1977484579">
                      <w:marLeft w:val="0"/>
                      <w:marRight w:val="0"/>
                      <w:marTop w:val="0"/>
                      <w:marBottom w:val="0"/>
                      <w:divBdr>
                        <w:top w:val="none" w:sz="0" w:space="0" w:color="auto"/>
                        <w:left w:val="none" w:sz="0" w:space="0" w:color="auto"/>
                        <w:bottom w:val="none" w:sz="0" w:space="0" w:color="auto"/>
                        <w:right w:val="none" w:sz="0" w:space="0" w:color="auto"/>
                      </w:divBdr>
                    </w:div>
                  </w:divsChild>
                </w:div>
                <w:div w:id="574318951">
                  <w:marLeft w:val="0"/>
                  <w:marRight w:val="0"/>
                  <w:marTop w:val="0"/>
                  <w:marBottom w:val="0"/>
                  <w:divBdr>
                    <w:top w:val="none" w:sz="0" w:space="0" w:color="auto"/>
                    <w:left w:val="none" w:sz="0" w:space="0" w:color="auto"/>
                    <w:bottom w:val="none" w:sz="0" w:space="0" w:color="auto"/>
                    <w:right w:val="none" w:sz="0" w:space="0" w:color="auto"/>
                  </w:divBdr>
                  <w:divsChild>
                    <w:div w:id="963579642">
                      <w:marLeft w:val="0"/>
                      <w:marRight w:val="0"/>
                      <w:marTop w:val="0"/>
                      <w:marBottom w:val="0"/>
                      <w:divBdr>
                        <w:top w:val="none" w:sz="0" w:space="0" w:color="auto"/>
                        <w:left w:val="none" w:sz="0" w:space="0" w:color="auto"/>
                        <w:bottom w:val="none" w:sz="0" w:space="0" w:color="auto"/>
                        <w:right w:val="none" w:sz="0" w:space="0" w:color="auto"/>
                      </w:divBdr>
                    </w:div>
                  </w:divsChild>
                </w:div>
                <w:div w:id="607588803">
                  <w:marLeft w:val="0"/>
                  <w:marRight w:val="0"/>
                  <w:marTop w:val="0"/>
                  <w:marBottom w:val="0"/>
                  <w:divBdr>
                    <w:top w:val="none" w:sz="0" w:space="0" w:color="auto"/>
                    <w:left w:val="none" w:sz="0" w:space="0" w:color="auto"/>
                    <w:bottom w:val="none" w:sz="0" w:space="0" w:color="auto"/>
                    <w:right w:val="none" w:sz="0" w:space="0" w:color="auto"/>
                  </w:divBdr>
                  <w:divsChild>
                    <w:div w:id="642393618">
                      <w:marLeft w:val="0"/>
                      <w:marRight w:val="0"/>
                      <w:marTop w:val="0"/>
                      <w:marBottom w:val="0"/>
                      <w:divBdr>
                        <w:top w:val="none" w:sz="0" w:space="0" w:color="auto"/>
                        <w:left w:val="none" w:sz="0" w:space="0" w:color="auto"/>
                        <w:bottom w:val="none" w:sz="0" w:space="0" w:color="auto"/>
                        <w:right w:val="none" w:sz="0" w:space="0" w:color="auto"/>
                      </w:divBdr>
                    </w:div>
                  </w:divsChild>
                </w:div>
                <w:div w:id="830751212">
                  <w:marLeft w:val="0"/>
                  <w:marRight w:val="0"/>
                  <w:marTop w:val="0"/>
                  <w:marBottom w:val="0"/>
                  <w:divBdr>
                    <w:top w:val="none" w:sz="0" w:space="0" w:color="auto"/>
                    <w:left w:val="none" w:sz="0" w:space="0" w:color="auto"/>
                    <w:bottom w:val="none" w:sz="0" w:space="0" w:color="auto"/>
                    <w:right w:val="none" w:sz="0" w:space="0" w:color="auto"/>
                  </w:divBdr>
                  <w:divsChild>
                    <w:div w:id="1674993922">
                      <w:marLeft w:val="0"/>
                      <w:marRight w:val="0"/>
                      <w:marTop w:val="0"/>
                      <w:marBottom w:val="0"/>
                      <w:divBdr>
                        <w:top w:val="none" w:sz="0" w:space="0" w:color="auto"/>
                        <w:left w:val="none" w:sz="0" w:space="0" w:color="auto"/>
                        <w:bottom w:val="none" w:sz="0" w:space="0" w:color="auto"/>
                        <w:right w:val="none" w:sz="0" w:space="0" w:color="auto"/>
                      </w:divBdr>
                    </w:div>
                  </w:divsChild>
                </w:div>
                <w:div w:id="873688292">
                  <w:marLeft w:val="0"/>
                  <w:marRight w:val="0"/>
                  <w:marTop w:val="0"/>
                  <w:marBottom w:val="0"/>
                  <w:divBdr>
                    <w:top w:val="none" w:sz="0" w:space="0" w:color="auto"/>
                    <w:left w:val="none" w:sz="0" w:space="0" w:color="auto"/>
                    <w:bottom w:val="none" w:sz="0" w:space="0" w:color="auto"/>
                    <w:right w:val="none" w:sz="0" w:space="0" w:color="auto"/>
                  </w:divBdr>
                  <w:divsChild>
                    <w:div w:id="662126294">
                      <w:marLeft w:val="0"/>
                      <w:marRight w:val="0"/>
                      <w:marTop w:val="0"/>
                      <w:marBottom w:val="0"/>
                      <w:divBdr>
                        <w:top w:val="none" w:sz="0" w:space="0" w:color="auto"/>
                        <w:left w:val="none" w:sz="0" w:space="0" w:color="auto"/>
                        <w:bottom w:val="none" w:sz="0" w:space="0" w:color="auto"/>
                        <w:right w:val="none" w:sz="0" w:space="0" w:color="auto"/>
                      </w:divBdr>
                    </w:div>
                  </w:divsChild>
                </w:div>
                <w:div w:id="938026071">
                  <w:marLeft w:val="0"/>
                  <w:marRight w:val="0"/>
                  <w:marTop w:val="0"/>
                  <w:marBottom w:val="0"/>
                  <w:divBdr>
                    <w:top w:val="none" w:sz="0" w:space="0" w:color="auto"/>
                    <w:left w:val="none" w:sz="0" w:space="0" w:color="auto"/>
                    <w:bottom w:val="none" w:sz="0" w:space="0" w:color="auto"/>
                    <w:right w:val="none" w:sz="0" w:space="0" w:color="auto"/>
                  </w:divBdr>
                  <w:divsChild>
                    <w:div w:id="883369714">
                      <w:marLeft w:val="0"/>
                      <w:marRight w:val="0"/>
                      <w:marTop w:val="0"/>
                      <w:marBottom w:val="0"/>
                      <w:divBdr>
                        <w:top w:val="none" w:sz="0" w:space="0" w:color="auto"/>
                        <w:left w:val="none" w:sz="0" w:space="0" w:color="auto"/>
                        <w:bottom w:val="none" w:sz="0" w:space="0" w:color="auto"/>
                        <w:right w:val="none" w:sz="0" w:space="0" w:color="auto"/>
                      </w:divBdr>
                    </w:div>
                  </w:divsChild>
                </w:div>
                <w:div w:id="1072198654">
                  <w:marLeft w:val="0"/>
                  <w:marRight w:val="0"/>
                  <w:marTop w:val="0"/>
                  <w:marBottom w:val="0"/>
                  <w:divBdr>
                    <w:top w:val="none" w:sz="0" w:space="0" w:color="auto"/>
                    <w:left w:val="none" w:sz="0" w:space="0" w:color="auto"/>
                    <w:bottom w:val="none" w:sz="0" w:space="0" w:color="auto"/>
                    <w:right w:val="none" w:sz="0" w:space="0" w:color="auto"/>
                  </w:divBdr>
                  <w:divsChild>
                    <w:div w:id="229120951">
                      <w:marLeft w:val="0"/>
                      <w:marRight w:val="0"/>
                      <w:marTop w:val="0"/>
                      <w:marBottom w:val="0"/>
                      <w:divBdr>
                        <w:top w:val="none" w:sz="0" w:space="0" w:color="auto"/>
                        <w:left w:val="none" w:sz="0" w:space="0" w:color="auto"/>
                        <w:bottom w:val="none" w:sz="0" w:space="0" w:color="auto"/>
                        <w:right w:val="none" w:sz="0" w:space="0" w:color="auto"/>
                      </w:divBdr>
                    </w:div>
                  </w:divsChild>
                </w:div>
                <w:div w:id="1151365548">
                  <w:marLeft w:val="0"/>
                  <w:marRight w:val="0"/>
                  <w:marTop w:val="0"/>
                  <w:marBottom w:val="0"/>
                  <w:divBdr>
                    <w:top w:val="none" w:sz="0" w:space="0" w:color="auto"/>
                    <w:left w:val="none" w:sz="0" w:space="0" w:color="auto"/>
                    <w:bottom w:val="none" w:sz="0" w:space="0" w:color="auto"/>
                    <w:right w:val="none" w:sz="0" w:space="0" w:color="auto"/>
                  </w:divBdr>
                  <w:divsChild>
                    <w:div w:id="1053190650">
                      <w:marLeft w:val="0"/>
                      <w:marRight w:val="0"/>
                      <w:marTop w:val="0"/>
                      <w:marBottom w:val="0"/>
                      <w:divBdr>
                        <w:top w:val="none" w:sz="0" w:space="0" w:color="auto"/>
                        <w:left w:val="none" w:sz="0" w:space="0" w:color="auto"/>
                        <w:bottom w:val="none" w:sz="0" w:space="0" w:color="auto"/>
                        <w:right w:val="none" w:sz="0" w:space="0" w:color="auto"/>
                      </w:divBdr>
                    </w:div>
                  </w:divsChild>
                </w:div>
                <w:div w:id="1291548413">
                  <w:marLeft w:val="0"/>
                  <w:marRight w:val="0"/>
                  <w:marTop w:val="0"/>
                  <w:marBottom w:val="0"/>
                  <w:divBdr>
                    <w:top w:val="none" w:sz="0" w:space="0" w:color="auto"/>
                    <w:left w:val="none" w:sz="0" w:space="0" w:color="auto"/>
                    <w:bottom w:val="none" w:sz="0" w:space="0" w:color="auto"/>
                    <w:right w:val="none" w:sz="0" w:space="0" w:color="auto"/>
                  </w:divBdr>
                  <w:divsChild>
                    <w:div w:id="1408459578">
                      <w:marLeft w:val="0"/>
                      <w:marRight w:val="0"/>
                      <w:marTop w:val="0"/>
                      <w:marBottom w:val="0"/>
                      <w:divBdr>
                        <w:top w:val="none" w:sz="0" w:space="0" w:color="auto"/>
                        <w:left w:val="none" w:sz="0" w:space="0" w:color="auto"/>
                        <w:bottom w:val="none" w:sz="0" w:space="0" w:color="auto"/>
                        <w:right w:val="none" w:sz="0" w:space="0" w:color="auto"/>
                      </w:divBdr>
                    </w:div>
                  </w:divsChild>
                </w:div>
                <w:div w:id="1643853159">
                  <w:marLeft w:val="0"/>
                  <w:marRight w:val="0"/>
                  <w:marTop w:val="0"/>
                  <w:marBottom w:val="0"/>
                  <w:divBdr>
                    <w:top w:val="none" w:sz="0" w:space="0" w:color="auto"/>
                    <w:left w:val="none" w:sz="0" w:space="0" w:color="auto"/>
                    <w:bottom w:val="none" w:sz="0" w:space="0" w:color="auto"/>
                    <w:right w:val="none" w:sz="0" w:space="0" w:color="auto"/>
                  </w:divBdr>
                  <w:divsChild>
                    <w:div w:id="1588805882">
                      <w:marLeft w:val="0"/>
                      <w:marRight w:val="0"/>
                      <w:marTop w:val="0"/>
                      <w:marBottom w:val="0"/>
                      <w:divBdr>
                        <w:top w:val="none" w:sz="0" w:space="0" w:color="auto"/>
                        <w:left w:val="none" w:sz="0" w:space="0" w:color="auto"/>
                        <w:bottom w:val="none" w:sz="0" w:space="0" w:color="auto"/>
                        <w:right w:val="none" w:sz="0" w:space="0" w:color="auto"/>
                      </w:divBdr>
                    </w:div>
                  </w:divsChild>
                </w:div>
                <w:div w:id="1737119635">
                  <w:marLeft w:val="0"/>
                  <w:marRight w:val="0"/>
                  <w:marTop w:val="0"/>
                  <w:marBottom w:val="0"/>
                  <w:divBdr>
                    <w:top w:val="none" w:sz="0" w:space="0" w:color="auto"/>
                    <w:left w:val="none" w:sz="0" w:space="0" w:color="auto"/>
                    <w:bottom w:val="none" w:sz="0" w:space="0" w:color="auto"/>
                    <w:right w:val="none" w:sz="0" w:space="0" w:color="auto"/>
                  </w:divBdr>
                  <w:divsChild>
                    <w:div w:id="20701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5202">
          <w:marLeft w:val="0"/>
          <w:marRight w:val="0"/>
          <w:marTop w:val="0"/>
          <w:marBottom w:val="0"/>
          <w:divBdr>
            <w:top w:val="none" w:sz="0" w:space="0" w:color="auto"/>
            <w:left w:val="none" w:sz="0" w:space="0" w:color="auto"/>
            <w:bottom w:val="none" w:sz="0" w:space="0" w:color="auto"/>
            <w:right w:val="none" w:sz="0" w:space="0" w:color="auto"/>
          </w:divBdr>
        </w:div>
        <w:div w:id="2034646286">
          <w:marLeft w:val="0"/>
          <w:marRight w:val="0"/>
          <w:marTop w:val="0"/>
          <w:marBottom w:val="0"/>
          <w:divBdr>
            <w:top w:val="none" w:sz="0" w:space="0" w:color="auto"/>
            <w:left w:val="none" w:sz="0" w:space="0" w:color="auto"/>
            <w:bottom w:val="none" w:sz="0" w:space="0" w:color="auto"/>
            <w:right w:val="none" w:sz="0" w:space="0" w:color="auto"/>
          </w:divBdr>
        </w:div>
        <w:div w:id="2039744313">
          <w:marLeft w:val="0"/>
          <w:marRight w:val="0"/>
          <w:marTop w:val="0"/>
          <w:marBottom w:val="0"/>
          <w:divBdr>
            <w:top w:val="none" w:sz="0" w:space="0" w:color="auto"/>
            <w:left w:val="none" w:sz="0" w:space="0" w:color="auto"/>
            <w:bottom w:val="none" w:sz="0" w:space="0" w:color="auto"/>
            <w:right w:val="none" w:sz="0" w:space="0" w:color="auto"/>
          </w:divBdr>
        </w:div>
        <w:div w:id="2046756560">
          <w:marLeft w:val="0"/>
          <w:marRight w:val="0"/>
          <w:marTop w:val="0"/>
          <w:marBottom w:val="0"/>
          <w:divBdr>
            <w:top w:val="none" w:sz="0" w:space="0" w:color="auto"/>
            <w:left w:val="none" w:sz="0" w:space="0" w:color="auto"/>
            <w:bottom w:val="none" w:sz="0" w:space="0" w:color="auto"/>
            <w:right w:val="none" w:sz="0" w:space="0" w:color="auto"/>
          </w:divBdr>
        </w:div>
        <w:div w:id="2068264984">
          <w:marLeft w:val="0"/>
          <w:marRight w:val="0"/>
          <w:marTop w:val="0"/>
          <w:marBottom w:val="0"/>
          <w:divBdr>
            <w:top w:val="none" w:sz="0" w:space="0" w:color="auto"/>
            <w:left w:val="none" w:sz="0" w:space="0" w:color="auto"/>
            <w:bottom w:val="none" w:sz="0" w:space="0" w:color="auto"/>
            <w:right w:val="none" w:sz="0" w:space="0" w:color="auto"/>
          </w:divBdr>
          <w:divsChild>
            <w:div w:id="1558861513">
              <w:marLeft w:val="-75"/>
              <w:marRight w:val="0"/>
              <w:marTop w:val="30"/>
              <w:marBottom w:val="30"/>
              <w:divBdr>
                <w:top w:val="none" w:sz="0" w:space="0" w:color="auto"/>
                <w:left w:val="none" w:sz="0" w:space="0" w:color="auto"/>
                <w:bottom w:val="none" w:sz="0" w:space="0" w:color="auto"/>
                <w:right w:val="none" w:sz="0" w:space="0" w:color="auto"/>
              </w:divBdr>
              <w:divsChild>
                <w:div w:id="62803770">
                  <w:marLeft w:val="0"/>
                  <w:marRight w:val="0"/>
                  <w:marTop w:val="0"/>
                  <w:marBottom w:val="0"/>
                  <w:divBdr>
                    <w:top w:val="none" w:sz="0" w:space="0" w:color="auto"/>
                    <w:left w:val="none" w:sz="0" w:space="0" w:color="auto"/>
                    <w:bottom w:val="none" w:sz="0" w:space="0" w:color="auto"/>
                    <w:right w:val="none" w:sz="0" w:space="0" w:color="auto"/>
                  </w:divBdr>
                  <w:divsChild>
                    <w:div w:id="1467890996">
                      <w:marLeft w:val="0"/>
                      <w:marRight w:val="0"/>
                      <w:marTop w:val="0"/>
                      <w:marBottom w:val="0"/>
                      <w:divBdr>
                        <w:top w:val="none" w:sz="0" w:space="0" w:color="auto"/>
                        <w:left w:val="none" w:sz="0" w:space="0" w:color="auto"/>
                        <w:bottom w:val="none" w:sz="0" w:space="0" w:color="auto"/>
                        <w:right w:val="none" w:sz="0" w:space="0" w:color="auto"/>
                      </w:divBdr>
                    </w:div>
                  </w:divsChild>
                </w:div>
                <w:div w:id="255330503">
                  <w:marLeft w:val="0"/>
                  <w:marRight w:val="0"/>
                  <w:marTop w:val="0"/>
                  <w:marBottom w:val="0"/>
                  <w:divBdr>
                    <w:top w:val="none" w:sz="0" w:space="0" w:color="auto"/>
                    <w:left w:val="none" w:sz="0" w:space="0" w:color="auto"/>
                    <w:bottom w:val="none" w:sz="0" w:space="0" w:color="auto"/>
                    <w:right w:val="none" w:sz="0" w:space="0" w:color="auto"/>
                  </w:divBdr>
                  <w:divsChild>
                    <w:div w:id="42557691">
                      <w:marLeft w:val="0"/>
                      <w:marRight w:val="0"/>
                      <w:marTop w:val="0"/>
                      <w:marBottom w:val="0"/>
                      <w:divBdr>
                        <w:top w:val="none" w:sz="0" w:space="0" w:color="auto"/>
                        <w:left w:val="none" w:sz="0" w:space="0" w:color="auto"/>
                        <w:bottom w:val="none" w:sz="0" w:space="0" w:color="auto"/>
                        <w:right w:val="none" w:sz="0" w:space="0" w:color="auto"/>
                      </w:divBdr>
                    </w:div>
                  </w:divsChild>
                </w:div>
                <w:div w:id="373818810">
                  <w:marLeft w:val="0"/>
                  <w:marRight w:val="0"/>
                  <w:marTop w:val="0"/>
                  <w:marBottom w:val="0"/>
                  <w:divBdr>
                    <w:top w:val="none" w:sz="0" w:space="0" w:color="auto"/>
                    <w:left w:val="none" w:sz="0" w:space="0" w:color="auto"/>
                    <w:bottom w:val="none" w:sz="0" w:space="0" w:color="auto"/>
                    <w:right w:val="none" w:sz="0" w:space="0" w:color="auto"/>
                  </w:divBdr>
                  <w:divsChild>
                    <w:div w:id="1874071840">
                      <w:marLeft w:val="0"/>
                      <w:marRight w:val="0"/>
                      <w:marTop w:val="0"/>
                      <w:marBottom w:val="0"/>
                      <w:divBdr>
                        <w:top w:val="none" w:sz="0" w:space="0" w:color="auto"/>
                        <w:left w:val="none" w:sz="0" w:space="0" w:color="auto"/>
                        <w:bottom w:val="none" w:sz="0" w:space="0" w:color="auto"/>
                        <w:right w:val="none" w:sz="0" w:space="0" w:color="auto"/>
                      </w:divBdr>
                    </w:div>
                  </w:divsChild>
                </w:div>
                <w:div w:id="1223522022">
                  <w:marLeft w:val="0"/>
                  <w:marRight w:val="0"/>
                  <w:marTop w:val="0"/>
                  <w:marBottom w:val="0"/>
                  <w:divBdr>
                    <w:top w:val="none" w:sz="0" w:space="0" w:color="auto"/>
                    <w:left w:val="none" w:sz="0" w:space="0" w:color="auto"/>
                    <w:bottom w:val="none" w:sz="0" w:space="0" w:color="auto"/>
                    <w:right w:val="none" w:sz="0" w:space="0" w:color="auto"/>
                  </w:divBdr>
                  <w:divsChild>
                    <w:div w:id="252278787">
                      <w:marLeft w:val="0"/>
                      <w:marRight w:val="0"/>
                      <w:marTop w:val="0"/>
                      <w:marBottom w:val="0"/>
                      <w:divBdr>
                        <w:top w:val="none" w:sz="0" w:space="0" w:color="auto"/>
                        <w:left w:val="none" w:sz="0" w:space="0" w:color="auto"/>
                        <w:bottom w:val="none" w:sz="0" w:space="0" w:color="auto"/>
                        <w:right w:val="none" w:sz="0" w:space="0" w:color="auto"/>
                      </w:divBdr>
                    </w:div>
                  </w:divsChild>
                </w:div>
                <w:div w:id="1312517565">
                  <w:marLeft w:val="0"/>
                  <w:marRight w:val="0"/>
                  <w:marTop w:val="0"/>
                  <w:marBottom w:val="0"/>
                  <w:divBdr>
                    <w:top w:val="none" w:sz="0" w:space="0" w:color="auto"/>
                    <w:left w:val="none" w:sz="0" w:space="0" w:color="auto"/>
                    <w:bottom w:val="none" w:sz="0" w:space="0" w:color="auto"/>
                    <w:right w:val="none" w:sz="0" w:space="0" w:color="auto"/>
                  </w:divBdr>
                  <w:divsChild>
                    <w:div w:id="1153448022">
                      <w:marLeft w:val="0"/>
                      <w:marRight w:val="0"/>
                      <w:marTop w:val="0"/>
                      <w:marBottom w:val="0"/>
                      <w:divBdr>
                        <w:top w:val="none" w:sz="0" w:space="0" w:color="auto"/>
                        <w:left w:val="none" w:sz="0" w:space="0" w:color="auto"/>
                        <w:bottom w:val="none" w:sz="0" w:space="0" w:color="auto"/>
                        <w:right w:val="none" w:sz="0" w:space="0" w:color="auto"/>
                      </w:divBdr>
                    </w:div>
                  </w:divsChild>
                </w:div>
                <w:div w:id="1529248694">
                  <w:marLeft w:val="0"/>
                  <w:marRight w:val="0"/>
                  <w:marTop w:val="0"/>
                  <w:marBottom w:val="0"/>
                  <w:divBdr>
                    <w:top w:val="none" w:sz="0" w:space="0" w:color="auto"/>
                    <w:left w:val="none" w:sz="0" w:space="0" w:color="auto"/>
                    <w:bottom w:val="none" w:sz="0" w:space="0" w:color="auto"/>
                    <w:right w:val="none" w:sz="0" w:space="0" w:color="auto"/>
                  </w:divBdr>
                  <w:divsChild>
                    <w:div w:id="12180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48025">
          <w:marLeft w:val="0"/>
          <w:marRight w:val="0"/>
          <w:marTop w:val="0"/>
          <w:marBottom w:val="0"/>
          <w:divBdr>
            <w:top w:val="none" w:sz="0" w:space="0" w:color="auto"/>
            <w:left w:val="none" w:sz="0" w:space="0" w:color="auto"/>
            <w:bottom w:val="none" w:sz="0" w:space="0" w:color="auto"/>
            <w:right w:val="none" w:sz="0" w:space="0" w:color="auto"/>
          </w:divBdr>
        </w:div>
      </w:divsChild>
    </w:div>
    <w:div w:id="1118256837">
      <w:bodyDiv w:val="1"/>
      <w:marLeft w:val="0"/>
      <w:marRight w:val="0"/>
      <w:marTop w:val="0"/>
      <w:marBottom w:val="0"/>
      <w:divBdr>
        <w:top w:val="none" w:sz="0" w:space="0" w:color="auto"/>
        <w:left w:val="none" w:sz="0" w:space="0" w:color="auto"/>
        <w:bottom w:val="none" w:sz="0" w:space="0" w:color="auto"/>
        <w:right w:val="none" w:sz="0" w:space="0" w:color="auto"/>
      </w:divBdr>
    </w:div>
    <w:div w:id="1145661743">
      <w:bodyDiv w:val="1"/>
      <w:marLeft w:val="0"/>
      <w:marRight w:val="0"/>
      <w:marTop w:val="0"/>
      <w:marBottom w:val="0"/>
      <w:divBdr>
        <w:top w:val="none" w:sz="0" w:space="0" w:color="auto"/>
        <w:left w:val="none" w:sz="0" w:space="0" w:color="auto"/>
        <w:bottom w:val="none" w:sz="0" w:space="0" w:color="auto"/>
        <w:right w:val="none" w:sz="0" w:space="0" w:color="auto"/>
      </w:divBdr>
      <w:divsChild>
        <w:div w:id="1496070950">
          <w:marLeft w:val="480"/>
          <w:marRight w:val="0"/>
          <w:marTop w:val="0"/>
          <w:marBottom w:val="0"/>
          <w:divBdr>
            <w:top w:val="none" w:sz="0" w:space="0" w:color="auto"/>
            <w:left w:val="none" w:sz="0" w:space="0" w:color="auto"/>
            <w:bottom w:val="none" w:sz="0" w:space="0" w:color="auto"/>
            <w:right w:val="none" w:sz="0" w:space="0" w:color="auto"/>
          </w:divBdr>
          <w:divsChild>
            <w:div w:id="16433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2638">
      <w:bodyDiv w:val="1"/>
      <w:marLeft w:val="0"/>
      <w:marRight w:val="0"/>
      <w:marTop w:val="0"/>
      <w:marBottom w:val="0"/>
      <w:divBdr>
        <w:top w:val="none" w:sz="0" w:space="0" w:color="auto"/>
        <w:left w:val="none" w:sz="0" w:space="0" w:color="auto"/>
        <w:bottom w:val="none" w:sz="0" w:space="0" w:color="auto"/>
        <w:right w:val="none" w:sz="0" w:space="0" w:color="auto"/>
      </w:divBdr>
      <w:divsChild>
        <w:div w:id="1806968549">
          <w:marLeft w:val="480"/>
          <w:marRight w:val="0"/>
          <w:marTop w:val="0"/>
          <w:marBottom w:val="0"/>
          <w:divBdr>
            <w:top w:val="none" w:sz="0" w:space="0" w:color="auto"/>
            <w:left w:val="none" w:sz="0" w:space="0" w:color="auto"/>
            <w:bottom w:val="none" w:sz="0" w:space="0" w:color="auto"/>
            <w:right w:val="none" w:sz="0" w:space="0" w:color="auto"/>
          </w:divBdr>
          <w:divsChild>
            <w:div w:id="11613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853">
      <w:bodyDiv w:val="1"/>
      <w:marLeft w:val="0"/>
      <w:marRight w:val="0"/>
      <w:marTop w:val="0"/>
      <w:marBottom w:val="0"/>
      <w:divBdr>
        <w:top w:val="none" w:sz="0" w:space="0" w:color="auto"/>
        <w:left w:val="none" w:sz="0" w:space="0" w:color="auto"/>
        <w:bottom w:val="none" w:sz="0" w:space="0" w:color="auto"/>
        <w:right w:val="none" w:sz="0" w:space="0" w:color="auto"/>
      </w:divBdr>
    </w:div>
    <w:div w:id="1227910522">
      <w:bodyDiv w:val="1"/>
      <w:marLeft w:val="0"/>
      <w:marRight w:val="0"/>
      <w:marTop w:val="0"/>
      <w:marBottom w:val="0"/>
      <w:divBdr>
        <w:top w:val="none" w:sz="0" w:space="0" w:color="auto"/>
        <w:left w:val="none" w:sz="0" w:space="0" w:color="auto"/>
        <w:bottom w:val="none" w:sz="0" w:space="0" w:color="auto"/>
        <w:right w:val="none" w:sz="0" w:space="0" w:color="auto"/>
      </w:divBdr>
      <w:divsChild>
        <w:div w:id="700252679">
          <w:marLeft w:val="0"/>
          <w:marRight w:val="0"/>
          <w:marTop w:val="0"/>
          <w:marBottom w:val="0"/>
          <w:divBdr>
            <w:top w:val="none" w:sz="0" w:space="0" w:color="auto"/>
            <w:left w:val="none" w:sz="0" w:space="0" w:color="auto"/>
            <w:bottom w:val="none" w:sz="0" w:space="0" w:color="auto"/>
            <w:right w:val="none" w:sz="0" w:space="0" w:color="auto"/>
          </w:divBdr>
          <w:divsChild>
            <w:div w:id="617840376">
              <w:marLeft w:val="0"/>
              <w:marRight w:val="0"/>
              <w:marTop w:val="0"/>
              <w:marBottom w:val="0"/>
              <w:divBdr>
                <w:top w:val="none" w:sz="0" w:space="0" w:color="auto"/>
                <w:left w:val="none" w:sz="0" w:space="0" w:color="auto"/>
                <w:bottom w:val="none" w:sz="0" w:space="0" w:color="auto"/>
                <w:right w:val="none" w:sz="0" w:space="0" w:color="auto"/>
              </w:divBdr>
              <w:divsChild>
                <w:div w:id="1771847952">
                  <w:marLeft w:val="0"/>
                  <w:marRight w:val="0"/>
                  <w:marTop w:val="0"/>
                  <w:marBottom w:val="0"/>
                  <w:divBdr>
                    <w:top w:val="none" w:sz="0" w:space="0" w:color="auto"/>
                    <w:left w:val="none" w:sz="0" w:space="0" w:color="auto"/>
                    <w:bottom w:val="none" w:sz="0" w:space="0" w:color="auto"/>
                    <w:right w:val="none" w:sz="0" w:space="0" w:color="auto"/>
                  </w:divBdr>
                  <w:divsChild>
                    <w:div w:id="1484930192">
                      <w:marLeft w:val="0"/>
                      <w:marRight w:val="0"/>
                      <w:marTop w:val="0"/>
                      <w:marBottom w:val="0"/>
                      <w:divBdr>
                        <w:top w:val="none" w:sz="0" w:space="0" w:color="auto"/>
                        <w:left w:val="none" w:sz="0" w:space="0" w:color="auto"/>
                        <w:bottom w:val="none" w:sz="0" w:space="0" w:color="auto"/>
                        <w:right w:val="none" w:sz="0" w:space="0" w:color="auto"/>
                      </w:divBdr>
                      <w:divsChild>
                        <w:div w:id="516387280">
                          <w:marLeft w:val="0"/>
                          <w:marRight w:val="0"/>
                          <w:marTop w:val="0"/>
                          <w:marBottom w:val="0"/>
                          <w:divBdr>
                            <w:top w:val="none" w:sz="0" w:space="0" w:color="auto"/>
                            <w:left w:val="none" w:sz="0" w:space="0" w:color="auto"/>
                            <w:bottom w:val="none" w:sz="0" w:space="0" w:color="auto"/>
                            <w:right w:val="none" w:sz="0" w:space="0" w:color="auto"/>
                          </w:divBdr>
                          <w:divsChild>
                            <w:div w:id="135073570">
                              <w:marLeft w:val="0"/>
                              <w:marRight w:val="0"/>
                              <w:marTop w:val="0"/>
                              <w:marBottom w:val="0"/>
                              <w:divBdr>
                                <w:top w:val="none" w:sz="0" w:space="0" w:color="auto"/>
                                <w:left w:val="none" w:sz="0" w:space="0" w:color="auto"/>
                                <w:bottom w:val="none" w:sz="0" w:space="0" w:color="auto"/>
                                <w:right w:val="none" w:sz="0" w:space="0" w:color="auto"/>
                              </w:divBdr>
                              <w:divsChild>
                                <w:div w:id="834108798">
                                  <w:marLeft w:val="0"/>
                                  <w:marRight w:val="0"/>
                                  <w:marTop w:val="0"/>
                                  <w:marBottom w:val="0"/>
                                  <w:divBdr>
                                    <w:top w:val="none" w:sz="0" w:space="0" w:color="auto"/>
                                    <w:left w:val="none" w:sz="0" w:space="0" w:color="auto"/>
                                    <w:bottom w:val="none" w:sz="0" w:space="0" w:color="auto"/>
                                    <w:right w:val="none" w:sz="0" w:space="0" w:color="auto"/>
                                  </w:divBdr>
                                  <w:divsChild>
                                    <w:div w:id="17808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9936">
                          <w:marLeft w:val="0"/>
                          <w:marRight w:val="0"/>
                          <w:marTop w:val="0"/>
                          <w:marBottom w:val="0"/>
                          <w:divBdr>
                            <w:top w:val="none" w:sz="0" w:space="0" w:color="auto"/>
                            <w:left w:val="none" w:sz="0" w:space="0" w:color="auto"/>
                            <w:bottom w:val="none" w:sz="0" w:space="0" w:color="auto"/>
                            <w:right w:val="none" w:sz="0" w:space="0" w:color="auto"/>
                          </w:divBdr>
                          <w:divsChild>
                            <w:div w:id="1274704769">
                              <w:marLeft w:val="0"/>
                              <w:marRight w:val="0"/>
                              <w:marTop w:val="0"/>
                              <w:marBottom w:val="0"/>
                              <w:divBdr>
                                <w:top w:val="none" w:sz="0" w:space="0" w:color="auto"/>
                                <w:left w:val="none" w:sz="0" w:space="0" w:color="auto"/>
                                <w:bottom w:val="none" w:sz="0" w:space="0" w:color="auto"/>
                                <w:right w:val="none" w:sz="0" w:space="0" w:color="auto"/>
                              </w:divBdr>
                              <w:divsChild>
                                <w:div w:id="14091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114428">
      <w:bodyDiv w:val="1"/>
      <w:marLeft w:val="0"/>
      <w:marRight w:val="0"/>
      <w:marTop w:val="0"/>
      <w:marBottom w:val="0"/>
      <w:divBdr>
        <w:top w:val="none" w:sz="0" w:space="0" w:color="auto"/>
        <w:left w:val="none" w:sz="0" w:space="0" w:color="auto"/>
        <w:bottom w:val="none" w:sz="0" w:space="0" w:color="auto"/>
        <w:right w:val="none" w:sz="0" w:space="0" w:color="auto"/>
      </w:divBdr>
      <w:divsChild>
        <w:div w:id="585572937">
          <w:marLeft w:val="480"/>
          <w:marRight w:val="0"/>
          <w:marTop w:val="0"/>
          <w:marBottom w:val="0"/>
          <w:divBdr>
            <w:top w:val="none" w:sz="0" w:space="0" w:color="auto"/>
            <w:left w:val="none" w:sz="0" w:space="0" w:color="auto"/>
            <w:bottom w:val="none" w:sz="0" w:space="0" w:color="auto"/>
            <w:right w:val="none" w:sz="0" w:space="0" w:color="auto"/>
          </w:divBdr>
          <w:divsChild>
            <w:div w:id="21469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2884">
      <w:bodyDiv w:val="1"/>
      <w:marLeft w:val="0"/>
      <w:marRight w:val="0"/>
      <w:marTop w:val="0"/>
      <w:marBottom w:val="0"/>
      <w:divBdr>
        <w:top w:val="none" w:sz="0" w:space="0" w:color="auto"/>
        <w:left w:val="none" w:sz="0" w:space="0" w:color="auto"/>
        <w:bottom w:val="none" w:sz="0" w:space="0" w:color="auto"/>
        <w:right w:val="none" w:sz="0" w:space="0" w:color="auto"/>
      </w:divBdr>
      <w:divsChild>
        <w:div w:id="705452213">
          <w:marLeft w:val="480"/>
          <w:marRight w:val="0"/>
          <w:marTop w:val="0"/>
          <w:marBottom w:val="0"/>
          <w:divBdr>
            <w:top w:val="none" w:sz="0" w:space="0" w:color="auto"/>
            <w:left w:val="none" w:sz="0" w:space="0" w:color="auto"/>
            <w:bottom w:val="none" w:sz="0" w:space="0" w:color="auto"/>
            <w:right w:val="none" w:sz="0" w:space="0" w:color="auto"/>
          </w:divBdr>
          <w:divsChild>
            <w:div w:id="6511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539">
      <w:bodyDiv w:val="1"/>
      <w:marLeft w:val="0"/>
      <w:marRight w:val="0"/>
      <w:marTop w:val="0"/>
      <w:marBottom w:val="0"/>
      <w:divBdr>
        <w:top w:val="none" w:sz="0" w:space="0" w:color="auto"/>
        <w:left w:val="none" w:sz="0" w:space="0" w:color="auto"/>
        <w:bottom w:val="none" w:sz="0" w:space="0" w:color="auto"/>
        <w:right w:val="none" w:sz="0" w:space="0" w:color="auto"/>
      </w:divBdr>
      <w:divsChild>
        <w:div w:id="1691176741">
          <w:marLeft w:val="480"/>
          <w:marRight w:val="0"/>
          <w:marTop w:val="0"/>
          <w:marBottom w:val="0"/>
          <w:divBdr>
            <w:top w:val="none" w:sz="0" w:space="0" w:color="auto"/>
            <w:left w:val="none" w:sz="0" w:space="0" w:color="auto"/>
            <w:bottom w:val="none" w:sz="0" w:space="0" w:color="auto"/>
            <w:right w:val="none" w:sz="0" w:space="0" w:color="auto"/>
          </w:divBdr>
          <w:divsChild>
            <w:div w:id="9343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3464">
      <w:bodyDiv w:val="1"/>
      <w:marLeft w:val="0"/>
      <w:marRight w:val="0"/>
      <w:marTop w:val="0"/>
      <w:marBottom w:val="0"/>
      <w:divBdr>
        <w:top w:val="none" w:sz="0" w:space="0" w:color="auto"/>
        <w:left w:val="none" w:sz="0" w:space="0" w:color="auto"/>
        <w:bottom w:val="none" w:sz="0" w:space="0" w:color="auto"/>
        <w:right w:val="none" w:sz="0" w:space="0" w:color="auto"/>
      </w:divBdr>
      <w:divsChild>
        <w:div w:id="1600092961">
          <w:marLeft w:val="0"/>
          <w:marRight w:val="0"/>
          <w:marTop w:val="0"/>
          <w:marBottom w:val="0"/>
          <w:divBdr>
            <w:top w:val="none" w:sz="0" w:space="0" w:color="auto"/>
            <w:left w:val="none" w:sz="0" w:space="0" w:color="auto"/>
            <w:bottom w:val="none" w:sz="0" w:space="0" w:color="auto"/>
            <w:right w:val="none" w:sz="0" w:space="0" w:color="auto"/>
          </w:divBdr>
          <w:divsChild>
            <w:div w:id="1450859646">
              <w:marLeft w:val="0"/>
              <w:marRight w:val="0"/>
              <w:marTop w:val="0"/>
              <w:marBottom w:val="0"/>
              <w:divBdr>
                <w:top w:val="none" w:sz="0" w:space="0" w:color="auto"/>
                <w:left w:val="none" w:sz="0" w:space="0" w:color="auto"/>
                <w:bottom w:val="none" w:sz="0" w:space="0" w:color="auto"/>
                <w:right w:val="none" w:sz="0" w:space="0" w:color="auto"/>
              </w:divBdr>
              <w:divsChild>
                <w:div w:id="619188004">
                  <w:marLeft w:val="0"/>
                  <w:marRight w:val="0"/>
                  <w:marTop w:val="0"/>
                  <w:marBottom w:val="0"/>
                  <w:divBdr>
                    <w:top w:val="none" w:sz="0" w:space="0" w:color="auto"/>
                    <w:left w:val="none" w:sz="0" w:space="0" w:color="auto"/>
                    <w:bottom w:val="none" w:sz="0" w:space="0" w:color="auto"/>
                    <w:right w:val="none" w:sz="0" w:space="0" w:color="auto"/>
                  </w:divBdr>
                  <w:divsChild>
                    <w:div w:id="430710290">
                      <w:marLeft w:val="0"/>
                      <w:marRight w:val="0"/>
                      <w:marTop w:val="0"/>
                      <w:marBottom w:val="0"/>
                      <w:divBdr>
                        <w:top w:val="none" w:sz="0" w:space="0" w:color="auto"/>
                        <w:left w:val="none" w:sz="0" w:space="0" w:color="auto"/>
                        <w:bottom w:val="none" w:sz="0" w:space="0" w:color="auto"/>
                        <w:right w:val="none" w:sz="0" w:space="0" w:color="auto"/>
                      </w:divBdr>
                      <w:divsChild>
                        <w:div w:id="833646424">
                          <w:marLeft w:val="0"/>
                          <w:marRight w:val="0"/>
                          <w:marTop w:val="0"/>
                          <w:marBottom w:val="0"/>
                          <w:divBdr>
                            <w:top w:val="none" w:sz="0" w:space="0" w:color="auto"/>
                            <w:left w:val="none" w:sz="0" w:space="0" w:color="auto"/>
                            <w:bottom w:val="none" w:sz="0" w:space="0" w:color="auto"/>
                            <w:right w:val="none" w:sz="0" w:space="0" w:color="auto"/>
                          </w:divBdr>
                          <w:divsChild>
                            <w:div w:id="882715555">
                              <w:marLeft w:val="0"/>
                              <w:marRight w:val="0"/>
                              <w:marTop w:val="0"/>
                              <w:marBottom w:val="0"/>
                              <w:divBdr>
                                <w:top w:val="none" w:sz="0" w:space="0" w:color="auto"/>
                                <w:left w:val="none" w:sz="0" w:space="0" w:color="auto"/>
                                <w:bottom w:val="none" w:sz="0" w:space="0" w:color="auto"/>
                                <w:right w:val="none" w:sz="0" w:space="0" w:color="auto"/>
                              </w:divBdr>
                              <w:divsChild>
                                <w:div w:id="20149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93023">
                          <w:marLeft w:val="0"/>
                          <w:marRight w:val="0"/>
                          <w:marTop w:val="0"/>
                          <w:marBottom w:val="0"/>
                          <w:divBdr>
                            <w:top w:val="none" w:sz="0" w:space="0" w:color="auto"/>
                            <w:left w:val="none" w:sz="0" w:space="0" w:color="auto"/>
                            <w:bottom w:val="none" w:sz="0" w:space="0" w:color="auto"/>
                            <w:right w:val="none" w:sz="0" w:space="0" w:color="auto"/>
                          </w:divBdr>
                          <w:divsChild>
                            <w:div w:id="1476490033">
                              <w:marLeft w:val="0"/>
                              <w:marRight w:val="0"/>
                              <w:marTop w:val="0"/>
                              <w:marBottom w:val="0"/>
                              <w:divBdr>
                                <w:top w:val="none" w:sz="0" w:space="0" w:color="auto"/>
                                <w:left w:val="none" w:sz="0" w:space="0" w:color="auto"/>
                                <w:bottom w:val="none" w:sz="0" w:space="0" w:color="auto"/>
                                <w:right w:val="none" w:sz="0" w:space="0" w:color="auto"/>
                              </w:divBdr>
                              <w:divsChild>
                                <w:div w:id="1753233588">
                                  <w:marLeft w:val="0"/>
                                  <w:marRight w:val="0"/>
                                  <w:marTop w:val="0"/>
                                  <w:marBottom w:val="0"/>
                                  <w:divBdr>
                                    <w:top w:val="none" w:sz="0" w:space="0" w:color="auto"/>
                                    <w:left w:val="none" w:sz="0" w:space="0" w:color="auto"/>
                                    <w:bottom w:val="none" w:sz="0" w:space="0" w:color="auto"/>
                                    <w:right w:val="none" w:sz="0" w:space="0" w:color="auto"/>
                                  </w:divBdr>
                                  <w:divsChild>
                                    <w:div w:id="2443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00450">
      <w:bodyDiv w:val="1"/>
      <w:marLeft w:val="0"/>
      <w:marRight w:val="0"/>
      <w:marTop w:val="0"/>
      <w:marBottom w:val="0"/>
      <w:divBdr>
        <w:top w:val="none" w:sz="0" w:space="0" w:color="auto"/>
        <w:left w:val="none" w:sz="0" w:space="0" w:color="auto"/>
        <w:bottom w:val="none" w:sz="0" w:space="0" w:color="auto"/>
        <w:right w:val="none" w:sz="0" w:space="0" w:color="auto"/>
      </w:divBdr>
      <w:divsChild>
        <w:div w:id="1724406509">
          <w:marLeft w:val="480"/>
          <w:marRight w:val="0"/>
          <w:marTop w:val="0"/>
          <w:marBottom w:val="0"/>
          <w:divBdr>
            <w:top w:val="none" w:sz="0" w:space="0" w:color="auto"/>
            <w:left w:val="none" w:sz="0" w:space="0" w:color="auto"/>
            <w:bottom w:val="none" w:sz="0" w:space="0" w:color="auto"/>
            <w:right w:val="none" w:sz="0" w:space="0" w:color="auto"/>
          </w:divBdr>
          <w:divsChild>
            <w:div w:id="9180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6478">
      <w:bodyDiv w:val="1"/>
      <w:marLeft w:val="0"/>
      <w:marRight w:val="0"/>
      <w:marTop w:val="0"/>
      <w:marBottom w:val="0"/>
      <w:divBdr>
        <w:top w:val="none" w:sz="0" w:space="0" w:color="auto"/>
        <w:left w:val="none" w:sz="0" w:space="0" w:color="auto"/>
        <w:bottom w:val="none" w:sz="0" w:space="0" w:color="auto"/>
        <w:right w:val="none" w:sz="0" w:space="0" w:color="auto"/>
      </w:divBdr>
    </w:div>
    <w:div w:id="1371031327">
      <w:bodyDiv w:val="1"/>
      <w:marLeft w:val="0"/>
      <w:marRight w:val="0"/>
      <w:marTop w:val="0"/>
      <w:marBottom w:val="0"/>
      <w:divBdr>
        <w:top w:val="none" w:sz="0" w:space="0" w:color="auto"/>
        <w:left w:val="none" w:sz="0" w:space="0" w:color="auto"/>
        <w:bottom w:val="none" w:sz="0" w:space="0" w:color="auto"/>
        <w:right w:val="none" w:sz="0" w:space="0" w:color="auto"/>
      </w:divBdr>
      <w:divsChild>
        <w:div w:id="1592279760">
          <w:marLeft w:val="0"/>
          <w:marRight w:val="0"/>
          <w:marTop w:val="0"/>
          <w:marBottom w:val="0"/>
          <w:divBdr>
            <w:top w:val="none" w:sz="0" w:space="0" w:color="242424"/>
            <w:left w:val="none" w:sz="0" w:space="0" w:color="242424"/>
            <w:bottom w:val="none" w:sz="0" w:space="0" w:color="242424"/>
            <w:right w:val="none" w:sz="0" w:space="0" w:color="242424"/>
          </w:divBdr>
          <w:divsChild>
            <w:div w:id="16570575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374815777">
      <w:bodyDiv w:val="1"/>
      <w:marLeft w:val="0"/>
      <w:marRight w:val="0"/>
      <w:marTop w:val="0"/>
      <w:marBottom w:val="0"/>
      <w:divBdr>
        <w:top w:val="none" w:sz="0" w:space="0" w:color="auto"/>
        <w:left w:val="none" w:sz="0" w:space="0" w:color="auto"/>
        <w:bottom w:val="none" w:sz="0" w:space="0" w:color="auto"/>
        <w:right w:val="none" w:sz="0" w:space="0" w:color="auto"/>
      </w:divBdr>
      <w:divsChild>
        <w:div w:id="1069502725">
          <w:marLeft w:val="480"/>
          <w:marRight w:val="0"/>
          <w:marTop w:val="0"/>
          <w:marBottom w:val="0"/>
          <w:divBdr>
            <w:top w:val="none" w:sz="0" w:space="0" w:color="auto"/>
            <w:left w:val="none" w:sz="0" w:space="0" w:color="auto"/>
            <w:bottom w:val="none" w:sz="0" w:space="0" w:color="auto"/>
            <w:right w:val="none" w:sz="0" w:space="0" w:color="auto"/>
          </w:divBdr>
          <w:divsChild>
            <w:div w:id="18650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693">
      <w:bodyDiv w:val="1"/>
      <w:marLeft w:val="0"/>
      <w:marRight w:val="0"/>
      <w:marTop w:val="0"/>
      <w:marBottom w:val="0"/>
      <w:divBdr>
        <w:top w:val="none" w:sz="0" w:space="0" w:color="auto"/>
        <w:left w:val="none" w:sz="0" w:space="0" w:color="auto"/>
        <w:bottom w:val="none" w:sz="0" w:space="0" w:color="auto"/>
        <w:right w:val="none" w:sz="0" w:space="0" w:color="auto"/>
      </w:divBdr>
      <w:divsChild>
        <w:div w:id="1493764119">
          <w:marLeft w:val="0"/>
          <w:marRight w:val="0"/>
          <w:marTop w:val="0"/>
          <w:marBottom w:val="0"/>
          <w:divBdr>
            <w:top w:val="none" w:sz="0" w:space="0" w:color="auto"/>
            <w:left w:val="none" w:sz="0" w:space="0" w:color="auto"/>
            <w:bottom w:val="none" w:sz="0" w:space="0" w:color="auto"/>
            <w:right w:val="none" w:sz="0" w:space="0" w:color="auto"/>
          </w:divBdr>
        </w:div>
      </w:divsChild>
    </w:div>
    <w:div w:id="1428304839">
      <w:bodyDiv w:val="1"/>
      <w:marLeft w:val="0"/>
      <w:marRight w:val="0"/>
      <w:marTop w:val="0"/>
      <w:marBottom w:val="0"/>
      <w:divBdr>
        <w:top w:val="none" w:sz="0" w:space="0" w:color="auto"/>
        <w:left w:val="none" w:sz="0" w:space="0" w:color="auto"/>
        <w:bottom w:val="none" w:sz="0" w:space="0" w:color="auto"/>
        <w:right w:val="none" w:sz="0" w:space="0" w:color="auto"/>
      </w:divBdr>
      <w:divsChild>
        <w:div w:id="1468667384">
          <w:marLeft w:val="480"/>
          <w:marRight w:val="0"/>
          <w:marTop w:val="0"/>
          <w:marBottom w:val="0"/>
          <w:divBdr>
            <w:top w:val="none" w:sz="0" w:space="0" w:color="auto"/>
            <w:left w:val="none" w:sz="0" w:space="0" w:color="auto"/>
            <w:bottom w:val="none" w:sz="0" w:space="0" w:color="auto"/>
            <w:right w:val="none" w:sz="0" w:space="0" w:color="auto"/>
          </w:divBdr>
          <w:divsChild>
            <w:div w:id="7082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6728">
      <w:bodyDiv w:val="1"/>
      <w:marLeft w:val="0"/>
      <w:marRight w:val="0"/>
      <w:marTop w:val="0"/>
      <w:marBottom w:val="0"/>
      <w:divBdr>
        <w:top w:val="none" w:sz="0" w:space="0" w:color="auto"/>
        <w:left w:val="none" w:sz="0" w:space="0" w:color="auto"/>
        <w:bottom w:val="none" w:sz="0" w:space="0" w:color="auto"/>
        <w:right w:val="none" w:sz="0" w:space="0" w:color="auto"/>
      </w:divBdr>
      <w:divsChild>
        <w:div w:id="766852479">
          <w:marLeft w:val="0"/>
          <w:marRight w:val="0"/>
          <w:marTop w:val="0"/>
          <w:marBottom w:val="0"/>
          <w:divBdr>
            <w:top w:val="none" w:sz="0" w:space="0" w:color="auto"/>
            <w:left w:val="none" w:sz="0" w:space="0" w:color="auto"/>
            <w:bottom w:val="none" w:sz="0" w:space="0" w:color="auto"/>
            <w:right w:val="none" w:sz="0" w:space="0" w:color="auto"/>
          </w:divBdr>
        </w:div>
      </w:divsChild>
    </w:div>
    <w:div w:id="1522743745">
      <w:bodyDiv w:val="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242424"/>
            <w:left w:val="none" w:sz="0" w:space="0" w:color="242424"/>
            <w:bottom w:val="none" w:sz="0" w:space="0" w:color="242424"/>
            <w:right w:val="none" w:sz="0" w:space="0" w:color="242424"/>
          </w:divBdr>
          <w:divsChild>
            <w:div w:id="57798568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524049045">
      <w:bodyDiv w:val="1"/>
      <w:marLeft w:val="0"/>
      <w:marRight w:val="0"/>
      <w:marTop w:val="0"/>
      <w:marBottom w:val="0"/>
      <w:divBdr>
        <w:top w:val="none" w:sz="0" w:space="0" w:color="auto"/>
        <w:left w:val="none" w:sz="0" w:space="0" w:color="auto"/>
        <w:bottom w:val="none" w:sz="0" w:space="0" w:color="auto"/>
        <w:right w:val="none" w:sz="0" w:space="0" w:color="auto"/>
      </w:divBdr>
    </w:div>
    <w:div w:id="1524588140">
      <w:bodyDiv w:val="1"/>
      <w:marLeft w:val="0"/>
      <w:marRight w:val="0"/>
      <w:marTop w:val="0"/>
      <w:marBottom w:val="0"/>
      <w:divBdr>
        <w:top w:val="none" w:sz="0" w:space="0" w:color="auto"/>
        <w:left w:val="none" w:sz="0" w:space="0" w:color="auto"/>
        <w:bottom w:val="none" w:sz="0" w:space="0" w:color="auto"/>
        <w:right w:val="none" w:sz="0" w:space="0" w:color="auto"/>
      </w:divBdr>
      <w:divsChild>
        <w:div w:id="167329442">
          <w:marLeft w:val="480"/>
          <w:marRight w:val="0"/>
          <w:marTop w:val="0"/>
          <w:marBottom w:val="0"/>
          <w:divBdr>
            <w:top w:val="none" w:sz="0" w:space="0" w:color="auto"/>
            <w:left w:val="none" w:sz="0" w:space="0" w:color="auto"/>
            <w:bottom w:val="none" w:sz="0" w:space="0" w:color="auto"/>
            <w:right w:val="none" w:sz="0" w:space="0" w:color="auto"/>
          </w:divBdr>
          <w:divsChild>
            <w:div w:id="4659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7272">
      <w:bodyDiv w:val="1"/>
      <w:marLeft w:val="0"/>
      <w:marRight w:val="0"/>
      <w:marTop w:val="0"/>
      <w:marBottom w:val="0"/>
      <w:divBdr>
        <w:top w:val="none" w:sz="0" w:space="0" w:color="auto"/>
        <w:left w:val="none" w:sz="0" w:space="0" w:color="auto"/>
        <w:bottom w:val="none" w:sz="0" w:space="0" w:color="auto"/>
        <w:right w:val="none" w:sz="0" w:space="0" w:color="auto"/>
      </w:divBdr>
      <w:divsChild>
        <w:div w:id="630869767">
          <w:marLeft w:val="480"/>
          <w:marRight w:val="0"/>
          <w:marTop w:val="0"/>
          <w:marBottom w:val="0"/>
          <w:divBdr>
            <w:top w:val="none" w:sz="0" w:space="0" w:color="auto"/>
            <w:left w:val="none" w:sz="0" w:space="0" w:color="auto"/>
            <w:bottom w:val="none" w:sz="0" w:space="0" w:color="auto"/>
            <w:right w:val="none" w:sz="0" w:space="0" w:color="auto"/>
          </w:divBdr>
          <w:divsChild>
            <w:div w:id="211650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454">
      <w:bodyDiv w:val="1"/>
      <w:marLeft w:val="0"/>
      <w:marRight w:val="0"/>
      <w:marTop w:val="0"/>
      <w:marBottom w:val="0"/>
      <w:divBdr>
        <w:top w:val="none" w:sz="0" w:space="0" w:color="auto"/>
        <w:left w:val="none" w:sz="0" w:space="0" w:color="auto"/>
        <w:bottom w:val="none" w:sz="0" w:space="0" w:color="auto"/>
        <w:right w:val="none" w:sz="0" w:space="0" w:color="auto"/>
      </w:divBdr>
    </w:div>
    <w:div w:id="1596522852">
      <w:bodyDiv w:val="1"/>
      <w:marLeft w:val="0"/>
      <w:marRight w:val="0"/>
      <w:marTop w:val="0"/>
      <w:marBottom w:val="0"/>
      <w:divBdr>
        <w:top w:val="none" w:sz="0" w:space="0" w:color="auto"/>
        <w:left w:val="none" w:sz="0" w:space="0" w:color="auto"/>
        <w:bottom w:val="none" w:sz="0" w:space="0" w:color="auto"/>
        <w:right w:val="none" w:sz="0" w:space="0" w:color="auto"/>
      </w:divBdr>
      <w:divsChild>
        <w:div w:id="1289315461">
          <w:marLeft w:val="480"/>
          <w:marRight w:val="0"/>
          <w:marTop w:val="0"/>
          <w:marBottom w:val="0"/>
          <w:divBdr>
            <w:top w:val="none" w:sz="0" w:space="0" w:color="auto"/>
            <w:left w:val="none" w:sz="0" w:space="0" w:color="auto"/>
            <w:bottom w:val="none" w:sz="0" w:space="0" w:color="auto"/>
            <w:right w:val="none" w:sz="0" w:space="0" w:color="auto"/>
          </w:divBdr>
          <w:divsChild>
            <w:div w:id="10249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6275">
      <w:bodyDiv w:val="1"/>
      <w:marLeft w:val="0"/>
      <w:marRight w:val="0"/>
      <w:marTop w:val="0"/>
      <w:marBottom w:val="0"/>
      <w:divBdr>
        <w:top w:val="none" w:sz="0" w:space="0" w:color="auto"/>
        <w:left w:val="none" w:sz="0" w:space="0" w:color="auto"/>
        <w:bottom w:val="none" w:sz="0" w:space="0" w:color="auto"/>
        <w:right w:val="none" w:sz="0" w:space="0" w:color="auto"/>
      </w:divBdr>
      <w:divsChild>
        <w:div w:id="621808096">
          <w:marLeft w:val="480"/>
          <w:marRight w:val="0"/>
          <w:marTop w:val="0"/>
          <w:marBottom w:val="0"/>
          <w:divBdr>
            <w:top w:val="none" w:sz="0" w:space="0" w:color="auto"/>
            <w:left w:val="none" w:sz="0" w:space="0" w:color="auto"/>
            <w:bottom w:val="none" w:sz="0" w:space="0" w:color="auto"/>
            <w:right w:val="none" w:sz="0" w:space="0" w:color="auto"/>
          </w:divBdr>
          <w:divsChild>
            <w:div w:id="2533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4468">
      <w:bodyDiv w:val="1"/>
      <w:marLeft w:val="0"/>
      <w:marRight w:val="0"/>
      <w:marTop w:val="0"/>
      <w:marBottom w:val="0"/>
      <w:divBdr>
        <w:top w:val="none" w:sz="0" w:space="0" w:color="auto"/>
        <w:left w:val="none" w:sz="0" w:space="0" w:color="auto"/>
        <w:bottom w:val="none" w:sz="0" w:space="0" w:color="auto"/>
        <w:right w:val="none" w:sz="0" w:space="0" w:color="auto"/>
      </w:divBdr>
      <w:divsChild>
        <w:div w:id="501360302">
          <w:marLeft w:val="480"/>
          <w:marRight w:val="0"/>
          <w:marTop w:val="0"/>
          <w:marBottom w:val="0"/>
          <w:divBdr>
            <w:top w:val="none" w:sz="0" w:space="0" w:color="auto"/>
            <w:left w:val="none" w:sz="0" w:space="0" w:color="auto"/>
            <w:bottom w:val="none" w:sz="0" w:space="0" w:color="auto"/>
            <w:right w:val="none" w:sz="0" w:space="0" w:color="auto"/>
          </w:divBdr>
          <w:divsChild>
            <w:div w:id="6832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0276">
      <w:bodyDiv w:val="1"/>
      <w:marLeft w:val="0"/>
      <w:marRight w:val="0"/>
      <w:marTop w:val="0"/>
      <w:marBottom w:val="0"/>
      <w:divBdr>
        <w:top w:val="none" w:sz="0" w:space="0" w:color="auto"/>
        <w:left w:val="none" w:sz="0" w:space="0" w:color="auto"/>
        <w:bottom w:val="none" w:sz="0" w:space="0" w:color="auto"/>
        <w:right w:val="none" w:sz="0" w:space="0" w:color="auto"/>
      </w:divBdr>
      <w:divsChild>
        <w:div w:id="74743266">
          <w:marLeft w:val="480"/>
          <w:marRight w:val="0"/>
          <w:marTop w:val="0"/>
          <w:marBottom w:val="0"/>
          <w:divBdr>
            <w:top w:val="none" w:sz="0" w:space="0" w:color="auto"/>
            <w:left w:val="none" w:sz="0" w:space="0" w:color="auto"/>
            <w:bottom w:val="none" w:sz="0" w:space="0" w:color="auto"/>
            <w:right w:val="none" w:sz="0" w:space="0" w:color="auto"/>
          </w:divBdr>
          <w:divsChild>
            <w:div w:id="19206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0702">
      <w:bodyDiv w:val="1"/>
      <w:marLeft w:val="0"/>
      <w:marRight w:val="0"/>
      <w:marTop w:val="0"/>
      <w:marBottom w:val="0"/>
      <w:divBdr>
        <w:top w:val="none" w:sz="0" w:space="0" w:color="auto"/>
        <w:left w:val="none" w:sz="0" w:space="0" w:color="auto"/>
        <w:bottom w:val="none" w:sz="0" w:space="0" w:color="auto"/>
        <w:right w:val="none" w:sz="0" w:space="0" w:color="auto"/>
      </w:divBdr>
    </w:div>
    <w:div w:id="1711832124">
      <w:bodyDiv w:val="1"/>
      <w:marLeft w:val="0"/>
      <w:marRight w:val="0"/>
      <w:marTop w:val="0"/>
      <w:marBottom w:val="0"/>
      <w:divBdr>
        <w:top w:val="none" w:sz="0" w:space="0" w:color="auto"/>
        <w:left w:val="none" w:sz="0" w:space="0" w:color="auto"/>
        <w:bottom w:val="none" w:sz="0" w:space="0" w:color="auto"/>
        <w:right w:val="none" w:sz="0" w:space="0" w:color="auto"/>
      </w:divBdr>
    </w:div>
    <w:div w:id="1713071417">
      <w:bodyDiv w:val="1"/>
      <w:marLeft w:val="0"/>
      <w:marRight w:val="0"/>
      <w:marTop w:val="0"/>
      <w:marBottom w:val="0"/>
      <w:divBdr>
        <w:top w:val="none" w:sz="0" w:space="0" w:color="auto"/>
        <w:left w:val="none" w:sz="0" w:space="0" w:color="auto"/>
        <w:bottom w:val="none" w:sz="0" w:space="0" w:color="auto"/>
        <w:right w:val="none" w:sz="0" w:space="0" w:color="auto"/>
      </w:divBdr>
      <w:divsChild>
        <w:div w:id="21633556">
          <w:marLeft w:val="0"/>
          <w:marRight w:val="0"/>
          <w:marTop w:val="0"/>
          <w:marBottom w:val="0"/>
          <w:divBdr>
            <w:top w:val="none" w:sz="0" w:space="0" w:color="auto"/>
            <w:left w:val="none" w:sz="0" w:space="0" w:color="auto"/>
            <w:bottom w:val="none" w:sz="0" w:space="0" w:color="auto"/>
            <w:right w:val="none" w:sz="0" w:space="0" w:color="auto"/>
          </w:divBdr>
        </w:div>
        <w:div w:id="30345843">
          <w:marLeft w:val="0"/>
          <w:marRight w:val="0"/>
          <w:marTop w:val="0"/>
          <w:marBottom w:val="0"/>
          <w:divBdr>
            <w:top w:val="none" w:sz="0" w:space="0" w:color="auto"/>
            <w:left w:val="none" w:sz="0" w:space="0" w:color="auto"/>
            <w:bottom w:val="none" w:sz="0" w:space="0" w:color="auto"/>
            <w:right w:val="none" w:sz="0" w:space="0" w:color="auto"/>
          </w:divBdr>
        </w:div>
        <w:div w:id="60371133">
          <w:marLeft w:val="0"/>
          <w:marRight w:val="0"/>
          <w:marTop w:val="0"/>
          <w:marBottom w:val="0"/>
          <w:divBdr>
            <w:top w:val="none" w:sz="0" w:space="0" w:color="auto"/>
            <w:left w:val="none" w:sz="0" w:space="0" w:color="auto"/>
            <w:bottom w:val="none" w:sz="0" w:space="0" w:color="auto"/>
            <w:right w:val="none" w:sz="0" w:space="0" w:color="auto"/>
          </w:divBdr>
        </w:div>
        <w:div w:id="122508336">
          <w:marLeft w:val="0"/>
          <w:marRight w:val="0"/>
          <w:marTop w:val="0"/>
          <w:marBottom w:val="0"/>
          <w:divBdr>
            <w:top w:val="none" w:sz="0" w:space="0" w:color="auto"/>
            <w:left w:val="none" w:sz="0" w:space="0" w:color="auto"/>
            <w:bottom w:val="none" w:sz="0" w:space="0" w:color="auto"/>
            <w:right w:val="none" w:sz="0" w:space="0" w:color="auto"/>
          </w:divBdr>
        </w:div>
        <w:div w:id="125123322">
          <w:marLeft w:val="0"/>
          <w:marRight w:val="0"/>
          <w:marTop w:val="0"/>
          <w:marBottom w:val="0"/>
          <w:divBdr>
            <w:top w:val="none" w:sz="0" w:space="0" w:color="auto"/>
            <w:left w:val="none" w:sz="0" w:space="0" w:color="auto"/>
            <w:bottom w:val="none" w:sz="0" w:space="0" w:color="auto"/>
            <w:right w:val="none" w:sz="0" w:space="0" w:color="auto"/>
          </w:divBdr>
        </w:div>
        <w:div w:id="159127530">
          <w:marLeft w:val="0"/>
          <w:marRight w:val="0"/>
          <w:marTop w:val="0"/>
          <w:marBottom w:val="0"/>
          <w:divBdr>
            <w:top w:val="none" w:sz="0" w:space="0" w:color="auto"/>
            <w:left w:val="none" w:sz="0" w:space="0" w:color="auto"/>
            <w:bottom w:val="none" w:sz="0" w:space="0" w:color="auto"/>
            <w:right w:val="none" w:sz="0" w:space="0" w:color="auto"/>
          </w:divBdr>
        </w:div>
        <w:div w:id="245267535">
          <w:marLeft w:val="0"/>
          <w:marRight w:val="0"/>
          <w:marTop w:val="0"/>
          <w:marBottom w:val="0"/>
          <w:divBdr>
            <w:top w:val="none" w:sz="0" w:space="0" w:color="auto"/>
            <w:left w:val="none" w:sz="0" w:space="0" w:color="auto"/>
            <w:bottom w:val="none" w:sz="0" w:space="0" w:color="auto"/>
            <w:right w:val="none" w:sz="0" w:space="0" w:color="auto"/>
          </w:divBdr>
          <w:divsChild>
            <w:div w:id="714697779">
              <w:marLeft w:val="-75"/>
              <w:marRight w:val="0"/>
              <w:marTop w:val="30"/>
              <w:marBottom w:val="30"/>
              <w:divBdr>
                <w:top w:val="none" w:sz="0" w:space="0" w:color="auto"/>
                <w:left w:val="none" w:sz="0" w:space="0" w:color="auto"/>
                <w:bottom w:val="none" w:sz="0" w:space="0" w:color="auto"/>
                <w:right w:val="none" w:sz="0" w:space="0" w:color="auto"/>
              </w:divBdr>
              <w:divsChild>
                <w:div w:id="22023557">
                  <w:marLeft w:val="0"/>
                  <w:marRight w:val="0"/>
                  <w:marTop w:val="0"/>
                  <w:marBottom w:val="0"/>
                  <w:divBdr>
                    <w:top w:val="none" w:sz="0" w:space="0" w:color="auto"/>
                    <w:left w:val="none" w:sz="0" w:space="0" w:color="auto"/>
                    <w:bottom w:val="none" w:sz="0" w:space="0" w:color="auto"/>
                    <w:right w:val="none" w:sz="0" w:space="0" w:color="auto"/>
                  </w:divBdr>
                  <w:divsChild>
                    <w:div w:id="281961142">
                      <w:marLeft w:val="0"/>
                      <w:marRight w:val="0"/>
                      <w:marTop w:val="0"/>
                      <w:marBottom w:val="0"/>
                      <w:divBdr>
                        <w:top w:val="none" w:sz="0" w:space="0" w:color="auto"/>
                        <w:left w:val="none" w:sz="0" w:space="0" w:color="auto"/>
                        <w:bottom w:val="none" w:sz="0" w:space="0" w:color="auto"/>
                        <w:right w:val="none" w:sz="0" w:space="0" w:color="auto"/>
                      </w:divBdr>
                    </w:div>
                  </w:divsChild>
                </w:div>
                <w:div w:id="36710462">
                  <w:marLeft w:val="0"/>
                  <w:marRight w:val="0"/>
                  <w:marTop w:val="0"/>
                  <w:marBottom w:val="0"/>
                  <w:divBdr>
                    <w:top w:val="none" w:sz="0" w:space="0" w:color="auto"/>
                    <w:left w:val="none" w:sz="0" w:space="0" w:color="auto"/>
                    <w:bottom w:val="none" w:sz="0" w:space="0" w:color="auto"/>
                    <w:right w:val="none" w:sz="0" w:space="0" w:color="auto"/>
                  </w:divBdr>
                  <w:divsChild>
                    <w:div w:id="565919014">
                      <w:marLeft w:val="0"/>
                      <w:marRight w:val="0"/>
                      <w:marTop w:val="0"/>
                      <w:marBottom w:val="0"/>
                      <w:divBdr>
                        <w:top w:val="none" w:sz="0" w:space="0" w:color="auto"/>
                        <w:left w:val="none" w:sz="0" w:space="0" w:color="auto"/>
                        <w:bottom w:val="none" w:sz="0" w:space="0" w:color="auto"/>
                        <w:right w:val="none" w:sz="0" w:space="0" w:color="auto"/>
                      </w:divBdr>
                    </w:div>
                  </w:divsChild>
                </w:div>
                <w:div w:id="97604324">
                  <w:marLeft w:val="0"/>
                  <w:marRight w:val="0"/>
                  <w:marTop w:val="0"/>
                  <w:marBottom w:val="0"/>
                  <w:divBdr>
                    <w:top w:val="none" w:sz="0" w:space="0" w:color="auto"/>
                    <w:left w:val="none" w:sz="0" w:space="0" w:color="auto"/>
                    <w:bottom w:val="none" w:sz="0" w:space="0" w:color="auto"/>
                    <w:right w:val="none" w:sz="0" w:space="0" w:color="auto"/>
                  </w:divBdr>
                  <w:divsChild>
                    <w:div w:id="642346162">
                      <w:marLeft w:val="0"/>
                      <w:marRight w:val="0"/>
                      <w:marTop w:val="0"/>
                      <w:marBottom w:val="0"/>
                      <w:divBdr>
                        <w:top w:val="none" w:sz="0" w:space="0" w:color="auto"/>
                        <w:left w:val="none" w:sz="0" w:space="0" w:color="auto"/>
                        <w:bottom w:val="none" w:sz="0" w:space="0" w:color="auto"/>
                        <w:right w:val="none" w:sz="0" w:space="0" w:color="auto"/>
                      </w:divBdr>
                    </w:div>
                  </w:divsChild>
                </w:div>
                <w:div w:id="202866231">
                  <w:marLeft w:val="0"/>
                  <w:marRight w:val="0"/>
                  <w:marTop w:val="0"/>
                  <w:marBottom w:val="0"/>
                  <w:divBdr>
                    <w:top w:val="none" w:sz="0" w:space="0" w:color="auto"/>
                    <w:left w:val="none" w:sz="0" w:space="0" w:color="auto"/>
                    <w:bottom w:val="none" w:sz="0" w:space="0" w:color="auto"/>
                    <w:right w:val="none" w:sz="0" w:space="0" w:color="auto"/>
                  </w:divBdr>
                  <w:divsChild>
                    <w:div w:id="57676625">
                      <w:marLeft w:val="0"/>
                      <w:marRight w:val="0"/>
                      <w:marTop w:val="0"/>
                      <w:marBottom w:val="0"/>
                      <w:divBdr>
                        <w:top w:val="none" w:sz="0" w:space="0" w:color="auto"/>
                        <w:left w:val="none" w:sz="0" w:space="0" w:color="auto"/>
                        <w:bottom w:val="none" w:sz="0" w:space="0" w:color="auto"/>
                        <w:right w:val="none" w:sz="0" w:space="0" w:color="auto"/>
                      </w:divBdr>
                    </w:div>
                  </w:divsChild>
                </w:div>
                <w:div w:id="273949416">
                  <w:marLeft w:val="0"/>
                  <w:marRight w:val="0"/>
                  <w:marTop w:val="0"/>
                  <w:marBottom w:val="0"/>
                  <w:divBdr>
                    <w:top w:val="none" w:sz="0" w:space="0" w:color="auto"/>
                    <w:left w:val="none" w:sz="0" w:space="0" w:color="auto"/>
                    <w:bottom w:val="none" w:sz="0" w:space="0" w:color="auto"/>
                    <w:right w:val="none" w:sz="0" w:space="0" w:color="auto"/>
                  </w:divBdr>
                  <w:divsChild>
                    <w:div w:id="1864325674">
                      <w:marLeft w:val="0"/>
                      <w:marRight w:val="0"/>
                      <w:marTop w:val="0"/>
                      <w:marBottom w:val="0"/>
                      <w:divBdr>
                        <w:top w:val="none" w:sz="0" w:space="0" w:color="auto"/>
                        <w:left w:val="none" w:sz="0" w:space="0" w:color="auto"/>
                        <w:bottom w:val="none" w:sz="0" w:space="0" w:color="auto"/>
                        <w:right w:val="none" w:sz="0" w:space="0" w:color="auto"/>
                      </w:divBdr>
                    </w:div>
                  </w:divsChild>
                </w:div>
                <w:div w:id="295067009">
                  <w:marLeft w:val="0"/>
                  <w:marRight w:val="0"/>
                  <w:marTop w:val="0"/>
                  <w:marBottom w:val="0"/>
                  <w:divBdr>
                    <w:top w:val="none" w:sz="0" w:space="0" w:color="auto"/>
                    <w:left w:val="none" w:sz="0" w:space="0" w:color="auto"/>
                    <w:bottom w:val="none" w:sz="0" w:space="0" w:color="auto"/>
                    <w:right w:val="none" w:sz="0" w:space="0" w:color="auto"/>
                  </w:divBdr>
                  <w:divsChild>
                    <w:div w:id="845048746">
                      <w:marLeft w:val="0"/>
                      <w:marRight w:val="0"/>
                      <w:marTop w:val="0"/>
                      <w:marBottom w:val="0"/>
                      <w:divBdr>
                        <w:top w:val="none" w:sz="0" w:space="0" w:color="auto"/>
                        <w:left w:val="none" w:sz="0" w:space="0" w:color="auto"/>
                        <w:bottom w:val="none" w:sz="0" w:space="0" w:color="auto"/>
                        <w:right w:val="none" w:sz="0" w:space="0" w:color="auto"/>
                      </w:divBdr>
                    </w:div>
                  </w:divsChild>
                </w:div>
                <w:div w:id="374233661">
                  <w:marLeft w:val="0"/>
                  <w:marRight w:val="0"/>
                  <w:marTop w:val="0"/>
                  <w:marBottom w:val="0"/>
                  <w:divBdr>
                    <w:top w:val="none" w:sz="0" w:space="0" w:color="auto"/>
                    <w:left w:val="none" w:sz="0" w:space="0" w:color="auto"/>
                    <w:bottom w:val="none" w:sz="0" w:space="0" w:color="auto"/>
                    <w:right w:val="none" w:sz="0" w:space="0" w:color="auto"/>
                  </w:divBdr>
                  <w:divsChild>
                    <w:div w:id="1023942105">
                      <w:marLeft w:val="0"/>
                      <w:marRight w:val="0"/>
                      <w:marTop w:val="0"/>
                      <w:marBottom w:val="0"/>
                      <w:divBdr>
                        <w:top w:val="none" w:sz="0" w:space="0" w:color="auto"/>
                        <w:left w:val="none" w:sz="0" w:space="0" w:color="auto"/>
                        <w:bottom w:val="none" w:sz="0" w:space="0" w:color="auto"/>
                        <w:right w:val="none" w:sz="0" w:space="0" w:color="auto"/>
                      </w:divBdr>
                    </w:div>
                  </w:divsChild>
                </w:div>
                <w:div w:id="404882903">
                  <w:marLeft w:val="0"/>
                  <w:marRight w:val="0"/>
                  <w:marTop w:val="0"/>
                  <w:marBottom w:val="0"/>
                  <w:divBdr>
                    <w:top w:val="none" w:sz="0" w:space="0" w:color="auto"/>
                    <w:left w:val="none" w:sz="0" w:space="0" w:color="auto"/>
                    <w:bottom w:val="none" w:sz="0" w:space="0" w:color="auto"/>
                    <w:right w:val="none" w:sz="0" w:space="0" w:color="auto"/>
                  </w:divBdr>
                  <w:divsChild>
                    <w:div w:id="426464496">
                      <w:marLeft w:val="0"/>
                      <w:marRight w:val="0"/>
                      <w:marTop w:val="0"/>
                      <w:marBottom w:val="0"/>
                      <w:divBdr>
                        <w:top w:val="none" w:sz="0" w:space="0" w:color="auto"/>
                        <w:left w:val="none" w:sz="0" w:space="0" w:color="auto"/>
                        <w:bottom w:val="none" w:sz="0" w:space="0" w:color="auto"/>
                        <w:right w:val="none" w:sz="0" w:space="0" w:color="auto"/>
                      </w:divBdr>
                    </w:div>
                  </w:divsChild>
                </w:div>
                <w:div w:id="701857231">
                  <w:marLeft w:val="0"/>
                  <w:marRight w:val="0"/>
                  <w:marTop w:val="0"/>
                  <w:marBottom w:val="0"/>
                  <w:divBdr>
                    <w:top w:val="none" w:sz="0" w:space="0" w:color="auto"/>
                    <w:left w:val="none" w:sz="0" w:space="0" w:color="auto"/>
                    <w:bottom w:val="none" w:sz="0" w:space="0" w:color="auto"/>
                    <w:right w:val="none" w:sz="0" w:space="0" w:color="auto"/>
                  </w:divBdr>
                  <w:divsChild>
                    <w:div w:id="568423276">
                      <w:marLeft w:val="0"/>
                      <w:marRight w:val="0"/>
                      <w:marTop w:val="0"/>
                      <w:marBottom w:val="0"/>
                      <w:divBdr>
                        <w:top w:val="none" w:sz="0" w:space="0" w:color="auto"/>
                        <w:left w:val="none" w:sz="0" w:space="0" w:color="auto"/>
                        <w:bottom w:val="none" w:sz="0" w:space="0" w:color="auto"/>
                        <w:right w:val="none" w:sz="0" w:space="0" w:color="auto"/>
                      </w:divBdr>
                    </w:div>
                  </w:divsChild>
                </w:div>
                <w:div w:id="784234865">
                  <w:marLeft w:val="0"/>
                  <w:marRight w:val="0"/>
                  <w:marTop w:val="0"/>
                  <w:marBottom w:val="0"/>
                  <w:divBdr>
                    <w:top w:val="none" w:sz="0" w:space="0" w:color="auto"/>
                    <w:left w:val="none" w:sz="0" w:space="0" w:color="auto"/>
                    <w:bottom w:val="none" w:sz="0" w:space="0" w:color="auto"/>
                    <w:right w:val="none" w:sz="0" w:space="0" w:color="auto"/>
                  </w:divBdr>
                  <w:divsChild>
                    <w:div w:id="687221527">
                      <w:marLeft w:val="0"/>
                      <w:marRight w:val="0"/>
                      <w:marTop w:val="0"/>
                      <w:marBottom w:val="0"/>
                      <w:divBdr>
                        <w:top w:val="none" w:sz="0" w:space="0" w:color="auto"/>
                        <w:left w:val="none" w:sz="0" w:space="0" w:color="auto"/>
                        <w:bottom w:val="none" w:sz="0" w:space="0" w:color="auto"/>
                        <w:right w:val="none" w:sz="0" w:space="0" w:color="auto"/>
                      </w:divBdr>
                    </w:div>
                  </w:divsChild>
                </w:div>
                <w:div w:id="786044308">
                  <w:marLeft w:val="0"/>
                  <w:marRight w:val="0"/>
                  <w:marTop w:val="0"/>
                  <w:marBottom w:val="0"/>
                  <w:divBdr>
                    <w:top w:val="none" w:sz="0" w:space="0" w:color="auto"/>
                    <w:left w:val="none" w:sz="0" w:space="0" w:color="auto"/>
                    <w:bottom w:val="none" w:sz="0" w:space="0" w:color="auto"/>
                    <w:right w:val="none" w:sz="0" w:space="0" w:color="auto"/>
                  </w:divBdr>
                  <w:divsChild>
                    <w:div w:id="77335918">
                      <w:marLeft w:val="0"/>
                      <w:marRight w:val="0"/>
                      <w:marTop w:val="0"/>
                      <w:marBottom w:val="0"/>
                      <w:divBdr>
                        <w:top w:val="none" w:sz="0" w:space="0" w:color="auto"/>
                        <w:left w:val="none" w:sz="0" w:space="0" w:color="auto"/>
                        <w:bottom w:val="none" w:sz="0" w:space="0" w:color="auto"/>
                        <w:right w:val="none" w:sz="0" w:space="0" w:color="auto"/>
                      </w:divBdr>
                    </w:div>
                  </w:divsChild>
                </w:div>
                <w:div w:id="792671679">
                  <w:marLeft w:val="0"/>
                  <w:marRight w:val="0"/>
                  <w:marTop w:val="0"/>
                  <w:marBottom w:val="0"/>
                  <w:divBdr>
                    <w:top w:val="none" w:sz="0" w:space="0" w:color="auto"/>
                    <w:left w:val="none" w:sz="0" w:space="0" w:color="auto"/>
                    <w:bottom w:val="none" w:sz="0" w:space="0" w:color="auto"/>
                    <w:right w:val="none" w:sz="0" w:space="0" w:color="auto"/>
                  </w:divBdr>
                  <w:divsChild>
                    <w:div w:id="445739624">
                      <w:marLeft w:val="0"/>
                      <w:marRight w:val="0"/>
                      <w:marTop w:val="0"/>
                      <w:marBottom w:val="0"/>
                      <w:divBdr>
                        <w:top w:val="none" w:sz="0" w:space="0" w:color="auto"/>
                        <w:left w:val="none" w:sz="0" w:space="0" w:color="auto"/>
                        <w:bottom w:val="none" w:sz="0" w:space="0" w:color="auto"/>
                        <w:right w:val="none" w:sz="0" w:space="0" w:color="auto"/>
                      </w:divBdr>
                    </w:div>
                  </w:divsChild>
                </w:div>
                <w:div w:id="793912477">
                  <w:marLeft w:val="0"/>
                  <w:marRight w:val="0"/>
                  <w:marTop w:val="0"/>
                  <w:marBottom w:val="0"/>
                  <w:divBdr>
                    <w:top w:val="none" w:sz="0" w:space="0" w:color="auto"/>
                    <w:left w:val="none" w:sz="0" w:space="0" w:color="auto"/>
                    <w:bottom w:val="none" w:sz="0" w:space="0" w:color="auto"/>
                    <w:right w:val="none" w:sz="0" w:space="0" w:color="auto"/>
                  </w:divBdr>
                  <w:divsChild>
                    <w:div w:id="1397123457">
                      <w:marLeft w:val="0"/>
                      <w:marRight w:val="0"/>
                      <w:marTop w:val="0"/>
                      <w:marBottom w:val="0"/>
                      <w:divBdr>
                        <w:top w:val="none" w:sz="0" w:space="0" w:color="auto"/>
                        <w:left w:val="none" w:sz="0" w:space="0" w:color="auto"/>
                        <w:bottom w:val="none" w:sz="0" w:space="0" w:color="auto"/>
                        <w:right w:val="none" w:sz="0" w:space="0" w:color="auto"/>
                      </w:divBdr>
                    </w:div>
                  </w:divsChild>
                </w:div>
                <w:div w:id="800465989">
                  <w:marLeft w:val="0"/>
                  <w:marRight w:val="0"/>
                  <w:marTop w:val="0"/>
                  <w:marBottom w:val="0"/>
                  <w:divBdr>
                    <w:top w:val="none" w:sz="0" w:space="0" w:color="auto"/>
                    <w:left w:val="none" w:sz="0" w:space="0" w:color="auto"/>
                    <w:bottom w:val="none" w:sz="0" w:space="0" w:color="auto"/>
                    <w:right w:val="none" w:sz="0" w:space="0" w:color="auto"/>
                  </w:divBdr>
                  <w:divsChild>
                    <w:div w:id="215748413">
                      <w:marLeft w:val="0"/>
                      <w:marRight w:val="0"/>
                      <w:marTop w:val="0"/>
                      <w:marBottom w:val="0"/>
                      <w:divBdr>
                        <w:top w:val="none" w:sz="0" w:space="0" w:color="auto"/>
                        <w:left w:val="none" w:sz="0" w:space="0" w:color="auto"/>
                        <w:bottom w:val="none" w:sz="0" w:space="0" w:color="auto"/>
                        <w:right w:val="none" w:sz="0" w:space="0" w:color="auto"/>
                      </w:divBdr>
                    </w:div>
                  </w:divsChild>
                </w:div>
                <w:div w:id="823593329">
                  <w:marLeft w:val="0"/>
                  <w:marRight w:val="0"/>
                  <w:marTop w:val="0"/>
                  <w:marBottom w:val="0"/>
                  <w:divBdr>
                    <w:top w:val="none" w:sz="0" w:space="0" w:color="auto"/>
                    <w:left w:val="none" w:sz="0" w:space="0" w:color="auto"/>
                    <w:bottom w:val="none" w:sz="0" w:space="0" w:color="auto"/>
                    <w:right w:val="none" w:sz="0" w:space="0" w:color="auto"/>
                  </w:divBdr>
                  <w:divsChild>
                    <w:div w:id="551692876">
                      <w:marLeft w:val="0"/>
                      <w:marRight w:val="0"/>
                      <w:marTop w:val="0"/>
                      <w:marBottom w:val="0"/>
                      <w:divBdr>
                        <w:top w:val="none" w:sz="0" w:space="0" w:color="auto"/>
                        <w:left w:val="none" w:sz="0" w:space="0" w:color="auto"/>
                        <w:bottom w:val="none" w:sz="0" w:space="0" w:color="auto"/>
                        <w:right w:val="none" w:sz="0" w:space="0" w:color="auto"/>
                      </w:divBdr>
                    </w:div>
                  </w:divsChild>
                </w:div>
                <w:div w:id="846559371">
                  <w:marLeft w:val="0"/>
                  <w:marRight w:val="0"/>
                  <w:marTop w:val="0"/>
                  <w:marBottom w:val="0"/>
                  <w:divBdr>
                    <w:top w:val="none" w:sz="0" w:space="0" w:color="auto"/>
                    <w:left w:val="none" w:sz="0" w:space="0" w:color="auto"/>
                    <w:bottom w:val="none" w:sz="0" w:space="0" w:color="auto"/>
                    <w:right w:val="none" w:sz="0" w:space="0" w:color="auto"/>
                  </w:divBdr>
                  <w:divsChild>
                    <w:div w:id="2100985132">
                      <w:marLeft w:val="0"/>
                      <w:marRight w:val="0"/>
                      <w:marTop w:val="0"/>
                      <w:marBottom w:val="0"/>
                      <w:divBdr>
                        <w:top w:val="none" w:sz="0" w:space="0" w:color="auto"/>
                        <w:left w:val="none" w:sz="0" w:space="0" w:color="auto"/>
                        <w:bottom w:val="none" w:sz="0" w:space="0" w:color="auto"/>
                        <w:right w:val="none" w:sz="0" w:space="0" w:color="auto"/>
                      </w:divBdr>
                    </w:div>
                  </w:divsChild>
                </w:div>
                <w:div w:id="925264502">
                  <w:marLeft w:val="0"/>
                  <w:marRight w:val="0"/>
                  <w:marTop w:val="0"/>
                  <w:marBottom w:val="0"/>
                  <w:divBdr>
                    <w:top w:val="none" w:sz="0" w:space="0" w:color="auto"/>
                    <w:left w:val="none" w:sz="0" w:space="0" w:color="auto"/>
                    <w:bottom w:val="none" w:sz="0" w:space="0" w:color="auto"/>
                    <w:right w:val="none" w:sz="0" w:space="0" w:color="auto"/>
                  </w:divBdr>
                  <w:divsChild>
                    <w:div w:id="1969624227">
                      <w:marLeft w:val="0"/>
                      <w:marRight w:val="0"/>
                      <w:marTop w:val="0"/>
                      <w:marBottom w:val="0"/>
                      <w:divBdr>
                        <w:top w:val="none" w:sz="0" w:space="0" w:color="auto"/>
                        <w:left w:val="none" w:sz="0" w:space="0" w:color="auto"/>
                        <w:bottom w:val="none" w:sz="0" w:space="0" w:color="auto"/>
                        <w:right w:val="none" w:sz="0" w:space="0" w:color="auto"/>
                      </w:divBdr>
                    </w:div>
                  </w:divsChild>
                </w:div>
                <w:div w:id="1008488841">
                  <w:marLeft w:val="0"/>
                  <w:marRight w:val="0"/>
                  <w:marTop w:val="0"/>
                  <w:marBottom w:val="0"/>
                  <w:divBdr>
                    <w:top w:val="none" w:sz="0" w:space="0" w:color="auto"/>
                    <w:left w:val="none" w:sz="0" w:space="0" w:color="auto"/>
                    <w:bottom w:val="none" w:sz="0" w:space="0" w:color="auto"/>
                    <w:right w:val="none" w:sz="0" w:space="0" w:color="auto"/>
                  </w:divBdr>
                  <w:divsChild>
                    <w:div w:id="846866256">
                      <w:marLeft w:val="0"/>
                      <w:marRight w:val="0"/>
                      <w:marTop w:val="0"/>
                      <w:marBottom w:val="0"/>
                      <w:divBdr>
                        <w:top w:val="none" w:sz="0" w:space="0" w:color="auto"/>
                        <w:left w:val="none" w:sz="0" w:space="0" w:color="auto"/>
                        <w:bottom w:val="none" w:sz="0" w:space="0" w:color="auto"/>
                        <w:right w:val="none" w:sz="0" w:space="0" w:color="auto"/>
                      </w:divBdr>
                    </w:div>
                  </w:divsChild>
                </w:div>
                <w:div w:id="1132211332">
                  <w:marLeft w:val="0"/>
                  <w:marRight w:val="0"/>
                  <w:marTop w:val="0"/>
                  <w:marBottom w:val="0"/>
                  <w:divBdr>
                    <w:top w:val="none" w:sz="0" w:space="0" w:color="auto"/>
                    <w:left w:val="none" w:sz="0" w:space="0" w:color="auto"/>
                    <w:bottom w:val="none" w:sz="0" w:space="0" w:color="auto"/>
                    <w:right w:val="none" w:sz="0" w:space="0" w:color="auto"/>
                  </w:divBdr>
                  <w:divsChild>
                    <w:div w:id="1249772869">
                      <w:marLeft w:val="0"/>
                      <w:marRight w:val="0"/>
                      <w:marTop w:val="0"/>
                      <w:marBottom w:val="0"/>
                      <w:divBdr>
                        <w:top w:val="none" w:sz="0" w:space="0" w:color="auto"/>
                        <w:left w:val="none" w:sz="0" w:space="0" w:color="auto"/>
                        <w:bottom w:val="none" w:sz="0" w:space="0" w:color="auto"/>
                        <w:right w:val="none" w:sz="0" w:space="0" w:color="auto"/>
                      </w:divBdr>
                    </w:div>
                  </w:divsChild>
                </w:div>
                <w:div w:id="1283195799">
                  <w:marLeft w:val="0"/>
                  <w:marRight w:val="0"/>
                  <w:marTop w:val="0"/>
                  <w:marBottom w:val="0"/>
                  <w:divBdr>
                    <w:top w:val="none" w:sz="0" w:space="0" w:color="auto"/>
                    <w:left w:val="none" w:sz="0" w:space="0" w:color="auto"/>
                    <w:bottom w:val="none" w:sz="0" w:space="0" w:color="auto"/>
                    <w:right w:val="none" w:sz="0" w:space="0" w:color="auto"/>
                  </w:divBdr>
                  <w:divsChild>
                    <w:div w:id="1660962162">
                      <w:marLeft w:val="0"/>
                      <w:marRight w:val="0"/>
                      <w:marTop w:val="0"/>
                      <w:marBottom w:val="0"/>
                      <w:divBdr>
                        <w:top w:val="none" w:sz="0" w:space="0" w:color="auto"/>
                        <w:left w:val="none" w:sz="0" w:space="0" w:color="auto"/>
                        <w:bottom w:val="none" w:sz="0" w:space="0" w:color="auto"/>
                        <w:right w:val="none" w:sz="0" w:space="0" w:color="auto"/>
                      </w:divBdr>
                    </w:div>
                  </w:divsChild>
                </w:div>
                <w:div w:id="1308051842">
                  <w:marLeft w:val="0"/>
                  <w:marRight w:val="0"/>
                  <w:marTop w:val="0"/>
                  <w:marBottom w:val="0"/>
                  <w:divBdr>
                    <w:top w:val="none" w:sz="0" w:space="0" w:color="auto"/>
                    <w:left w:val="none" w:sz="0" w:space="0" w:color="auto"/>
                    <w:bottom w:val="none" w:sz="0" w:space="0" w:color="auto"/>
                    <w:right w:val="none" w:sz="0" w:space="0" w:color="auto"/>
                  </w:divBdr>
                  <w:divsChild>
                    <w:div w:id="805204044">
                      <w:marLeft w:val="0"/>
                      <w:marRight w:val="0"/>
                      <w:marTop w:val="0"/>
                      <w:marBottom w:val="0"/>
                      <w:divBdr>
                        <w:top w:val="none" w:sz="0" w:space="0" w:color="auto"/>
                        <w:left w:val="none" w:sz="0" w:space="0" w:color="auto"/>
                        <w:bottom w:val="none" w:sz="0" w:space="0" w:color="auto"/>
                        <w:right w:val="none" w:sz="0" w:space="0" w:color="auto"/>
                      </w:divBdr>
                    </w:div>
                  </w:divsChild>
                </w:div>
                <w:div w:id="1365180477">
                  <w:marLeft w:val="0"/>
                  <w:marRight w:val="0"/>
                  <w:marTop w:val="0"/>
                  <w:marBottom w:val="0"/>
                  <w:divBdr>
                    <w:top w:val="none" w:sz="0" w:space="0" w:color="auto"/>
                    <w:left w:val="none" w:sz="0" w:space="0" w:color="auto"/>
                    <w:bottom w:val="none" w:sz="0" w:space="0" w:color="auto"/>
                    <w:right w:val="none" w:sz="0" w:space="0" w:color="auto"/>
                  </w:divBdr>
                  <w:divsChild>
                    <w:div w:id="1932815386">
                      <w:marLeft w:val="0"/>
                      <w:marRight w:val="0"/>
                      <w:marTop w:val="0"/>
                      <w:marBottom w:val="0"/>
                      <w:divBdr>
                        <w:top w:val="none" w:sz="0" w:space="0" w:color="auto"/>
                        <w:left w:val="none" w:sz="0" w:space="0" w:color="auto"/>
                        <w:bottom w:val="none" w:sz="0" w:space="0" w:color="auto"/>
                        <w:right w:val="none" w:sz="0" w:space="0" w:color="auto"/>
                      </w:divBdr>
                    </w:div>
                  </w:divsChild>
                </w:div>
                <w:div w:id="1391155343">
                  <w:marLeft w:val="0"/>
                  <w:marRight w:val="0"/>
                  <w:marTop w:val="0"/>
                  <w:marBottom w:val="0"/>
                  <w:divBdr>
                    <w:top w:val="none" w:sz="0" w:space="0" w:color="auto"/>
                    <w:left w:val="none" w:sz="0" w:space="0" w:color="auto"/>
                    <w:bottom w:val="none" w:sz="0" w:space="0" w:color="auto"/>
                    <w:right w:val="none" w:sz="0" w:space="0" w:color="auto"/>
                  </w:divBdr>
                  <w:divsChild>
                    <w:div w:id="1618951054">
                      <w:marLeft w:val="0"/>
                      <w:marRight w:val="0"/>
                      <w:marTop w:val="0"/>
                      <w:marBottom w:val="0"/>
                      <w:divBdr>
                        <w:top w:val="none" w:sz="0" w:space="0" w:color="auto"/>
                        <w:left w:val="none" w:sz="0" w:space="0" w:color="auto"/>
                        <w:bottom w:val="none" w:sz="0" w:space="0" w:color="auto"/>
                        <w:right w:val="none" w:sz="0" w:space="0" w:color="auto"/>
                      </w:divBdr>
                    </w:div>
                  </w:divsChild>
                </w:div>
                <w:div w:id="1509446386">
                  <w:marLeft w:val="0"/>
                  <w:marRight w:val="0"/>
                  <w:marTop w:val="0"/>
                  <w:marBottom w:val="0"/>
                  <w:divBdr>
                    <w:top w:val="none" w:sz="0" w:space="0" w:color="auto"/>
                    <w:left w:val="none" w:sz="0" w:space="0" w:color="auto"/>
                    <w:bottom w:val="none" w:sz="0" w:space="0" w:color="auto"/>
                    <w:right w:val="none" w:sz="0" w:space="0" w:color="auto"/>
                  </w:divBdr>
                  <w:divsChild>
                    <w:div w:id="26877403">
                      <w:marLeft w:val="0"/>
                      <w:marRight w:val="0"/>
                      <w:marTop w:val="0"/>
                      <w:marBottom w:val="0"/>
                      <w:divBdr>
                        <w:top w:val="none" w:sz="0" w:space="0" w:color="auto"/>
                        <w:left w:val="none" w:sz="0" w:space="0" w:color="auto"/>
                        <w:bottom w:val="none" w:sz="0" w:space="0" w:color="auto"/>
                        <w:right w:val="none" w:sz="0" w:space="0" w:color="auto"/>
                      </w:divBdr>
                    </w:div>
                  </w:divsChild>
                </w:div>
                <w:div w:id="1616131040">
                  <w:marLeft w:val="0"/>
                  <w:marRight w:val="0"/>
                  <w:marTop w:val="0"/>
                  <w:marBottom w:val="0"/>
                  <w:divBdr>
                    <w:top w:val="none" w:sz="0" w:space="0" w:color="auto"/>
                    <w:left w:val="none" w:sz="0" w:space="0" w:color="auto"/>
                    <w:bottom w:val="none" w:sz="0" w:space="0" w:color="auto"/>
                    <w:right w:val="none" w:sz="0" w:space="0" w:color="auto"/>
                  </w:divBdr>
                  <w:divsChild>
                    <w:div w:id="582494590">
                      <w:marLeft w:val="0"/>
                      <w:marRight w:val="0"/>
                      <w:marTop w:val="0"/>
                      <w:marBottom w:val="0"/>
                      <w:divBdr>
                        <w:top w:val="none" w:sz="0" w:space="0" w:color="auto"/>
                        <w:left w:val="none" w:sz="0" w:space="0" w:color="auto"/>
                        <w:bottom w:val="none" w:sz="0" w:space="0" w:color="auto"/>
                        <w:right w:val="none" w:sz="0" w:space="0" w:color="auto"/>
                      </w:divBdr>
                    </w:div>
                  </w:divsChild>
                </w:div>
                <w:div w:id="1657609740">
                  <w:marLeft w:val="0"/>
                  <w:marRight w:val="0"/>
                  <w:marTop w:val="0"/>
                  <w:marBottom w:val="0"/>
                  <w:divBdr>
                    <w:top w:val="none" w:sz="0" w:space="0" w:color="auto"/>
                    <w:left w:val="none" w:sz="0" w:space="0" w:color="auto"/>
                    <w:bottom w:val="none" w:sz="0" w:space="0" w:color="auto"/>
                    <w:right w:val="none" w:sz="0" w:space="0" w:color="auto"/>
                  </w:divBdr>
                  <w:divsChild>
                    <w:div w:id="710543563">
                      <w:marLeft w:val="0"/>
                      <w:marRight w:val="0"/>
                      <w:marTop w:val="0"/>
                      <w:marBottom w:val="0"/>
                      <w:divBdr>
                        <w:top w:val="none" w:sz="0" w:space="0" w:color="auto"/>
                        <w:left w:val="none" w:sz="0" w:space="0" w:color="auto"/>
                        <w:bottom w:val="none" w:sz="0" w:space="0" w:color="auto"/>
                        <w:right w:val="none" w:sz="0" w:space="0" w:color="auto"/>
                      </w:divBdr>
                    </w:div>
                  </w:divsChild>
                </w:div>
                <w:div w:id="1677534825">
                  <w:marLeft w:val="0"/>
                  <w:marRight w:val="0"/>
                  <w:marTop w:val="0"/>
                  <w:marBottom w:val="0"/>
                  <w:divBdr>
                    <w:top w:val="none" w:sz="0" w:space="0" w:color="auto"/>
                    <w:left w:val="none" w:sz="0" w:space="0" w:color="auto"/>
                    <w:bottom w:val="none" w:sz="0" w:space="0" w:color="auto"/>
                    <w:right w:val="none" w:sz="0" w:space="0" w:color="auto"/>
                  </w:divBdr>
                  <w:divsChild>
                    <w:div w:id="402870380">
                      <w:marLeft w:val="0"/>
                      <w:marRight w:val="0"/>
                      <w:marTop w:val="0"/>
                      <w:marBottom w:val="0"/>
                      <w:divBdr>
                        <w:top w:val="none" w:sz="0" w:space="0" w:color="auto"/>
                        <w:left w:val="none" w:sz="0" w:space="0" w:color="auto"/>
                        <w:bottom w:val="none" w:sz="0" w:space="0" w:color="auto"/>
                        <w:right w:val="none" w:sz="0" w:space="0" w:color="auto"/>
                      </w:divBdr>
                    </w:div>
                  </w:divsChild>
                </w:div>
                <w:div w:id="1757284606">
                  <w:marLeft w:val="0"/>
                  <w:marRight w:val="0"/>
                  <w:marTop w:val="0"/>
                  <w:marBottom w:val="0"/>
                  <w:divBdr>
                    <w:top w:val="none" w:sz="0" w:space="0" w:color="auto"/>
                    <w:left w:val="none" w:sz="0" w:space="0" w:color="auto"/>
                    <w:bottom w:val="none" w:sz="0" w:space="0" w:color="auto"/>
                    <w:right w:val="none" w:sz="0" w:space="0" w:color="auto"/>
                  </w:divBdr>
                  <w:divsChild>
                    <w:div w:id="1364135066">
                      <w:marLeft w:val="0"/>
                      <w:marRight w:val="0"/>
                      <w:marTop w:val="0"/>
                      <w:marBottom w:val="0"/>
                      <w:divBdr>
                        <w:top w:val="none" w:sz="0" w:space="0" w:color="auto"/>
                        <w:left w:val="none" w:sz="0" w:space="0" w:color="auto"/>
                        <w:bottom w:val="none" w:sz="0" w:space="0" w:color="auto"/>
                        <w:right w:val="none" w:sz="0" w:space="0" w:color="auto"/>
                      </w:divBdr>
                    </w:div>
                  </w:divsChild>
                </w:div>
                <w:div w:id="1762683424">
                  <w:marLeft w:val="0"/>
                  <w:marRight w:val="0"/>
                  <w:marTop w:val="0"/>
                  <w:marBottom w:val="0"/>
                  <w:divBdr>
                    <w:top w:val="none" w:sz="0" w:space="0" w:color="auto"/>
                    <w:left w:val="none" w:sz="0" w:space="0" w:color="auto"/>
                    <w:bottom w:val="none" w:sz="0" w:space="0" w:color="auto"/>
                    <w:right w:val="none" w:sz="0" w:space="0" w:color="auto"/>
                  </w:divBdr>
                  <w:divsChild>
                    <w:div w:id="36591111">
                      <w:marLeft w:val="0"/>
                      <w:marRight w:val="0"/>
                      <w:marTop w:val="0"/>
                      <w:marBottom w:val="0"/>
                      <w:divBdr>
                        <w:top w:val="none" w:sz="0" w:space="0" w:color="auto"/>
                        <w:left w:val="none" w:sz="0" w:space="0" w:color="auto"/>
                        <w:bottom w:val="none" w:sz="0" w:space="0" w:color="auto"/>
                        <w:right w:val="none" w:sz="0" w:space="0" w:color="auto"/>
                      </w:divBdr>
                    </w:div>
                  </w:divsChild>
                </w:div>
                <w:div w:id="1825702684">
                  <w:marLeft w:val="0"/>
                  <w:marRight w:val="0"/>
                  <w:marTop w:val="0"/>
                  <w:marBottom w:val="0"/>
                  <w:divBdr>
                    <w:top w:val="none" w:sz="0" w:space="0" w:color="auto"/>
                    <w:left w:val="none" w:sz="0" w:space="0" w:color="auto"/>
                    <w:bottom w:val="none" w:sz="0" w:space="0" w:color="auto"/>
                    <w:right w:val="none" w:sz="0" w:space="0" w:color="auto"/>
                  </w:divBdr>
                  <w:divsChild>
                    <w:div w:id="1124158409">
                      <w:marLeft w:val="0"/>
                      <w:marRight w:val="0"/>
                      <w:marTop w:val="0"/>
                      <w:marBottom w:val="0"/>
                      <w:divBdr>
                        <w:top w:val="none" w:sz="0" w:space="0" w:color="auto"/>
                        <w:left w:val="none" w:sz="0" w:space="0" w:color="auto"/>
                        <w:bottom w:val="none" w:sz="0" w:space="0" w:color="auto"/>
                        <w:right w:val="none" w:sz="0" w:space="0" w:color="auto"/>
                      </w:divBdr>
                    </w:div>
                  </w:divsChild>
                </w:div>
                <w:div w:id="1849101748">
                  <w:marLeft w:val="0"/>
                  <w:marRight w:val="0"/>
                  <w:marTop w:val="0"/>
                  <w:marBottom w:val="0"/>
                  <w:divBdr>
                    <w:top w:val="none" w:sz="0" w:space="0" w:color="auto"/>
                    <w:left w:val="none" w:sz="0" w:space="0" w:color="auto"/>
                    <w:bottom w:val="none" w:sz="0" w:space="0" w:color="auto"/>
                    <w:right w:val="none" w:sz="0" w:space="0" w:color="auto"/>
                  </w:divBdr>
                  <w:divsChild>
                    <w:div w:id="1722946344">
                      <w:marLeft w:val="0"/>
                      <w:marRight w:val="0"/>
                      <w:marTop w:val="0"/>
                      <w:marBottom w:val="0"/>
                      <w:divBdr>
                        <w:top w:val="none" w:sz="0" w:space="0" w:color="auto"/>
                        <w:left w:val="none" w:sz="0" w:space="0" w:color="auto"/>
                        <w:bottom w:val="none" w:sz="0" w:space="0" w:color="auto"/>
                        <w:right w:val="none" w:sz="0" w:space="0" w:color="auto"/>
                      </w:divBdr>
                    </w:div>
                  </w:divsChild>
                </w:div>
                <w:div w:id="1854567730">
                  <w:marLeft w:val="0"/>
                  <w:marRight w:val="0"/>
                  <w:marTop w:val="0"/>
                  <w:marBottom w:val="0"/>
                  <w:divBdr>
                    <w:top w:val="none" w:sz="0" w:space="0" w:color="auto"/>
                    <w:left w:val="none" w:sz="0" w:space="0" w:color="auto"/>
                    <w:bottom w:val="none" w:sz="0" w:space="0" w:color="auto"/>
                    <w:right w:val="none" w:sz="0" w:space="0" w:color="auto"/>
                  </w:divBdr>
                  <w:divsChild>
                    <w:div w:id="1282423772">
                      <w:marLeft w:val="0"/>
                      <w:marRight w:val="0"/>
                      <w:marTop w:val="0"/>
                      <w:marBottom w:val="0"/>
                      <w:divBdr>
                        <w:top w:val="none" w:sz="0" w:space="0" w:color="auto"/>
                        <w:left w:val="none" w:sz="0" w:space="0" w:color="auto"/>
                        <w:bottom w:val="none" w:sz="0" w:space="0" w:color="auto"/>
                        <w:right w:val="none" w:sz="0" w:space="0" w:color="auto"/>
                      </w:divBdr>
                    </w:div>
                  </w:divsChild>
                </w:div>
                <w:div w:id="2021349616">
                  <w:marLeft w:val="0"/>
                  <w:marRight w:val="0"/>
                  <w:marTop w:val="0"/>
                  <w:marBottom w:val="0"/>
                  <w:divBdr>
                    <w:top w:val="none" w:sz="0" w:space="0" w:color="auto"/>
                    <w:left w:val="none" w:sz="0" w:space="0" w:color="auto"/>
                    <w:bottom w:val="none" w:sz="0" w:space="0" w:color="auto"/>
                    <w:right w:val="none" w:sz="0" w:space="0" w:color="auto"/>
                  </w:divBdr>
                  <w:divsChild>
                    <w:div w:id="129595477">
                      <w:marLeft w:val="0"/>
                      <w:marRight w:val="0"/>
                      <w:marTop w:val="0"/>
                      <w:marBottom w:val="0"/>
                      <w:divBdr>
                        <w:top w:val="none" w:sz="0" w:space="0" w:color="auto"/>
                        <w:left w:val="none" w:sz="0" w:space="0" w:color="auto"/>
                        <w:bottom w:val="none" w:sz="0" w:space="0" w:color="auto"/>
                        <w:right w:val="none" w:sz="0" w:space="0" w:color="auto"/>
                      </w:divBdr>
                    </w:div>
                  </w:divsChild>
                </w:div>
                <w:div w:id="2059011976">
                  <w:marLeft w:val="0"/>
                  <w:marRight w:val="0"/>
                  <w:marTop w:val="0"/>
                  <w:marBottom w:val="0"/>
                  <w:divBdr>
                    <w:top w:val="none" w:sz="0" w:space="0" w:color="auto"/>
                    <w:left w:val="none" w:sz="0" w:space="0" w:color="auto"/>
                    <w:bottom w:val="none" w:sz="0" w:space="0" w:color="auto"/>
                    <w:right w:val="none" w:sz="0" w:space="0" w:color="auto"/>
                  </w:divBdr>
                  <w:divsChild>
                    <w:div w:id="1032533456">
                      <w:marLeft w:val="0"/>
                      <w:marRight w:val="0"/>
                      <w:marTop w:val="0"/>
                      <w:marBottom w:val="0"/>
                      <w:divBdr>
                        <w:top w:val="none" w:sz="0" w:space="0" w:color="auto"/>
                        <w:left w:val="none" w:sz="0" w:space="0" w:color="auto"/>
                        <w:bottom w:val="none" w:sz="0" w:space="0" w:color="auto"/>
                        <w:right w:val="none" w:sz="0" w:space="0" w:color="auto"/>
                      </w:divBdr>
                    </w:div>
                  </w:divsChild>
                </w:div>
                <w:div w:id="2064870711">
                  <w:marLeft w:val="0"/>
                  <w:marRight w:val="0"/>
                  <w:marTop w:val="0"/>
                  <w:marBottom w:val="0"/>
                  <w:divBdr>
                    <w:top w:val="none" w:sz="0" w:space="0" w:color="auto"/>
                    <w:left w:val="none" w:sz="0" w:space="0" w:color="auto"/>
                    <w:bottom w:val="none" w:sz="0" w:space="0" w:color="auto"/>
                    <w:right w:val="none" w:sz="0" w:space="0" w:color="auto"/>
                  </w:divBdr>
                  <w:divsChild>
                    <w:div w:id="4346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1347">
          <w:marLeft w:val="0"/>
          <w:marRight w:val="0"/>
          <w:marTop w:val="0"/>
          <w:marBottom w:val="0"/>
          <w:divBdr>
            <w:top w:val="none" w:sz="0" w:space="0" w:color="auto"/>
            <w:left w:val="none" w:sz="0" w:space="0" w:color="auto"/>
            <w:bottom w:val="none" w:sz="0" w:space="0" w:color="auto"/>
            <w:right w:val="none" w:sz="0" w:space="0" w:color="auto"/>
          </w:divBdr>
        </w:div>
        <w:div w:id="478546310">
          <w:marLeft w:val="0"/>
          <w:marRight w:val="0"/>
          <w:marTop w:val="0"/>
          <w:marBottom w:val="0"/>
          <w:divBdr>
            <w:top w:val="none" w:sz="0" w:space="0" w:color="auto"/>
            <w:left w:val="none" w:sz="0" w:space="0" w:color="auto"/>
            <w:bottom w:val="none" w:sz="0" w:space="0" w:color="auto"/>
            <w:right w:val="none" w:sz="0" w:space="0" w:color="auto"/>
          </w:divBdr>
        </w:div>
        <w:div w:id="496382248">
          <w:marLeft w:val="0"/>
          <w:marRight w:val="0"/>
          <w:marTop w:val="0"/>
          <w:marBottom w:val="0"/>
          <w:divBdr>
            <w:top w:val="none" w:sz="0" w:space="0" w:color="auto"/>
            <w:left w:val="none" w:sz="0" w:space="0" w:color="auto"/>
            <w:bottom w:val="none" w:sz="0" w:space="0" w:color="auto"/>
            <w:right w:val="none" w:sz="0" w:space="0" w:color="auto"/>
          </w:divBdr>
        </w:div>
        <w:div w:id="515386957">
          <w:marLeft w:val="0"/>
          <w:marRight w:val="0"/>
          <w:marTop w:val="0"/>
          <w:marBottom w:val="0"/>
          <w:divBdr>
            <w:top w:val="none" w:sz="0" w:space="0" w:color="auto"/>
            <w:left w:val="none" w:sz="0" w:space="0" w:color="auto"/>
            <w:bottom w:val="none" w:sz="0" w:space="0" w:color="auto"/>
            <w:right w:val="none" w:sz="0" w:space="0" w:color="auto"/>
          </w:divBdr>
        </w:div>
        <w:div w:id="519583280">
          <w:marLeft w:val="0"/>
          <w:marRight w:val="0"/>
          <w:marTop w:val="0"/>
          <w:marBottom w:val="0"/>
          <w:divBdr>
            <w:top w:val="none" w:sz="0" w:space="0" w:color="auto"/>
            <w:left w:val="none" w:sz="0" w:space="0" w:color="auto"/>
            <w:bottom w:val="none" w:sz="0" w:space="0" w:color="auto"/>
            <w:right w:val="none" w:sz="0" w:space="0" w:color="auto"/>
          </w:divBdr>
        </w:div>
        <w:div w:id="521358124">
          <w:marLeft w:val="0"/>
          <w:marRight w:val="0"/>
          <w:marTop w:val="0"/>
          <w:marBottom w:val="0"/>
          <w:divBdr>
            <w:top w:val="none" w:sz="0" w:space="0" w:color="auto"/>
            <w:left w:val="none" w:sz="0" w:space="0" w:color="auto"/>
            <w:bottom w:val="none" w:sz="0" w:space="0" w:color="auto"/>
            <w:right w:val="none" w:sz="0" w:space="0" w:color="auto"/>
          </w:divBdr>
        </w:div>
        <w:div w:id="534268053">
          <w:marLeft w:val="0"/>
          <w:marRight w:val="0"/>
          <w:marTop w:val="0"/>
          <w:marBottom w:val="0"/>
          <w:divBdr>
            <w:top w:val="none" w:sz="0" w:space="0" w:color="auto"/>
            <w:left w:val="none" w:sz="0" w:space="0" w:color="auto"/>
            <w:bottom w:val="none" w:sz="0" w:space="0" w:color="auto"/>
            <w:right w:val="none" w:sz="0" w:space="0" w:color="auto"/>
          </w:divBdr>
        </w:div>
        <w:div w:id="537471458">
          <w:marLeft w:val="0"/>
          <w:marRight w:val="0"/>
          <w:marTop w:val="0"/>
          <w:marBottom w:val="0"/>
          <w:divBdr>
            <w:top w:val="none" w:sz="0" w:space="0" w:color="auto"/>
            <w:left w:val="none" w:sz="0" w:space="0" w:color="auto"/>
            <w:bottom w:val="none" w:sz="0" w:space="0" w:color="auto"/>
            <w:right w:val="none" w:sz="0" w:space="0" w:color="auto"/>
          </w:divBdr>
        </w:div>
        <w:div w:id="546768014">
          <w:marLeft w:val="0"/>
          <w:marRight w:val="0"/>
          <w:marTop w:val="0"/>
          <w:marBottom w:val="0"/>
          <w:divBdr>
            <w:top w:val="none" w:sz="0" w:space="0" w:color="auto"/>
            <w:left w:val="none" w:sz="0" w:space="0" w:color="auto"/>
            <w:bottom w:val="none" w:sz="0" w:space="0" w:color="auto"/>
            <w:right w:val="none" w:sz="0" w:space="0" w:color="auto"/>
          </w:divBdr>
        </w:div>
        <w:div w:id="722796557">
          <w:marLeft w:val="0"/>
          <w:marRight w:val="0"/>
          <w:marTop w:val="0"/>
          <w:marBottom w:val="0"/>
          <w:divBdr>
            <w:top w:val="none" w:sz="0" w:space="0" w:color="auto"/>
            <w:left w:val="none" w:sz="0" w:space="0" w:color="auto"/>
            <w:bottom w:val="none" w:sz="0" w:space="0" w:color="auto"/>
            <w:right w:val="none" w:sz="0" w:space="0" w:color="auto"/>
          </w:divBdr>
        </w:div>
        <w:div w:id="778180036">
          <w:marLeft w:val="0"/>
          <w:marRight w:val="0"/>
          <w:marTop w:val="0"/>
          <w:marBottom w:val="0"/>
          <w:divBdr>
            <w:top w:val="none" w:sz="0" w:space="0" w:color="auto"/>
            <w:left w:val="none" w:sz="0" w:space="0" w:color="auto"/>
            <w:bottom w:val="none" w:sz="0" w:space="0" w:color="auto"/>
            <w:right w:val="none" w:sz="0" w:space="0" w:color="auto"/>
          </w:divBdr>
          <w:divsChild>
            <w:div w:id="1059596332">
              <w:marLeft w:val="-75"/>
              <w:marRight w:val="0"/>
              <w:marTop w:val="30"/>
              <w:marBottom w:val="30"/>
              <w:divBdr>
                <w:top w:val="none" w:sz="0" w:space="0" w:color="auto"/>
                <w:left w:val="none" w:sz="0" w:space="0" w:color="auto"/>
                <w:bottom w:val="none" w:sz="0" w:space="0" w:color="auto"/>
                <w:right w:val="none" w:sz="0" w:space="0" w:color="auto"/>
              </w:divBdr>
              <w:divsChild>
                <w:div w:id="25101599">
                  <w:marLeft w:val="0"/>
                  <w:marRight w:val="0"/>
                  <w:marTop w:val="0"/>
                  <w:marBottom w:val="0"/>
                  <w:divBdr>
                    <w:top w:val="none" w:sz="0" w:space="0" w:color="auto"/>
                    <w:left w:val="none" w:sz="0" w:space="0" w:color="auto"/>
                    <w:bottom w:val="none" w:sz="0" w:space="0" w:color="auto"/>
                    <w:right w:val="none" w:sz="0" w:space="0" w:color="auto"/>
                  </w:divBdr>
                  <w:divsChild>
                    <w:div w:id="2044793060">
                      <w:marLeft w:val="0"/>
                      <w:marRight w:val="0"/>
                      <w:marTop w:val="0"/>
                      <w:marBottom w:val="0"/>
                      <w:divBdr>
                        <w:top w:val="none" w:sz="0" w:space="0" w:color="auto"/>
                        <w:left w:val="none" w:sz="0" w:space="0" w:color="auto"/>
                        <w:bottom w:val="none" w:sz="0" w:space="0" w:color="auto"/>
                        <w:right w:val="none" w:sz="0" w:space="0" w:color="auto"/>
                      </w:divBdr>
                    </w:div>
                  </w:divsChild>
                </w:div>
                <w:div w:id="523055850">
                  <w:marLeft w:val="0"/>
                  <w:marRight w:val="0"/>
                  <w:marTop w:val="0"/>
                  <w:marBottom w:val="0"/>
                  <w:divBdr>
                    <w:top w:val="none" w:sz="0" w:space="0" w:color="auto"/>
                    <w:left w:val="none" w:sz="0" w:space="0" w:color="auto"/>
                    <w:bottom w:val="none" w:sz="0" w:space="0" w:color="auto"/>
                    <w:right w:val="none" w:sz="0" w:space="0" w:color="auto"/>
                  </w:divBdr>
                  <w:divsChild>
                    <w:div w:id="1819179658">
                      <w:marLeft w:val="0"/>
                      <w:marRight w:val="0"/>
                      <w:marTop w:val="0"/>
                      <w:marBottom w:val="0"/>
                      <w:divBdr>
                        <w:top w:val="none" w:sz="0" w:space="0" w:color="auto"/>
                        <w:left w:val="none" w:sz="0" w:space="0" w:color="auto"/>
                        <w:bottom w:val="none" w:sz="0" w:space="0" w:color="auto"/>
                        <w:right w:val="none" w:sz="0" w:space="0" w:color="auto"/>
                      </w:divBdr>
                    </w:div>
                  </w:divsChild>
                </w:div>
                <w:div w:id="1045908568">
                  <w:marLeft w:val="0"/>
                  <w:marRight w:val="0"/>
                  <w:marTop w:val="0"/>
                  <w:marBottom w:val="0"/>
                  <w:divBdr>
                    <w:top w:val="none" w:sz="0" w:space="0" w:color="auto"/>
                    <w:left w:val="none" w:sz="0" w:space="0" w:color="auto"/>
                    <w:bottom w:val="none" w:sz="0" w:space="0" w:color="auto"/>
                    <w:right w:val="none" w:sz="0" w:space="0" w:color="auto"/>
                  </w:divBdr>
                  <w:divsChild>
                    <w:div w:id="2034453274">
                      <w:marLeft w:val="0"/>
                      <w:marRight w:val="0"/>
                      <w:marTop w:val="0"/>
                      <w:marBottom w:val="0"/>
                      <w:divBdr>
                        <w:top w:val="none" w:sz="0" w:space="0" w:color="auto"/>
                        <w:left w:val="none" w:sz="0" w:space="0" w:color="auto"/>
                        <w:bottom w:val="none" w:sz="0" w:space="0" w:color="auto"/>
                        <w:right w:val="none" w:sz="0" w:space="0" w:color="auto"/>
                      </w:divBdr>
                    </w:div>
                  </w:divsChild>
                </w:div>
                <w:div w:id="1975216934">
                  <w:marLeft w:val="0"/>
                  <w:marRight w:val="0"/>
                  <w:marTop w:val="0"/>
                  <w:marBottom w:val="0"/>
                  <w:divBdr>
                    <w:top w:val="none" w:sz="0" w:space="0" w:color="auto"/>
                    <w:left w:val="none" w:sz="0" w:space="0" w:color="auto"/>
                    <w:bottom w:val="none" w:sz="0" w:space="0" w:color="auto"/>
                    <w:right w:val="none" w:sz="0" w:space="0" w:color="auto"/>
                  </w:divBdr>
                  <w:divsChild>
                    <w:div w:id="1769931409">
                      <w:marLeft w:val="0"/>
                      <w:marRight w:val="0"/>
                      <w:marTop w:val="0"/>
                      <w:marBottom w:val="0"/>
                      <w:divBdr>
                        <w:top w:val="none" w:sz="0" w:space="0" w:color="auto"/>
                        <w:left w:val="none" w:sz="0" w:space="0" w:color="auto"/>
                        <w:bottom w:val="none" w:sz="0" w:space="0" w:color="auto"/>
                        <w:right w:val="none" w:sz="0" w:space="0" w:color="auto"/>
                      </w:divBdr>
                    </w:div>
                  </w:divsChild>
                </w:div>
                <w:div w:id="2042198014">
                  <w:marLeft w:val="0"/>
                  <w:marRight w:val="0"/>
                  <w:marTop w:val="0"/>
                  <w:marBottom w:val="0"/>
                  <w:divBdr>
                    <w:top w:val="none" w:sz="0" w:space="0" w:color="auto"/>
                    <w:left w:val="none" w:sz="0" w:space="0" w:color="auto"/>
                    <w:bottom w:val="none" w:sz="0" w:space="0" w:color="auto"/>
                    <w:right w:val="none" w:sz="0" w:space="0" w:color="auto"/>
                  </w:divBdr>
                  <w:divsChild>
                    <w:div w:id="55209181">
                      <w:marLeft w:val="0"/>
                      <w:marRight w:val="0"/>
                      <w:marTop w:val="0"/>
                      <w:marBottom w:val="0"/>
                      <w:divBdr>
                        <w:top w:val="none" w:sz="0" w:space="0" w:color="auto"/>
                        <w:left w:val="none" w:sz="0" w:space="0" w:color="auto"/>
                        <w:bottom w:val="none" w:sz="0" w:space="0" w:color="auto"/>
                        <w:right w:val="none" w:sz="0" w:space="0" w:color="auto"/>
                      </w:divBdr>
                    </w:div>
                  </w:divsChild>
                </w:div>
                <w:div w:id="2097826050">
                  <w:marLeft w:val="0"/>
                  <w:marRight w:val="0"/>
                  <w:marTop w:val="0"/>
                  <w:marBottom w:val="0"/>
                  <w:divBdr>
                    <w:top w:val="none" w:sz="0" w:space="0" w:color="auto"/>
                    <w:left w:val="none" w:sz="0" w:space="0" w:color="auto"/>
                    <w:bottom w:val="none" w:sz="0" w:space="0" w:color="auto"/>
                    <w:right w:val="none" w:sz="0" w:space="0" w:color="auto"/>
                  </w:divBdr>
                  <w:divsChild>
                    <w:div w:id="12075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88422">
          <w:marLeft w:val="0"/>
          <w:marRight w:val="0"/>
          <w:marTop w:val="0"/>
          <w:marBottom w:val="0"/>
          <w:divBdr>
            <w:top w:val="none" w:sz="0" w:space="0" w:color="auto"/>
            <w:left w:val="none" w:sz="0" w:space="0" w:color="auto"/>
            <w:bottom w:val="none" w:sz="0" w:space="0" w:color="auto"/>
            <w:right w:val="none" w:sz="0" w:space="0" w:color="auto"/>
          </w:divBdr>
        </w:div>
        <w:div w:id="974603954">
          <w:marLeft w:val="0"/>
          <w:marRight w:val="0"/>
          <w:marTop w:val="0"/>
          <w:marBottom w:val="0"/>
          <w:divBdr>
            <w:top w:val="none" w:sz="0" w:space="0" w:color="auto"/>
            <w:left w:val="none" w:sz="0" w:space="0" w:color="auto"/>
            <w:bottom w:val="none" w:sz="0" w:space="0" w:color="auto"/>
            <w:right w:val="none" w:sz="0" w:space="0" w:color="auto"/>
          </w:divBdr>
        </w:div>
        <w:div w:id="1040322862">
          <w:marLeft w:val="0"/>
          <w:marRight w:val="0"/>
          <w:marTop w:val="0"/>
          <w:marBottom w:val="0"/>
          <w:divBdr>
            <w:top w:val="none" w:sz="0" w:space="0" w:color="auto"/>
            <w:left w:val="none" w:sz="0" w:space="0" w:color="auto"/>
            <w:bottom w:val="none" w:sz="0" w:space="0" w:color="auto"/>
            <w:right w:val="none" w:sz="0" w:space="0" w:color="auto"/>
          </w:divBdr>
          <w:divsChild>
            <w:div w:id="976762809">
              <w:marLeft w:val="-75"/>
              <w:marRight w:val="0"/>
              <w:marTop w:val="30"/>
              <w:marBottom w:val="30"/>
              <w:divBdr>
                <w:top w:val="none" w:sz="0" w:space="0" w:color="auto"/>
                <w:left w:val="none" w:sz="0" w:space="0" w:color="auto"/>
                <w:bottom w:val="none" w:sz="0" w:space="0" w:color="auto"/>
                <w:right w:val="none" w:sz="0" w:space="0" w:color="auto"/>
              </w:divBdr>
              <w:divsChild>
                <w:div w:id="141701631">
                  <w:marLeft w:val="0"/>
                  <w:marRight w:val="0"/>
                  <w:marTop w:val="0"/>
                  <w:marBottom w:val="0"/>
                  <w:divBdr>
                    <w:top w:val="none" w:sz="0" w:space="0" w:color="auto"/>
                    <w:left w:val="none" w:sz="0" w:space="0" w:color="auto"/>
                    <w:bottom w:val="none" w:sz="0" w:space="0" w:color="auto"/>
                    <w:right w:val="none" w:sz="0" w:space="0" w:color="auto"/>
                  </w:divBdr>
                  <w:divsChild>
                    <w:div w:id="1941138189">
                      <w:marLeft w:val="0"/>
                      <w:marRight w:val="0"/>
                      <w:marTop w:val="0"/>
                      <w:marBottom w:val="0"/>
                      <w:divBdr>
                        <w:top w:val="none" w:sz="0" w:space="0" w:color="auto"/>
                        <w:left w:val="none" w:sz="0" w:space="0" w:color="auto"/>
                        <w:bottom w:val="none" w:sz="0" w:space="0" w:color="auto"/>
                        <w:right w:val="none" w:sz="0" w:space="0" w:color="auto"/>
                      </w:divBdr>
                    </w:div>
                  </w:divsChild>
                </w:div>
                <w:div w:id="247545155">
                  <w:marLeft w:val="0"/>
                  <w:marRight w:val="0"/>
                  <w:marTop w:val="0"/>
                  <w:marBottom w:val="0"/>
                  <w:divBdr>
                    <w:top w:val="none" w:sz="0" w:space="0" w:color="auto"/>
                    <w:left w:val="none" w:sz="0" w:space="0" w:color="auto"/>
                    <w:bottom w:val="none" w:sz="0" w:space="0" w:color="auto"/>
                    <w:right w:val="none" w:sz="0" w:space="0" w:color="auto"/>
                  </w:divBdr>
                  <w:divsChild>
                    <w:div w:id="1625577178">
                      <w:marLeft w:val="0"/>
                      <w:marRight w:val="0"/>
                      <w:marTop w:val="0"/>
                      <w:marBottom w:val="0"/>
                      <w:divBdr>
                        <w:top w:val="none" w:sz="0" w:space="0" w:color="auto"/>
                        <w:left w:val="none" w:sz="0" w:space="0" w:color="auto"/>
                        <w:bottom w:val="none" w:sz="0" w:space="0" w:color="auto"/>
                        <w:right w:val="none" w:sz="0" w:space="0" w:color="auto"/>
                      </w:divBdr>
                    </w:div>
                  </w:divsChild>
                </w:div>
                <w:div w:id="249629897">
                  <w:marLeft w:val="0"/>
                  <w:marRight w:val="0"/>
                  <w:marTop w:val="0"/>
                  <w:marBottom w:val="0"/>
                  <w:divBdr>
                    <w:top w:val="none" w:sz="0" w:space="0" w:color="auto"/>
                    <w:left w:val="none" w:sz="0" w:space="0" w:color="auto"/>
                    <w:bottom w:val="none" w:sz="0" w:space="0" w:color="auto"/>
                    <w:right w:val="none" w:sz="0" w:space="0" w:color="auto"/>
                  </w:divBdr>
                  <w:divsChild>
                    <w:div w:id="507059062">
                      <w:marLeft w:val="0"/>
                      <w:marRight w:val="0"/>
                      <w:marTop w:val="0"/>
                      <w:marBottom w:val="0"/>
                      <w:divBdr>
                        <w:top w:val="none" w:sz="0" w:space="0" w:color="auto"/>
                        <w:left w:val="none" w:sz="0" w:space="0" w:color="auto"/>
                        <w:bottom w:val="none" w:sz="0" w:space="0" w:color="auto"/>
                        <w:right w:val="none" w:sz="0" w:space="0" w:color="auto"/>
                      </w:divBdr>
                    </w:div>
                  </w:divsChild>
                </w:div>
                <w:div w:id="260182335">
                  <w:marLeft w:val="0"/>
                  <w:marRight w:val="0"/>
                  <w:marTop w:val="0"/>
                  <w:marBottom w:val="0"/>
                  <w:divBdr>
                    <w:top w:val="none" w:sz="0" w:space="0" w:color="auto"/>
                    <w:left w:val="none" w:sz="0" w:space="0" w:color="auto"/>
                    <w:bottom w:val="none" w:sz="0" w:space="0" w:color="auto"/>
                    <w:right w:val="none" w:sz="0" w:space="0" w:color="auto"/>
                  </w:divBdr>
                  <w:divsChild>
                    <w:div w:id="1168131511">
                      <w:marLeft w:val="0"/>
                      <w:marRight w:val="0"/>
                      <w:marTop w:val="0"/>
                      <w:marBottom w:val="0"/>
                      <w:divBdr>
                        <w:top w:val="none" w:sz="0" w:space="0" w:color="auto"/>
                        <w:left w:val="none" w:sz="0" w:space="0" w:color="auto"/>
                        <w:bottom w:val="none" w:sz="0" w:space="0" w:color="auto"/>
                        <w:right w:val="none" w:sz="0" w:space="0" w:color="auto"/>
                      </w:divBdr>
                    </w:div>
                  </w:divsChild>
                </w:div>
                <w:div w:id="279577622">
                  <w:marLeft w:val="0"/>
                  <w:marRight w:val="0"/>
                  <w:marTop w:val="0"/>
                  <w:marBottom w:val="0"/>
                  <w:divBdr>
                    <w:top w:val="none" w:sz="0" w:space="0" w:color="auto"/>
                    <w:left w:val="none" w:sz="0" w:space="0" w:color="auto"/>
                    <w:bottom w:val="none" w:sz="0" w:space="0" w:color="auto"/>
                    <w:right w:val="none" w:sz="0" w:space="0" w:color="auto"/>
                  </w:divBdr>
                  <w:divsChild>
                    <w:div w:id="2096855919">
                      <w:marLeft w:val="0"/>
                      <w:marRight w:val="0"/>
                      <w:marTop w:val="0"/>
                      <w:marBottom w:val="0"/>
                      <w:divBdr>
                        <w:top w:val="none" w:sz="0" w:space="0" w:color="auto"/>
                        <w:left w:val="none" w:sz="0" w:space="0" w:color="auto"/>
                        <w:bottom w:val="none" w:sz="0" w:space="0" w:color="auto"/>
                        <w:right w:val="none" w:sz="0" w:space="0" w:color="auto"/>
                      </w:divBdr>
                    </w:div>
                  </w:divsChild>
                </w:div>
                <w:div w:id="316691500">
                  <w:marLeft w:val="0"/>
                  <w:marRight w:val="0"/>
                  <w:marTop w:val="0"/>
                  <w:marBottom w:val="0"/>
                  <w:divBdr>
                    <w:top w:val="none" w:sz="0" w:space="0" w:color="auto"/>
                    <w:left w:val="none" w:sz="0" w:space="0" w:color="auto"/>
                    <w:bottom w:val="none" w:sz="0" w:space="0" w:color="auto"/>
                    <w:right w:val="none" w:sz="0" w:space="0" w:color="auto"/>
                  </w:divBdr>
                  <w:divsChild>
                    <w:div w:id="443427570">
                      <w:marLeft w:val="0"/>
                      <w:marRight w:val="0"/>
                      <w:marTop w:val="0"/>
                      <w:marBottom w:val="0"/>
                      <w:divBdr>
                        <w:top w:val="none" w:sz="0" w:space="0" w:color="auto"/>
                        <w:left w:val="none" w:sz="0" w:space="0" w:color="auto"/>
                        <w:bottom w:val="none" w:sz="0" w:space="0" w:color="auto"/>
                        <w:right w:val="none" w:sz="0" w:space="0" w:color="auto"/>
                      </w:divBdr>
                    </w:div>
                  </w:divsChild>
                </w:div>
                <w:div w:id="343551793">
                  <w:marLeft w:val="0"/>
                  <w:marRight w:val="0"/>
                  <w:marTop w:val="0"/>
                  <w:marBottom w:val="0"/>
                  <w:divBdr>
                    <w:top w:val="none" w:sz="0" w:space="0" w:color="auto"/>
                    <w:left w:val="none" w:sz="0" w:space="0" w:color="auto"/>
                    <w:bottom w:val="none" w:sz="0" w:space="0" w:color="auto"/>
                    <w:right w:val="none" w:sz="0" w:space="0" w:color="auto"/>
                  </w:divBdr>
                  <w:divsChild>
                    <w:div w:id="264575649">
                      <w:marLeft w:val="0"/>
                      <w:marRight w:val="0"/>
                      <w:marTop w:val="0"/>
                      <w:marBottom w:val="0"/>
                      <w:divBdr>
                        <w:top w:val="none" w:sz="0" w:space="0" w:color="auto"/>
                        <w:left w:val="none" w:sz="0" w:space="0" w:color="auto"/>
                        <w:bottom w:val="none" w:sz="0" w:space="0" w:color="auto"/>
                        <w:right w:val="none" w:sz="0" w:space="0" w:color="auto"/>
                      </w:divBdr>
                    </w:div>
                  </w:divsChild>
                </w:div>
                <w:div w:id="376509624">
                  <w:marLeft w:val="0"/>
                  <w:marRight w:val="0"/>
                  <w:marTop w:val="0"/>
                  <w:marBottom w:val="0"/>
                  <w:divBdr>
                    <w:top w:val="none" w:sz="0" w:space="0" w:color="auto"/>
                    <w:left w:val="none" w:sz="0" w:space="0" w:color="auto"/>
                    <w:bottom w:val="none" w:sz="0" w:space="0" w:color="auto"/>
                    <w:right w:val="none" w:sz="0" w:space="0" w:color="auto"/>
                  </w:divBdr>
                  <w:divsChild>
                    <w:div w:id="1540774302">
                      <w:marLeft w:val="0"/>
                      <w:marRight w:val="0"/>
                      <w:marTop w:val="0"/>
                      <w:marBottom w:val="0"/>
                      <w:divBdr>
                        <w:top w:val="none" w:sz="0" w:space="0" w:color="auto"/>
                        <w:left w:val="none" w:sz="0" w:space="0" w:color="auto"/>
                        <w:bottom w:val="none" w:sz="0" w:space="0" w:color="auto"/>
                        <w:right w:val="none" w:sz="0" w:space="0" w:color="auto"/>
                      </w:divBdr>
                    </w:div>
                  </w:divsChild>
                </w:div>
                <w:div w:id="392774517">
                  <w:marLeft w:val="0"/>
                  <w:marRight w:val="0"/>
                  <w:marTop w:val="0"/>
                  <w:marBottom w:val="0"/>
                  <w:divBdr>
                    <w:top w:val="none" w:sz="0" w:space="0" w:color="auto"/>
                    <w:left w:val="none" w:sz="0" w:space="0" w:color="auto"/>
                    <w:bottom w:val="none" w:sz="0" w:space="0" w:color="auto"/>
                    <w:right w:val="none" w:sz="0" w:space="0" w:color="auto"/>
                  </w:divBdr>
                  <w:divsChild>
                    <w:div w:id="264963777">
                      <w:marLeft w:val="0"/>
                      <w:marRight w:val="0"/>
                      <w:marTop w:val="0"/>
                      <w:marBottom w:val="0"/>
                      <w:divBdr>
                        <w:top w:val="none" w:sz="0" w:space="0" w:color="auto"/>
                        <w:left w:val="none" w:sz="0" w:space="0" w:color="auto"/>
                        <w:bottom w:val="none" w:sz="0" w:space="0" w:color="auto"/>
                        <w:right w:val="none" w:sz="0" w:space="0" w:color="auto"/>
                      </w:divBdr>
                    </w:div>
                  </w:divsChild>
                </w:div>
                <w:div w:id="449521240">
                  <w:marLeft w:val="0"/>
                  <w:marRight w:val="0"/>
                  <w:marTop w:val="0"/>
                  <w:marBottom w:val="0"/>
                  <w:divBdr>
                    <w:top w:val="none" w:sz="0" w:space="0" w:color="auto"/>
                    <w:left w:val="none" w:sz="0" w:space="0" w:color="auto"/>
                    <w:bottom w:val="none" w:sz="0" w:space="0" w:color="auto"/>
                    <w:right w:val="none" w:sz="0" w:space="0" w:color="auto"/>
                  </w:divBdr>
                  <w:divsChild>
                    <w:div w:id="225578616">
                      <w:marLeft w:val="0"/>
                      <w:marRight w:val="0"/>
                      <w:marTop w:val="0"/>
                      <w:marBottom w:val="0"/>
                      <w:divBdr>
                        <w:top w:val="none" w:sz="0" w:space="0" w:color="auto"/>
                        <w:left w:val="none" w:sz="0" w:space="0" w:color="auto"/>
                        <w:bottom w:val="none" w:sz="0" w:space="0" w:color="auto"/>
                        <w:right w:val="none" w:sz="0" w:space="0" w:color="auto"/>
                      </w:divBdr>
                    </w:div>
                  </w:divsChild>
                </w:div>
                <w:div w:id="456022864">
                  <w:marLeft w:val="0"/>
                  <w:marRight w:val="0"/>
                  <w:marTop w:val="0"/>
                  <w:marBottom w:val="0"/>
                  <w:divBdr>
                    <w:top w:val="none" w:sz="0" w:space="0" w:color="auto"/>
                    <w:left w:val="none" w:sz="0" w:space="0" w:color="auto"/>
                    <w:bottom w:val="none" w:sz="0" w:space="0" w:color="auto"/>
                    <w:right w:val="none" w:sz="0" w:space="0" w:color="auto"/>
                  </w:divBdr>
                  <w:divsChild>
                    <w:div w:id="1898399106">
                      <w:marLeft w:val="0"/>
                      <w:marRight w:val="0"/>
                      <w:marTop w:val="0"/>
                      <w:marBottom w:val="0"/>
                      <w:divBdr>
                        <w:top w:val="none" w:sz="0" w:space="0" w:color="auto"/>
                        <w:left w:val="none" w:sz="0" w:space="0" w:color="auto"/>
                        <w:bottom w:val="none" w:sz="0" w:space="0" w:color="auto"/>
                        <w:right w:val="none" w:sz="0" w:space="0" w:color="auto"/>
                      </w:divBdr>
                    </w:div>
                  </w:divsChild>
                </w:div>
                <w:div w:id="567423295">
                  <w:marLeft w:val="0"/>
                  <w:marRight w:val="0"/>
                  <w:marTop w:val="0"/>
                  <w:marBottom w:val="0"/>
                  <w:divBdr>
                    <w:top w:val="none" w:sz="0" w:space="0" w:color="auto"/>
                    <w:left w:val="none" w:sz="0" w:space="0" w:color="auto"/>
                    <w:bottom w:val="none" w:sz="0" w:space="0" w:color="auto"/>
                    <w:right w:val="none" w:sz="0" w:space="0" w:color="auto"/>
                  </w:divBdr>
                  <w:divsChild>
                    <w:div w:id="949433265">
                      <w:marLeft w:val="0"/>
                      <w:marRight w:val="0"/>
                      <w:marTop w:val="0"/>
                      <w:marBottom w:val="0"/>
                      <w:divBdr>
                        <w:top w:val="none" w:sz="0" w:space="0" w:color="auto"/>
                        <w:left w:val="none" w:sz="0" w:space="0" w:color="auto"/>
                        <w:bottom w:val="none" w:sz="0" w:space="0" w:color="auto"/>
                        <w:right w:val="none" w:sz="0" w:space="0" w:color="auto"/>
                      </w:divBdr>
                    </w:div>
                  </w:divsChild>
                </w:div>
                <w:div w:id="653727708">
                  <w:marLeft w:val="0"/>
                  <w:marRight w:val="0"/>
                  <w:marTop w:val="0"/>
                  <w:marBottom w:val="0"/>
                  <w:divBdr>
                    <w:top w:val="none" w:sz="0" w:space="0" w:color="auto"/>
                    <w:left w:val="none" w:sz="0" w:space="0" w:color="auto"/>
                    <w:bottom w:val="none" w:sz="0" w:space="0" w:color="auto"/>
                    <w:right w:val="none" w:sz="0" w:space="0" w:color="auto"/>
                  </w:divBdr>
                  <w:divsChild>
                    <w:div w:id="165364898">
                      <w:marLeft w:val="0"/>
                      <w:marRight w:val="0"/>
                      <w:marTop w:val="0"/>
                      <w:marBottom w:val="0"/>
                      <w:divBdr>
                        <w:top w:val="none" w:sz="0" w:space="0" w:color="auto"/>
                        <w:left w:val="none" w:sz="0" w:space="0" w:color="auto"/>
                        <w:bottom w:val="none" w:sz="0" w:space="0" w:color="auto"/>
                        <w:right w:val="none" w:sz="0" w:space="0" w:color="auto"/>
                      </w:divBdr>
                    </w:div>
                  </w:divsChild>
                </w:div>
                <w:div w:id="703942058">
                  <w:marLeft w:val="0"/>
                  <w:marRight w:val="0"/>
                  <w:marTop w:val="0"/>
                  <w:marBottom w:val="0"/>
                  <w:divBdr>
                    <w:top w:val="none" w:sz="0" w:space="0" w:color="auto"/>
                    <w:left w:val="none" w:sz="0" w:space="0" w:color="auto"/>
                    <w:bottom w:val="none" w:sz="0" w:space="0" w:color="auto"/>
                    <w:right w:val="none" w:sz="0" w:space="0" w:color="auto"/>
                  </w:divBdr>
                  <w:divsChild>
                    <w:div w:id="1411926656">
                      <w:marLeft w:val="0"/>
                      <w:marRight w:val="0"/>
                      <w:marTop w:val="0"/>
                      <w:marBottom w:val="0"/>
                      <w:divBdr>
                        <w:top w:val="none" w:sz="0" w:space="0" w:color="auto"/>
                        <w:left w:val="none" w:sz="0" w:space="0" w:color="auto"/>
                        <w:bottom w:val="none" w:sz="0" w:space="0" w:color="auto"/>
                        <w:right w:val="none" w:sz="0" w:space="0" w:color="auto"/>
                      </w:divBdr>
                    </w:div>
                  </w:divsChild>
                </w:div>
                <w:div w:id="730687844">
                  <w:marLeft w:val="0"/>
                  <w:marRight w:val="0"/>
                  <w:marTop w:val="0"/>
                  <w:marBottom w:val="0"/>
                  <w:divBdr>
                    <w:top w:val="none" w:sz="0" w:space="0" w:color="auto"/>
                    <w:left w:val="none" w:sz="0" w:space="0" w:color="auto"/>
                    <w:bottom w:val="none" w:sz="0" w:space="0" w:color="auto"/>
                    <w:right w:val="none" w:sz="0" w:space="0" w:color="auto"/>
                  </w:divBdr>
                  <w:divsChild>
                    <w:div w:id="1011108183">
                      <w:marLeft w:val="0"/>
                      <w:marRight w:val="0"/>
                      <w:marTop w:val="0"/>
                      <w:marBottom w:val="0"/>
                      <w:divBdr>
                        <w:top w:val="none" w:sz="0" w:space="0" w:color="auto"/>
                        <w:left w:val="none" w:sz="0" w:space="0" w:color="auto"/>
                        <w:bottom w:val="none" w:sz="0" w:space="0" w:color="auto"/>
                        <w:right w:val="none" w:sz="0" w:space="0" w:color="auto"/>
                      </w:divBdr>
                    </w:div>
                  </w:divsChild>
                </w:div>
                <w:div w:id="1162893236">
                  <w:marLeft w:val="0"/>
                  <w:marRight w:val="0"/>
                  <w:marTop w:val="0"/>
                  <w:marBottom w:val="0"/>
                  <w:divBdr>
                    <w:top w:val="none" w:sz="0" w:space="0" w:color="auto"/>
                    <w:left w:val="none" w:sz="0" w:space="0" w:color="auto"/>
                    <w:bottom w:val="none" w:sz="0" w:space="0" w:color="auto"/>
                    <w:right w:val="none" w:sz="0" w:space="0" w:color="auto"/>
                  </w:divBdr>
                  <w:divsChild>
                    <w:div w:id="170225877">
                      <w:marLeft w:val="0"/>
                      <w:marRight w:val="0"/>
                      <w:marTop w:val="0"/>
                      <w:marBottom w:val="0"/>
                      <w:divBdr>
                        <w:top w:val="none" w:sz="0" w:space="0" w:color="auto"/>
                        <w:left w:val="none" w:sz="0" w:space="0" w:color="auto"/>
                        <w:bottom w:val="none" w:sz="0" w:space="0" w:color="auto"/>
                        <w:right w:val="none" w:sz="0" w:space="0" w:color="auto"/>
                      </w:divBdr>
                    </w:div>
                  </w:divsChild>
                </w:div>
                <w:div w:id="1187601765">
                  <w:marLeft w:val="0"/>
                  <w:marRight w:val="0"/>
                  <w:marTop w:val="0"/>
                  <w:marBottom w:val="0"/>
                  <w:divBdr>
                    <w:top w:val="none" w:sz="0" w:space="0" w:color="auto"/>
                    <w:left w:val="none" w:sz="0" w:space="0" w:color="auto"/>
                    <w:bottom w:val="none" w:sz="0" w:space="0" w:color="auto"/>
                    <w:right w:val="none" w:sz="0" w:space="0" w:color="auto"/>
                  </w:divBdr>
                  <w:divsChild>
                    <w:div w:id="654140365">
                      <w:marLeft w:val="0"/>
                      <w:marRight w:val="0"/>
                      <w:marTop w:val="0"/>
                      <w:marBottom w:val="0"/>
                      <w:divBdr>
                        <w:top w:val="none" w:sz="0" w:space="0" w:color="auto"/>
                        <w:left w:val="none" w:sz="0" w:space="0" w:color="auto"/>
                        <w:bottom w:val="none" w:sz="0" w:space="0" w:color="auto"/>
                        <w:right w:val="none" w:sz="0" w:space="0" w:color="auto"/>
                      </w:divBdr>
                    </w:div>
                  </w:divsChild>
                </w:div>
                <w:div w:id="1192497089">
                  <w:marLeft w:val="0"/>
                  <w:marRight w:val="0"/>
                  <w:marTop w:val="0"/>
                  <w:marBottom w:val="0"/>
                  <w:divBdr>
                    <w:top w:val="none" w:sz="0" w:space="0" w:color="auto"/>
                    <w:left w:val="none" w:sz="0" w:space="0" w:color="auto"/>
                    <w:bottom w:val="none" w:sz="0" w:space="0" w:color="auto"/>
                    <w:right w:val="none" w:sz="0" w:space="0" w:color="auto"/>
                  </w:divBdr>
                  <w:divsChild>
                    <w:div w:id="96218487">
                      <w:marLeft w:val="0"/>
                      <w:marRight w:val="0"/>
                      <w:marTop w:val="0"/>
                      <w:marBottom w:val="0"/>
                      <w:divBdr>
                        <w:top w:val="none" w:sz="0" w:space="0" w:color="auto"/>
                        <w:left w:val="none" w:sz="0" w:space="0" w:color="auto"/>
                        <w:bottom w:val="none" w:sz="0" w:space="0" w:color="auto"/>
                        <w:right w:val="none" w:sz="0" w:space="0" w:color="auto"/>
                      </w:divBdr>
                    </w:div>
                  </w:divsChild>
                </w:div>
                <w:div w:id="1210647600">
                  <w:marLeft w:val="0"/>
                  <w:marRight w:val="0"/>
                  <w:marTop w:val="0"/>
                  <w:marBottom w:val="0"/>
                  <w:divBdr>
                    <w:top w:val="none" w:sz="0" w:space="0" w:color="auto"/>
                    <w:left w:val="none" w:sz="0" w:space="0" w:color="auto"/>
                    <w:bottom w:val="none" w:sz="0" w:space="0" w:color="auto"/>
                    <w:right w:val="none" w:sz="0" w:space="0" w:color="auto"/>
                  </w:divBdr>
                  <w:divsChild>
                    <w:div w:id="2068071300">
                      <w:marLeft w:val="0"/>
                      <w:marRight w:val="0"/>
                      <w:marTop w:val="0"/>
                      <w:marBottom w:val="0"/>
                      <w:divBdr>
                        <w:top w:val="none" w:sz="0" w:space="0" w:color="auto"/>
                        <w:left w:val="none" w:sz="0" w:space="0" w:color="auto"/>
                        <w:bottom w:val="none" w:sz="0" w:space="0" w:color="auto"/>
                        <w:right w:val="none" w:sz="0" w:space="0" w:color="auto"/>
                      </w:divBdr>
                    </w:div>
                  </w:divsChild>
                </w:div>
                <w:div w:id="1230336943">
                  <w:marLeft w:val="0"/>
                  <w:marRight w:val="0"/>
                  <w:marTop w:val="0"/>
                  <w:marBottom w:val="0"/>
                  <w:divBdr>
                    <w:top w:val="none" w:sz="0" w:space="0" w:color="auto"/>
                    <w:left w:val="none" w:sz="0" w:space="0" w:color="auto"/>
                    <w:bottom w:val="none" w:sz="0" w:space="0" w:color="auto"/>
                    <w:right w:val="none" w:sz="0" w:space="0" w:color="auto"/>
                  </w:divBdr>
                  <w:divsChild>
                    <w:div w:id="1673025067">
                      <w:marLeft w:val="0"/>
                      <w:marRight w:val="0"/>
                      <w:marTop w:val="0"/>
                      <w:marBottom w:val="0"/>
                      <w:divBdr>
                        <w:top w:val="none" w:sz="0" w:space="0" w:color="auto"/>
                        <w:left w:val="none" w:sz="0" w:space="0" w:color="auto"/>
                        <w:bottom w:val="none" w:sz="0" w:space="0" w:color="auto"/>
                        <w:right w:val="none" w:sz="0" w:space="0" w:color="auto"/>
                      </w:divBdr>
                    </w:div>
                  </w:divsChild>
                </w:div>
                <w:div w:id="1377120755">
                  <w:marLeft w:val="0"/>
                  <w:marRight w:val="0"/>
                  <w:marTop w:val="0"/>
                  <w:marBottom w:val="0"/>
                  <w:divBdr>
                    <w:top w:val="none" w:sz="0" w:space="0" w:color="auto"/>
                    <w:left w:val="none" w:sz="0" w:space="0" w:color="auto"/>
                    <w:bottom w:val="none" w:sz="0" w:space="0" w:color="auto"/>
                    <w:right w:val="none" w:sz="0" w:space="0" w:color="auto"/>
                  </w:divBdr>
                  <w:divsChild>
                    <w:div w:id="692263863">
                      <w:marLeft w:val="0"/>
                      <w:marRight w:val="0"/>
                      <w:marTop w:val="0"/>
                      <w:marBottom w:val="0"/>
                      <w:divBdr>
                        <w:top w:val="none" w:sz="0" w:space="0" w:color="auto"/>
                        <w:left w:val="none" w:sz="0" w:space="0" w:color="auto"/>
                        <w:bottom w:val="none" w:sz="0" w:space="0" w:color="auto"/>
                        <w:right w:val="none" w:sz="0" w:space="0" w:color="auto"/>
                      </w:divBdr>
                    </w:div>
                  </w:divsChild>
                </w:div>
                <w:div w:id="1414280437">
                  <w:marLeft w:val="0"/>
                  <w:marRight w:val="0"/>
                  <w:marTop w:val="0"/>
                  <w:marBottom w:val="0"/>
                  <w:divBdr>
                    <w:top w:val="none" w:sz="0" w:space="0" w:color="auto"/>
                    <w:left w:val="none" w:sz="0" w:space="0" w:color="auto"/>
                    <w:bottom w:val="none" w:sz="0" w:space="0" w:color="auto"/>
                    <w:right w:val="none" w:sz="0" w:space="0" w:color="auto"/>
                  </w:divBdr>
                  <w:divsChild>
                    <w:div w:id="165480511">
                      <w:marLeft w:val="0"/>
                      <w:marRight w:val="0"/>
                      <w:marTop w:val="0"/>
                      <w:marBottom w:val="0"/>
                      <w:divBdr>
                        <w:top w:val="none" w:sz="0" w:space="0" w:color="auto"/>
                        <w:left w:val="none" w:sz="0" w:space="0" w:color="auto"/>
                        <w:bottom w:val="none" w:sz="0" w:space="0" w:color="auto"/>
                        <w:right w:val="none" w:sz="0" w:space="0" w:color="auto"/>
                      </w:divBdr>
                    </w:div>
                  </w:divsChild>
                </w:div>
                <w:div w:id="1504123061">
                  <w:marLeft w:val="0"/>
                  <w:marRight w:val="0"/>
                  <w:marTop w:val="0"/>
                  <w:marBottom w:val="0"/>
                  <w:divBdr>
                    <w:top w:val="none" w:sz="0" w:space="0" w:color="auto"/>
                    <w:left w:val="none" w:sz="0" w:space="0" w:color="auto"/>
                    <w:bottom w:val="none" w:sz="0" w:space="0" w:color="auto"/>
                    <w:right w:val="none" w:sz="0" w:space="0" w:color="auto"/>
                  </w:divBdr>
                  <w:divsChild>
                    <w:div w:id="1340431222">
                      <w:marLeft w:val="0"/>
                      <w:marRight w:val="0"/>
                      <w:marTop w:val="0"/>
                      <w:marBottom w:val="0"/>
                      <w:divBdr>
                        <w:top w:val="none" w:sz="0" w:space="0" w:color="auto"/>
                        <w:left w:val="none" w:sz="0" w:space="0" w:color="auto"/>
                        <w:bottom w:val="none" w:sz="0" w:space="0" w:color="auto"/>
                        <w:right w:val="none" w:sz="0" w:space="0" w:color="auto"/>
                      </w:divBdr>
                    </w:div>
                  </w:divsChild>
                </w:div>
                <w:div w:id="1594821780">
                  <w:marLeft w:val="0"/>
                  <w:marRight w:val="0"/>
                  <w:marTop w:val="0"/>
                  <w:marBottom w:val="0"/>
                  <w:divBdr>
                    <w:top w:val="none" w:sz="0" w:space="0" w:color="auto"/>
                    <w:left w:val="none" w:sz="0" w:space="0" w:color="auto"/>
                    <w:bottom w:val="none" w:sz="0" w:space="0" w:color="auto"/>
                    <w:right w:val="none" w:sz="0" w:space="0" w:color="auto"/>
                  </w:divBdr>
                  <w:divsChild>
                    <w:div w:id="523634748">
                      <w:marLeft w:val="0"/>
                      <w:marRight w:val="0"/>
                      <w:marTop w:val="0"/>
                      <w:marBottom w:val="0"/>
                      <w:divBdr>
                        <w:top w:val="none" w:sz="0" w:space="0" w:color="auto"/>
                        <w:left w:val="none" w:sz="0" w:space="0" w:color="auto"/>
                        <w:bottom w:val="none" w:sz="0" w:space="0" w:color="auto"/>
                        <w:right w:val="none" w:sz="0" w:space="0" w:color="auto"/>
                      </w:divBdr>
                    </w:div>
                  </w:divsChild>
                </w:div>
                <w:div w:id="1607272245">
                  <w:marLeft w:val="0"/>
                  <w:marRight w:val="0"/>
                  <w:marTop w:val="0"/>
                  <w:marBottom w:val="0"/>
                  <w:divBdr>
                    <w:top w:val="none" w:sz="0" w:space="0" w:color="auto"/>
                    <w:left w:val="none" w:sz="0" w:space="0" w:color="auto"/>
                    <w:bottom w:val="none" w:sz="0" w:space="0" w:color="auto"/>
                    <w:right w:val="none" w:sz="0" w:space="0" w:color="auto"/>
                  </w:divBdr>
                  <w:divsChild>
                    <w:div w:id="1186291524">
                      <w:marLeft w:val="0"/>
                      <w:marRight w:val="0"/>
                      <w:marTop w:val="0"/>
                      <w:marBottom w:val="0"/>
                      <w:divBdr>
                        <w:top w:val="none" w:sz="0" w:space="0" w:color="auto"/>
                        <w:left w:val="none" w:sz="0" w:space="0" w:color="auto"/>
                        <w:bottom w:val="none" w:sz="0" w:space="0" w:color="auto"/>
                        <w:right w:val="none" w:sz="0" w:space="0" w:color="auto"/>
                      </w:divBdr>
                    </w:div>
                  </w:divsChild>
                </w:div>
                <w:div w:id="1630166758">
                  <w:marLeft w:val="0"/>
                  <w:marRight w:val="0"/>
                  <w:marTop w:val="0"/>
                  <w:marBottom w:val="0"/>
                  <w:divBdr>
                    <w:top w:val="none" w:sz="0" w:space="0" w:color="auto"/>
                    <w:left w:val="none" w:sz="0" w:space="0" w:color="auto"/>
                    <w:bottom w:val="none" w:sz="0" w:space="0" w:color="auto"/>
                    <w:right w:val="none" w:sz="0" w:space="0" w:color="auto"/>
                  </w:divBdr>
                  <w:divsChild>
                    <w:div w:id="1585996122">
                      <w:marLeft w:val="0"/>
                      <w:marRight w:val="0"/>
                      <w:marTop w:val="0"/>
                      <w:marBottom w:val="0"/>
                      <w:divBdr>
                        <w:top w:val="none" w:sz="0" w:space="0" w:color="auto"/>
                        <w:left w:val="none" w:sz="0" w:space="0" w:color="auto"/>
                        <w:bottom w:val="none" w:sz="0" w:space="0" w:color="auto"/>
                        <w:right w:val="none" w:sz="0" w:space="0" w:color="auto"/>
                      </w:divBdr>
                    </w:div>
                  </w:divsChild>
                </w:div>
                <w:div w:id="1700080426">
                  <w:marLeft w:val="0"/>
                  <w:marRight w:val="0"/>
                  <w:marTop w:val="0"/>
                  <w:marBottom w:val="0"/>
                  <w:divBdr>
                    <w:top w:val="none" w:sz="0" w:space="0" w:color="auto"/>
                    <w:left w:val="none" w:sz="0" w:space="0" w:color="auto"/>
                    <w:bottom w:val="none" w:sz="0" w:space="0" w:color="auto"/>
                    <w:right w:val="none" w:sz="0" w:space="0" w:color="auto"/>
                  </w:divBdr>
                  <w:divsChild>
                    <w:div w:id="429274912">
                      <w:marLeft w:val="0"/>
                      <w:marRight w:val="0"/>
                      <w:marTop w:val="0"/>
                      <w:marBottom w:val="0"/>
                      <w:divBdr>
                        <w:top w:val="none" w:sz="0" w:space="0" w:color="auto"/>
                        <w:left w:val="none" w:sz="0" w:space="0" w:color="auto"/>
                        <w:bottom w:val="none" w:sz="0" w:space="0" w:color="auto"/>
                        <w:right w:val="none" w:sz="0" w:space="0" w:color="auto"/>
                      </w:divBdr>
                    </w:div>
                  </w:divsChild>
                </w:div>
                <w:div w:id="1830049965">
                  <w:marLeft w:val="0"/>
                  <w:marRight w:val="0"/>
                  <w:marTop w:val="0"/>
                  <w:marBottom w:val="0"/>
                  <w:divBdr>
                    <w:top w:val="none" w:sz="0" w:space="0" w:color="auto"/>
                    <w:left w:val="none" w:sz="0" w:space="0" w:color="auto"/>
                    <w:bottom w:val="none" w:sz="0" w:space="0" w:color="auto"/>
                    <w:right w:val="none" w:sz="0" w:space="0" w:color="auto"/>
                  </w:divBdr>
                  <w:divsChild>
                    <w:div w:id="940643202">
                      <w:marLeft w:val="0"/>
                      <w:marRight w:val="0"/>
                      <w:marTop w:val="0"/>
                      <w:marBottom w:val="0"/>
                      <w:divBdr>
                        <w:top w:val="none" w:sz="0" w:space="0" w:color="auto"/>
                        <w:left w:val="none" w:sz="0" w:space="0" w:color="auto"/>
                        <w:bottom w:val="none" w:sz="0" w:space="0" w:color="auto"/>
                        <w:right w:val="none" w:sz="0" w:space="0" w:color="auto"/>
                      </w:divBdr>
                    </w:div>
                  </w:divsChild>
                </w:div>
                <w:div w:id="1928534542">
                  <w:marLeft w:val="0"/>
                  <w:marRight w:val="0"/>
                  <w:marTop w:val="0"/>
                  <w:marBottom w:val="0"/>
                  <w:divBdr>
                    <w:top w:val="none" w:sz="0" w:space="0" w:color="auto"/>
                    <w:left w:val="none" w:sz="0" w:space="0" w:color="auto"/>
                    <w:bottom w:val="none" w:sz="0" w:space="0" w:color="auto"/>
                    <w:right w:val="none" w:sz="0" w:space="0" w:color="auto"/>
                  </w:divBdr>
                  <w:divsChild>
                    <w:div w:id="804078720">
                      <w:marLeft w:val="0"/>
                      <w:marRight w:val="0"/>
                      <w:marTop w:val="0"/>
                      <w:marBottom w:val="0"/>
                      <w:divBdr>
                        <w:top w:val="none" w:sz="0" w:space="0" w:color="auto"/>
                        <w:left w:val="none" w:sz="0" w:space="0" w:color="auto"/>
                        <w:bottom w:val="none" w:sz="0" w:space="0" w:color="auto"/>
                        <w:right w:val="none" w:sz="0" w:space="0" w:color="auto"/>
                      </w:divBdr>
                    </w:div>
                  </w:divsChild>
                </w:div>
                <w:div w:id="2014529658">
                  <w:marLeft w:val="0"/>
                  <w:marRight w:val="0"/>
                  <w:marTop w:val="0"/>
                  <w:marBottom w:val="0"/>
                  <w:divBdr>
                    <w:top w:val="none" w:sz="0" w:space="0" w:color="auto"/>
                    <w:left w:val="none" w:sz="0" w:space="0" w:color="auto"/>
                    <w:bottom w:val="none" w:sz="0" w:space="0" w:color="auto"/>
                    <w:right w:val="none" w:sz="0" w:space="0" w:color="auto"/>
                  </w:divBdr>
                  <w:divsChild>
                    <w:div w:id="15509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0522">
          <w:marLeft w:val="0"/>
          <w:marRight w:val="0"/>
          <w:marTop w:val="0"/>
          <w:marBottom w:val="0"/>
          <w:divBdr>
            <w:top w:val="none" w:sz="0" w:space="0" w:color="auto"/>
            <w:left w:val="none" w:sz="0" w:space="0" w:color="auto"/>
            <w:bottom w:val="none" w:sz="0" w:space="0" w:color="auto"/>
            <w:right w:val="none" w:sz="0" w:space="0" w:color="auto"/>
          </w:divBdr>
          <w:divsChild>
            <w:div w:id="294529138">
              <w:marLeft w:val="-75"/>
              <w:marRight w:val="0"/>
              <w:marTop w:val="30"/>
              <w:marBottom w:val="30"/>
              <w:divBdr>
                <w:top w:val="none" w:sz="0" w:space="0" w:color="auto"/>
                <w:left w:val="none" w:sz="0" w:space="0" w:color="auto"/>
                <w:bottom w:val="none" w:sz="0" w:space="0" w:color="auto"/>
                <w:right w:val="none" w:sz="0" w:space="0" w:color="auto"/>
              </w:divBdr>
              <w:divsChild>
                <w:div w:id="13265834">
                  <w:marLeft w:val="0"/>
                  <w:marRight w:val="0"/>
                  <w:marTop w:val="0"/>
                  <w:marBottom w:val="0"/>
                  <w:divBdr>
                    <w:top w:val="none" w:sz="0" w:space="0" w:color="auto"/>
                    <w:left w:val="none" w:sz="0" w:space="0" w:color="auto"/>
                    <w:bottom w:val="none" w:sz="0" w:space="0" w:color="auto"/>
                    <w:right w:val="none" w:sz="0" w:space="0" w:color="auto"/>
                  </w:divBdr>
                  <w:divsChild>
                    <w:div w:id="49116585">
                      <w:marLeft w:val="0"/>
                      <w:marRight w:val="0"/>
                      <w:marTop w:val="0"/>
                      <w:marBottom w:val="0"/>
                      <w:divBdr>
                        <w:top w:val="none" w:sz="0" w:space="0" w:color="auto"/>
                        <w:left w:val="none" w:sz="0" w:space="0" w:color="auto"/>
                        <w:bottom w:val="none" w:sz="0" w:space="0" w:color="auto"/>
                        <w:right w:val="none" w:sz="0" w:space="0" w:color="auto"/>
                      </w:divBdr>
                    </w:div>
                  </w:divsChild>
                </w:div>
                <w:div w:id="31539173">
                  <w:marLeft w:val="0"/>
                  <w:marRight w:val="0"/>
                  <w:marTop w:val="0"/>
                  <w:marBottom w:val="0"/>
                  <w:divBdr>
                    <w:top w:val="none" w:sz="0" w:space="0" w:color="auto"/>
                    <w:left w:val="none" w:sz="0" w:space="0" w:color="auto"/>
                    <w:bottom w:val="none" w:sz="0" w:space="0" w:color="auto"/>
                    <w:right w:val="none" w:sz="0" w:space="0" w:color="auto"/>
                  </w:divBdr>
                  <w:divsChild>
                    <w:div w:id="1238174027">
                      <w:marLeft w:val="0"/>
                      <w:marRight w:val="0"/>
                      <w:marTop w:val="0"/>
                      <w:marBottom w:val="0"/>
                      <w:divBdr>
                        <w:top w:val="none" w:sz="0" w:space="0" w:color="auto"/>
                        <w:left w:val="none" w:sz="0" w:space="0" w:color="auto"/>
                        <w:bottom w:val="none" w:sz="0" w:space="0" w:color="auto"/>
                        <w:right w:val="none" w:sz="0" w:space="0" w:color="auto"/>
                      </w:divBdr>
                    </w:div>
                  </w:divsChild>
                </w:div>
                <w:div w:id="77336664">
                  <w:marLeft w:val="0"/>
                  <w:marRight w:val="0"/>
                  <w:marTop w:val="0"/>
                  <w:marBottom w:val="0"/>
                  <w:divBdr>
                    <w:top w:val="none" w:sz="0" w:space="0" w:color="auto"/>
                    <w:left w:val="none" w:sz="0" w:space="0" w:color="auto"/>
                    <w:bottom w:val="none" w:sz="0" w:space="0" w:color="auto"/>
                    <w:right w:val="none" w:sz="0" w:space="0" w:color="auto"/>
                  </w:divBdr>
                  <w:divsChild>
                    <w:div w:id="1129667901">
                      <w:marLeft w:val="0"/>
                      <w:marRight w:val="0"/>
                      <w:marTop w:val="0"/>
                      <w:marBottom w:val="0"/>
                      <w:divBdr>
                        <w:top w:val="none" w:sz="0" w:space="0" w:color="auto"/>
                        <w:left w:val="none" w:sz="0" w:space="0" w:color="auto"/>
                        <w:bottom w:val="none" w:sz="0" w:space="0" w:color="auto"/>
                        <w:right w:val="none" w:sz="0" w:space="0" w:color="auto"/>
                      </w:divBdr>
                    </w:div>
                  </w:divsChild>
                </w:div>
                <w:div w:id="110050879">
                  <w:marLeft w:val="0"/>
                  <w:marRight w:val="0"/>
                  <w:marTop w:val="0"/>
                  <w:marBottom w:val="0"/>
                  <w:divBdr>
                    <w:top w:val="none" w:sz="0" w:space="0" w:color="auto"/>
                    <w:left w:val="none" w:sz="0" w:space="0" w:color="auto"/>
                    <w:bottom w:val="none" w:sz="0" w:space="0" w:color="auto"/>
                    <w:right w:val="none" w:sz="0" w:space="0" w:color="auto"/>
                  </w:divBdr>
                  <w:divsChild>
                    <w:div w:id="1535532008">
                      <w:marLeft w:val="0"/>
                      <w:marRight w:val="0"/>
                      <w:marTop w:val="0"/>
                      <w:marBottom w:val="0"/>
                      <w:divBdr>
                        <w:top w:val="none" w:sz="0" w:space="0" w:color="auto"/>
                        <w:left w:val="none" w:sz="0" w:space="0" w:color="auto"/>
                        <w:bottom w:val="none" w:sz="0" w:space="0" w:color="auto"/>
                        <w:right w:val="none" w:sz="0" w:space="0" w:color="auto"/>
                      </w:divBdr>
                    </w:div>
                  </w:divsChild>
                </w:div>
                <w:div w:id="110130227">
                  <w:marLeft w:val="0"/>
                  <w:marRight w:val="0"/>
                  <w:marTop w:val="0"/>
                  <w:marBottom w:val="0"/>
                  <w:divBdr>
                    <w:top w:val="none" w:sz="0" w:space="0" w:color="auto"/>
                    <w:left w:val="none" w:sz="0" w:space="0" w:color="auto"/>
                    <w:bottom w:val="none" w:sz="0" w:space="0" w:color="auto"/>
                    <w:right w:val="none" w:sz="0" w:space="0" w:color="auto"/>
                  </w:divBdr>
                  <w:divsChild>
                    <w:div w:id="2063407012">
                      <w:marLeft w:val="0"/>
                      <w:marRight w:val="0"/>
                      <w:marTop w:val="0"/>
                      <w:marBottom w:val="0"/>
                      <w:divBdr>
                        <w:top w:val="none" w:sz="0" w:space="0" w:color="auto"/>
                        <w:left w:val="none" w:sz="0" w:space="0" w:color="auto"/>
                        <w:bottom w:val="none" w:sz="0" w:space="0" w:color="auto"/>
                        <w:right w:val="none" w:sz="0" w:space="0" w:color="auto"/>
                      </w:divBdr>
                    </w:div>
                  </w:divsChild>
                </w:div>
                <w:div w:id="112748616">
                  <w:marLeft w:val="0"/>
                  <w:marRight w:val="0"/>
                  <w:marTop w:val="0"/>
                  <w:marBottom w:val="0"/>
                  <w:divBdr>
                    <w:top w:val="none" w:sz="0" w:space="0" w:color="auto"/>
                    <w:left w:val="none" w:sz="0" w:space="0" w:color="auto"/>
                    <w:bottom w:val="none" w:sz="0" w:space="0" w:color="auto"/>
                    <w:right w:val="none" w:sz="0" w:space="0" w:color="auto"/>
                  </w:divBdr>
                  <w:divsChild>
                    <w:div w:id="1792436171">
                      <w:marLeft w:val="0"/>
                      <w:marRight w:val="0"/>
                      <w:marTop w:val="0"/>
                      <w:marBottom w:val="0"/>
                      <w:divBdr>
                        <w:top w:val="none" w:sz="0" w:space="0" w:color="auto"/>
                        <w:left w:val="none" w:sz="0" w:space="0" w:color="auto"/>
                        <w:bottom w:val="none" w:sz="0" w:space="0" w:color="auto"/>
                        <w:right w:val="none" w:sz="0" w:space="0" w:color="auto"/>
                      </w:divBdr>
                    </w:div>
                  </w:divsChild>
                </w:div>
                <w:div w:id="124591675">
                  <w:marLeft w:val="0"/>
                  <w:marRight w:val="0"/>
                  <w:marTop w:val="0"/>
                  <w:marBottom w:val="0"/>
                  <w:divBdr>
                    <w:top w:val="none" w:sz="0" w:space="0" w:color="auto"/>
                    <w:left w:val="none" w:sz="0" w:space="0" w:color="auto"/>
                    <w:bottom w:val="none" w:sz="0" w:space="0" w:color="auto"/>
                    <w:right w:val="none" w:sz="0" w:space="0" w:color="auto"/>
                  </w:divBdr>
                  <w:divsChild>
                    <w:div w:id="126556956">
                      <w:marLeft w:val="0"/>
                      <w:marRight w:val="0"/>
                      <w:marTop w:val="0"/>
                      <w:marBottom w:val="0"/>
                      <w:divBdr>
                        <w:top w:val="none" w:sz="0" w:space="0" w:color="auto"/>
                        <w:left w:val="none" w:sz="0" w:space="0" w:color="auto"/>
                        <w:bottom w:val="none" w:sz="0" w:space="0" w:color="auto"/>
                        <w:right w:val="none" w:sz="0" w:space="0" w:color="auto"/>
                      </w:divBdr>
                    </w:div>
                  </w:divsChild>
                </w:div>
                <w:div w:id="165023962">
                  <w:marLeft w:val="0"/>
                  <w:marRight w:val="0"/>
                  <w:marTop w:val="0"/>
                  <w:marBottom w:val="0"/>
                  <w:divBdr>
                    <w:top w:val="none" w:sz="0" w:space="0" w:color="auto"/>
                    <w:left w:val="none" w:sz="0" w:space="0" w:color="auto"/>
                    <w:bottom w:val="none" w:sz="0" w:space="0" w:color="auto"/>
                    <w:right w:val="none" w:sz="0" w:space="0" w:color="auto"/>
                  </w:divBdr>
                  <w:divsChild>
                    <w:div w:id="1096099329">
                      <w:marLeft w:val="0"/>
                      <w:marRight w:val="0"/>
                      <w:marTop w:val="0"/>
                      <w:marBottom w:val="0"/>
                      <w:divBdr>
                        <w:top w:val="none" w:sz="0" w:space="0" w:color="auto"/>
                        <w:left w:val="none" w:sz="0" w:space="0" w:color="auto"/>
                        <w:bottom w:val="none" w:sz="0" w:space="0" w:color="auto"/>
                        <w:right w:val="none" w:sz="0" w:space="0" w:color="auto"/>
                      </w:divBdr>
                    </w:div>
                  </w:divsChild>
                </w:div>
                <w:div w:id="190921229">
                  <w:marLeft w:val="0"/>
                  <w:marRight w:val="0"/>
                  <w:marTop w:val="0"/>
                  <w:marBottom w:val="0"/>
                  <w:divBdr>
                    <w:top w:val="none" w:sz="0" w:space="0" w:color="auto"/>
                    <w:left w:val="none" w:sz="0" w:space="0" w:color="auto"/>
                    <w:bottom w:val="none" w:sz="0" w:space="0" w:color="auto"/>
                    <w:right w:val="none" w:sz="0" w:space="0" w:color="auto"/>
                  </w:divBdr>
                  <w:divsChild>
                    <w:div w:id="171720755">
                      <w:marLeft w:val="0"/>
                      <w:marRight w:val="0"/>
                      <w:marTop w:val="0"/>
                      <w:marBottom w:val="0"/>
                      <w:divBdr>
                        <w:top w:val="none" w:sz="0" w:space="0" w:color="auto"/>
                        <w:left w:val="none" w:sz="0" w:space="0" w:color="auto"/>
                        <w:bottom w:val="none" w:sz="0" w:space="0" w:color="auto"/>
                        <w:right w:val="none" w:sz="0" w:space="0" w:color="auto"/>
                      </w:divBdr>
                    </w:div>
                  </w:divsChild>
                </w:div>
                <w:div w:id="224726806">
                  <w:marLeft w:val="0"/>
                  <w:marRight w:val="0"/>
                  <w:marTop w:val="0"/>
                  <w:marBottom w:val="0"/>
                  <w:divBdr>
                    <w:top w:val="none" w:sz="0" w:space="0" w:color="auto"/>
                    <w:left w:val="none" w:sz="0" w:space="0" w:color="auto"/>
                    <w:bottom w:val="none" w:sz="0" w:space="0" w:color="auto"/>
                    <w:right w:val="none" w:sz="0" w:space="0" w:color="auto"/>
                  </w:divBdr>
                  <w:divsChild>
                    <w:div w:id="423306987">
                      <w:marLeft w:val="0"/>
                      <w:marRight w:val="0"/>
                      <w:marTop w:val="0"/>
                      <w:marBottom w:val="0"/>
                      <w:divBdr>
                        <w:top w:val="none" w:sz="0" w:space="0" w:color="auto"/>
                        <w:left w:val="none" w:sz="0" w:space="0" w:color="auto"/>
                        <w:bottom w:val="none" w:sz="0" w:space="0" w:color="auto"/>
                        <w:right w:val="none" w:sz="0" w:space="0" w:color="auto"/>
                      </w:divBdr>
                    </w:div>
                  </w:divsChild>
                </w:div>
                <w:div w:id="353919901">
                  <w:marLeft w:val="0"/>
                  <w:marRight w:val="0"/>
                  <w:marTop w:val="0"/>
                  <w:marBottom w:val="0"/>
                  <w:divBdr>
                    <w:top w:val="none" w:sz="0" w:space="0" w:color="auto"/>
                    <w:left w:val="none" w:sz="0" w:space="0" w:color="auto"/>
                    <w:bottom w:val="none" w:sz="0" w:space="0" w:color="auto"/>
                    <w:right w:val="none" w:sz="0" w:space="0" w:color="auto"/>
                  </w:divBdr>
                  <w:divsChild>
                    <w:div w:id="1664507974">
                      <w:marLeft w:val="0"/>
                      <w:marRight w:val="0"/>
                      <w:marTop w:val="0"/>
                      <w:marBottom w:val="0"/>
                      <w:divBdr>
                        <w:top w:val="none" w:sz="0" w:space="0" w:color="auto"/>
                        <w:left w:val="none" w:sz="0" w:space="0" w:color="auto"/>
                        <w:bottom w:val="none" w:sz="0" w:space="0" w:color="auto"/>
                        <w:right w:val="none" w:sz="0" w:space="0" w:color="auto"/>
                      </w:divBdr>
                    </w:div>
                  </w:divsChild>
                </w:div>
                <w:div w:id="360134667">
                  <w:marLeft w:val="0"/>
                  <w:marRight w:val="0"/>
                  <w:marTop w:val="0"/>
                  <w:marBottom w:val="0"/>
                  <w:divBdr>
                    <w:top w:val="none" w:sz="0" w:space="0" w:color="auto"/>
                    <w:left w:val="none" w:sz="0" w:space="0" w:color="auto"/>
                    <w:bottom w:val="none" w:sz="0" w:space="0" w:color="auto"/>
                    <w:right w:val="none" w:sz="0" w:space="0" w:color="auto"/>
                  </w:divBdr>
                  <w:divsChild>
                    <w:div w:id="1090350345">
                      <w:marLeft w:val="0"/>
                      <w:marRight w:val="0"/>
                      <w:marTop w:val="0"/>
                      <w:marBottom w:val="0"/>
                      <w:divBdr>
                        <w:top w:val="none" w:sz="0" w:space="0" w:color="auto"/>
                        <w:left w:val="none" w:sz="0" w:space="0" w:color="auto"/>
                        <w:bottom w:val="none" w:sz="0" w:space="0" w:color="auto"/>
                        <w:right w:val="none" w:sz="0" w:space="0" w:color="auto"/>
                      </w:divBdr>
                    </w:div>
                  </w:divsChild>
                </w:div>
                <w:div w:id="427503237">
                  <w:marLeft w:val="0"/>
                  <w:marRight w:val="0"/>
                  <w:marTop w:val="0"/>
                  <w:marBottom w:val="0"/>
                  <w:divBdr>
                    <w:top w:val="none" w:sz="0" w:space="0" w:color="auto"/>
                    <w:left w:val="none" w:sz="0" w:space="0" w:color="auto"/>
                    <w:bottom w:val="none" w:sz="0" w:space="0" w:color="auto"/>
                    <w:right w:val="none" w:sz="0" w:space="0" w:color="auto"/>
                  </w:divBdr>
                  <w:divsChild>
                    <w:div w:id="1278100198">
                      <w:marLeft w:val="0"/>
                      <w:marRight w:val="0"/>
                      <w:marTop w:val="0"/>
                      <w:marBottom w:val="0"/>
                      <w:divBdr>
                        <w:top w:val="none" w:sz="0" w:space="0" w:color="auto"/>
                        <w:left w:val="none" w:sz="0" w:space="0" w:color="auto"/>
                        <w:bottom w:val="none" w:sz="0" w:space="0" w:color="auto"/>
                        <w:right w:val="none" w:sz="0" w:space="0" w:color="auto"/>
                      </w:divBdr>
                    </w:div>
                  </w:divsChild>
                </w:div>
                <w:div w:id="446588728">
                  <w:marLeft w:val="0"/>
                  <w:marRight w:val="0"/>
                  <w:marTop w:val="0"/>
                  <w:marBottom w:val="0"/>
                  <w:divBdr>
                    <w:top w:val="none" w:sz="0" w:space="0" w:color="auto"/>
                    <w:left w:val="none" w:sz="0" w:space="0" w:color="auto"/>
                    <w:bottom w:val="none" w:sz="0" w:space="0" w:color="auto"/>
                    <w:right w:val="none" w:sz="0" w:space="0" w:color="auto"/>
                  </w:divBdr>
                  <w:divsChild>
                    <w:div w:id="409891512">
                      <w:marLeft w:val="0"/>
                      <w:marRight w:val="0"/>
                      <w:marTop w:val="0"/>
                      <w:marBottom w:val="0"/>
                      <w:divBdr>
                        <w:top w:val="none" w:sz="0" w:space="0" w:color="auto"/>
                        <w:left w:val="none" w:sz="0" w:space="0" w:color="auto"/>
                        <w:bottom w:val="none" w:sz="0" w:space="0" w:color="auto"/>
                        <w:right w:val="none" w:sz="0" w:space="0" w:color="auto"/>
                      </w:divBdr>
                    </w:div>
                  </w:divsChild>
                </w:div>
                <w:div w:id="512306241">
                  <w:marLeft w:val="0"/>
                  <w:marRight w:val="0"/>
                  <w:marTop w:val="0"/>
                  <w:marBottom w:val="0"/>
                  <w:divBdr>
                    <w:top w:val="none" w:sz="0" w:space="0" w:color="auto"/>
                    <w:left w:val="none" w:sz="0" w:space="0" w:color="auto"/>
                    <w:bottom w:val="none" w:sz="0" w:space="0" w:color="auto"/>
                    <w:right w:val="none" w:sz="0" w:space="0" w:color="auto"/>
                  </w:divBdr>
                  <w:divsChild>
                    <w:div w:id="1920603558">
                      <w:marLeft w:val="0"/>
                      <w:marRight w:val="0"/>
                      <w:marTop w:val="0"/>
                      <w:marBottom w:val="0"/>
                      <w:divBdr>
                        <w:top w:val="none" w:sz="0" w:space="0" w:color="auto"/>
                        <w:left w:val="none" w:sz="0" w:space="0" w:color="auto"/>
                        <w:bottom w:val="none" w:sz="0" w:space="0" w:color="auto"/>
                        <w:right w:val="none" w:sz="0" w:space="0" w:color="auto"/>
                      </w:divBdr>
                    </w:div>
                  </w:divsChild>
                </w:div>
                <w:div w:id="634678189">
                  <w:marLeft w:val="0"/>
                  <w:marRight w:val="0"/>
                  <w:marTop w:val="0"/>
                  <w:marBottom w:val="0"/>
                  <w:divBdr>
                    <w:top w:val="none" w:sz="0" w:space="0" w:color="auto"/>
                    <w:left w:val="none" w:sz="0" w:space="0" w:color="auto"/>
                    <w:bottom w:val="none" w:sz="0" w:space="0" w:color="auto"/>
                    <w:right w:val="none" w:sz="0" w:space="0" w:color="auto"/>
                  </w:divBdr>
                  <w:divsChild>
                    <w:div w:id="232591812">
                      <w:marLeft w:val="0"/>
                      <w:marRight w:val="0"/>
                      <w:marTop w:val="0"/>
                      <w:marBottom w:val="0"/>
                      <w:divBdr>
                        <w:top w:val="none" w:sz="0" w:space="0" w:color="auto"/>
                        <w:left w:val="none" w:sz="0" w:space="0" w:color="auto"/>
                        <w:bottom w:val="none" w:sz="0" w:space="0" w:color="auto"/>
                        <w:right w:val="none" w:sz="0" w:space="0" w:color="auto"/>
                      </w:divBdr>
                    </w:div>
                  </w:divsChild>
                </w:div>
                <w:div w:id="660156980">
                  <w:marLeft w:val="0"/>
                  <w:marRight w:val="0"/>
                  <w:marTop w:val="0"/>
                  <w:marBottom w:val="0"/>
                  <w:divBdr>
                    <w:top w:val="none" w:sz="0" w:space="0" w:color="auto"/>
                    <w:left w:val="none" w:sz="0" w:space="0" w:color="auto"/>
                    <w:bottom w:val="none" w:sz="0" w:space="0" w:color="auto"/>
                    <w:right w:val="none" w:sz="0" w:space="0" w:color="auto"/>
                  </w:divBdr>
                  <w:divsChild>
                    <w:div w:id="1622541180">
                      <w:marLeft w:val="0"/>
                      <w:marRight w:val="0"/>
                      <w:marTop w:val="0"/>
                      <w:marBottom w:val="0"/>
                      <w:divBdr>
                        <w:top w:val="none" w:sz="0" w:space="0" w:color="auto"/>
                        <w:left w:val="none" w:sz="0" w:space="0" w:color="auto"/>
                        <w:bottom w:val="none" w:sz="0" w:space="0" w:color="auto"/>
                        <w:right w:val="none" w:sz="0" w:space="0" w:color="auto"/>
                      </w:divBdr>
                    </w:div>
                  </w:divsChild>
                </w:div>
                <w:div w:id="680161110">
                  <w:marLeft w:val="0"/>
                  <w:marRight w:val="0"/>
                  <w:marTop w:val="0"/>
                  <w:marBottom w:val="0"/>
                  <w:divBdr>
                    <w:top w:val="none" w:sz="0" w:space="0" w:color="auto"/>
                    <w:left w:val="none" w:sz="0" w:space="0" w:color="auto"/>
                    <w:bottom w:val="none" w:sz="0" w:space="0" w:color="auto"/>
                    <w:right w:val="none" w:sz="0" w:space="0" w:color="auto"/>
                  </w:divBdr>
                  <w:divsChild>
                    <w:div w:id="280114708">
                      <w:marLeft w:val="0"/>
                      <w:marRight w:val="0"/>
                      <w:marTop w:val="0"/>
                      <w:marBottom w:val="0"/>
                      <w:divBdr>
                        <w:top w:val="none" w:sz="0" w:space="0" w:color="auto"/>
                        <w:left w:val="none" w:sz="0" w:space="0" w:color="auto"/>
                        <w:bottom w:val="none" w:sz="0" w:space="0" w:color="auto"/>
                        <w:right w:val="none" w:sz="0" w:space="0" w:color="auto"/>
                      </w:divBdr>
                    </w:div>
                  </w:divsChild>
                </w:div>
                <w:div w:id="738671938">
                  <w:marLeft w:val="0"/>
                  <w:marRight w:val="0"/>
                  <w:marTop w:val="0"/>
                  <w:marBottom w:val="0"/>
                  <w:divBdr>
                    <w:top w:val="none" w:sz="0" w:space="0" w:color="auto"/>
                    <w:left w:val="none" w:sz="0" w:space="0" w:color="auto"/>
                    <w:bottom w:val="none" w:sz="0" w:space="0" w:color="auto"/>
                    <w:right w:val="none" w:sz="0" w:space="0" w:color="auto"/>
                  </w:divBdr>
                  <w:divsChild>
                    <w:div w:id="122504675">
                      <w:marLeft w:val="0"/>
                      <w:marRight w:val="0"/>
                      <w:marTop w:val="0"/>
                      <w:marBottom w:val="0"/>
                      <w:divBdr>
                        <w:top w:val="none" w:sz="0" w:space="0" w:color="auto"/>
                        <w:left w:val="none" w:sz="0" w:space="0" w:color="auto"/>
                        <w:bottom w:val="none" w:sz="0" w:space="0" w:color="auto"/>
                        <w:right w:val="none" w:sz="0" w:space="0" w:color="auto"/>
                      </w:divBdr>
                    </w:div>
                  </w:divsChild>
                </w:div>
                <w:div w:id="766969158">
                  <w:marLeft w:val="0"/>
                  <w:marRight w:val="0"/>
                  <w:marTop w:val="0"/>
                  <w:marBottom w:val="0"/>
                  <w:divBdr>
                    <w:top w:val="none" w:sz="0" w:space="0" w:color="auto"/>
                    <w:left w:val="none" w:sz="0" w:space="0" w:color="auto"/>
                    <w:bottom w:val="none" w:sz="0" w:space="0" w:color="auto"/>
                    <w:right w:val="none" w:sz="0" w:space="0" w:color="auto"/>
                  </w:divBdr>
                  <w:divsChild>
                    <w:div w:id="1364593973">
                      <w:marLeft w:val="0"/>
                      <w:marRight w:val="0"/>
                      <w:marTop w:val="0"/>
                      <w:marBottom w:val="0"/>
                      <w:divBdr>
                        <w:top w:val="none" w:sz="0" w:space="0" w:color="auto"/>
                        <w:left w:val="none" w:sz="0" w:space="0" w:color="auto"/>
                        <w:bottom w:val="none" w:sz="0" w:space="0" w:color="auto"/>
                        <w:right w:val="none" w:sz="0" w:space="0" w:color="auto"/>
                      </w:divBdr>
                    </w:div>
                  </w:divsChild>
                </w:div>
                <w:div w:id="772631607">
                  <w:marLeft w:val="0"/>
                  <w:marRight w:val="0"/>
                  <w:marTop w:val="0"/>
                  <w:marBottom w:val="0"/>
                  <w:divBdr>
                    <w:top w:val="none" w:sz="0" w:space="0" w:color="auto"/>
                    <w:left w:val="none" w:sz="0" w:space="0" w:color="auto"/>
                    <w:bottom w:val="none" w:sz="0" w:space="0" w:color="auto"/>
                    <w:right w:val="none" w:sz="0" w:space="0" w:color="auto"/>
                  </w:divBdr>
                  <w:divsChild>
                    <w:div w:id="838689019">
                      <w:marLeft w:val="0"/>
                      <w:marRight w:val="0"/>
                      <w:marTop w:val="0"/>
                      <w:marBottom w:val="0"/>
                      <w:divBdr>
                        <w:top w:val="none" w:sz="0" w:space="0" w:color="auto"/>
                        <w:left w:val="none" w:sz="0" w:space="0" w:color="auto"/>
                        <w:bottom w:val="none" w:sz="0" w:space="0" w:color="auto"/>
                        <w:right w:val="none" w:sz="0" w:space="0" w:color="auto"/>
                      </w:divBdr>
                    </w:div>
                  </w:divsChild>
                </w:div>
                <w:div w:id="797575648">
                  <w:marLeft w:val="0"/>
                  <w:marRight w:val="0"/>
                  <w:marTop w:val="0"/>
                  <w:marBottom w:val="0"/>
                  <w:divBdr>
                    <w:top w:val="none" w:sz="0" w:space="0" w:color="auto"/>
                    <w:left w:val="none" w:sz="0" w:space="0" w:color="auto"/>
                    <w:bottom w:val="none" w:sz="0" w:space="0" w:color="auto"/>
                    <w:right w:val="none" w:sz="0" w:space="0" w:color="auto"/>
                  </w:divBdr>
                  <w:divsChild>
                    <w:div w:id="1935358070">
                      <w:marLeft w:val="0"/>
                      <w:marRight w:val="0"/>
                      <w:marTop w:val="0"/>
                      <w:marBottom w:val="0"/>
                      <w:divBdr>
                        <w:top w:val="none" w:sz="0" w:space="0" w:color="auto"/>
                        <w:left w:val="none" w:sz="0" w:space="0" w:color="auto"/>
                        <w:bottom w:val="none" w:sz="0" w:space="0" w:color="auto"/>
                        <w:right w:val="none" w:sz="0" w:space="0" w:color="auto"/>
                      </w:divBdr>
                    </w:div>
                  </w:divsChild>
                </w:div>
                <w:div w:id="834568191">
                  <w:marLeft w:val="0"/>
                  <w:marRight w:val="0"/>
                  <w:marTop w:val="0"/>
                  <w:marBottom w:val="0"/>
                  <w:divBdr>
                    <w:top w:val="none" w:sz="0" w:space="0" w:color="auto"/>
                    <w:left w:val="none" w:sz="0" w:space="0" w:color="auto"/>
                    <w:bottom w:val="none" w:sz="0" w:space="0" w:color="auto"/>
                    <w:right w:val="none" w:sz="0" w:space="0" w:color="auto"/>
                  </w:divBdr>
                  <w:divsChild>
                    <w:div w:id="1557743055">
                      <w:marLeft w:val="0"/>
                      <w:marRight w:val="0"/>
                      <w:marTop w:val="0"/>
                      <w:marBottom w:val="0"/>
                      <w:divBdr>
                        <w:top w:val="none" w:sz="0" w:space="0" w:color="auto"/>
                        <w:left w:val="none" w:sz="0" w:space="0" w:color="auto"/>
                        <w:bottom w:val="none" w:sz="0" w:space="0" w:color="auto"/>
                        <w:right w:val="none" w:sz="0" w:space="0" w:color="auto"/>
                      </w:divBdr>
                    </w:div>
                  </w:divsChild>
                </w:div>
                <w:div w:id="969943887">
                  <w:marLeft w:val="0"/>
                  <w:marRight w:val="0"/>
                  <w:marTop w:val="0"/>
                  <w:marBottom w:val="0"/>
                  <w:divBdr>
                    <w:top w:val="none" w:sz="0" w:space="0" w:color="auto"/>
                    <w:left w:val="none" w:sz="0" w:space="0" w:color="auto"/>
                    <w:bottom w:val="none" w:sz="0" w:space="0" w:color="auto"/>
                    <w:right w:val="none" w:sz="0" w:space="0" w:color="auto"/>
                  </w:divBdr>
                  <w:divsChild>
                    <w:div w:id="374700999">
                      <w:marLeft w:val="0"/>
                      <w:marRight w:val="0"/>
                      <w:marTop w:val="0"/>
                      <w:marBottom w:val="0"/>
                      <w:divBdr>
                        <w:top w:val="none" w:sz="0" w:space="0" w:color="auto"/>
                        <w:left w:val="none" w:sz="0" w:space="0" w:color="auto"/>
                        <w:bottom w:val="none" w:sz="0" w:space="0" w:color="auto"/>
                        <w:right w:val="none" w:sz="0" w:space="0" w:color="auto"/>
                      </w:divBdr>
                    </w:div>
                  </w:divsChild>
                </w:div>
                <w:div w:id="1052194225">
                  <w:marLeft w:val="0"/>
                  <w:marRight w:val="0"/>
                  <w:marTop w:val="0"/>
                  <w:marBottom w:val="0"/>
                  <w:divBdr>
                    <w:top w:val="none" w:sz="0" w:space="0" w:color="auto"/>
                    <w:left w:val="none" w:sz="0" w:space="0" w:color="auto"/>
                    <w:bottom w:val="none" w:sz="0" w:space="0" w:color="auto"/>
                    <w:right w:val="none" w:sz="0" w:space="0" w:color="auto"/>
                  </w:divBdr>
                  <w:divsChild>
                    <w:div w:id="1910339153">
                      <w:marLeft w:val="0"/>
                      <w:marRight w:val="0"/>
                      <w:marTop w:val="0"/>
                      <w:marBottom w:val="0"/>
                      <w:divBdr>
                        <w:top w:val="none" w:sz="0" w:space="0" w:color="auto"/>
                        <w:left w:val="none" w:sz="0" w:space="0" w:color="auto"/>
                        <w:bottom w:val="none" w:sz="0" w:space="0" w:color="auto"/>
                        <w:right w:val="none" w:sz="0" w:space="0" w:color="auto"/>
                      </w:divBdr>
                    </w:div>
                  </w:divsChild>
                </w:div>
                <w:div w:id="1064067139">
                  <w:marLeft w:val="0"/>
                  <w:marRight w:val="0"/>
                  <w:marTop w:val="0"/>
                  <w:marBottom w:val="0"/>
                  <w:divBdr>
                    <w:top w:val="none" w:sz="0" w:space="0" w:color="auto"/>
                    <w:left w:val="none" w:sz="0" w:space="0" w:color="auto"/>
                    <w:bottom w:val="none" w:sz="0" w:space="0" w:color="auto"/>
                    <w:right w:val="none" w:sz="0" w:space="0" w:color="auto"/>
                  </w:divBdr>
                  <w:divsChild>
                    <w:div w:id="245504771">
                      <w:marLeft w:val="0"/>
                      <w:marRight w:val="0"/>
                      <w:marTop w:val="0"/>
                      <w:marBottom w:val="0"/>
                      <w:divBdr>
                        <w:top w:val="none" w:sz="0" w:space="0" w:color="auto"/>
                        <w:left w:val="none" w:sz="0" w:space="0" w:color="auto"/>
                        <w:bottom w:val="none" w:sz="0" w:space="0" w:color="auto"/>
                        <w:right w:val="none" w:sz="0" w:space="0" w:color="auto"/>
                      </w:divBdr>
                    </w:div>
                  </w:divsChild>
                </w:div>
                <w:div w:id="1139616610">
                  <w:marLeft w:val="0"/>
                  <w:marRight w:val="0"/>
                  <w:marTop w:val="0"/>
                  <w:marBottom w:val="0"/>
                  <w:divBdr>
                    <w:top w:val="none" w:sz="0" w:space="0" w:color="auto"/>
                    <w:left w:val="none" w:sz="0" w:space="0" w:color="auto"/>
                    <w:bottom w:val="none" w:sz="0" w:space="0" w:color="auto"/>
                    <w:right w:val="none" w:sz="0" w:space="0" w:color="auto"/>
                  </w:divBdr>
                  <w:divsChild>
                    <w:div w:id="1586452001">
                      <w:marLeft w:val="0"/>
                      <w:marRight w:val="0"/>
                      <w:marTop w:val="0"/>
                      <w:marBottom w:val="0"/>
                      <w:divBdr>
                        <w:top w:val="none" w:sz="0" w:space="0" w:color="auto"/>
                        <w:left w:val="none" w:sz="0" w:space="0" w:color="auto"/>
                        <w:bottom w:val="none" w:sz="0" w:space="0" w:color="auto"/>
                        <w:right w:val="none" w:sz="0" w:space="0" w:color="auto"/>
                      </w:divBdr>
                    </w:div>
                  </w:divsChild>
                </w:div>
                <w:div w:id="1154494390">
                  <w:marLeft w:val="0"/>
                  <w:marRight w:val="0"/>
                  <w:marTop w:val="0"/>
                  <w:marBottom w:val="0"/>
                  <w:divBdr>
                    <w:top w:val="none" w:sz="0" w:space="0" w:color="auto"/>
                    <w:left w:val="none" w:sz="0" w:space="0" w:color="auto"/>
                    <w:bottom w:val="none" w:sz="0" w:space="0" w:color="auto"/>
                    <w:right w:val="none" w:sz="0" w:space="0" w:color="auto"/>
                  </w:divBdr>
                  <w:divsChild>
                    <w:div w:id="1534609321">
                      <w:marLeft w:val="0"/>
                      <w:marRight w:val="0"/>
                      <w:marTop w:val="0"/>
                      <w:marBottom w:val="0"/>
                      <w:divBdr>
                        <w:top w:val="none" w:sz="0" w:space="0" w:color="auto"/>
                        <w:left w:val="none" w:sz="0" w:space="0" w:color="auto"/>
                        <w:bottom w:val="none" w:sz="0" w:space="0" w:color="auto"/>
                        <w:right w:val="none" w:sz="0" w:space="0" w:color="auto"/>
                      </w:divBdr>
                    </w:div>
                  </w:divsChild>
                </w:div>
                <w:div w:id="1278564706">
                  <w:marLeft w:val="0"/>
                  <w:marRight w:val="0"/>
                  <w:marTop w:val="0"/>
                  <w:marBottom w:val="0"/>
                  <w:divBdr>
                    <w:top w:val="none" w:sz="0" w:space="0" w:color="auto"/>
                    <w:left w:val="none" w:sz="0" w:space="0" w:color="auto"/>
                    <w:bottom w:val="none" w:sz="0" w:space="0" w:color="auto"/>
                    <w:right w:val="none" w:sz="0" w:space="0" w:color="auto"/>
                  </w:divBdr>
                  <w:divsChild>
                    <w:div w:id="1566916744">
                      <w:marLeft w:val="0"/>
                      <w:marRight w:val="0"/>
                      <w:marTop w:val="0"/>
                      <w:marBottom w:val="0"/>
                      <w:divBdr>
                        <w:top w:val="none" w:sz="0" w:space="0" w:color="auto"/>
                        <w:left w:val="none" w:sz="0" w:space="0" w:color="auto"/>
                        <w:bottom w:val="none" w:sz="0" w:space="0" w:color="auto"/>
                        <w:right w:val="none" w:sz="0" w:space="0" w:color="auto"/>
                      </w:divBdr>
                    </w:div>
                  </w:divsChild>
                </w:div>
                <w:div w:id="1279407934">
                  <w:marLeft w:val="0"/>
                  <w:marRight w:val="0"/>
                  <w:marTop w:val="0"/>
                  <w:marBottom w:val="0"/>
                  <w:divBdr>
                    <w:top w:val="none" w:sz="0" w:space="0" w:color="auto"/>
                    <w:left w:val="none" w:sz="0" w:space="0" w:color="auto"/>
                    <w:bottom w:val="none" w:sz="0" w:space="0" w:color="auto"/>
                    <w:right w:val="none" w:sz="0" w:space="0" w:color="auto"/>
                  </w:divBdr>
                  <w:divsChild>
                    <w:div w:id="1917201837">
                      <w:marLeft w:val="0"/>
                      <w:marRight w:val="0"/>
                      <w:marTop w:val="0"/>
                      <w:marBottom w:val="0"/>
                      <w:divBdr>
                        <w:top w:val="none" w:sz="0" w:space="0" w:color="auto"/>
                        <w:left w:val="none" w:sz="0" w:space="0" w:color="auto"/>
                        <w:bottom w:val="none" w:sz="0" w:space="0" w:color="auto"/>
                        <w:right w:val="none" w:sz="0" w:space="0" w:color="auto"/>
                      </w:divBdr>
                    </w:div>
                  </w:divsChild>
                </w:div>
                <w:div w:id="1303851728">
                  <w:marLeft w:val="0"/>
                  <w:marRight w:val="0"/>
                  <w:marTop w:val="0"/>
                  <w:marBottom w:val="0"/>
                  <w:divBdr>
                    <w:top w:val="none" w:sz="0" w:space="0" w:color="auto"/>
                    <w:left w:val="none" w:sz="0" w:space="0" w:color="auto"/>
                    <w:bottom w:val="none" w:sz="0" w:space="0" w:color="auto"/>
                    <w:right w:val="none" w:sz="0" w:space="0" w:color="auto"/>
                  </w:divBdr>
                  <w:divsChild>
                    <w:div w:id="1605845692">
                      <w:marLeft w:val="0"/>
                      <w:marRight w:val="0"/>
                      <w:marTop w:val="0"/>
                      <w:marBottom w:val="0"/>
                      <w:divBdr>
                        <w:top w:val="none" w:sz="0" w:space="0" w:color="auto"/>
                        <w:left w:val="none" w:sz="0" w:space="0" w:color="auto"/>
                        <w:bottom w:val="none" w:sz="0" w:space="0" w:color="auto"/>
                        <w:right w:val="none" w:sz="0" w:space="0" w:color="auto"/>
                      </w:divBdr>
                    </w:div>
                  </w:divsChild>
                </w:div>
                <w:div w:id="1502239582">
                  <w:marLeft w:val="0"/>
                  <w:marRight w:val="0"/>
                  <w:marTop w:val="0"/>
                  <w:marBottom w:val="0"/>
                  <w:divBdr>
                    <w:top w:val="none" w:sz="0" w:space="0" w:color="auto"/>
                    <w:left w:val="none" w:sz="0" w:space="0" w:color="auto"/>
                    <w:bottom w:val="none" w:sz="0" w:space="0" w:color="auto"/>
                    <w:right w:val="none" w:sz="0" w:space="0" w:color="auto"/>
                  </w:divBdr>
                  <w:divsChild>
                    <w:div w:id="745151332">
                      <w:marLeft w:val="0"/>
                      <w:marRight w:val="0"/>
                      <w:marTop w:val="0"/>
                      <w:marBottom w:val="0"/>
                      <w:divBdr>
                        <w:top w:val="none" w:sz="0" w:space="0" w:color="auto"/>
                        <w:left w:val="none" w:sz="0" w:space="0" w:color="auto"/>
                        <w:bottom w:val="none" w:sz="0" w:space="0" w:color="auto"/>
                        <w:right w:val="none" w:sz="0" w:space="0" w:color="auto"/>
                      </w:divBdr>
                    </w:div>
                  </w:divsChild>
                </w:div>
                <w:div w:id="1622616050">
                  <w:marLeft w:val="0"/>
                  <w:marRight w:val="0"/>
                  <w:marTop w:val="0"/>
                  <w:marBottom w:val="0"/>
                  <w:divBdr>
                    <w:top w:val="none" w:sz="0" w:space="0" w:color="auto"/>
                    <w:left w:val="none" w:sz="0" w:space="0" w:color="auto"/>
                    <w:bottom w:val="none" w:sz="0" w:space="0" w:color="auto"/>
                    <w:right w:val="none" w:sz="0" w:space="0" w:color="auto"/>
                  </w:divBdr>
                  <w:divsChild>
                    <w:div w:id="1135565703">
                      <w:marLeft w:val="0"/>
                      <w:marRight w:val="0"/>
                      <w:marTop w:val="0"/>
                      <w:marBottom w:val="0"/>
                      <w:divBdr>
                        <w:top w:val="none" w:sz="0" w:space="0" w:color="auto"/>
                        <w:left w:val="none" w:sz="0" w:space="0" w:color="auto"/>
                        <w:bottom w:val="none" w:sz="0" w:space="0" w:color="auto"/>
                        <w:right w:val="none" w:sz="0" w:space="0" w:color="auto"/>
                      </w:divBdr>
                    </w:div>
                  </w:divsChild>
                </w:div>
                <w:div w:id="1626081903">
                  <w:marLeft w:val="0"/>
                  <w:marRight w:val="0"/>
                  <w:marTop w:val="0"/>
                  <w:marBottom w:val="0"/>
                  <w:divBdr>
                    <w:top w:val="none" w:sz="0" w:space="0" w:color="auto"/>
                    <w:left w:val="none" w:sz="0" w:space="0" w:color="auto"/>
                    <w:bottom w:val="none" w:sz="0" w:space="0" w:color="auto"/>
                    <w:right w:val="none" w:sz="0" w:space="0" w:color="auto"/>
                  </w:divBdr>
                  <w:divsChild>
                    <w:div w:id="989288430">
                      <w:marLeft w:val="0"/>
                      <w:marRight w:val="0"/>
                      <w:marTop w:val="0"/>
                      <w:marBottom w:val="0"/>
                      <w:divBdr>
                        <w:top w:val="none" w:sz="0" w:space="0" w:color="auto"/>
                        <w:left w:val="none" w:sz="0" w:space="0" w:color="auto"/>
                        <w:bottom w:val="none" w:sz="0" w:space="0" w:color="auto"/>
                        <w:right w:val="none" w:sz="0" w:space="0" w:color="auto"/>
                      </w:divBdr>
                    </w:div>
                  </w:divsChild>
                </w:div>
                <w:div w:id="1626498735">
                  <w:marLeft w:val="0"/>
                  <w:marRight w:val="0"/>
                  <w:marTop w:val="0"/>
                  <w:marBottom w:val="0"/>
                  <w:divBdr>
                    <w:top w:val="none" w:sz="0" w:space="0" w:color="auto"/>
                    <w:left w:val="none" w:sz="0" w:space="0" w:color="auto"/>
                    <w:bottom w:val="none" w:sz="0" w:space="0" w:color="auto"/>
                    <w:right w:val="none" w:sz="0" w:space="0" w:color="auto"/>
                  </w:divBdr>
                  <w:divsChild>
                    <w:div w:id="681050765">
                      <w:marLeft w:val="0"/>
                      <w:marRight w:val="0"/>
                      <w:marTop w:val="0"/>
                      <w:marBottom w:val="0"/>
                      <w:divBdr>
                        <w:top w:val="none" w:sz="0" w:space="0" w:color="auto"/>
                        <w:left w:val="none" w:sz="0" w:space="0" w:color="auto"/>
                        <w:bottom w:val="none" w:sz="0" w:space="0" w:color="auto"/>
                        <w:right w:val="none" w:sz="0" w:space="0" w:color="auto"/>
                      </w:divBdr>
                    </w:div>
                  </w:divsChild>
                </w:div>
                <w:div w:id="1697150117">
                  <w:marLeft w:val="0"/>
                  <w:marRight w:val="0"/>
                  <w:marTop w:val="0"/>
                  <w:marBottom w:val="0"/>
                  <w:divBdr>
                    <w:top w:val="none" w:sz="0" w:space="0" w:color="auto"/>
                    <w:left w:val="none" w:sz="0" w:space="0" w:color="auto"/>
                    <w:bottom w:val="none" w:sz="0" w:space="0" w:color="auto"/>
                    <w:right w:val="none" w:sz="0" w:space="0" w:color="auto"/>
                  </w:divBdr>
                  <w:divsChild>
                    <w:div w:id="1987080336">
                      <w:marLeft w:val="0"/>
                      <w:marRight w:val="0"/>
                      <w:marTop w:val="0"/>
                      <w:marBottom w:val="0"/>
                      <w:divBdr>
                        <w:top w:val="none" w:sz="0" w:space="0" w:color="auto"/>
                        <w:left w:val="none" w:sz="0" w:space="0" w:color="auto"/>
                        <w:bottom w:val="none" w:sz="0" w:space="0" w:color="auto"/>
                        <w:right w:val="none" w:sz="0" w:space="0" w:color="auto"/>
                      </w:divBdr>
                    </w:div>
                  </w:divsChild>
                </w:div>
                <w:div w:id="1705984620">
                  <w:marLeft w:val="0"/>
                  <w:marRight w:val="0"/>
                  <w:marTop w:val="0"/>
                  <w:marBottom w:val="0"/>
                  <w:divBdr>
                    <w:top w:val="none" w:sz="0" w:space="0" w:color="auto"/>
                    <w:left w:val="none" w:sz="0" w:space="0" w:color="auto"/>
                    <w:bottom w:val="none" w:sz="0" w:space="0" w:color="auto"/>
                    <w:right w:val="none" w:sz="0" w:space="0" w:color="auto"/>
                  </w:divBdr>
                  <w:divsChild>
                    <w:div w:id="895700483">
                      <w:marLeft w:val="0"/>
                      <w:marRight w:val="0"/>
                      <w:marTop w:val="0"/>
                      <w:marBottom w:val="0"/>
                      <w:divBdr>
                        <w:top w:val="none" w:sz="0" w:space="0" w:color="auto"/>
                        <w:left w:val="none" w:sz="0" w:space="0" w:color="auto"/>
                        <w:bottom w:val="none" w:sz="0" w:space="0" w:color="auto"/>
                        <w:right w:val="none" w:sz="0" w:space="0" w:color="auto"/>
                      </w:divBdr>
                    </w:div>
                  </w:divsChild>
                </w:div>
                <w:div w:id="1726759473">
                  <w:marLeft w:val="0"/>
                  <w:marRight w:val="0"/>
                  <w:marTop w:val="0"/>
                  <w:marBottom w:val="0"/>
                  <w:divBdr>
                    <w:top w:val="none" w:sz="0" w:space="0" w:color="auto"/>
                    <w:left w:val="none" w:sz="0" w:space="0" w:color="auto"/>
                    <w:bottom w:val="none" w:sz="0" w:space="0" w:color="auto"/>
                    <w:right w:val="none" w:sz="0" w:space="0" w:color="auto"/>
                  </w:divBdr>
                  <w:divsChild>
                    <w:div w:id="1880819828">
                      <w:marLeft w:val="0"/>
                      <w:marRight w:val="0"/>
                      <w:marTop w:val="0"/>
                      <w:marBottom w:val="0"/>
                      <w:divBdr>
                        <w:top w:val="none" w:sz="0" w:space="0" w:color="auto"/>
                        <w:left w:val="none" w:sz="0" w:space="0" w:color="auto"/>
                        <w:bottom w:val="none" w:sz="0" w:space="0" w:color="auto"/>
                        <w:right w:val="none" w:sz="0" w:space="0" w:color="auto"/>
                      </w:divBdr>
                    </w:div>
                  </w:divsChild>
                </w:div>
                <w:div w:id="1760055131">
                  <w:marLeft w:val="0"/>
                  <w:marRight w:val="0"/>
                  <w:marTop w:val="0"/>
                  <w:marBottom w:val="0"/>
                  <w:divBdr>
                    <w:top w:val="none" w:sz="0" w:space="0" w:color="auto"/>
                    <w:left w:val="none" w:sz="0" w:space="0" w:color="auto"/>
                    <w:bottom w:val="none" w:sz="0" w:space="0" w:color="auto"/>
                    <w:right w:val="none" w:sz="0" w:space="0" w:color="auto"/>
                  </w:divBdr>
                  <w:divsChild>
                    <w:div w:id="1067536332">
                      <w:marLeft w:val="0"/>
                      <w:marRight w:val="0"/>
                      <w:marTop w:val="0"/>
                      <w:marBottom w:val="0"/>
                      <w:divBdr>
                        <w:top w:val="none" w:sz="0" w:space="0" w:color="auto"/>
                        <w:left w:val="none" w:sz="0" w:space="0" w:color="auto"/>
                        <w:bottom w:val="none" w:sz="0" w:space="0" w:color="auto"/>
                        <w:right w:val="none" w:sz="0" w:space="0" w:color="auto"/>
                      </w:divBdr>
                    </w:div>
                  </w:divsChild>
                </w:div>
                <w:div w:id="1778014085">
                  <w:marLeft w:val="0"/>
                  <w:marRight w:val="0"/>
                  <w:marTop w:val="0"/>
                  <w:marBottom w:val="0"/>
                  <w:divBdr>
                    <w:top w:val="none" w:sz="0" w:space="0" w:color="auto"/>
                    <w:left w:val="none" w:sz="0" w:space="0" w:color="auto"/>
                    <w:bottom w:val="none" w:sz="0" w:space="0" w:color="auto"/>
                    <w:right w:val="none" w:sz="0" w:space="0" w:color="auto"/>
                  </w:divBdr>
                  <w:divsChild>
                    <w:div w:id="350957731">
                      <w:marLeft w:val="0"/>
                      <w:marRight w:val="0"/>
                      <w:marTop w:val="0"/>
                      <w:marBottom w:val="0"/>
                      <w:divBdr>
                        <w:top w:val="none" w:sz="0" w:space="0" w:color="auto"/>
                        <w:left w:val="none" w:sz="0" w:space="0" w:color="auto"/>
                        <w:bottom w:val="none" w:sz="0" w:space="0" w:color="auto"/>
                        <w:right w:val="none" w:sz="0" w:space="0" w:color="auto"/>
                      </w:divBdr>
                    </w:div>
                  </w:divsChild>
                </w:div>
                <w:div w:id="1820076404">
                  <w:marLeft w:val="0"/>
                  <w:marRight w:val="0"/>
                  <w:marTop w:val="0"/>
                  <w:marBottom w:val="0"/>
                  <w:divBdr>
                    <w:top w:val="none" w:sz="0" w:space="0" w:color="auto"/>
                    <w:left w:val="none" w:sz="0" w:space="0" w:color="auto"/>
                    <w:bottom w:val="none" w:sz="0" w:space="0" w:color="auto"/>
                    <w:right w:val="none" w:sz="0" w:space="0" w:color="auto"/>
                  </w:divBdr>
                  <w:divsChild>
                    <w:div w:id="1873952288">
                      <w:marLeft w:val="0"/>
                      <w:marRight w:val="0"/>
                      <w:marTop w:val="0"/>
                      <w:marBottom w:val="0"/>
                      <w:divBdr>
                        <w:top w:val="none" w:sz="0" w:space="0" w:color="auto"/>
                        <w:left w:val="none" w:sz="0" w:space="0" w:color="auto"/>
                        <w:bottom w:val="none" w:sz="0" w:space="0" w:color="auto"/>
                        <w:right w:val="none" w:sz="0" w:space="0" w:color="auto"/>
                      </w:divBdr>
                    </w:div>
                  </w:divsChild>
                </w:div>
                <w:div w:id="1897623423">
                  <w:marLeft w:val="0"/>
                  <w:marRight w:val="0"/>
                  <w:marTop w:val="0"/>
                  <w:marBottom w:val="0"/>
                  <w:divBdr>
                    <w:top w:val="none" w:sz="0" w:space="0" w:color="auto"/>
                    <w:left w:val="none" w:sz="0" w:space="0" w:color="auto"/>
                    <w:bottom w:val="none" w:sz="0" w:space="0" w:color="auto"/>
                    <w:right w:val="none" w:sz="0" w:space="0" w:color="auto"/>
                  </w:divBdr>
                  <w:divsChild>
                    <w:div w:id="1782802465">
                      <w:marLeft w:val="0"/>
                      <w:marRight w:val="0"/>
                      <w:marTop w:val="0"/>
                      <w:marBottom w:val="0"/>
                      <w:divBdr>
                        <w:top w:val="none" w:sz="0" w:space="0" w:color="auto"/>
                        <w:left w:val="none" w:sz="0" w:space="0" w:color="auto"/>
                        <w:bottom w:val="none" w:sz="0" w:space="0" w:color="auto"/>
                        <w:right w:val="none" w:sz="0" w:space="0" w:color="auto"/>
                      </w:divBdr>
                    </w:div>
                  </w:divsChild>
                </w:div>
                <w:div w:id="1907523252">
                  <w:marLeft w:val="0"/>
                  <w:marRight w:val="0"/>
                  <w:marTop w:val="0"/>
                  <w:marBottom w:val="0"/>
                  <w:divBdr>
                    <w:top w:val="none" w:sz="0" w:space="0" w:color="auto"/>
                    <w:left w:val="none" w:sz="0" w:space="0" w:color="auto"/>
                    <w:bottom w:val="none" w:sz="0" w:space="0" w:color="auto"/>
                    <w:right w:val="none" w:sz="0" w:space="0" w:color="auto"/>
                  </w:divBdr>
                  <w:divsChild>
                    <w:div w:id="675771340">
                      <w:marLeft w:val="0"/>
                      <w:marRight w:val="0"/>
                      <w:marTop w:val="0"/>
                      <w:marBottom w:val="0"/>
                      <w:divBdr>
                        <w:top w:val="none" w:sz="0" w:space="0" w:color="auto"/>
                        <w:left w:val="none" w:sz="0" w:space="0" w:color="auto"/>
                        <w:bottom w:val="none" w:sz="0" w:space="0" w:color="auto"/>
                        <w:right w:val="none" w:sz="0" w:space="0" w:color="auto"/>
                      </w:divBdr>
                    </w:div>
                  </w:divsChild>
                </w:div>
                <w:div w:id="1959792254">
                  <w:marLeft w:val="0"/>
                  <w:marRight w:val="0"/>
                  <w:marTop w:val="0"/>
                  <w:marBottom w:val="0"/>
                  <w:divBdr>
                    <w:top w:val="none" w:sz="0" w:space="0" w:color="auto"/>
                    <w:left w:val="none" w:sz="0" w:space="0" w:color="auto"/>
                    <w:bottom w:val="none" w:sz="0" w:space="0" w:color="auto"/>
                    <w:right w:val="none" w:sz="0" w:space="0" w:color="auto"/>
                  </w:divBdr>
                  <w:divsChild>
                    <w:div w:id="157886293">
                      <w:marLeft w:val="0"/>
                      <w:marRight w:val="0"/>
                      <w:marTop w:val="0"/>
                      <w:marBottom w:val="0"/>
                      <w:divBdr>
                        <w:top w:val="none" w:sz="0" w:space="0" w:color="auto"/>
                        <w:left w:val="none" w:sz="0" w:space="0" w:color="auto"/>
                        <w:bottom w:val="none" w:sz="0" w:space="0" w:color="auto"/>
                        <w:right w:val="none" w:sz="0" w:space="0" w:color="auto"/>
                      </w:divBdr>
                    </w:div>
                  </w:divsChild>
                </w:div>
                <w:div w:id="1991130914">
                  <w:marLeft w:val="0"/>
                  <w:marRight w:val="0"/>
                  <w:marTop w:val="0"/>
                  <w:marBottom w:val="0"/>
                  <w:divBdr>
                    <w:top w:val="none" w:sz="0" w:space="0" w:color="auto"/>
                    <w:left w:val="none" w:sz="0" w:space="0" w:color="auto"/>
                    <w:bottom w:val="none" w:sz="0" w:space="0" w:color="auto"/>
                    <w:right w:val="none" w:sz="0" w:space="0" w:color="auto"/>
                  </w:divBdr>
                  <w:divsChild>
                    <w:div w:id="200559754">
                      <w:marLeft w:val="0"/>
                      <w:marRight w:val="0"/>
                      <w:marTop w:val="0"/>
                      <w:marBottom w:val="0"/>
                      <w:divBdr>
                        <w:top w:val="none" w:sz="0" w:space="0" w:color="auto"/>
                        <w:left w:val="none" w:sz="0" w:space="0" w:color="auto"/>
                        <w:bottom w:val="none" w:sz="0" w:space="0" w:color="auto"/>
                        <w:right w:val="none" w:sz="0" w:space="0" w:color="auto"/>
                      </w:divBdr>
                    </w:div>
                  </w:divsChild>
                </w:div>
                <w:div w:id="2063477311">
                  <w:marLeft w:val="0"/>
                  <w:marRight w:val="0"/>
                  <w:marTop w:val="0"/>
                  <w:marBottom w:val="0"/>
                  <w:divBdr>
                    <w:top w:val="none" w:sz="0" w:space="0" w:color="auto"/>
                    <w:left w:val="none" w:sz="0" w:space="0" w:color="auto"/>
                    <w:bottom w:val="none" w:sz="0" w:space="0" w:color="auto"/>
                    <w:right w:val="none" w:sz="0" w:space="0" w:color="auto"/>
                  </w:divBdr>
                  <w:divsChild>
                    <w:div w:id="1568803687">
                      <w:marLeft w:val="0"/>
                      <w:marRight w:val="0"/>
                      <w:marTop w:val="0"/>
                      <w:marBottom w:val="0"/>
                      <w:divBdr>
                        <w:top w:val="none" w:sz="0" w:space="0" w:color="auto"/>
                        <w:left w:val="none" w:sz="0" w:space="0" w:color="auto"/>
                        <w:bottom w:val="none" w:sz="0" w:space="0" w:color="auto"/>
                        <w:right w:val="none" w:sz="0" w:space="0" w:color="auto"/>
                      </w:divBdr>
                    </w:div>
                  </w:divsChild>
                </w:div>
                <w:div w:id="2077974253">
                  <w:marLeft w:val="0"/>
                  <w:marRight w:val="0"/>
                  <w:marTop w:val="0"/>
                  <w:marBottom w:val="0"/>
                  <w:divBdr>
                    <w:top w:val="none" w:sz="0" w:space="0" w:color="auto"/>
                    <w:left w:val="none" w:sz="0" w:space="0" w:color="auto"/>
                    <w:bottom w:val="none" w:sz="0" w:space="0" w:color="auto"/>
                    <w:right w:val="none" w:sz="0" w:space="0" w:color="auto"/>
                  </w:divBdr>
                  <w:divsChild>
                    <w:div w:id="1327779328">
                      <w:marLeft w:val="0"/>
                      <w:marRight w:val="0"/>
                      <w:marTop w:val="0"/>
                      <w:marBottom w:val="0"/>
                      <w:divBdr>
                        <w:top w:val="none" w:sz="0" w:space="0" w:color="auto"/>
                        <w:left w:val="none" w:sz="0" w:space="0" w:color="auto"/>
                        <w:bottom w:val="none" w:sz="0" w:space="0" w:color="auto"/>
                        <w:right w:val="none" w:sz="0" w:space="0" w:color="auto"/>
                      </w:divBdr>
                    </w:div>
                  </w:divsChild>
                </w:div>
                <w:div w:id="2089764386">
                  <w:marLeft w:val="0"/>
                  <w:marRight w:val="0"/>
                  <w:marTop w:val="0"/>
                  <w:marBottom w:val="0"/>
                  <w:divBdr>
                    <w:top w:val="none" w:sz="0" w:space="0" w:color="auto"/>
                    <w:left w:val="none" w:sz="0" w:space="0" w:color="auto"/>
                    <w:bottom w:val="none" w:sz="0" w:space="0" w:color="auto"/>
                    <w:right w:val="none" w:sz="0" w:space="0" w:color="auto"/>
                  </w:divBdr>
                  <w:divsChild>
                    <w:div w:id="381173714">
                      <w:marLeft w:val="0"/>
                      <w:marRight w:val="0"/>
                      <w:marTop w:val="0"/>
                      <w:marBottom w:val="0"/>
                      <w:divBdr>
                        <w:top w:val="none" w:sz="0" w:space="0" w:color="auto"/>
                        <w:left w:val="none" w:sz="0" w:space="0" w:color="auto"/>
                        <w:bottom w:val="none" w:sz="0" w:space="0" w:color="auto"/>
                        <w:right w:val="none" w:sz="0" w:space="0" w:color="auto"/>
                      </w:divBdr>
                    </w:div>
                  </w:divsChild>
                </w:div>
                <w:div w:id="2130317031">
                  <w:marLeft w:val="0"/>
                  <w:marRight w:val="0"/>
                  <w:marTop w:val="0"/>
                  <w:marBottom w:val="0"/>
                  <w:divBdr>
                    <w:top w:val="none" w:sz="0" w:space="0" w:color="auto"/>
                    <w:left w:val="none" w:sz="0" w:space="0" w:color="auto"/>
                    <w:bottom w:val="none" w:sz="0" w:space="0" w:color="auto"/>
                    <w:right w:val="none" w:sz="0" w:space="0" w:color="auto"/>
                  </w:divBdr>
                  <w:divsChild>
                    <w:div w:id="8774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3369">
          <w:marLeft w:val="0"/>
          <w:marRight w:val="0"/>
          <w:marTop w:val="0"/>
          <w:marBottom w:val="0"/>
          <w:divBdr>
            <w:top w:val="none" w:sz="0" w:space="0" w:color="auto"/>
            <w:left w:val="none" w:sz="0" w:space="0" w:color="auto"/>
            <w:bottom w:val="none" w:sz="0" w:space="0" w:color="auto"/>
            <w:right w:val="none" w:sz="0" w:space="0" w:color="auto"/>
          </w:divBdr>
          <w:divsChild>
            <w:div w:id="1099987878">
              <w:marLeft w:val="-75"/>
              <w:marRight w:val="0"/>
              <w:marTop w:val="30"/>
              <w:marBottom w:val="30"/>
              <w:divBdr>
                <w:top w:val="none" w:sz="0" w:space="0" w:color="auto"/>
                <w:left w:val="none" w:sz="0" w:space="0" w:color="auto"/>
                <w:bottom w:val="none" w:sz="0" w:space="0" w:color="auto"/>
                <w:right w:val="none" w:sz="0" w:space="0" w:color="auto"/>
              </w:divBdr>
              <w:divsChild>
                <w:div w:id="101654442">
                  <w:marLeft w:val="0"/>
                  <w:marRight w:val="0"/>
                  <w:marTop w:val="0"/>
                  <w:marBottom w:val="0"/>
                  <w:divBdr>
                    <w:top w:val="none" w:sz="0" w:space="0" w:color="auto"/>
                    <w:left w:val="none" w:sz="0" w:space="0" w:color="auto"/>
                    <w:bottom w:val="none" w:sz="0" w:space="0" w:color="auto"/>
                    <w:right w:val="none" w:sz="0" w:space="0" w:color="auto"/>
                  </w:divBdr>
                  <w:divsChild>
                    <w:div w:id="195654788">
                      <w:marLeft w:val="0"/>
                      <w:marRight w:val="0"/>
                      <w:marTop w:val="0"/>
                      <w:marBottom w:val="0"/>
                      <w:divBdr>
                        <w:top w:val="none" w:sz="0" w:space="0" w:color="auto"/>
                        <w:left w:val="none" w:sz="0" w:space="0" w:color="auto"/>
                        <w:bottom w:val="none" w:sz="0" w:space="0" w:color="auto"/>
                        <w:right w:val="none" w:sz="0" w:space="0" w:color="auto"/>
                      </w:divBdr>
                    </w:div>
                  </w:divsChild>
                </w:div>
                <w:div w:id="328141440">
                  <w:marLeft w:val="0"/>
                  <w:marRight w:val="0"/>
                  <w:marTop w:val="0"/>
                  <w:marBottom w:val="0"/>
                  <w:divBdr>
                    <w:top w:val="none" w:sz="0" w:space="0" w:color="auto"/>
                    <w:left w:val="none" w:sz="0" w:space="0" w:color="auto"/>
                    <w:bottom w:val="none" w:sz="0" w:space="0" w:color="auto"/>
                    <w:right w:val="none" w:sz="0" w:space="0" w:color="auto"/>
                  </w:divBdr>
                  <w:divsChild>
                    <w:div w:id="1738701529">
                      <w:marLeft w:val="0"/>
                      <w:marRight w:val="0"/>
                      <w:marTop w:val="0"/>
                      <w:marBottom w:val="0"/>
                      <w:divBdr>
                        <w:top w:val="none" w:sz="0" w:space="0" w:color="auto"/>
                        <w:left w:val="none" w:sz="0" w:space="0" w:color="auto"/>
                        <w:bottom w:val="none" w:sz="0" w:space="0" w:color="auto"/>
                        <w:right w:val="none" w:sz="0" w:space="0" w:color="auto"/>
                      </w:divBdr>
                    </w:div>
                  </w:divsChild>
                </w:div>
                <w:div w:id="952438063">
                  <w:marLeft w:val="0"/>
                  <w:marRight w:val="0"/>
                  <w:marTop w:val="0"/>
                  <w:marBottom w:val="0"/>
                  <w:divBdr>
                    <w:top w:val="none" w:sz="0" w:space="0" w:color="auto"/>
                    <w:left w:val="none" w:sz="0" w:space="0" w:color="auto"/>
                    <w:bottom w:val="none" w:sz="0" w:space="0" w:color="auto"/>
                    <w:right w:val="none" w:sz="0" w:space="0" w:color="auto"/>
                  </w:divBdr>
                  <w:divsChild>
                    <w:div w:id="1797941971">
                      <w:marLeft w:val="0"/>
                      <w:marRight w:val="0"/>
                      <w:marTop w:val="0"/>
                      <w:marBottom w:val="0"/>
                      <w:divBdr>
                        <w:top w:val="none" w:sz="0" w:space="0" w:color="auto"/>
                        <w:left w:val="none" w:sz="0" w:space="0" w:color="auto"/>
                        <w:bottom w:val="none" w:sz="0" w:space="0" w:color="auto"/>
                        <w:right w:val="none" w:sz="0" w:space="0" w:color="auto"/>
                      </w:divBdr>
                    </w:div>
                  </w:divsChild>
                </w:div>
                <w:div w:id="1624383978">
                  <w:marLeft w:val="0"/>
                  <w:marRight w:val="0"/>
                  <w:marTop w:val="0"/>
                  <w:marBottom w:val="0"/>
                  <w:divBdr>
                    <w:top w:val="none" w:sz="0" w:space="0" w:color="auto"/>
                    <w:left w:val="none" w:sz="0" w:space="0" w:color="auto"/>
                    <w:bottom w:val="none" w:sz="0" w:space="0" w:color="auto"/>
                    <w:right w:val="none" w:sz="0" w:space="0" w:color="auto"/>
                  </w:divBdr>
                  <w:divsChild>
                    <w:div w:id="1400518322">
                      <w:marLeft w:val="0"/>
                      <w:marRight w:val="0"/>
                      <w:marTop w:val="0"/>
                      <w:marBottom w:val="0"/>
                      <w:divBdr>
                        <w:top w:val="none" w:sz="0" w:space="0" w:color="auto"/>
                        <w:left w:val="none" w:sz="0" w:space="0" w:color="auto"/>
                        <w:bottom w:val="none" w:sz="0" w:space="0" w:color="auto"/>
                        <w:right w:val="none" w:sz="0" w:space="0" w:color="auto"/>
                      </w:divBdr>
                    </w:div>
                  </w:divsChild>
                </w:div>
                <w:div w:id="1682513556">
                  <w:marLeft w:val="0"/>
                  <w:marRight w:val="0"/>
                  <w:marTop w:val="0"/>
                  <w:marBottom w:val="0"/>
                  <w:divBdr>
                    <w:top w:val="none" w:sz="0" w:space="0" w:color="auto"/>
                    <w:left w:val="none" w:sz="0" w:space="0" w:color="auto"/>
                    <w:bottom w:val="none" w:sz="0" w:space="0" w:color="auto"/>
                    <w:right w:val="none" w:sz="0" w:space="0" w:color="auto"/>
                  </w:divBdr>
                  <w:divsChild>
                    <w:div w:id="1377314648">
                      <w:marLeft w:val="0"/>
                      <w:marRight w:val="0"/>
                      <w:marTop w:val="0"/>
                      <w:marBottom w:val="0"/>
                      <w:divBdr>
                        <w:top w:val="none" w:sz="0" w:space="0" w:color="auto"/>
                        <w:left w:val="none" w:sz="0" w:space="0" w:color="auto"/>
                        <w:bottom w:val="none" w:sz="0" w:space="0" w:color="auto"/>
                        <w:right w:val="none" w:sz="0" w:space="0" w:color="auto"/>
                      </w:divBdr>
                    </w:div>
                  </w:divsChild>
                </w:div>
                <w:div w:id="1774324333">
                  <w:marLeft w:val="0"/>
                  <w:marRight w:val="0"/>
                  <w:marTop w:val="0"/>
                  <w:marBottom w:val="0"/>
                  <w:divBdr>
                    <w:top w:val="none" w:sz="0" w:space="0" w:color="auto"/>
                    <w:left w:val="none" w:sz="0" w:space="0" w:color="auto"/>
                    <w:bottom w:val="none" w:sz="0" w:space="0" w:color="auto"/>
                    <w:right w:val="none" w:sz="0" w:space="0" w:color="auto"/>
                  </w:divBdr>
                  <w:divsChild>
                    <w:div w:id="4133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1988">
          <w:marLeft w:val="0"/>
          <w:marRight w:val="0"/>
          <w:marTop w:val="0"/>
          <w:marBottom w:val="0"/>
          <w:divBdr>
            <w:top w:val="none" w:sz="0" w:space="0" w:color="auto"/>
            <w:left w:val="none" w:sz="0" w:space="0" w:color="auto"/>
            <w:bottom w:val="none" w:sz="0" w:space="0" w:color="auto"/>
            <w:right w:val="none" w:sz="0" w:space="0" w:color="auto"/>
          </w:divBdr>
        </w:div>
        <w:div w:id="1279219248">
          <w:marLeft w:val="0"/>
          <w:marRight w:val="0"/>
          <w:marTop w:val="0"/>
          <w:marBottom w:val="0"/>
          <w:divBdr>
            <w:top w:val="none" w:sz="0" w:space="0" w:color="auto"/>
            <w:left w:val="none" w:sz="0" w:space="0" w:color="auto"/>
            <w:bottom w:val="none" w:sz="0" w:space="0" w:color="auto"/>
            <w:right w:val="none" w:sz="0" w:space="0" w:color="auto"/>
          </w:divBdr>
          <w:divsChild>
            <w:div w:id="204948723">
              <w:marLeft w:val="-75"/>
              <w:marRight w:val="0"/>
              <w:marTop w:val="30"/>
              <w:marBottom w:val="30"/>
              <w:divBdr>
                <w:top w:val="none" w:sz="0" w:space="0" w:color="auto"/>
                <w:left w:val="none" w:sz="0" w:space="0" w:color="auto"/>
                <w:bottom w:val="none" w:sz="0" w:space="0" w:color="auto"/>
                <w:right w:val="none" w:sz="0" w:space="0" w:color="auto"/>
              </w:divBdr>
              <w:divsChild>
                <w:div w:id="13504181">
                  <w:marLeft w:val="0"/>
                  <w:marRight w:val="0"/>
                  <w:marTop w:val="0"/>
                  <w:marBottom w:val="0"/>
                  <w:divBdr>
                    <w:top w:val="none" w:sz="0" w:space="0" w:color="auto"/>
                    <w:left w:val="none" w:sz="0" w:space="0" w:color="auto"/>
                    <w:bottom w:val="none" w:sz="0" w:space="0" w:color="auto"/>
                    <w:right w:val="none" w:sz="0" w:space="0" w:color="auto"/>
                  </w:divBdr>
                  <w:divsChild>
                    <w:div w:id="1560676119">
                      <w:marLeft w:val="0"/>
                      <w:marRight w:val="0"/>
                      <w:marTop w:val="0"/>
                      <w:marBottom w:val="0"/>
                      <w:divBdr>
                        <w:top w:val="none" w:sz="0" w:space="0" w:color="auto"/>
                        <w:left w:val="none" w:sz="0" w:space="0" w:color="auto"/>
                        <w:bottom w:val="none" w:sz="0" w:space="0" w:color="auto"/>
                        <w:right w:val="none" w:sz="0" w:space="0" w:color="auto"/>
                      </w:divBdr>
                    </w:div>
                  </w:divsChild>
                </w:div>
                <w:div w:id="47383609">
                  <w:marLeft w:val="0"/>
                  <w:marRight w:val="0"/>
                  <w:marTop w:val="0"/>
                  <w:marBottom w:val="0"/>
                  <w:divBdr>
                    <w:top w:val="none" w:sz="0" w:space="0" w:color="auto"/>
                    <w:left w:val="none" w:sz="0" w:space="0" w:color="auto"/>
                    <w:bottom w:val="none" w:sz="0" w:space="0" w:color="auto"/>
                    <w:right w:val="none" w:sz="0" w:space="0" w:color="auto"/>
                  </w:divBdr>
                  <w:divsChild>
                    <w:div w:id="802119687">
                      <w:marLeft w:val="0"/>
                      <w:marRight w:val="0"/>
                      <w:marTop w:val="0"/>
                      <w:marBottom w:val="0"/>
                      <w:divBdr>
                        <w:top w:val="none" w:sz="0" w:space="0" w:color="auto"/>
                        <w:left w:val="none" w:sz="0" w:space="0" w:color="auto"/>
                        <w:bottom w:val="none" w:sz="0" w:space="0" w:color="auto"/>
                        <w:right w:val="none" w:sz="0" w:space="0" w:color="auto"/>
                      </w:divBdr>
                    </w:div>
                  </w:divsChild>
                </w:div>
                <w:div w:id="88552358">
                  <w:marLeft w:val="0"/>
                  <w:marRight w:val="0"/>
                  <w:marTop w:val="0"/>
                  <w:marBottom w:val="0"/>
                  <w:divBdr>
                    <w:top w:val="none" w:sz="0" w:space="0" w:color="auto"/>
                    <w:left w:val="none" w:sz="0" w:space="0" w:color="auto"/>
                    <w:bottom w:val="none" w:sz="0" w:space="0" w:color="auto"/>
                    <w:right w:val="none" w:sz="0" w:space="0" w:color="auto"/>
                  </w:divBdr>
                  <w:divsChild>
                    <w:div w:id="1083187806">
                      <w:marLeft w:val="0"/>
                      <w:marRight w:val="0"/>
                      <w:marTop w:val="0"/>
                      <w:marBottom w:val="0"/>
                      <w:divBdr>
                        <w:top w:val="none" w:sz="0" w:space="0" w:color="auto"/>
                        <w:left w:val="none" w:sz="0" w:space="0" w:color="auto"/>
                        <w:bottom w:val="none" w:sz="0" w:space="0" w:color="auto"/>
                        <w:right w:val="none" w:sz="0" w:space="0" w:color="auto"/>
                      </w:divBdr>
                    </w:div>
                  </w:divsChild>
                </w:div>
                <w:div w:id="158009397">
                  <w:marLeft w:val="0"/>
                  <w:marRight w:val="0"/>
                  <w:marTop w:val="0"/>
                  <w:marBottom w:val="0"/>
                  <w:divBdr>
                    <w:top w:val="none" w:sz="0" w:space="0" w:color="auto"/>
                    <w:left w:val="none" w:sz="0" w:space="0" w:color="auto"/>
                    <w:bottom w:val="none" w:sz="0" w:space="0" w:color="auto"/>
                    <w:right w:val="none" w:sz="0" w:space="0" w:color="auto"/>
                  </w:divBdr>
                  <w:divsChild>
                    <w:div w:id="1681660343">
                      <w:marLeft w:val="0"/>
                      <w:marRight w:val="0"/>
                      <w:marTop w:val="0"/>
                      <w:marBottom w:val="0"/>
                      <w:divBdr>
                        <w:top w:val="none" w:sz="0" w:space="0" w:color="auto"/>
                        <w:left w:val="none" w:sz="0" w:space="0" w:color="auto"/>
                        <w:bottom w:val="none" w:sz="0" w:space="0" w:color="auto"/>
                        <w:right w:val="none" w:sz="0" w:space="0" w:color="auto"/>
                      </w:divBdr>
                    </w:div>
                  </w:divsChild>
                </w:div>
                <w:div w:id="304507918">
                  <w:marLeft w:val="0"/>
                  <w:marRight w:val="0"/>
                  <w:marTop w:val="0"/>
                  <w:marBottom w:val="0"/>
                  <w:divBdr>
                    <w:top w:val="none" w:sz="0" w:space="0" w:color="auto"/>
                    <w:left w:val="none" w:sz="0" w:space="0" w:color="auto"/>
                    <w:bottom w:val="none" w:sz="0" w:space="0" w:color="auto"/>
                    <w:right w:val="none" w:sz="0" w:space="0" w:color="auto"/>
                  </w:divBdr>
                  <w:divsChild>
                    <w:div w:id="429159669">
                      <w:marLeft w:val="0"/>
                      <w:marRight w:val="0"/>
                      <w:marTop w:val="0"/>
                      <w:marBottom w:val="0"/>
                      <w:divBdr>
                        <w:top w:val="none" w:sz="0" w:space="0" w:color="auto"/>
                        <w:left w:val="none" w:sz="0" w:space="0" w:color="auto"/>
                        <w:bottom w:val="none" w:sz="0" w:space="0" w:color="auto"/>
                        <w:right w:val="none" w:sz="0" w:space="0" w:color="auto"/>
                      </w:divBdr>
                    </w:div>
                  </w:divsChild>
                </w:div>
                <w:div w:id="313804499">
                  <w:marLeft w:val="0"/>
                  <w:marRight w:val="0"/>
                  <w:marTop w:val="0"/>
                  <w:marBottom w:val="0"/>
                  <w:divBdr>
                    <w:top w:val="none" w:sz="0" w:space="0" w:color="auto"/>
                    <w:left w:val="none" w:sz="0" w:space="0" w:color="auto"/>
                    <w:bottom w:val="none" w:sz="0" w:space="0" w:color="auto"/>
                    <w:right w:val="none" w:sz="0" w:space="0" w:color="auto"/>
                  </w:divBdr>
                  <w:divsChild>
                    <w:div w:id="73283555">
                      <w:marLeft w:val="0"/>
                      <w:marRight w:val="0"/>
                      <w:marTop w:val="0"/>
                      <w:marBottom w:val="0"/>
                      <w:divBdr>
                        <w:top w:val="none" w:sz="0" w:space="0" w:color="auto"/>
                        <w:left w:val="none" w:sz="0" w:space="0" w:color="auto"/>
                        <w:bottom w:val="none" w:sz="0" w:space="0" w:color="auto"/>
                        <w:right w:val="none" w:sz="0" w:space="0" w:color="auto"/>
                      </w:divBdr>
                    </w:div>
                  </w:divsChild>
                </w:div>
                <w:div w:id="386926248">
                  <w:marLeft w:val="0"/>
                  <w:marRight w:val="0"/>
                  <w:marTop w:val="0"/>
                  <w:marBottom w:val="0"/>
                  <w:divBdr>
                    <w:top w:val="none" w:sz="0" w:space="0" w:color="auto"/>
                    <w:left w:val="none" w:sz="0" w:space="0" w:color="auto"/>
                    <w:bottom w:val="none" w:sz="0" w:space="0" w:color="auto"/>
                    <w:right w:val="none" w:sz="0" w:space="0" w:color="auto"/>
                  </w:divBdr>
                  <w:divsChild>
                    <w:div w:id="594942675">
                      <w:marLeft w:val="0"/>
                      <w:marRight w:val="0"/>
                      <w:marTop w:val="0"/>
                      <w:marBottom w:val="0"/>
                      <w:divBdr>
                        <w:top w:val="none" w:sz="0" w:space="0" w:color="auto"/>
                        <w:left w:val="none" w:sz="0" w:space="0" w:color="auto"/>
                        <w:bottom w:val="none" w:sz="0" w:space="0" w:color="auto"/>
                        <w:right w:val="none" w:sz="0" w:space="0" w:color="auto"/>
                      </w:divBdr>
                    </w:div>
                  </w:divsChild>
                </w:div>
                <w:div w:id="425543509">
                  <w:marLeft w:val="0"/>
                  <w:marRight w:val="0"/>
                  <w:marTop w:val="0"/>
                  <w:marBottom w:val="0"/>
                  <w:divBdr>
                    <w:top w:val="none" w:sz="0" w:space="0" w:color="auto"/>
                    <w:left w:val="none" w:sz="0" w:space="0" w:color="auto"/>
                    <w:bottom w:val="none" w:sz="0" w:space="0" w:color="auto"/>
                    <w:right w:val="none" w:sz="0" w:space="0" w:color="auto"/>
                  </w:divBdr>
                  <w:divsChild>
                    <w:div w:id="1900557156">
                      <w:marLeft w:val="0"/>
                      <w:marRight w:val="0"/>
                      <w:marTop w:val="0"/>
                      <w:marBottom w:val="0"/>
                      <w:divBdr>
                        <w:top w:val="none" w:sz="0" w:space="0" w:color="auto"/>
                        <w:left w:val="none" w:sz="0" w:space="0" w:color="auto"/>
                        <w:bottom w:val="none" w:sz="0" w:space="0" w:color="auto"/>
                        <w:right w:val="none" w:sz="0" w:space="0" w:color="auto"/>
                      </w:divBdr>
                    </w:div>
                  </w:divsChild>
                </w:div>
                <w:div w:id="503012394">
                  <w:marLeft w:val="0"/>
                  <w:marRight w:val="0"/>
                  <w:marTop w:val="0"/>
                  <w:marBottom w:val="0"/>
                  <w:divBdr>
                    <w:top w:val="none" w:sz="0" w:space="0" w:color="auto"/>
                    <w:left w:val="none" w:sz="0" w:space="0" w:color="auto"/>
                    <w:bottom w:val="none" w:sz="0" w:space="0" w:color="auto"/>
                    <w:right w:val="none" w:sz="0" w:space="0" w:color="auto"/>
                  </w:divBdr>
                  <w:divsChild>
                    <w:div w:id="1562522361">
                      <w:marLeft w:val="0"/>
                      <w:marRight w:val="0"/>
                      <w:marTop w:val="0"/>
                      <w:marBottom w:val="0"/>
                      <w:divBdr>
                        <w:top w:val="none" w:sz="0" w:space="0" w:color="auto"/>
                        <w:left w:val="none" w:sz="0" w:space="0" w:color="auto"/>
                        <w:bottom w:val="none" w:sz="0" w:space="0" w:color="auto"/>
                        <w:right w:val="none" w:sz="0" w:space="0" w:color="auto"/>
                      </w:divBdr>
                    </w:div>
                  </w:divsChild>
                </w:div>
                <w:div w:id="615480160">
                  <w:marLeft w:val="0"/>
                  <w:marRight w:val="0"/>
                  <w:marTop w:val="0"/>
                  <w:marBottom w:val="0"/>
                  <w:divBdr>
                    <w:top w:val="none" w:sz="0" w:space="0" w:color="auto"/>
                    <w:left w:val="none" w:sz="0" w:space="0" w:color="auto"/>
                    <w:bottom w:val="none" w:sz="0" w:space="0" w:color="auto"/>
                    <w:right w:val="none" w:sz="0" w:space="0" w:color="auto"/>
                  </w:divBdr>
                  <w:divsChild>
                    <w:div w:id="1077629652">
                      <w:marLeft w:val="0"/>
                      <w:marRight w:val="0"/>
                      <w:marTop w:val="0"/>
                      <w:marBottom w:val="0"/>
                      <w:divBdr>
                        <w:top w:val="none" w:sz="0" w:space="0" w:color="auto"/>
                        <w:left w:val="none" w:sz="0" w:space="0" w:color="auto"/>
                        <w:bottom w:val="none" w:sz="0" w:space="0" w:color="auto"/>
                        <w:right w:val="none" w:sz="0" w:space="0" w:color="auto"/>
                      </w:divBdr>
                    </w:div>
                  </w:divsChild>
                </w:div>
                <w:div w:id="658509601">
                  <w:marLeft w:val="0"/>
                  <w:marRight w:val="0"/>
                  <w:marTop w:val="0"/>
                  <w:marBottom w:val="0"/>
                  <w:divBdr>
                    <w:top w:val="none" w:sz="0" w:space="0" w:color="auto"/>
                    <w:left w:val="none" w:sz="0" w:space="0" w:color="auto"/>
                    <w:bottom w:val="none" w:sz="0" w:space="0" w:color="auto"/>
                    <w:right w:val="none" w:sz="0" w:space="0" w:color="auto"/>
                  </w:divBdr>
                  <w:divsChild>
                    <w:div w:id="2067096857">
                      <w:marLeft w:val="0"/>
                      <w:marRight w:val="0"/>
                      <w:marTop w:val="0"/>
                      <w:marBottom w:val="0"/>
                      <w:divBdr>
                        <w:top w:val="none" w:sz="0" w:space="0" w:color="auto"/>
                        <w:left w:val="none" w:sz="0" w:space="0" w:color="auto"/>
                        <w:bottom w:val="none" w:sz="0" w:space="0" w:color="auto"/>
                        <w:right w:val="none" w:sz="0" w:space="0" w:color="auto"/>
                      </w:divBdr>
                    </w:div>
                  </w:divsChild>
                </w:div>
                <w:div w:id="716976027">
                  <w:marLeft w:val="0"/>
                  <w:marRight w:val="0"/>
                  <w:marTop w:val="0"/>
                  <w:marBottom w:val="0"/>
                  <w:divBdr>
                    <w:top w:val="none" w:sz="0" w:space="0" w:color="auto"/>
                    <w:left w:val="none" w:sz="0" w:space="0" w:color="auto"/>
                    <w:bottom w:val="none" w:sz="0" w:space="0" w:color="auto"/>
                    <w:right w:val="none" w:sz="0" w:space="0" w:color="auto"/>
                  </w:divBdr>
                  <w:divsChild>
                    <w:div w:id="1107121706">
                      <w:marLeft w:val="0"/>
                      <w:marRight w:val="0"/>
                      <w:marTop w:val="0"/>
                      <w:marBottom w:val="0"/>
                      <w:divBdr>
                        <w:top w:val="none" w:sz="0" w:space="0" w:color="auto"/>
                        <w:left w:val="none" w:sz="0" w:space="0" w:color="auto"/>
                        <w:bottom w:val="none" w:sz="0" w:space="0" w:color="auto"/>
                        <w:right w:val="none" w:sz="0" w:space="0" w:color="auto"/>
                      </w:divBdr>
                    </w:div>
                  </w:divsChild>
                </w:div>
                <w:div w:id="783423790">
                  <w:marLeft w:val="0"/>
                  <w:marRight w:val="0"/>
                  <w:marTop w:val="0"/>
                  <w:marBottom w:val="0"/>
                  <w:divBdr>
                    <w:top w:val="none" w:sz="0" w:space="0" w:color="auto"/>
                    <w:left w:val="none" w:sz="0" w:space="0" w:color="auto"/>
                    <w:bottom w:val="none" w:sz="0" w:space="0" w:color="auto"/>
                    <w:right w:val="none" w:sz="0" w:space="0" w:color="auto"/>
                  </w:divBdr>
                  <w:divsChild>
                    <w:div w:id="2085175518">
                      <w:marLeft w:val="0"/>
                      <w:marRight w:val="0"/>
                      <w:marTop w:val="0"/>
                      <w:marBottom w:val="0"/>
                      <w:divBdr>
                        <w:top w:val="none" w:sz="0" w:space="0" w:color="auto"/>
                        <w:left w:val="none" w:sz="0" w:space="0" w:color="auto"/>
                        <w:bottom w:val="none" w:sz="0" w:space="0" w:color="auto"/>
                        <w:right w:val="none" w:sz="0" w:space="0" w:color="auto"/>
                      </w:divBdr>
                    </w:div>
                  </w:divsChild>
                </w:div>
                <w:div w:id="858201333">
                  <w:marLeft w:val="0"/>
                  <w:marRight w:val="0"/>
                  <w:marTop w:val="0"/>
                  <w:marBottom w:val="0"/>
                  <w:divBdr>
                    <w:top w:val="none" w:sz="0" w:space="0" w:color="auto"/>
                    <w:left w:val="none" w:sz="0" w:space="0" w:color="auto"/>
                    <w:bottom w:val="none" w:sz="0" w:space="0" w:color="auto"/>
                    <w:right w:val="none" w:sz="0" w:space="0" w:color="auto"/>
                  </w:divBdr>
                  <w:divsChild>
                    <w:div w:id="1827355210">
                      <w:marLeft w:val="0"/>
                      <w:marRight w:val="0"/>
                      <w:marTop w:val="0"/>
                      <w:marBottom w:val="0"/>
                      <w:divBdr>
                        <w:top w:val="none" w:sz="0" w:space="0" w:color="auto"/>
                        <w:left w:val="none" w:sz="0" w:space="0" w:color="auto"/>
                        <w:bottom w:val="none" w:sz="0" w:space="0" w:color="auto"/>
                        <w:right w:val="none" w:sz="0" w:space="0" w:color="auto"/>
                      </w:divBdr>
                    </w:div>
                  </w:divsChild>
                </w:div>
                <w:div w:id="876937883">
                  <w:marLeft w:val="0"/>
                  <w:marRight w:val="0"/>
                  <w:marTop w:val="0"/>
                  <w:marBottom w:val="0"/>
                  <w:divBdr>
                    <w:top w:val="none" w:sz="0" w:space="0" w:color="auto"/>
                    <w:left w:val="none" w:sz="0" w:space="0" w:color="auto"/>
                    <w:bottom w:val="none" w:sz="0" w:space="0" w:color="auto"/>
                    <w:right w:val="none" w:sz="0" w:space="0" w:color="auto"/>
                  </w:divBdr>
                  <w:divsChild>
                    <w:div w:id="876508406">
                      <w:marLeft w:val="0"/>
                      <w:marRight w:val="0"/>
                      <w:marTop w:val="0"/>
                      <w:marBottom w:val="0"/>
                      <w:divBdr>
                        <w:top w:val="none" w:sz="0" w:space="0" w:color="auto"/>
                        <w:left w:val="none" w:sz="0" w:space="0" w:color="auto"/>
                        <w:bottom w:val="none" w:sz="0" w:space="0" w:color="auto"/>
                        <w:right w:val="none" w:sz="0" w:space="0" w:color="auto"/>
                      </w:divBdr>
                    </w:div>
                  </w:divsChild>
                </w:div>
                <w:div w:id="881133443">
                  <w:marLeft w:val="0"/>
                  <w:marRight w:val="0"/>
                  <w:marTop w:val="0"/>
                  <w:marBottom w:val="0"/>
                  <w:divBdr>
                    <w:top w:val="none" w:sz="0" w:space="0" w:color="auto"/>
                    <w:left w:val="none" w:sz="0" w:space="0" w:color="auto"/>
                    <w:bottom w:val="none" w:sz="0" w:space="0" w:color="auto"/>
                    <w:right w:val="none" w:sz="0" w:space="0" w:color="auto"/>
                  </w:divBdr>
                  <w:divsChild>
                    <w:div w:id="47144037">
                      <w:marLeft w:val="0"/>
                      <w:marRight w:val="0"/>
                      <w:marTop w:val="0"/>
                      <w:marBottom w:val="0"/>
                      <w:divBdr>
                        <w:top w:val="none" w:sz="0" w:space="0" w:color="auto"/>
                        <w:left w:val="none" w:sz="0" w:space="0" w:color="auto"/>
                        <w:bottom w:val="none" w:sz="0" w:space="0" w:color="auto"/>
                        <w:right w:val="none" w:sz="0" w:space="0" w:color="auto"/>
                      </w:divBdr>
                    </w:div>
                  </w:divsChild>
                </w:div>
                <w:div w:id="909998519">
                  <w:marLeft w:val="0"/>
                  <w:marRight w:val="0"/>
                  <w:marTop w:val="0"/>
                  <w:marBottom w:val="0"/>
                  <w:divBdr>
                    <w:top w:val="none" w:sz="0" w:space="0" w:color="auto"/>
                    <w:left w:val="none" w:sz="0" w:space="0" w:color="auto"/>
                    <w:bottom w:val="none" w:sz="0" w:space="0" w:color="auto"/>
                    <w:right w:val="none" w:sz="0" w:space="0" w:color="auto"/>
                  </w:divBdr>
                  <w:divsChild>
                    <w:div w:id="400179583">
                      <w:marLeft w:val="0"/>
                      <w:marRight w:val="0"/>
                      <w:marTop w:val="0"/>
                      <w:marBottom w:val="0"/>
                      <w:divBdr>
                        <w:top w:val="none" w:sz="0" w:space="0" w:color="auto"/>
                        <w:left w:val="none" w:sz="0" w:space="0" w:color="auto"/>
                        <w:bottom w:val="none" w:sz="0" w:space="0" w:color="auto"/>
                        <w:right w:val="none" w:sz="0" w:space="0" w:color="auto"/>
                      </w:divBdr>
                    </w:div>
                  </w:divsChild>
                </w:div>
                <w:div w:id="926227071">
                  <w:marLeft w:val="0"/>
                  <w:marRight w:val="0"/>
                  <w:marTop w:val="0"/>
                  <w:marBottom w:val="0"/>
                  <w:divBdr>
                    <w:top w:val="none" w:sz="0" w:space="0" w:color="auto"/>
                    <w:left w:val="none" w:sz="0" w:space="0" w:color="auto"/>
                    <w:bottom w:val="none" w:sz="0" w:space="0" w:color="auto"/>
                    <w:right w:val="none" w:sz="0" w:space="0" w:color="auto"/>
                  </w:divBdr>
                  <w:divsChild>
                    <w:div w:id="1385131971">
                      <w:marLeft w:val="0"/>
                      <w:marRight w:val="0"/>
                      <w:marTop w:val="0"/>
                      <w:marBottom w:val="0"/>
                      <w:divBdr>
                        <w:top w:val="none" w:sz="0" w:space="0" w:color="auto"/>
                        <w:left w:val="none" w:sz="0" w:space="0" w:color="auto"/>
                        <w:bottom w:val="none" w:sz="0" w:space="0" w:color="auto"/>
                        <w:right w:val="none" w:sz="0" w:space="0" w:color="auto"/>
                      </w:divBdr>
                    </w:div>
                  </w:divsChild>
                </w:div>
                <w:div w:id="1111440878">
                  <w:marLeft w:val="0"/>
                  <w:marRight w:val="0"/>
                  <w:marTop w:val="0"/>
                  <w:marBottom w:val="0"/>
                  <w:divBdr>
                    <w:top w:val="none" w:sz="0" w:space="0" w:color="auto"/>
                    <w:left w:val="none" w:sz="0" w:space="0" w:color="auto"/>
                    <w:bottom w:val="none" w:sz="0" w:space="0" w:color="auto"/>
                    <w:right w:val="none" w:sz="0" w:space="0" w:color="auto"/>
                  </w:divBdr>
                  <w:divsChild>
                    <w:div w:id="497772656">
                      <w:marLeft w:val="0"/>
                      <w:marRight w:val="0"/>
                      <w:marTop w:val="0"/>
                      <w:marBottom w:val="0"/>
                      <w:divBdr>
                        <w:top w:val="none" w:sz="0" w:space="0" w:color="auto"/>
                        <w:left w:val="none" w:sz="0" w:space="0" w:color="auto"/>
                        <w:bottom w:val="none" w:sz="0" w:space="0" w:color="auto"/>
                        <w:right w:val="none" w:sz="0" w:space="0" w:color="auto"/>
                      </w:divBdr>
                    </w:div>
                  </w:divsChild>
                </w:div>
                <w:div w:id="1117942923">
                  <w:marLeft w:val="0"/>
                  <w:marRight w:val="0"/>
                  <w:marTop w:val="0"/>
                  <w:marBottom w:val="0"/>
                  <w:divBdr>
                    <w:top w:val="none" w:sz="0" w:space="0" w:color="auto"/>
                    <w:left w:val="none" w:sz="0" w:space="0" w:color="auto"/>
                    <w:bottom w:val="none" w:sz="0" w:space="0" w:color="auto"/>
                    <w:right w:val="none" w:sz="0" w:space="0" w:color="auto"/>
                  </w:divBdr>
                  <w:divsChild>
                    <w:div w:id="1044452922">
                      <w:marLeft w:val="0"/>
                      <w:marRight w:val="0"/>
                      <w:marTop w:val="0"/>
                      <w:marBottom w:val="0"/>
                      <w:divBdr>
                        <w:top w:val="none" w:sz="0" w:space="0" w:color="auto"/>
                        <w:left w:val="none" w:sz="0" w:space="0" w:color="auto"/>
                        <w:bottom w:val="none" w:sz="0" w:space="0" w:color="auto"/>
                        <w:right w:val="none" w:sz="0" w:space="0" w:color="auto"/>
                      </w:divBdr>
                    </w:div>
                  </w:divsChild>
                </w:div>
                <w:div w:id="1131511052">
                  <w:marLeft w:val="0"/>
                  <w:marRight w:val="0"/>
                  <w:marTop w:val="0"/>
                  <w:marBottom w:val="0"/>
                  <w:divBdr>
                    <w:top w:val="none" w:sz="0" w:space="0" w:color="auto"/>
                    <w:left w:val="none" w:sz="0" w:space="0" w:color="auto"/>
                    <w:bottom w:val="none" w:sz="0" w:space="0" w:color="auto"/>
                    <w:right w:val="none" w:sz="0" w:space="0" w:color="auto"/>
                  </w:divBdr>
                  <w:divsChild>
                    <w:div w:id="1512260741">
                      <w:marLeft w:val="0"/>
                      <w:marRight w:val="0"/>
                      <w:marTop w:val="0"/>
                      <w:marBottom w:val="0"/>
                      <w:divBdr>
                        <w:top w:val="none" w:sz="0" w:space="0" w:color="auto"/>
                        <w:left w:val="none" w:sz="0" w:space="0" w:color="auto"/>
                        <w:bottom w:val="none" w:sz="0" w:space="0" w:color="auto"/>
                        <w:right w:val="none" w:sz="0" w:space="0" w:color="auto"/>
                      </w:divBdr>
                    </w:div>
                  </w:divsChild>
                </w:div>
                <w:div w:id="1162358559">
                  <w:marLeft w:val="0"/>
                  <w:marRight w:val="0"/>
                  <w:marTop w:val="0"/>
                  <w:marBottom w:val="0"/>
                  <w:divBdr>
                    <w:top w:val="none" w:sz="0" w:space="0" w:color="auto"/>
                    <w:left w:val="none" w:sz="0" w:space="0" w:color="auto"/>
                    <w:bottom w:val="none" w:sz="0" w:space="0" w:color="auto"/>
                    <w:right w:val="none" w:sz="0" w:space="0" w:color="auto"/>
                  </w:divBdr>
                  <w:divsChild>
                    <w:div w:id="2121289885">
                      <w:marLeft w:val="0"/>
                      <w:marRight w:val="0"/>
                      <w:marTop w:val="0"/>
                      <w:marBottom w:val="0"/>
                      <w:divBdr>
                        <w:top w:val="none" w:sz="0" w:space="0" w:color="auto"/>
                        <w:left w:val="none" w:sz="0" w:space="0" w:color="auto"/>
                        <w:bottom w:val="none" w:sz="0" w:space="0" w:color="auto"/>
                        <w:right w:val="none" w:sz="0" w:space="0" w:color="auto"/>
                      </w:divBdr>
                    </w:div>
                  </w:divsChild>
                </w:div>
                <w:div w:id="1175145037">
                  <w:marLeft w:val="0"/>
                  <w:marRight w:val="0"/>
                  <w:marTop w:val="0"/>
                  <w:marBottom w:val="0"/>
                  <w:divBdr>
                    <w:top w:val="none" w:sz="0" w:space="0" w:color="auto"/>
                    <w:left w:val="none" w:sz="0" w:space="0" w:color="auto"/>
                    <w:bottom w:val="none" w:sz="0" w:space="0" w:color="auto"/>
                    <w:right w:val="none" w:sz="0" w:space="0" w:color="auto"/>
                  </w:divBdr>
                  <w:divsChild>
                    <w:div w:id="149952088">
                      <w:marLeft w:val="0"/>
                      <w:marRight w:val="0"/>
                      <w:marTop w:val="0"/>
                      <w:marBottom w:val="0"/>
                      <w:divBdr>
                        <w:top w:val="none" w:sz="0" w:space="0" w:color="auto"/>
                        <w:left w:val="none" w:sz="0" w:space="0" w:color="auto"/>
                        <w:bottom w:val="none" w:sz="0" w:space="0" w:color="auto"/>
                        <w:right w:val="none" w:sz="0" w:space="0" w:color="auto"/>
                      </w:divBdr>
                    </w:div>
                  </w:divsChild>
                </w:div>
                <w:div w:id="1242563210">
                  <w:marLeft w:val="0"/>
                  <w:marRight w:val="0"/>
                  <w:marTop w:val="0"/>
                  <w:marBottom w:val="0"/>
                  <w:divBdr>
                    <w:top w:val="none" w:sz="0" w:space="0" w:color="auto"/>
                    <w:left w:val="none" w:sz="0" w:space="0" w:color="auto"/>
                    <w:bottom w:val="none" w:sz="0" w:space="0" w:color="auto"/>
                    <w:right w:val="none" w:sz="0" w:space="0" w:color="auto"/>
                  </w:divBdr>
                  <w:divsChild>
                    <w:div w:id="110898314">
                      <w:marLeft w:val="0"/>
                      <w:marRight w:val="0"/>
                      <w:marTop w:val="0"/>
                      <w:marBottom w:val="0"/>
                      <w:divBdr>
                        <w:top w:val="none" w:sz="0" w:space="0" w:color="auto"/>
                        <w:left w:val="none" w:sz="0" w:space="0" w:color="auto"/>
                        <w:bottom w:val="none" w:sz="0" w:space="0" w:color="auto"/>
                        <w:right w:val="none" w:sz="0" w:space="0" w:color="auto"/>
                      </w:divBdr>
                    </w:div>
                  </w:divsChild>
                </w:div>
                <w:div w:id="1286424935">
                  <w:marLeft w:val="0"/>
                  <w:marRight w:val="0"/>
                  <w:marTop w:val="0"/>
                  <w:marBottom w:val="0"/>
                  <w:divBdr>
                    <w:top w:val="none" w:sz="0" w:space="0" w:color="auto"/>
                    <w:left w:val="none" w:sz="0" w:space="0" w:color="auto"/>
                    <w:bottom w:val="none" w:sz="0" w:space="0" w:color="auto"/>
                    <w:right w:val="none" w:sz="0" w:space="0" w:color="auto"/>
                  </w:divBdr>
                  <w:divsChild>
                    <w:div w:id="1565524474">
                      <w:marLeft w:val="0"/>
                      <w:marRight w:val="0"/>
                      <w:marTop w:val="0"/>
                      <w:marBottom w:val="0"/>
                      <w:divBdr>
                        <w:top w:val="none" w:sz="0" w:space="0" w:color="auto"/>
                        <w:left w:val="none" w:sz="0" w:space="0" w:color="auto"/>
                        <w:bottom w:val="none" w:sz="0" w:space="0" w:color="auto"/>
                        <w:right w:val="none" w:sz="0" w:space="0" w:color="auto"/>
                      </w:divBdr>
                    </w:div>
                  </w:divsChild>
                </w:div>
                <w:div w:id="1323387543">
                  <w:marLeft w:val="0"/>
                  <w:marRight w:val="0"/>
                  <w:marTop w:val="0"/>
                  <w:marBottom w:val="0"/>
                  <w:divBdr>
                    <w:top w:val="none" w:sz="0" w:space="0" w:color="auto"/>
                    <w:left w:val="none" w:sz="0" w:space="0" w:color="auto"/>
                    <w:bottom w:val="none" w:sz="0" w:space="0" w:color="auto"/>
                    <w:right w:val="none" w:sz="0" w:space="0" w:color="auto"/>
                  </w:divBdr>
                  <w:divsChild>
                    <w:div w:id="1833909047">
                      <w:marLeft w:val="0"/>
                      <w:marRight w:val="0"/>
                      <w:marTop w:val="0"/>
                      <w:marBottom w:val="0"/>
                      <w:divBdr>
                        <w:top w:val="none" w:sz="0" w:space="0" w:color="auto"/>
                        <w:left w:val="none" w:sz="0" w:space="0" w:color="auto"/>
                        <w:bottom w:val="none" w:sz="0" w:space="0" w:color="auto"/>
                        <w:right w:val="none" w:sz="0" w:space="0" w:color="auto"/>
                      </w:divBdr>
                    </w:div>
                  </w:divsChild>
                </w:div>
                <w:div w:id="1358238568">
                  <w:marLeft w:val="0"/>
                  <w:marRight w:val="0"/>
                  <w:marTop w:val="0"/>
                  <w:marBottom w:val="0"/>
                  <w:divBdr>
                    <w:top w:val="none" w:sz="0" w:space="0" w:color="auto"/>
                    <w:left w:val="none" w:sz="0" w:space="0" w:color="auto"/>
                    <w:bottom w:val="none" w:sz="0" w:space="0" w:color="auto"/>
                    <w:right w:val="none" w:sz="0" w:space="0" w:color="auto"/>
                  </w:divBdr>
                  <w:divsChild>
                    <w:div w:id="1605458415">
                      <w:marLeft w:val="0"/>
                      <w:marRight w:val="0"/>
                      <w:marTop w:val="0"/>
                      <w:marBottom w:val="0"/>
                      <w:divBdr>
                        <w:top w:val="none" w:sz="0" w:space="0" w:color="auto"/>
                        <w:left w:val="none" w:sz="0" w:space="0" w:color="auto"/>
                        <w:bottom w:val="none" w:sz="0" w:space="0" w:color="auto"/>
                        <w:right w:val="none" w:sz="0" w:space="0" w:color="auto"/>
                      </w:divBdr>
                    </w:div>
                  </w:divsChild>
                </w:div>
                <w:div w:id="1528982243">
                  <w:marLeft w:val="0"/>
                  <w:marRight w:val="0"/>
                  <w:marTop w:val="0"/>
                  <w:marBottom w:val="0"/>
                  <w:divBdr>
                    <w:top w:val="none" w:sz="0" w:space="0" w:color="auto"/>
                    <w:left w:val="none" w:sz="0" w:space="0" w:color="auto"/>
                    <w:bottom w:val="none" w:sz="0" w:space="0" w:color="auto"/>
                    <w:right w:val="none" w:sz="0" w:space="0" w:color="auto"/>
                  </w:divBdr>
                  <w:divsChild>
                    <w:div w:id="222495983">
                      <w:marLeft w:val="0"/>
                      <w:marRight w:val="0"/>
                      <w:marTop w:val="0"/>
                      <w:marBottom w:val="0"/>
                      <w:divBdr>
                        <w:top w:val="none" w:sz="0" w:space="0" w:color="auto"/>
                        <w:left w:val="none" w:sz="0" w:space="0" w:color="auto"/>
                        <w:bottom w:val="none" w:sz="0" w:space="0" w:color="auto"/>
                        <w:right w:val="none" w:sz="0" w:space="0" w:color="auto"/>
                      </w:divBdr>
                    </w:div>
                  </w:divsChild>
                </w:div>
                <w:div w:id="1565990335">
                  <w:marLeft w:val="0"/>
                  <w:marRight w:val="0"/>
                  <w:marTop w:val="0"/>
                  <w:marBottom w:val="0"/>
                  <w:divBdr>
                    <w:top w:val="none" w:sz="0" w:space="0" w:color="auto"/>
                    <w:left w:val="none" w:sz="0" w:space="0" w:color="auto"/>
                    <w:bottom w:val="none" w:sz="0" w:space="0" w:color="auto"/>
                    <w:right w:val="none" w:sz="0" w:space="0" w:color="auto"/>
                  </w:divBdr>
                  <w:divsChild>
                    <w:div w:id="1633517339">
                      <w:marLeft w:val="0"/>
                      <w:marRight w:val="0"/>
                      <w:marTop w:val="0"/>
                      <w:marBottom w:val="0"/>
                      <w:divBdr>
                        <w:top w:val="none" w:sz="0" w:space="0" w:color="auto"/>
                        <w:left w:val="none" w:sz="0" w:space="0" w:color="auto"/>
                        <w:bottom w:val="none" w:sz="0" w:space="0" w:color="auto"/>
                        <w:right w:val="none" w:sz="0" w:space="0" w:color="auto"/>
                      </w:divBdr>
                    </w:div>
                  </w:divsChild>
                </w:div>
                <w:div w:id="1734309219">
                  <w:marLeft w:val="0"/>
                  <w:marRight w:val="0"/>
                  <w:marTop w:val="0"/>
                  <w:marBottom w:val="0"/>
                  <w:divBdr>
                    <w:top w:val="none" w:sz="0" w:space="0" w:color="auto"/>
                    <w:left w:val="none" w:sz="0" w:space="0" w:color="auto"/>
                    <w:bottom w:val="none" w:sz="0" w:space="0" w:color="auto"/>
                    <w:right w:val="none" w:sz="0" w:space="0" w:color="auto"/>
                  </w:divBdr>
                  <w:divsChild>
                    <w:div w:id="207496664">
                      <w:marLeft w:val="0"/>
                      <w:marRight w:val="0"/>
                      <w:marTop w:val="0"/>
                      <w:marBottom w:val="0"/>
                      <w:divBdr>
                        <w:top w:val="none" w:sz="0" w:space="0" w:color="auto"/>
                        <w:left w:val="none" w:sz="0" w:space="0" w:color="auto"/>
                        <w:bottom w:val="none" w:sz="0" w:space="0" w:color="auto"/>
                        <w:right w:val="none" w:sz="0" w:space="0" w:color="auto"/>
                      </w:divBdr>
                    </w:div>
                  </w:divsChild>
                </w:div>
                <w:div w:id="1809590892">
                  <w:marLeft w:val="0"/>
                  <w:marRight w:val="0"/>
                  <w:marTop w:val="0"/>
                  <w:marBottom w:val="0"/>
                  <w:divBdr>
                    <w:top w:val="none" w:sz="0" w:space="0" w:color="auto"/>
                    <w:left w:val="none" w:sz="0" w:space="0" w:color="auto"/>
                    <w:bottom w:val="none" w:sz="0" w:space="0" w:color="auto"/>
                    <w:right w:val="none" w:sz="0" w:space="0" w:color="auto"/>
                  </w:divBdr>
                  <w:divsChild>
                    <w:div w:id="1790587693">
                      <w:marLeft w:val="0"/>
                      <w:marRight w:val="0"/>
                      <w:marTop w:val="0"/>
                      <w:marBottom w:val="0"/>
                      <w:divBdr>
                        <w:top w:val="none" w:sz="0" w:space="0" w:color="auto"/>
                        <w:left w:val="none" w:sz="0" w:space="0" w:color="auto"/>
                        <w:bottom w:val="none" w:sz="0" w:space="0" w:color="auto"/>
                        <w:right w:val="none" w:sz="0" w:space="0" w:color="auto"/>
                      </w:divBdr>
                    </w:div>
                  </w:divsChild>
                </w:div>
                <w:div w:id="1818064431">
                  <w:marLeft w:val="0"/>
                  <w:marRight w:val="0"/>
                  <w:marTop w:val="0"/>
                  <w:marBottom w:val="0"/>
                  <w:divBdr>
                    <w:top w:val="none" w:sz="0" w:space="0" w:color="auto"/>
                    <w:left w:val="none" w:sz="0" w:space="0" w:color="auto"/>
                    <w:bottom w:val="none" w:sz="0" w:space="0" w:color="auto"/>
                    <w:right w:val="none" w:sz="0" w:space="0" w:color="auto"/>
                  </w:divBdr>
                  <w:divsChild>
                    <w:div w:id="58603373">
                      <w:marLeft w:val="0"/>
                      <w:marRight w:val="0"/>
                      <w:marTop w:val="0"/>
                      <w:marBottom w:val="0"/>
                      <w:divBdr>
                        <w:top w:val="none" w:sz="0" w:space="0" w:color="auto"/>
                        <w:left w:val="none" w:sz="0" w:space="0" w:color="auto"/>
                        <w:bottom w:val="none" w:sz="0" w:space="0" w:color="auto"/>
                        <w:right w:val="none" w:sz="0" w:space="0" w:color="auto"/>
                      </w:divBdr>
                    </w:div>
                  </w:divsChild>
                </w:div>
                <w:div w:id="1856767093">
                  <w:marLeft w:val="0"/>
                  <w:marRight w:val="0"/>
                  <w:marTop w:val="0"/>
                  <w:marBottom w:val="0"/>
                  <w:divBdr>
                    <w:top w:val="none" w:sz="0" w:space="0" w:color="auto"/>
                    <w:left w:val="none" w:sz="0" w:space="0" w:color="auto"/>
                    <w:bottom w:val="none" w:sz="0" w:space="0" w:color="auto"/>
                    <w:right w:val="none" w:sz="0" w:space="0" w:color="auto"/>
                  </w:divBdr>
                  <w:divsChild>
                    <w:div w:id="1949312145">
                      <w:marLeft w:val="0"/>
                      <w:marRight w:val="0"/>
                      <w:marTop w:val="0"/>
                      <w:marBottom w:val="0"/>
                      <w:divBdr>
                        <w:top w:val="none" w:sz="0" w:space="0" w:color="auto"/>
                        <w:left w:val="none" w:sz="0" w:space="0" w:color="auto"/>
                        <w:bottom w:val="none" w:sz="0" w:space="0" w:color="auto"/>
                        <w:right w:val="none" w:sz="0" w:space="0" w:color="auto"/>
                      </w:divBdr>
                    </w:div>
                  </w:divsChild>
                </w:div>
                <w:div w:id="1950888472">
                  <w:marLeft w:val="0"/>
                  <w:marRight w:val="0"/>
                  <w:marTop w:val="0"/>
                  <w:marBottom w:val="0"/>
                  <w:divBdr>
                    <w:top w:val="none" w:sz="0" w:space="0" w:color="auto"/>
                    <w:left w:val="none" w:sz="0" w:space="0" w:color="auto"/>
                    <w:bottom w:val="none" w:sz="0" w:space="0" w:color="auto"/>
                    <w:right w:val="none" w:sz="0" w:space="0" w:color="auto"/>
                  </w:divBdr>
                  <w:divsChild>
                    <w:div w:id="451752232">
                      <w:marLeft w:val="0"/>
                      <w:marRight w:val="0"/>
                      <w:marTop w:val="0"/>
                      <w:marBottom w:val="0"/>
                      <w:divBdr>
                        <w:top w:val="none" w:sz="0" w:space="0" w:color="auto"/>
                        <w:left w:val="none" w:sz="0" w:space="0" w:color="auto"/>
                        <w:bottom w:val="none" w:sz="0" w:space="0" w:color="auto"/>
                        <w:right w:val="none" w:sz="0" w:space="0" w:color="auto"/>
                      </w:divBdr>
                    </w:div>
                  </w:divsChild>
                </w:div>
                <w:div w:id="1952278808">
                  <w:marLeft w:val="0"/>
                  <w:marRight w:val="0"/>
                  <w:marTop w:val="0"/>
                  <w:marBottom w:val="0"/>
                  <w:divBdr>
                    <w:top w:val="none" w:sz="0" w:space="0" w:color="auto"/>
                    <w:left w:val="none" w:sz="0" w:space="0" w:color="auto"/>
                    <w:bottom w:val="none" w:sz="0" w:space="0" w:color="auto"/>
                    <w:right w:val="none" w:sz="0" w:space="0" w:color="auto"/>
                  </w:divBdr>
                  <w:divsChild>
                    <w:div w:id="448358180">
                      <w:marLeft w:val="0"/>
                      <w:marRight w:val="0"/>
                      <w:marTop w:val="0"/>
                      <w:marBottom w:val="0"/>
                      <w:divBdr>
                        <w:top w:val="none" w:sz="0" w:space="0" w:color="auto"/>
                        <w:left w:val="none" w:sz="0" w:space="0" w:color="auto"/>
                        <w:bottom w:val="none" w:sz="0" w:space="0" w:color="auto"/>
                        <w:right w:val="none" w:sz="0" w:space="0" w:color="auto"/>
                      </w:divBdr>
                    </w:div>
                  </w:divsChild>
                </w:div>
                <w:div w:id="1956987020">
                  <w:marLeft w:val="0"/>
                  <w:marRight w:val="0"/>
                  <w:marTop w:val="0"/>
                  <w:marBottom w:val="0"/>
                  <w:divBdr>
                    <w:top w:val="none" w:sz="0" w:space="0" w:color="auto"/>
                    <w:left w:val="none" w:sz="0" w:space="0" w:color="auto"/>
                    <w:bottom w:val="none" w:sz="0" w:space="0" w:color="auto"/>
                    <w:right w:val="none" w:sz="0" w:space="0" w:color="auto"/>
                  </w:divBdr>
                  <w:divsChild>
                    <w:div w:id="385565517">
                      <w:marLeft w:val="0"/>
                      <w:marRight w:val="0"/>
                      <w:marTop w:val="0"/>
                      <w:marBottom w:val="0"/>
                      <w:divBdr>
                        <w:top w:val="none" w:sz="0" w:space="0" w:color="auto"/>
                        <w:left w:val="none" w:sz="0" w:space="0" w:color="auto"/>
                        <w:bottom w:val="none" w:sz="0" w:space="0" w:color="auto"/>
                        <w:right w:val="none" w:sz="0" w:space="0" w:color="auto"/>
                      </w:divBdr>
                    </w:div>
                  </w:divsChild>
                </w:div>
                <w:div w:id="1969895134">
                  <w:marLeft w:val="0"/>
                  <w:marRight w:val="0"/>
                  <w:marTop w:val="0"/>
                  <w:marBottom w:val="0"/>
                  <w:divBdr>
                    <w:top w:val="none" w:sz="0" w:space="0" w:color="auto"/>
                    <w:left w:val="none" w:sz="0" w:space="0" w:color="auto"/>
                    <w:bottom w:val="none" w:sz="0" w:space="0" w:color="auto"/>
                    <w:right w:val="none" w:sz="0" w:space="0" w:color="auto"/>
                  </w:divBdr>
                  <w:divsChild>
                    <w:div w:id="305740604">
                      <w:marLeft w:val="0"/>
                      <w:marRight w:val="0"/>
                      <w:marTop w:val="0"/>
                      <w:marBottom w:val="0"/>
                      <w:divBdr>
                        <w:top w:val="none" w:sz="0" w:space="0" w:color="auto"/>
                        <w:left w:val="none" w:sz="0" w:space="0" w:color="auto"/>
                        <w:bottom w:val="none" w:sz="0" w:space="0" w:color="auto"/>
                        <w:right w:val="none" w:sz="0" w:space="0" w:color="auto"/>
                      </w:divBdr>
                    </w:div>
                  </w:divsChild>
                </w:div>
                <w:div w:id="1970621482">
                  <w:marLeft w:val="0"/>
                  <w:marRight w:val="0"/>
                  <w:marTop w:val="0"/>
                  <w:marBottom w:val="0"/>
                  <w:divBdr>
                    <w:top w:val="none" w:sz="0" w:space="0" w:color="auto"/>
                    <w:left w:val="none" w:sz="0" w:space="0" w:color="auto"/>
                    <w:bottom w:val="none" w:sz="0" w:space="0" w:color="auto"/>
                    <w:right w:val="none" w:sz="0" w:space="0" w:color="auto"/>
                  </w:divBdr>
                  <w:divsChild>
                    <w:div w:id="1553997305">
                      <w:marLeft w:val="0"/>
                      <w:marRight w:val="0"/>
                      <w:marTop w:val="0"/>
                      <w:marBottom w:val="0"/>
                      <w:divBdr>
                        <w:top w:val="none" w:sz="0" w:space="0" w:color="auto"/>
                        <w:left w:val="none" w:sz="0" w:space="0" w:color="auto"/>
                        <w:bottom w:val="none" w:sz="0" w:space="0" w:color="auto"/>
                        <w:right w:val="none" w:sz="0" w:space="0" w:color="auto"/>
                      </w:divBdr>
                    </w:div>
                  </w:divsChild>
                </w:div>
                <w:div w:id="1976987019">
                  <w:marLeft w:val="0"/>
                  <w:marRight w:val="0"/>
                  <w:marTop w:val="0"/>
                  <w:marBottom w:val="0"/>
                  <w:divBdr>
                    <w:top w:val="none" w:sz="0" w:space="0" w:color="auto"/>
                    <w:left w:val="none" w:sz="0" w:space="0" w:color="auto"/>
                    <w:bottom w:val="none" w:sz="0" w:space="0" w:color="auto"/>
                    <w:right w:val="none" w:sz="0" w:space="0" w:color="auto"/>
                  </w:divBdr>
                  <w:divsChild>
                    <w:div w:id="284314362">
                      <w:marLeft w:val="0"/>
                      <w:marRight w:val="0"/>
                      <w:marTop w:val="0"/>
                      <w:marBottom w:val="0"/>
                      <w:divBdr>
                        <w:top w:val="none" w:sz="0" w:space="0" w:color="auto"/>
                        <w:left w:val="none" w:sz="0" w:space="0" w:color="auto"/>
                        <w:bottom w:val="none" w:sz="0" w:space="0" w:color="auto"/>
                        <w:right w:val="none" w:sz="0" w:space="0" w:color="auto"/>
                      </w:divBdr>
                    </w:div>
                  </w:divsChild>
                </w:div>
                <w:div w:id="2005280852">
                  <w:marLeft w:val="0"/>
                  <w:marRight w:val="0"/>
                  <w:marTop w:val="0"/>
                  <w:marBottom w:val="0"/>
                  <w:divBdr>
                    <w:top w:val="none" w:sz="0" w:space="0" w:color="auto"/>
                    <w:left w:val="none" w:sz="0" w:space="0" w:color="auto"/>
                    <w:bottom w:val="none" w:sz="0" w:space="0" w:color="auto"/>
                    <w:right w:val="none" w:sz="0" w:space="0" w:color="auto"/>
                  </w:divBdr>
                  <w:divsChild>
                    <w:div w:id="913199263">
                      <w:marLeft w:val="0"/>
                      <w:marRight w:val="0"/>
                      <w:marTop w:val="0"/>
                      <w:marBottom w:val="0"/>
                      <w:divBdr>
                        <w:top w:val="none" w:sz="0" w:space="0" w:color="auto"/>
                        <w:left w:val="none" w:sz="0" w:space="0" w:color="auto"/>
                        <w:bottom w:val="none" w:sz="0" w:space="0" w:color="auto"/>
                        <w:right w:val="none" w:sz="0" w:space="0" w:color="auto"/>
                      </w:divBdr>
                    </w:div>
                  </w:divsChild>
                </w:div>
                <w:div w:id="2105883890">
                  <w:marLeft w:val="0"/>
                  <w:marRight w:val="0"/>
                  <w:marTop w:val="0"/>
                  <w:marBottom w:val="0"/>
                  <w:divBdr>
                    <w:top w:val="none" w:sz="0" w:space="0" w:color="auto"/>
                    <w:left w:val="none" w:sz="0" w:space="0" w:color="auto"/>
                    <w:bottom w:val="none" w:sz="0" w:space="0" w:color="auto"/>
                    <w:right w:val="none" w:sz="0" w:space="0" w:color="auto"/>
                  </w:divBdr>
                  <w:divsChild>
                    <w:div w:id="44837414">
                      <w:marLeft w:val="0"/>
                      <w:marRight w:val="0"/>
                      <w:marTop w:val="0"/>
                      <w:marBottom w:val="0"/>
                      <w:divBdr>
                        <w:top w:val="none" w:sz="0" w:space="0" w:color="auto"/>
                        <w:left w:val="none" w:sz="0" w:space="0" w:color="auto"/>
                        <w:bottom w:val="none" w:sz="0" w:space="0" w:color="auto"/>
                        <w:right w:val="none" w:sz="0" w:space="0" w:color="auto"/>
                      </w:divBdr>
                    </w:div>
                  </w:divsChild>
                </w:div>
                <w:div w:id="2120224481">
                  <w:marLeft w:val="0"/>
                  <w:marRight w:val="0"/>
                  <w:marTop w:val="0"/>
                  <w:marBottom w:val="0"/>
                  <w:divBdr>
                    <w:top w:val="none" w:sz="0" w:space="0" w:color="auto"/>
                    <w:left w:val="none" w:sz="0" w:space="0" w:color="auto"/>
                    <w:bottom w:val="none" w:sz="0" w:space="0" w:color="auto"/>
                    <w:right w:val="none" w:sz="0" w:space="0" w:color="auto"/>
                  </w:divBdr>
                  <w:divsChild>
                    <w:div w:id="3501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335">
          <w:marLeft w:val="0"/>
          <w:marRight w:val="0"/>
          <w:marTop w:val="0"/>
          <w:marBottom w:val="0"/>
          <w:divBdr>
            <w:top w:val="none" w:sz="0" w:space="0" w:color="auto"/>
            <w:left w:val="none" w:sz="0" w:space="0" w:color="auto"/>
            <w:bottom w:val="none" w:sz="0" w:space="0" w:color="auto"/>
            <w:right w:val="none" w:sz="0" w:space="0" w:color="auto"/>
          </w:divBdr>
        </w:div>
        <w:div w:id="1371568377">
          <w:marLeft w:val="0"/>
          <w:marRight w:val="0"/>
          <w:marTop w:val="0"/>
          <w:marBottom w:val="0"/>
          <w:divBdr>
            <w:top w:val="none" w:sz="0" w:space="0" w:color="auto"/>
            <w:left w:val="none" w:sz="0" w:space="0" w:color="auto"/>
            <w:bottom w:val="none" w:sz="0" w:space="0" w:color="auto"/>
            <w:right w:val="none" w:sz="0" w:space="0" w:color="auto"/>
          </w:divBdr>
          <w:divsChild>
            <w:div w:id="951134890">
              <w:marLeft w:val="-75"/>
              <w:marRight w:val="0"/>
              <w:marTop w:val="30"/>
              <w:marBottom w:val="30"/>
              <w:divBdr>
                <w:top w:val="none" w:sz="0" w:space="0" w:color="auto"/>
                <w:left w:val="none" w:sz="0" w:space="0" w:color="auto"/>
                <w:bottom w:val="none" w:sz="0" w:space="0" w:color="auto"/>
                <w:right w:val="none" w:sz="0" w:space="0" w:color="auto"/>
              </w:divBdr>
              <w:divsChild>
                <w:div w:id="83453611">
                  <w:marLeft w:val="0"/>
                  <w:marRight w:val="0"/>
                  <w:marTop w:val="0"/>
                  <w:marBottom w:val="0"/>
                  <w:divBdr>
                    <w:top w:val="none" w:sz="0" w:space="0" w:color="auto"/>
                    <w:left w:val="none" w:sz="0" w:space="0" w:color="auto"/>
                    <w:bottom w:val="none" w:sz="0" w:space="0" w:color="auto"/>
                    <w:right w:val="none" w:sz="0" w:space="0" w:color="auto"/>
                  </w:divBdr>
                  <w:divsChild>
                    <w:div w:id="1375495602">
                      <w:marLeft w:val="0"/>
                      <w:marRight w:val="0"/>
                      <w:marTop w:val="0"/>
                      <w:marBottom w:val="0"/>
                      <w:divBdr>
                        <w:top w:val="none" w:sz="0" w:space="0" w:color="auto"/>
                        <w:left w:val="none" w:sz="0" w:space="0" w:color="auto"/>
                        <w:bottom w:val="none" w:sz="0" w:space="0" w:color="auto"/>
                        <w:right w:val="none" w:sz="0" w:space="0" w:color="auto"/>
                      </w:divBdr>
                    </w:div>
                  </w:divsChild>
                </w:div>
                <w:div w:id="345060167">
                  <w:marLeft w:val="0"/>
                  <w:marRight w:val="0"/>
                  <w:marTop w:val="0"/>
                  <w:marBottom w:val="0"/>
                  <w:divBdr>
                    <w:top w:val="none" w:sz="0" w:space="0" w:color="auto"/>
                    <w:left w:val="none" w:sz="0" w:space="0" w:color="auto"/>
                    <w:bottom w:val="none" w:sz="0" w:space="0" w:color="auto"/>
                    <w:right w:val="none" w:sz="0" w:space="0" w:color="auto"/>
                  </w:divBdr>
                  <w:divsChild>
                    <w:div w:id="1431656755">
                      <w:marLeft w:val="0"/>
                      <w:marRight w:val="0"/>
                      <w:marTop w:val="0"/>
                      <w:marBottom w:val="0"/>
                      <w:divBdr>
                        <w:top w:val="none" w:sz="0" w:space="0" w:color="auto"/>
                        <w:left w:val="none" w:sz="0" w:space="0" w:color="auto"/>
                        <w:bottom w:val="none" w:sz="0" w:space="0" w:color="auto"/>
                        <w:right w:val="none" w:sz="0" w:space="0" w:color="auto"/>
                      </w:divBdr>
                    </w:div>
                  </w:divsChild>
                </w:div>
                <w:div w:id="471555713">
                  <w:marLeft w:val="0"/>
                  <w:marRight w:val="0"/>
                  <w:marTop w:val="0"/>
                  <w:marBottom w:val="0"/>
                  <w:divBdr>
                    <w:top w:val="none" w:sz="0" w:space="0" w:color="auto"/>
                    <w:left w:val="none" w:sz="0" w:space="0" w:color="auto"/>
                    <w:bottom w:val="none" w:sz="0" w:space="0" w:color="auto"/>
                    <w:right w:val="none" w:sz="0" w:space="0" w:color="auto"/>
                  </w:divBdr>
                  <w:divsChild>
                    <w:div w:id="525675514">
                      <w:marLeft w:val="0"/>
                      <w:marRight w:val="0"/>
                      <w:marTop w:val="0"/>
                      <w:marBottom w:val="0"/>
                      <w:divBdr>
                        <w:top w:val="none" w:sz="0" w:space="0" w:color="auto"/>
                        <w:left w:val="none" w:sz="0" w:space="0" w:color="auto"/>
                        <w:bottom w:val="none" w:sz="0" w:space="0" w:color="auto"/>
                        <w:right w:val="none" w:sz="0" w:space="0" w:color="auto"/>
                      </w:divBdr>
                    </w:div>
                  </w:divsChild>
                </w:div>
                <w:div w:id="611983304">
                  <w:marLeft w:val="0"/>
                  <w:marRight w:val="0"/>
                  <w:marTop w:val="0"/>
                  <w:marBottom w:val="0"/>
                  <w:divBdr>
                    <w:top w:val="none" w:sz="0" w:space="0" w:color="auto"/>
                    <w:left w:val="none" w:sz="0" w:space="0" w:color="auto"/>
                    <w:bottom w:val="none" w:sz="0" w:space="0" w:color="auto"/>
                    <w:right w:val="none" w:sz="0" w:space="0" w:color="auto"/>
                  </w:divBdr>
                  <w:divsChild>
                    <w:div w:id="845633346">
                      <w:marLeft w:val="0"/>
                      <w:marRight w:val="0"/>
                      <w:marTop w:val="0"/>
                      <w:marBottom w:val="0"/>
                      <w:divBdr>
                        <w:top w:val="none" w:sz="0" w:space="0" w:color="auto"/>
                        <w:left w:val="none" w:sz="0" w:space="0" w:color="auto"/>
                        <w:bottom w:val="none" w:sz="0" w:space="0" w:color="auto"/>
                        <w:right w:val="none" w:sz="0" w:space="0" w:color="auto"/>
                      </w:divBdr>
                    </w:div>
                  </w:divsChild>
                </w:div>
                <w:div w:id="628052302">
                  <w:marLeft w:val="0"/>
                  <w:marRight w:val="0"/>
                  <w:marTop w:val="0"/>
                  <w:marBottom w:val="0"/>
                  <w:divBdr>
                    <w:top w:val="none" w:sz="0" w:space="0" w:color="auto"/>
                    <w:left w:val="none" w:sz="0" w:space="0" w:color="auto"/>
                    <w:bottom w:val="none" w:sz="0" w:space="0" w:color="auto"/>
                    <w:right w:val="none" w:sz="0" w:space="0" w:color="auto"/>
                  </w:divBdr>
                  <w:divsChild>
                    <w:div w:id="1376194866">
                      <w:marLeft w:val="0"/>
                      <w:marRight w:val="0"/>
                      <w:marTop w:val="0"/>
                      <w:marBottom w:val="0"/>
                      <w:divBdr>
                        <w:top w:val="none" w:sz="0" w:space="0" w:color="auto"/>
                        <w:left w:val="none" w:sz="0" w:space="0" w:color="auto"/>
                        <w:bottom w:val="none" w:sz="0" w:space="0" w:color="auto"/>
                        <w:right w:val="none" w:sz="0" w:space="0" w:color="auto"/>
                      </w:divBdr>
                    </w:div>
                  </w:divsChild>
                </w:div>
                <w:div w:id="661202285">
                  <w:marLeft w:val="0"/>
                  <w:marRight w:val="0"/>
                  <w:marTop w:val="0"/>
                  <w:marBottom w:val="0"/>
                  <w:divBdr>
                    <w:top w:val="none" w:sz="0" w:space="0" w:color="auto"/>
                    <w:left w:val="none" w:sz="0" w:space="0" w:color="auto"/>
                    <w:bottom w:val="none" w:sz="0" w:space="0" w:color="auto"/>
                    <w:right w:val="none" w:sz="0" w:space="0" w:color="auto"/>
                  </w:divBdr>
                  <w:divsChild>
                    <w:div w:id="1292438596">
                      <w:marLeft w:val="0"/>
                      <w:marRight w:val="0"/>
                      <w:marTop w:val="0"/>
                      <w:marBottom w:val="0"/>
                      <w:divBdr>
                        <w:top w:val="none" w:sz="0" w:space="0" w:color="auto"/>
                        <w:left w:val="none" w:sz="0" w:space="0" w:color="auto"/>
                        <w:bottom w:val="none" w:sz="0" w:space="0" w:color="auto"/>
                        <w:right w:val="none" w:sz="0" w:space="0" w:color="auto"/>
                      </w:divBdr>
                    </w:div>
                  </w:divsChild>
                </w:div>
                <w:div w:id="706875478">
                  <w:marLeft w:val="0"/>
                  <w:marRight w:val="0"/>
                  <w:marTop w:val="0"/>
                  <w:marBottom w:val="0"/>
                  <w:divBdr>
                    <w:top w:val="none" w:sz="0" w:space="0" w:color="auto"/>
                    <w:left w:val="none" w:sz="0" w:space="0" w:color="auto"/>
                    <w:bottom w:val="none" w:sz="0" w:space="0" w:color="auto"/>
                    <w:right w:val="none" w:sz="0" w:space="0" w:color="auto"/>
                  </w:divBdr>
                  <w:divsChild>
                    <w:div w:id="1204099872">
                      <w:marLeft w:val="0"/>
                      <w:marRight w:val="0"/>
                      <w:marTop w:val="0"/>
                      <w:marBottom w:val="0"/>
                      <w:divBdr>
                        <w:top w:val="none" w:sz="0" w:space="0" w:color="auto"/>
                        <w:left w:val="none" w:sz="0" w:space="0" w:color="auto"/>
                        <w:bottom w:val="none" w:sz="0" w:space="0" w:color="auto"/>
                        <w:right w:val="none" w:sz="0" w:space="0" w:color="auto"/>
                      </w:divBdr>
                    </w:div>
                  </w:divsChild>
                </w:div>
                <w:div w:id="727724311">
                  <w:marLeft w:val="0"/>
                  <w:marRight w:val="0"/>
                  <w:marTop w:val="0"/>
                  <w:marBottom w:val="0"/>
                  <w:divBdr>
                    <w:top w:val="none" w:sz="0" w:space="0" w:color="auto"/>
                    <w:left w:val="none" w:sz="0" w:space="0" w:color="auto"/>
                    <w:bottom w:val="none" w:sz="0" w:space="0" w:color="auto"/>
                    <w:right w:val="none" w:sz="0" w:space="0" w:color="auto"/>
                  </w:divBdr>
                  <w:divsChild>
                    <w:div w:id="169875519">
                      <w:marLeft w:val="0"/>
                      <w:marRight w:val="0"/>
                      <w:marTop w:val="0"/>
                      <w:marBottom w:val="0"/>
                      <w:divBdr>
                        <w:top w:val="none" w:sz="0" w:space="0" w:color="auto"/>
                        <w:left w:val="none" w:sz="0" w:space="0" w:color="auto"/>
                        <w:bottom w:val="none" w:sz="0" w:space="0" w:color="auto"/>
                        <w:right w:val="none" w:sz="0" w:space="0" w:color="auto"/>
                      </w:divBdr>
                    </w:div>
                  </w:divsChild>
                </w:div>
                <w:div w:id="819275314">
                  <w:marLeft w:val="0"/>
                  <w:marRight w:val="0"/>
                  <w:marTop w:val="0"/>
                  <w:marBottom w:val="0"/>
                  <w:divBdr>
                    <w:top w:val="none" w:sz="0" w:space="0" w:color="auto"/>
                    <w:left w:val="none" w:sz="0" w:space="0" w:color="auto"/>
                    <w:bottom w:val="none" w:sz="0" w:space="0" w:color="auto"/>
                    <w:right w:val="none" w:sz="0" w:space="0" w:color="auto"/>
                  </w:divBdr>
                  <w:divsChild>
                    <w:div w:id="1383627599">
                      <w:marLeft w:val="0"/>
                      <w:marRight w:val="0"/>
                      <w:marTop w:val="0"/>
                      <w:marBottom w:val="0"/>
                      <w:divBdr>
                        <w:top w:val="none" w:sz="0" w:space="0" w:color="auto"/>
                        <w:left w:val="none" w:sz="0" w:space="0" w:color="auto"/>
                        <w:bottom w:val="none" w:sz="0" w:space="0" w:color="auto"/>
                        <w:right w:val="none" w:sz="0" w:space="0" w:color="auto"/>
                      </w:divBdr>
                    </w:div>
                  </w:divsChild>
                </w:div>
                <w:div w:id="837111892">
                  <w:marLeft w:val="0"/>
                  <w:marRight w:val="0"/>
                  <w:marTop w:val="0"/>
                  <w:marBottom w:val="0"/>
                  <w:divBdr>
                    <w:top w:val="none" w:sz="0" w:space="0" w:color="auto"/>
                    <w:left w:val="none" w:sz="0" w:space="0" w:color="auto"/>
                    <w:bottom w:val="none" w:sz="0" w:space="0" w:color="auto"/>
                    <w:right w:val="none" w:sz="0" w:space="0" w:color="auto"/>
                  </w:divBdr>
                  <w:divsChild>
                    <w:div w:id="1113207609">
                      <w:marLeft w:val="0"/>
                      <w:marRight w:val="0"/>
                      <w:marTop w:val="0"/>
                      <w:marBottom w:val="0"/>
                      <w:divBdr>
                        <w:top w:val="none" w:sz="0" w:space="0" w:color="auto"/>
                        <w:left w:val="none" w:sz="0" w:space="0" w:color="auto"/>
                        <w:bottom w:val="none" w:sz="0" w:space="0" w:color="auto"/>
                        <w:right w:val="none" w:sz="0" w:space="0" w:color="auto"/>
                      </w:divBdr>
                    </w:div>
                  </w:divsChild>
                </w:div>
                <w:div w:id="843015553">
                  <w:marLeft w:val="0"/>
                  <w:marRight w:val="0"/>
                  <w:marTop w:val="0"/>
                  <w:marBottom w:val="0"/>
                  <w:divBdr>
                    <w:top w:val="none" w:sz="0" w:space="0" w:color="auto"/>
                    <w:left w:val="none" w:sz="0" w:space="0" w:color="auto"/>
                    <w:bottom w:val="none" w:sz="0" w:space="0" w:color="auto"/>
                    <w:right w:val="none" w:sz="0" w:space="0" w:color="auto"/>
                  </w:divBdr>
                  <w:divsChild>
                    <w:div w:id="1838883410">
                      <w:marLeft w:val="0"/>
                      <w:marRight w:val="0"/>
                      <w:marTop w:val="0"/>
                      <w:marBottom w:val="0"/>
                      <w:divBdr>
                        <w:top w:val="none" w:sz="0" w:space="0" w:color="auto"/>
                        <w:left w:val="none" w:sz="0" w:space="0" w:color="auto"/>
                        <w:bottom w:val="none" w:sz="0" w:space="0" w:color="auto"/>
                        <w:right w:val="none" w:sz="0" w:space="0" w:color="auto"/>
                      </w:divBdr>
                    </w:div>
                  </w:divsChild>
                </w:div>
                <w:div w:id="1026759355">
                  <w:marLeft w:val="0"/>
                  <w:marRight w:val="0"/>
                  <w:marTop w:val="0"/>
                  <w:marBottom w:val="0"/>
                  <w:divBdr>
                    <w:top w:val="none" w:sz="0" w:space="0" w:color="auto"/>
                    <w:left w:val="none" w:sz="0" w:space="0" w:color="auto"/>
                    <w:bottom w:val="none" w:sz="0" w:space="0" w:color="auto"/>
                    <w:right w:val="none" w:sz="0" w:space="0" w:color="auto"/>
                  </w:divBdr>
                  <w:divsChild>
                    <w:div w:id="790780586">
                      <w:marLeft w:val="0"/>
                      <w:marRight w:val="0"/>
                      <w:marTop w:val="0"/>
                      <w:marBottom w:val="0"/>
                      <w:divBdr>
                        <w:top w:val="none" w:sz="0" w:space="0" w:color="auto"/>
                        <w:left w:val="none" w:sz="0" w:space="0" w:color="auto"/>
                        <w:bottom w:val="none" w:sz="0" w:space="0" w:color="auto"/>
                        <w:right w:val="none" w:sz="0" w:space="0" w:color="auto"/>
                      </w:divBdr>
                    </w:div>
                  </w:divsChild>
                </w:div>
                <w:div w:id="1147434491">
                  <w:marLeft w:val="0"/>
                  <w:marRight w:val="0"/>
                  <w:marTop w:val="0"/>
                  <w:marBottom w:val="0"/>
                  <w:divBdr>
                    <w:top w:val="none" w:sz="0" w:space="0" w:color="auto"/>
                    <w:left w:val="none" w:sz="0" w:space="0" w:color="auto"/>
                    <w:bottom w:val="none" w:sz="0" w:space="0" w:color="auto"/>
                    <w:right w:val="none" w:sz="0" w:space="0" w:color="auto"/>
                  </w:divBdr>
                  <w:divsChild>
                    <w:div w:id="543643916">
                      <w:marLeft w:val="0"/>
                      <w:marRight w:val="0"/>
                      <w:marTop w:val="0"/>
                      <w:marBottom w:val="0"/>
                      <w:divBdr>
                        <w:top w:val="none" w:sz="0" w:space="0" w:color="auto"/>
                        <w:left w:val="none" w:sz="0" w:space="0" w:color="auto"/>
                        <w:bottom w:val="none" w:sz="0" w:space="0" w:color="auto"/>
                        <w:right w:val="none" w:sz="0" w:space="0" w:color="auto"/>
                      </w:divBdr>
                    </w:div>
                  </w:divsChild>
                </w:div>
                <w:div w:id="1157188932">
                  <w:marLeft w:val="0"/>
                  <w:marRight w:val="0"/>
                  <w:marTop w:val="0"/>
                  <w:marBottom w:val="0"/>
                  <w:divBdr>
                    <w:top w:val="none" w:sz="0" w:space="0" w:color="auto"/>
                    <w:left w:val="none" w:sz="0" w:space="0" w:color="auto"/>
                    <w:bottom w:val="none" w:sz="0" w:space="0" w:color="auto"/>
                    <w:right w:val="none" w:sz="0" w:space="0" w:color="auto"/>
                  </w:divBdr>
                  <w:divsChild>
                    <w:div w:id="1422944722">
                      <w:marLeft w:val="0"/>
                      <w:marRight w:val="0"/>
                      <w:marTop w:val="0"/>
                      <w:marBottom w:val="0"/>
                      <w:divBdr>
                        <w:top w:val="none" w:sz="0" w:space="0" w:color="auto"/>
                        <w:left w:val="none" w:sz="0" w:space="0" w:color="auto"/>
                        <w:bottom w:val="none" w:sz="0" w:space="0" w:color="auto"/>
                        <w:right w:val="none" w:sz="0" w:space="0" w:color="auto"/>
                      </w:divBdr>
                    </w:div>
                  </w:divsChild>
                </w:div>
                <w:div w:id="1442917945">
                  <w:marLeft w:val="0"/>
                  <w:marRight w:val="0"/>
                  <w:marTop w:val="0"/>
                  <w:marBottom w:val="0"/>
                  <w:divBdr>
                    <w:top w:val="none" w:sz="0" w:space="0" w:color="auto"/>
                    <w:left w:val="none" w:sz="0" w:space="0" w:color="auto"/>
                    <w:bottom w:val="none" w:sz="0" w:space="0" w:color="auto"/>
                    <w:right w:val="none" w:sz="0" w:space="0" w:color="auto"/>
                  </w:divBdr>
                  <w:divsChild>
                    <w:div w:id="1111825822">
                      <w:marLeft w:val="0"/>
                      <w:marRight w:val="0"/>
                      <w:marTop w:val="0"/>
                      <w:marBottom w:val="0"/>
                      <w:divBdr>
                        <w:top w:val="none" w:sz="0" w:space="0" w:color="auto"/>
                        <w:left w:val="none" w:sz="0" w:space="0" w:color="auto"/>
                        <w:bottom w:val="none" w:sz="0" w:space="0" w:color="auto"/>
                        <w:right w:val="none" w:sz="0" w:space="0" w:color="auto"/>
                      </w:divBdr>
                    </w:div>
                  </w:divsChild>
                </w:div>
                <w:div w:id="1693609305">
                  <w:marLeft w:val="0"/>
                  <w:marRight w:val="0"/>
                  <w:marTop w:val="0"/>
                  <w:marBottom w:val="0"/>
                  <w:divBdr>
                    <w:top w:val="none" w:sz="0" w:space="0" w:color="auto"/>
                    <w:left w:val="none" w:sz="0" w:space="0" w:color="auto"/>
                    <w:bottom w:val="none" w:sz="0" w:space="0" w:color="auto"/>
                    <w:right w:val="none" w:sz="0" w:space="0" w:color="auto"/>
                  </w:divBdr>
                  <w:divsChild>
                    <w:div w:id="1071462580">
                      <w:marLeft w:val="0"/>
                      <w:marRight w:val="0"/>
                      <w:marTop w:val="0"/>
                      <w:marBottom w:val="0"/>
                      <w:divBdr>
                        <w:top w:val="none" w:sz="0" w:space="0" w:color="auto"/>
                        <w:left w:val="none" w:sz="0" w:space="0" w:color="auto"/>
                        <w:bottom w:val="none" w:sz="0" w:space="0" w:color="auto"/>
                        <w:right w:val="none" w:sz="0" w:space="0" w:color="auto"/>
                      </w:divBdr>
                    </w:div>
                  </w:divsChild>
                </w:div>
                <w:div w:id="1727028958">
                  <w:marLeft w:val="0"/>
                  <w:marRight w:val="0"/>
                  <w:marTop w:val="0"/>
                  <w:marBottom w:val="0"/>
                  <w:divBdr>
                    <w:top w:val="none" w:sz="0" w:space="0" w:color="auto"/>
                    <w:left w:val="none" w:sz="0" w:space="0" w:color="auto"/>
                    <w:bottom w:val="none" w:sz="0" w:space="0" w:color="auto"/>
                    <w:right w:val="none" w:sz="0" w:space="0" w:color="auto"/>
                  </w:divBdr>
                  <w:divsChild>
                    <w:div w:id="443889030">
                      <w:marLeft w:val="0"/>
                      <w:marRight w:val="0"/>
                      <w:marTop w:val="0"/>
                      <w:marBottom w:val="0"/>
                      <w:divBdr>
                        <w:top w:val="none" w:sz="0" w:space="0" w:color="auto"/>
                        <w:left w:val="none" w:sz="0" w:space="0" w:color="auto"/>
                        <w:bottom w:val="none" w:sz="0" w:space="0" w:color="auto"/>
                        <w:right w:val="none" w:sz="0" w:space="0" w:color="auto"/>
                      </w:divBdr>
                    </w:div>
                  </w:divsChild>
                </w:div>
                <w:div w:id="1843426874">
                  <w:marLeft w:val="0"/>
                  <w:marRight w:val="0"/>
                  <w:marTop w:val="0"/>
                  <w:marBottom w:val="0"/>
                  <w:divBdr>
                    <w:top w:val="none" w:sz="0" w:space="0" w:color="auto"/>
                    <w:left w:val="none" w:sz="0" w:space="0" w:color="auto"/>
                    <w:bottom w:val="none" w:sz="0" w:space="0" w:color="auto"/>
                    <w:right w:val="none" w:sz="0" w:space="0" w:color="auto"/>
                  </w:divBdr>
                  <w:divsChild>
                    <w:div w:id="435254159">
                      <w:marLeft w:val="0"/>
                      <w:marRight w:val="0"/>
                      <w:marTop w:val="0"/>
                      <w:marBottom w:val="0"/>
                      <w:divBdr>
                        <w:top w:val="none" w:sz="0" w:space="0" w:color="auto"/>
                        <w:left w:val="none" w:sz="0" w:space="0" w:color="auto"/>
                        <w:bottom w:val="none" w:sz="0" w:space="0" w:color="auto"/>
                        <w:right w:val="none" w:sz="0" w:space="0" w:color="auto"/>
                      </w:divBdr>
                    </w:div>
                  </w:divsChild>
                </w:div>
                <w:div w:id="1877309283">
                  <w:marLeft w:val="0"/>
                  <w:marRight w:val="0"/>
                  <w:marTop w:val="0"/>
                  <w:marBottom w:val="0"/>
                  <w:divBdr>
                    <w:top w:val="none" w:sz="0" w:space="0" w:color="auto"/>
                    <w:left w:val="none" w:sz="0" w:space="0" w:color="auto"/>
                    <w:bottom w:val="none" w:sz="0" w:space="0" w:color="auto"/>
                    <w:right w:val="none" w:sz="0" w:space="0" w:color="auto"/>
                  </w:divBdr>
                  <w:divsChild>
                    <w:div w:id="1021391655">
                      <w:marLeft w:val="0"/>
                      <w:marRight w:val="0"/>
                      <w:marTop w:val="0"/>
                      <w:marBottom w:val="0"/>
                      <w:divBdr>
                        <w:top w:val="none" w:sz="0" w:space="0" w:color="auto"/>
                        <w:left w:val="none" w:sz="0" w:space="0" w:color="auto"/>
                        <w:bottom w:val="none" w:sz="0" w:space="0" w:color="auto"/>
                        <w:right w:val="none" w:sz="0" w:space="0" w:color="auto"/>
                      </w:divBdr>
                    </w:div>
                  </w:divsChild>
                </w:div>
                <w:div w:id="1893036325">
                  <w:marLeft w:val="0"/>
                  <w:marRight w:val="0"/>
                  <w:marTop w:val="0"/>
                  <w:marBottom w:val="0"/>
                  <w:divBdr>
                    <w:top w:val="none" w:sz="0" w:space="0" w:color="auto"/>
                    <w:left w:val="none" w:sz="0" w:space="0" w:color="auto"/>
                    <w:bottom w:val="none" w:sz="0" w:space="0" w:color="auto"/>
                    <w:right w:val="none" w:sz="0" w:space="0" w:color="auto"/>
                  </w:divBdr>
                  <w:divsChild>
                    <w:div w:id="1257327871">
                      <w:marLeft w:val="0"/>
                      <w:marRight w:val="0"/>
                      <w:marTop w:val="0"/>
                      <w:marBottom w:val="0"/>
                      <w:divBdr>
                        <w:top w:val="none" w:sz="0" w:space="0" w:color="auto"/>
                        <w:left w:val="none" w:sz="0" w:space="0" w:color="auto"/>
                        <w:bottom w:val="none" w:sz="0" w:space="0" w:color="auto"/>
                        <w:right w:val="none" w:sz="0" w:space="0" w:color="auto"/>
                      </w:divBdr>
                    </w:div>
                  </w:divsChild>
                </w:div>
                <w:div w:id="1950308963">
                  <w:marLeft w:val="0"/>
                  <w:marRight w:val="0"/>
                  <w:marTop w:val="0"/>
                  <w:marBottom w:val="0"/>
                  <w:divBdr>
                    <w:top w:val="none" w:sz="0" w:space="0" w:color="auto"/>
                    <w:left w:val="none" w:sz="0" w:space="0" w:color="auto"/>
                    <w:bottom w:val="none" w:sz="0" w:space="0" w:color="auto"/>
                    <w:right w:val="none" w:sz="0" w:space="0" w:color="auto"/>
                  </w:divBdr>
                  <w:divsChild>
                    <w:div w:id="11375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3783">
          <w:marLeft w:val="0"/>
          <w:marRight w:val="0"/>
          <w:marTop w:val="0"/>
          <w:marBottom w:val="0"/>
          <w:divBdr>
            <w:top w:val="none" w:sz="0" w:space="0" w:color="auto"/>
            <w:left w:val="none" w:sz="0" w:space="0" w:color="auto"/>
            <w:bottom w:val="none" w:sz="0" w:space="0" w:color="auto"/>
            <w:right w:val="none" w:sz="0" w:space="0" w:color="auto"/>
          </w:divBdr>
        </w:div>
        <w:div w:id="1396657623">
          <w:marLeft w:val="0"/>
          <w:marRight w:val="0"/>
          <w:marTop w:val="0"/>
          <w:marBottom w:val="0"/>
          <w:divBdr>
            <w:top w:val="none" w:sz="0" w:space="0" w:color="auto"/>
            <w:left w:val="none" w:sz="0" w:space="0" w:color="auto"/>
            <w:bottom w:val="none" w:sz="0" w:space="0" w:color="auto"/>
            <w:right w:val="none" w:sz="0" w:space="0" w:color="auto"/>
          </w:divBdr>
        </w:div>
        <w:div w:id="1397238565">
          <w:marLeft w:val="0"/>
          <w:marRight w:val="0"/>
          <w:marTop w:val="0"/>
          <w:marBottom w:val="0"/>
          <w:divBdr>
            <w:top w:val="none" w:sz="0" w:space="0" w:color="auto"/>
            <w:left w:val="none" w:sz="0" w:space="0" w:color="auto"/>
            <w:bottom w:val="none" w:sz="0" w:space="0" w:color="auto"/>
            <w:right w:val="none" w:sz="0" w:space="0" w:color="auto"/>
          </w:divBdr>
        </w:div>
        <w:div w:id="1465929544">
          <w:marLeft w:val="0"/>
          <w:marRight w:val="0"/>
          <w:marTop w:val="0"/>
          <w:marBottom w:val="0"/>
          <w:divBdr>
            <w:top w:val="none" w:sz="0" w:space="0" w:color="auto"/>
            <w:left w:val="none" w:sz="0" w:space="0" w:color="auto"/>
            <w:bottom w:val="none" w:sz="0" w:space="0" w:color="auto"/>
            <w:right w:val="none" w:sz="0" w:space="0" w:color="auto"/>
          </w:divBdr>
          <w:divsChild>
            <w:div w:id="1668708703">
              <w:marLeft w:val="-75"/>
              <w:marRight w:val="0"/>
              <w:marTop w:val="30"/>
              <w:marBottom w:val="30"/>
              <w:divBdr>
                <w:top w:val="none" w:sz="0" w:space="0" w:color="auto"/>
                <w:left w:val="none" w:sz="0" w:space="0" w:color="auto"/>
                <w:bottom w:val="none" w:sz="0" w:space="0" w:color="auto"/>
                <w:right w:val="none" w:sz="0" w:space="0" w:color="auto"/>
              </w:divBdr>
              <w:divsChild>
                <w:div w:id="259604951">
                  <w:marLeft w:val="0"/>
                  <w:marRight w:val="0"/>
                  <w:marTop w:val="0"/>
                  <w:marBottom w:val="0"/>
                  <w:divBdr>
                    <w:top w:val="none" w:sz="0" w:space="0" w:color="auto"/>
                    <w:left w:val="none" w:sz="0" w:space="0" w:color="auto"/>
                    <w:bottom w:val="none" w:sz="0" w:space="0" w:color="auto"/>
                    <w:right w:val="none" w:sz="0" w:space="0" w:color="auto"/>
                  </w:divBdr>
                  <w:divsChild>
                    <w:div w:id="1639339398">
                      <w:marLeft w:val="0"/>
                      <w:marRight w:val="0"/>
                      <w:marTop w:val="0"/>
                      <w:marBottom w:val="0"/>
                      <w:divBdr>
                        <w:top w:val="none" w:sz="0" w:space="0" w:color="auto"/>
                        <w:left w:val="none" w:sz="0" w:space="0" w:color="auto"/>
                        <w:bottom w:val="none" w:sz="0" w:space="0" w:color="auto"/>
                        <w:right w:val="none" w:sz="0" w:space="0" w:color="auto"/>
                      </w:divBdr>
                    </w:div>
                  </w:divsChild>
                </w:div>
                <w:div w:id="782921067">
                  <w:marLeft w:val="0"/>
                  <w:marRight w:val="0"/>
                  <w:marTop w:val="0"/>
                  <w:marBottom w:val="0"/>
                  <w:divBdr>
                    <w:top w:val="none" w:sz="0" w:space="0" w:color="auto"/>
                    <w:left w:val="none" w:sz="0" w:space="0" w:color="auto"/>
                    <w:bottom w:val="none" w:sz="0" w:space="0" w:color="auto"/>
                    <w:right w:val="none" w:sz="0" w:space="0" w:color="auto"/>
                  </w:divBdr>
                  <w:divsChild>
                    <w:div w:id="393969477">
                      <w:marLeft w:val="0"/>
                      <w:marRight w:val="0"/>
                      <w:marTop w:val="0"/>
                      <w:marBottom w:val="0"/>
                      <w:divBdr>
                        <w:top w:val="none" w:sz="0" w:space="0" w:color="auto"/>
                        <w:left w:val="none" w:sz="0" w:space="0" w:color="auto"/>
                        <w:bottom w:val="none" w:sz="0" w:space="0" w:color="auto"/>
                        <w:right w:val="none" w:sz="0" w:space="0" w:color="auto"/>
                      </w:divBdr>
                    </w:div>
                  </w:divsChild>
                </w:div>
                <w:div w:id="1026295605">
                  <w:marLeft w:val="0"/>
                  <w:marRight w:val="0"/>
                  <w:marTop w:val="0"/>
                  <w:marBottom w:val="0"/>
                  <w:divBdr>
                    <w:top w:val="none" w:sz="0" w:space="0" w:color="auto"/>
                    <w:left w:val="none" w:sz="0" w:space="0" w:color="auto"/>
                    <w:bottom w:val="none" w:sz="0" w:space="0" w:color="auto"/>
                    <w:right w:val="none" w:sz="0" w:space="0" w:color="auto"/>
                  </w:divBdr>
                  <w:divsChild>
                    <w:div w:id="195847553">
                      <w:marLeft w:val="0"/>
                      <w:marRight w:val="0"/>
                      <w:marTop w:val="0"/>
                      <w:marBottom w:val="0"/>
                      <w:divBdr>
                        <w:top w:val="none" w:sz="0" w:space="0" w:color="auto"/>
                        <w:left w:val="none" w:sz="0" w:space="0" w:color="auto"/>
                        <w:bottom w:val="none" w:sz="0" w:space="0" w:color="auto"/>
                        <w:right w:val="none" w:sz="0" w:space="0" w:color="auto"/>
                      </w:divBdr>
                    </w:div>
                  </w:divsChild>
                </w:div>
                <w:div w:id="1343120134">
                  <w:marLeft w:val="0"/>
                  <w:marRight w:val="0"/>
                  <w:marTop w:val="0"/>
                  <w:marBottom w:val="0"/>
                  <w:divBdr>
                    <w:top w:val="none" w:sz="0" w:space="0" w:color="auto"/>
                    <w:left w:val="none" w:sz="0" w:space="0" w:color="auto"/>
                    <w:bottom w:val="none" w:sz="0" w:space="0" w:color="auto"/>
                    <w:right w:val="none" w:sz="0" w:space="0" w:color="auto"/>
                  </w:divBdr>
                  <w:divsChild>
                    <w:div w:id="1519662486">
                      <w:marLeft w:val="0"/>
                      <w:marRight w:val="0"/>
                      <w:marTop w:val="0"/>
                      <w:marBottom w:val="0"/>
                      <w:divBdr>
                        <w:top w:val="none" w:sz="0" w:space="0" w:color="auto"/>
                        <w:left w:val="none" w:sz="0" w:space="0" w:color="auto"/>
                        <w:bottom w:val="none" w:sz="0" w:space="0" w:color="auto"/>
                        <w:right w:val="none" w:sz="0" w:space="0" w:color="auto"/>
                      </w:divBdr>
                    </w:div>
                  </w:divsChild>
                </w:div>
                <w:div w:id="1377003738">
                  <w:marLeft w:val="0"/>
                  <w:marRight w:val="0"/>
                  <w:marTop w:val="0"/>
                  <w:marBottom w:val="0"/>
                  <w:divBdr>
                    <w:top w:val="none" w:sz="0" w:space="0" w:color="auto"/>
                    <w:left w:val="none" w:sz="0" w:space="0" w:color="auto"/>
                    <w:bottom w:val="none" w:sz="0" w:space="0" w:color="auto"/>
                    <w:right w:val="none" w:sz="0" w:space="0" w:color="auto"/>
                  </w:divBdr>
                  <w:divsChild>
                    <w:div w:id="547961669">
                      <w:marLeft w:val="0"/>
                      <w:marRight w:val="0"/>
                      <w:marTop w:val="0"/>
                      <w:marBottom w:val="0"/>
                      <w:divBdr>
                        <w:top w:val="none" w:sz="0" w:space="0" w:color="auto"/>
                        <w:left w:val="none" w:sz="0" w:space="0" w:color="auto"/>
                        <w:bottom w:val="none" w:sz="0" w:space="0" w:color="auto"/>
                        <w:right w:val="none" w:sz="0" w:space="0" w:color="auto"/>
                      </w:divBdr>
                    </w:div>
                  </w:divsChild>
                </w:div>
                <w:div w:id="1486816581">
                  <w:marLeft w:val="0"/>
                  <w:marRight w:val="0"/>
                  <w:marTop w:val="0"/>
                  <w:marBottom w:val="0"/>
                  <w:divBdr>
                    <w:top w:val="none" w:sz="0" w:space="0" w:color="auto"/>
                    <w:left w:val="none" w:sz="0" w:space="0" w:color="auto"/>
                    <w:bottom w:val="none" w:sz="0" w:space="0" w:color="auto"/>
                    <w:right w:val="none" w:sz="0" w:space="0" w:color="auto"/>
                  </w:divBdr>
                  <w:divsChild>
                    <w:div w:id="195002015">
                      <w:marLeft w:val="0"/>
                      <w:marRight w:val="0"/>
                      <w:marTop w:val="0"/>
                      <w:marBottom w:val="0"/>
                      <w:divBdr>
                        <w:top w:val="none" w:sz="0" w:space="0" w:color="auto"/>
                        <w:left w:val="none" w:sz="0" w:space="0" w:color="auto"/>
                        <w:bottom w:val="none" w:sz="0" w:space="0" w:color="auto"/>
                        <w:right w:val="none" w:sz="0" w:space="0" w:color="auto"/>
                      </w:divBdr>
                    </w:div>
                  </w:divsChild>
                </w:div>
                <w:div w:id="1504079719">
                  <w:marLeft w:val="0"/>
                  <w:marRight w:val="0"/>
                  <w:marTop w:val="0"/>
                  <w:marBottom w:val="0"/>
                  <w:divBdr>
                    <w:top w:val="none" w:sz="0" w:space="0" w:color="auto"/>
                    <w:left w:val="none" w:sz="0" w:space="0" w:color="auto"/>
                    <w:bottom w:val="none" w:sz="0" w:space="0" w:color="auto"/>
                    <w:right w:val="none" w:sz="0" w:space="0" w:color="auto"/>
                  </w:divBdr>
                  <w:divsChild>
                    <w:div w:id="751851258">
                      <w:marLeft w:val="0"/>
                      <w:marRight w:val="0"/>
                      <w:marTop w:val="0"/>
                      <w:marBottom w:val="0"/>
                      <w:divBdr>
                        <w:top w:val="none" w:sz="0" w:space="0" w:color="auto"/>
                        <w:left w:val="none" w:sz="0" w:space="0" w:color="auto"/>
                        <w:bottom w:val="none" w:sz="0" w:space="0" w:color="auto"/>
                        <w:right w:val="none" w:sz="0" w:space="0" w:color="auto"/>
                      </w:divBdr>
                    </w:div>
                  </w:divsChild>
                </w:div>
                <w:div w:id="1554925722">
                  <w:marLeft w:val="0"/>
                  <w:marRight w:val="0"/>
                  <w:marTop w:val="0"/>
                  <w:marBottom w:val="0"/>
                  <w:divBdr>
                    <w:top w:val="none" w:sz="0" w:space="0" w:color="auto"/>
                    <w:left w:val="none" w:sz="0" w:space="0" w:color="auto"/>
                    <w:bottom w:val="none" w:sz="0" w:space="0" w:color="auto"/>
                    <w:right w:val="none" w:sz="0" w:space="0" w:color="auto"/>
                  </w:divBdr>
                  <w:divsChild>
                    <w:div w:id="1436287352">
                      <w:marLeft w:val="0"/>
                      <w:marRight w:val="0"/>
                      <w:marTop w:val="0"/>
                      <w:marBottom w:val="0"/>
                      <w:divBdr>
                        <w:top w:val="none" w:sz="0" w:space="0" w:color="auto"/>
                        <w:left w:val="none" w:sz="0" w:space="0" w:color="auto"/>
                        <w:bottom w:val="none" w:sz="0" w:space="0" w:color="auto"/>
                        <w:right w:val="none" w:sz="0" w:space="0" w:color="auto"/>
                      </w:divBdr>
                    </w:div>
                  </w:divsChild>
                </w:div>
                <w:div w:id="1658680185">
                  <w:marLeft w:val="0"/>
                  <w:marRight w:val="0"/>
                  <w:marTop w:val="0"/>
                  <w:marBottom w:val="0"/>
                  <w:divBdr>
                    <w:top w:val="none" w:sz="0" w:space="0" w:color="auto"/>
                    <w:left w:val="none" w:sz="0" w:space="0" w:color="auto"/>
                    <w:bottom w:val="none" w:sz="0" w:space="0" w:color="auto"/>
                    <w:right w:val="none" w:sz="0" w:space="0" w:color="auto"/>
                  </w:divBdr>
                  <w:divsChild>
                    <w:div w:id="859658479">
                      <w:marLeft w:val="0"/>
                      <w:marRight w:val="0"/>
                      <w:marTop w:val="0"/>
                      <w:marBottom w:val="0"/>
                      <w:divBdr>
                        <w:top w:val="none" w:sz="0" w:space="0" w:color="auto"/>
                        <w:left w:val="none" w:sz="0" w:space="0" w:color="auto"/>
                        <w:bottom w:val="none" w:sz="0" w:space="0" w:color="auto"/>
                        <w:right w:val="none" w:sz="0" w:space="0" w:color="auto"/>
                      </w:divBdr>
                    </w:div>
                  </w:divsChild>
                </w:div>
                <w:div w:id="1684625649">
                  <w:marLeft w:val="0"/>
                  <w:marRight w:val="0"/>
                  <w:marTop w:val="0"/>
                  <w:marBottom w:val="0"/>
                  <w:divBdr>
                    <w:top w:val="none" w:sz="0" w:space="0" w:color="auto"/>
                    <w:left w:val="none" w:sz="0" w:space="0" w:color="auto"/>
                    <w:bottom w:val="none" w:sz="0" w:space="0" w:color="auto"/>
                    <w:right w:val="none" w:sz="0" w:space="0" w:color="auto"/>
                  </w:divBdr>
                  <w:divsChild>
                    <w:div w:id="1612080494">
                      <w:marLeft w:val="0"/>
                      <w:marRight w:val="0"/>
                      <w:marTop w:val="0"/>
                      <w:marBottom w:val="0"/>
                      <w:divBdr>
                        <w:top w:val="none" w:sz="0" w:space="0" w:color="auto"/>
                        <w:left w:val="none" w:sz="0" w:space="0" w:color="auto"/>
                        <w:bottom w:val="none" w:sz="0" w:space="0" w:color="auto"/>
                        <w:right w:val="none" w:sz="0" w:space="0" w:color="auto"/>
                      </w:divBdr>
                    </w:div>
                  </w:divsChild>
                </w:div>
                <w:div w:id="1783383437">
                  <w:marLeft w:val="0"/>
                  <w:marRight w:val="0"/>
                  <w:marTop w:val="0"/>
                  <w:marBottom w:val="0"/>
                  <w:divBdr>
                    <w:top w:val="none" w:sz="0" w:space="0" w:color="auto"/>
                    <w:left w:val="none" w:sz="0" w:space="0" w:color="auto"/>
                    <w:bottom w:val="none" w:sz="0" w:space="0" w:color="auto"/>
                    <w:right w:val="none" w:sz="0" w:space="0" w:color="auto"/>
                  </w:divBdr>
                  <w:divsChild>
                    <w:div w:id="15422326">
                      <w:marLeft w:val="0"/>
                      <w:marRight w:val="0"/>
                      <w:marTop w:val="0"/>
                      <w:marBottom w:val="0"/>
                      <w:divBdr>
                        <w:top w:val="none" w:sz="0" w:space="0" w:color="auto"/>
                        <w:left w:val="none" w:sz="0" w:space="0" w:color="auto"/>
                        <w:bottom w:val="none" w:sz="0" w:space="0" w:color="auto"/>
                        <w:right w:val="none" w:sz="0" w:space="0" w:color="auto"/>
                      </w:divBdr>
                    </w:div>
                  </w:divsChild>
                </w:div>
                <w:div w:id="2032683938">
                  <w:marLeft w:val="0"/>
                  <w:marRight w:val="0"/>
                  <w:marTop w:val="0"/>
                  <w:marBottom w:val="0"/>
                  <w:divBdr>
                    <w:top w:val="none" w:sz="0" w:space="0" w:color="auto"/>
                    <w:left w:val="none" w:sz="0" w:space="0" w:color="auto"/>
                    <w:bottom w:val="none" w:sz="0" w:space="0" w:color="auto"/>
                    <w:right w:val="none" w:sz="0" w:space="0" w:color="auto"/>
                  </w:divBdr>
                  <w:divsChild>
                    <w:div w:id="11324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31014">
          <w:marLeft w:val="0"/>
          <w:marRight w:val="0"/>
          <w:marTop w:val="0"/>
          <w:marBottom w:val="0"/>
          <w:divBdr>
            <w:top w:val="none" w:sz="0" w:space="0" w:color="auto"/>
            <w:left w:val="none" w:sz="0" w:space="0" w:color="auto"/>
            <w:bottom w:val="none" w:sz="0" w:space="0" w:color="auto"/>
            <w:right w:val="none" w:sz="0" w:space="0" w:color="auto"/>
          </w:divBdr>
        </w:div>
        <w:div w:id="1744834262">
          <w:marLeft w:val="0"/>
          <w:marRight w:val="0"/>
          <w:marTop w:val="0"/>
          <w:marBottom w:val="0"/>
          <w:divBdr>
            <w:top w:val="none" w:sz="0" w:space="0" w:color="auto"/>
            <w:left w:val="none" w:sz="0" w:space="0" w:color="auto"/>
            <w:bottom w:val="none" w:sz="0" w:space="0" w:color="auto"/>
            <w:right w:val="none" w:sz="0" w:space="0" w:color="auto"/>
          </w:divBdr>
        </w:div>
        <w:div w:id="1773940680">
          <w:marLeft w:val="0"/>
          <w:marRight w:val="0"/>
          <w:marTop w:val="0"/>
          <w:marBottom w:val="0"/>
          <w:divBdr>
            <w:top w:val="none" w:sz="0" w:space="0" w:color="auto"/>
            <w:left w:val="none" w:sz="0" w:space="0" w:color="auto"/>
            <w:bottom w:val="none" w:sz="0" w:space="0" w:color="auto"/>
            <w:right w:val="none" w:sz="0" w:space="0" w:color="auto"/>
          </w:divBdr>
        </w:div>
        <w:div w:id="1801993727">
          <w:marLeft w:val="0"/>
          <w:marRight w:val="0"/>
          <w:marTop w:val="0"/>
          <w:marBottom w:val="0"/>
          <w:divBdr>
            <w:top w:val="none" w:sz="0" w:space="0" w:color="auto"/>
            <w:left w:val="none" w:sz="0" w:space="0" w:color="auto"/>
            <w:bottom w:val="none" w:sz="0" w:space="0" w:color="auto"/>
            <w:right w:val="none" w:sz="0" w:space="0" w:color="auto"/>
          </w:divBdr>
        </w:div>
        <w:div w:id="1878926228">
          <w:marLeft w:val="0"/>
          <w:marRight w:val="0"/>
          <w:marTop w:val="0"/>
          <w:marBottom w:val="0"/>
          <w:divBdr>
            <w:top w:val="none" w:sz="0" w:space="0" w:color="auto"/>
            <w:left w:val="none" w:sz="0" w:space="0" w:color="auto"/>
            <w:bottom w:val="none" w:sz="0" w:space="0" w:color="auto"/>
            <w:right w:val="none" w:sz="0" w:space="0" w:color="auto"/>
          </w:divBdr>
        </w:div>
        <w:div w:id="1927959421">
          <w:marLeft w:val="0"/>
          <w:marRight w:val="0"/>
          <w:marTop w:val="0"/>
          <w:marBottom w:val="0"/>
          <w:divBdr>
            <w:top w:val="none" w:sz="0" w:space="0" w:color="auto"/>
            <w:left w:val="none" w:sz="0" w:space="0" w:color="auto"/>
            <w:bottom w:val="none" w:sz="0" w:space="0" w:color="auto"/>
            <w:right w:val="none" w:sz="0" w:space="0" w:color="auto"/>
          </w:divBdr>
        </w:div>
        <w:div w:id="1946185244">
          <w:marLeft w:val="0"/>
          <w:marRight w:val="0"/>
          <w:marTop w:val="0"/>
          <w:marBottom w:val="0"/>
          <w:divBdr>
            <w:top w:val="none" w:sz="0" w:space="0" w:color="auto"/>
            <w:left w:val="none" w:sz="0" w:space="0" w:color="auto"/>
            <w:bottom w:val="none" w:sz="0" w:space="0" w:color="auto"/>
            <w:right w:val="none" w:sz="0" w:space="0" w:color="auto"/>
          </w:divBdr>
          <w:divsChild>
            <w:div w:id="1217474933">
              <w:marLeft w:val="-75"/>
              <w:marRight w:val="0"/>
              <w:marTop w:val="30"/>
              <w:marBottom w:val="30"/>
              <w:divBdr>
                <w:top w:val="none" w:sz="0" w:space="0" w:color="auto"/>
                <w:left w:val="none" w:sz="0" w:space="0" w:color="auto"/>
                <w:bottom w:val="none" w:sz="0" w:space="0" w:color="auto"/>
                <w:right w:val="none" w:sz="0" w:space="0" w:color="auto"/>
              </w:divBdr>
              <w:divsChild>
                <w:div w:id="139469430">
                  <w:marLeft w:val="0"/>
                  <w:marRight w:val="0"/>
                  <w:marTop w:val="0"/>
                  <w:marBottom w:val="0"/>
                  <w:divBdr>
                    <w:top w:val="none" w:sz="0" w:space="0" w:color="auto"/>
                    <w:left w:val="none" w:sz="0" w:space="0" w:color="auto"/>
                    <w:bottom w:val="none" w:sz="0" w:space="0" w:color="auto"/>
                    <w:right w:val="none" w:sz="0" w:space="0" w:color="auto"/>
                  </w:divBdr>
                  <w:divsChild>
                    <w:div w:id="1843623751">
                      <w:marLeft w:val="0"/>
                      <w:marRight w:val="0"/>
                      <w:marTop w:val="0"/>
                      <w:marBottom w:val="0"/>
                      <w:divBdr>
                        <w:top w:val="none" w:sz="0" w:space="0" w:color="auto"/>
                        <w:left w:val="none" w:sz="0" w:space="0" w:color="auto"/>
                        <w:bottom w:val="none" w:sz="0" w:space="0" w:color="auto"/>
                        <w:right w:val="none" w:sz="0" w:space="0" w:color="auto"/>
                      </w:divBdr>
                    </w:div>
                  </w:divsChild>
                </w:div>
                <w:div w:id="438763688">
                  <w:marLeft w:val="0"/>
                  <w:marRight w:val="0"/>
                  <w:marTop w:val="0"/>
                  <w:marBottom w:val="0"/>
                  <w:divBdr>
                    <w:top w:val="none" w:sz="0" w:space="0" w:color="auto"/>
                    <w:left w:val="none" w:sz="0" w:space="0" w:color="auto"/>
                    <w:bottom w:val="none" w:sz="0" w:space="0" w:color="auto"/>
                    <w:right w:val="none" w:sz="0" w:space="0" w:color="auto"/>
                  </w:divBdr>
                  <w:divsChild>
                    <w:div w:id="930118578">
                      <w:marLeft w:val="0"/>
                      <w:marRight w:val="0"/>
                      <w:marTop w:val="0"/>
                      <w:marBottom w:val="0"/>
                      <w:divBdr>
                        <w:top w:val="none" w:sz="0" w:space="0" w:color="auto"/>
                        <w:left w:val="none" w:sz="0" w:space="0" w:color="auto"/>
                        <w:bottom w:val="none" w:sz="0" w:space="0" w:color="auto"/>
                        <w:right w:val="none" w:sz="0" w:space="0" w:color="auto"/>
                      </w:divBdr>
                    </w:div>
                  </w:divsChild>
                </w:div>
                <w:div w:id="641927295">
                  <w:marLeft w:val="0"/>
                  <w:marRight w:val="0"/>
                  <w:marTop w:val="0"/>
                  <w:marBottom w:val="0"/>
                  <w:divBdr>
                    <w:top w:val="none" w:sz="0" w:space="0" w:color="auto"/>
                    <w:left w:val="none" w:sz="0" w:space="0" w:color="auto"/>
                    <w:bottom w:val="none" w:sz="0" w:space="0" w:color="auto"/>
                    <w:right w:val="none" w:sz="0" w:space="0" w:color="auto"/>
                  </w:divBdr>
                  <w:divsChild>
                    <w:div w:id="748117073">
                      <w:marLeft w:val="0"/>
                      <w:marRight w:val="0"/>
                      <w:marTop w:val="0"/>
                      <w:marBottom w:val="0"/>
                      <w:divBdr>
                        <w:top w:val="none" w:sz="0" w:space="0" w:color="auto"/>
                        <w:left w:val="none" w:sz="0" w:space="0" w:color="auto"/>
                        <w:bottom w:val="none" w:sz="0" w:space="0" w:color="auto"/>
                        <w:right w:val="none" w:sz="0" w:space="0" w:color="auto"/>
                      </w:divBdr>
                    </w:div>
                  </w:divsChild>
                </w:div>
                <w:div w:id="722679993">
                  <w:marLeft w:val="0"/>
                  <w:marRight w:val="0"/>
                  <w:marTop w:val="0"/>
                  <w:marBottom w:val="0"/>
                  <w:divBdr>
                    <w:top w:val="none" w:sz="0" w:space="0" w:color="auto"/>
                    <w:left w:val="none" w:sz="0" w:space="0" w:color="auto"/>
                    <w:bottom w:val="none" w:sz="0" w:space="0" w:color="auto"/>
                    <w:right w:val="none" w:sz="0" w:space="0" w:color="auto"/>
                  </w:divBdr>
                  <w:divsChild>
                    <w:div w:id="257183474">
                      <w:marLeft w:val="0"/>
                      <w:marRight w:val="0"/>
                      <w:marTop w:val="0"/>
                      <w:marBottom w:val="0"/>
                      <w:divBdr>
                        <w:top w:val="none" w:sz="0" w:space="0" w:color="auto"/>
                        <w:left w:val="none" w:sz="0" w:space="0" w:color="auto"/>
                        <w:bottom w:val="none" w:sz="0" w:space="0" w:color="auto"/>
                        <w:right w:val="none" w:sz="0" w:space="0" w:color="auto"/>
                      </w:divBdr>
                    </w:div>
                  </w:divsChild>
                </w:div>
                <w:div w:id="799304668">
                  <w:marLeft w:val="0"/>
                  <w:marRight w:val="0"/>
                  <w:marTop w:val="0"/>
                  <w:marBottom w:val="0"/>
                  <w:divBdr>
                    <w:top w:val="none" w:sz="0" w:space="0" w:color="auto"/>
                    <w:left w:val="none" w:sz="0" w:space="0" w:color="auto"/>
                    <w:bottom w:val="none" w:sz="0" w:space="0" w:color="auto"/>
                    <w:right w:val="none" w:sz="0" w:space="0" w:color="auto"/>
                  </w:divBdr>
                  <w:divsChild>
                    <w:div w:id="1964536508">
                      <w:marLeft w:val="0"/>
                      <w:marRight w:val="0"/>
                      <w:marTop w:val="0"/>
                      <w:marBottom w:val="0"/>
                      <w:divBdr>
                        <w:top w:val="none" w:sz="0" w:space="0" w:color="auto"/>
                        <w:left w:val="none" w:sz="0" w:space="0" w:color="auto"/>
                        <w:bottom w:val="none" w:sz="0" w:space="0" w:color="auto"/>
                        <w:right w:val="none" w:sz="0" w:space="0" w:color="auto"/>
                      </w:divBdr>
                    </w:div>
                  </w:divsChild>
                </w:div>
                <w:div w:id="1018699026">
                  <w:marLeft w:val="0"/>
                  <w:marRight w:val="0"/>
                  <w:marTop w:val="0"/>
                  <w:marBottom w:val="0"/>
                  <w:divBdr>
                    <w:top w:val="none" w:sz="0" w:space="0" w:color="auto"/>
                    <w:left w:val="none" w:sz="0" w:space="0" w:color="auto"/>
                    <w:bottom w:val="none" w:sz="0" w:space="0" w:color="auto"/>
                    <w:right w:val="none" w:sz="0" w:space="0" w:color="auto"/>
                  </w:divBdr>
                  <w:divsChild>
                    <w:div w:id="650983286">
                      <w:marLeft w:val="0"/>
                      <w:marRight w:val="0"/>
                      <w:marTop w:val="0"/>
                      <w:marBottom w:val="0"/>
                      <w:divBdr>
                        <w:top w:val="none" w:sz="0" w:space="0" w:color="auto"/>
                        <w:left w:val="none" w:sz="0" w:space="0" w:color="auto"/>
                        <w:bottom w:val="none" w:sz="0" w:space="0" w:color="auto"/>
                        <w:right w:val="none" w:sz="0" w:space="0" w:color="auto"/>
                      </w:divBdr>
                    </w:div>
                  </w:divsChild>
                </w:div>
                <w:div w:id="1026368672">
                  <w:marLeft w:val="0"/>
                  <w:marRight w:val="0"/>
                  <w:marTop w:val="0"/>
                  <w:marBottom w:val="0"/>
                  <w:divBdr>
                    <w:top w:val="none" w:sz="0" w:space="0" w:color="auto"/>
                    <w:left w:val="none" w:sz="0" w:space="0" w:color="auto"/>
                    <w:bottom w:val="none" w:sz="0" w:space="0" w:color="auto"/>
                    <w:right w:val="none" w:sz="0" w:space="0" w:color="auto"/>
                  </w:divBdr>
                  <w:divsChild>
                    <w:div w:id="1477139487">
                      <w:marLeft w:val="0"/>
                      <w:marRight w:val="0"/>
                      <w:marTop w:val="0"/>
                      <w:marBottom w:val="0"/>
                      <w:divBdr>
                        <w:top w:val="none" w:sz="0" w:space="0" w:color="auto"/>
                        <w:left w:val="none" w:sz="0" w:space="0" w:color="auto"/>
                        <w:bottom w:val="none" w:sz="0" w:space="0" w:color="auto"/>
                        <w:right w:val="none" w:sz="0" w:space="0" w:color="auto"/>
                      </w:divBdr>
                    </w:div>
                  </w:divsChild>
                </w:div>
                <w:div w:id="1151943583">
                  <w:marLeft w:val="0"/>
                  <w:marRight w:val="0"/>
                  <w:marTop w:val="0"/>
                  <w:marBottom w:val="0"/>
                  <w:divBdr>
                    <w:top w:val="none" w:sz="0" w:space="0" w:color="auto"/>
                    <w:left w:val="none" w:sz="0" w:space="0" w:color="auto"/>
                    <w:bottom w:val="none" w:sz="0" w:space="0" w:color="auto"/>
                    <w:right w:val="none" w:sz="0" w:space="0" w:color="auto"/>
                  </w:divBdr>
                  <w:divsChild>
                    <w:div w:id="1894807772">
                      <w:marLeft w:val="0"/>
                      <w:marRight w:val="0"/>
                      <w:marTop w:val="0"/>
                      <w:marBottom w:val="0"/>
                      <w:divBdr>
                        <w:top w:val="none" w:sz="0" w:space="0" w:color="auto"/>
                        <w:left w:val="none" w:sz="0" w:space="0" w:color="auto"/>
                        <w:bottom w:val="none" w:sz="0" w:space="0" w:color="auto"/>
                        <w:right w:val="none" w:sz="0" w:space="0" w:color="auto"/>
                      </w:divBdr>
                    </w:div>
                  </w:divsChild>
                </w:div>
                <w:div w:id="1250775749">
                  <w:marLeft w:val="0"/>
                  <w:marRight w:val="0"/>
                  <w:marTop w:val="0"/>
                  <w:marBottom w:val="0"/>
                  <w:divBdr>
                    <w:top w:val="none" w:sz="0" w:space="0" w:color="auto"/>
                    <w:left w:val="none" w:sz="0" w:space="0" w:color="auto"/>
                    <w:bottom w:val="none" w:sz="0" w:space="0" w:color="auto"/>
                    <w:right w:val="none" w:sz="0" w:space="0" w:color="auto"/>
                  </w:divBdr>
                  <w:divsChild>
                    <w:div w:id="742483670">
                      <w:marLeft w:val="0"/>
                      <w:marRight w:val="0"/>
                      <w:marTop w:val="0"/>
                      <w:marBottom w:val="0"/>
                      <w:divBdr>
                        <w:top w:val="none" w:sz="0" w:space="0" w:color="auto"/>
                        <w:left w:val="none" w:sz="0" w:space="0" w:color="auto"/>
                        <w:bottom w:val="none" w:sz="0" w:space="0" w:color="auto"/>
                        <w:right w:val="none" w:sz="0" w:space="0" w:color="auto"/>
                      </w:divBdr>
                    </w:div>
                  </w:divsChild>
                </w:div>
                <w:div w:id="1283420951">
                  <w:marLeft w:val="0"/>
                  <w:marRight w:val="0"/>
                  <w:marTop w:val="0"/>
                  <w:marBottom w:val="0"/>
                  <w:divBdr>
                    <w:top w:val="none" w:sz="0" w:space="0" w:color="auto"/>
                    <w:left w:val="none" w:sz="0" w:space="0" w:color="auto"/>
                    <w:bottom w:val="none" w:sz="0" w:space="0" w:color="auto"/>
                    <w:right w:val="none" w:sz="0" w:space="0" w:color="auto"/>
                  </w:divBdr>
                  <w:divsChild>
                    <w:div w:id="1545605633">
                      <w:marLeft w:val="0"/>
                      <w:marRight w:val="0"/>
                      <w:marTop w:val="0"/>
                      <w:marBottom w:val="0"/>
                      <w:divBdr>
                        <w:top w:val="none" w:sz="0" w:space="0" w:color="auto"/>
                        <w:left w:val="none" w:sz="0" w:space="0" w:color="auto"/>
                        <w:bottom w:val="none" w:sz="0" w:space="0" w:color="auto"/>
                        <w:right w:val="none" w:sz="0" w:space="0" w:color="auto"/>
                      </w:divBdr>
                    </w:div>
                  </w:divsChild>
                </w:div>
                <w:div w:id="1344237525">
                  <w:marLeft w:val="0"/>
                  <w:marRight w:val="0"/>
                  <w:marTop w:val="0"/>
                  <w:marBottom w:val="0"/>
                  <w:divBdr>
                    <w:top w:val="none" w:sz="0" w:space="0" w:color="auto"/>
                    <w:left w:val="none" w:sz="0" w:space="0" w:color="auto"/>
                    <w:bottom w:val="none" w:sz="0" w:space="0" w:color="auto"/>
                    <w:right w:val="none" w:sz="0" w:space="0" w:color="auto"/>
                  </w:divBdr>
                  <w:divsChild>
                    <w:div w:id="1165390104">
                      <w:marLeft w:val="0"/>
                      <w:marRight w:val="0"/>
                      <w:marTop w:val="0"/>
                      <w:marBottom w:val="0"/>
                      <w:divBdr>
                        <w:top w:val="none" w:sz="0" w:space="0" w:color="auto"/>
                        <w:left w:val="none" w:sz="0" w:space="0" w:color="auto"/>
                        <w:bottom w:val="none" w:sz="0" w:space="0" w:color="auto"/>
                        <w:right w:val="none" w:sz="0" w:space="0" w:color="auto"/>
                      </w:divBdr>
                    </w:div>
                  </w:divsChild>
                </w:div>
                <w:div w:id="1358043176">
                  <w:marLeft w:val="0"/>
                  <w:marRight w:val="0"/>
                  <w:marTop w:val="0"/>
                  <w:marBottom w:val="0"/>
                  <w:divBdr>
                    <w:top w:val="none" w:sz="0" w:space="0" w:color="auto"/>
                    <w:left w:val="none" w:sz="0" w:space="0" w:color="auto"/>
                    <w:bottom w:val="none" w:sz="0" w:space="0" w:color="auto"/>
                    <w:right w:val="none" w:sz="0" w:space="0" w:color="auto"/>
                  </w:divBdr>
                  <w:divsChild>
                    <w:div w:id="1721972642">
                      <w:marLeft w:val="0"/>
                      <w:marRight w:val="0"/>
                      <w:marTop w:val="0"/>
                      <w:marBottom w:val="0"/>
                      <w:divBdr>
                        <w:top w:val="none" w:sz="0" w:space="0" w:color="auto"/>
                        <w:left w:val="none" w:sz="0" w:space="0" w:color="auto"/>
                        <w:bottom w:val="none" w:sz="0" w:space="0" w:color="auto"/>
                        <w:right w:val="none" w:sz="0" w:space="0" w:color="auto"/>
                      </w:divBdr>
                    </w:div>
                  </w:divsChild>
                </w:div>
                <w:div w:id="1543639143">
                  <w:marLeft w:val="0"/>
                  <w:marRight w:val="0"/>
                  <w:marTop w:val="0"/>
                  <w:marBottom w:val="0"/>
                  <w:divBdr>
                    <w:top w:val="none" w:sz="0" w:space="0" w:color="auto"/>
                    <w:left w:val="none" w:sz="0" w:space="0" w:color="auto"/>
                    <w:bottom w:val="none" w:sz="0" w:space="0" w:color="auto"/>
                    <w:right w:val="none" w:sz="0" w:space="0" w:color="auto"/>
                  </w:divBdr>
                  <w:divsChild>
                    <w:div w:id="1369137558">
                      <w:marLeft w:val="0"/>
                      <w:marRight w:val="0"/>
                      <w:marTop w:val="0"/>
                      <w:marBottom w:val="0"/>
                      <w:divBdr>
                        <w:top w:val="none" w:sz="0" w:space="0" w:color="auto"/>
                        <w:left w:val="none" w:sz="0" w:space="0" w:color="auto"/>
                        <w:bottom w:val="none" w:sz="0" w:space="0" w:color="auto"/>
                        <w:right w:val="none" w:sz="0" w:space="0" w:color="auto"/>
                      </w:divBdr>
                    </w:div>
                  </w:divsChild>
                </w:div>
                <w:div w:id="1663001588">
                  <w:marLeft w:val="0"/>
                  <w:marRight w:val="0"/>
                  <w:marTop w:val="0"/>
                  <w:marBottom w:val="0"/>
                  <w:divBdr>
                    <w:top w:val="none" w:sz="0" w:space="0" w:color="auto"/>
                    <w:left w:val="none" w:sz="0" w:space="0" w:color="auto"/>
                    <w:bottom w:val="none" w:sz="0" w:space="0" w:color="auto"/>
                    <w:right w:val="none" w:sz="0" w:space="0" w:color="auto"/>
                  </w:divBdr>
                  <w:divsChild>
                    <w:div w:id="55594025">
                      <w:marLeft w:val="0"/>
                      <w:marRight w:val="0"/>
                      <w:marTop w:val="0"/>
                      <w:marBottom w:val="0"/>
                      <w:divBdr>
                        <w:top w:val="none" w:sz="0" w:space="0" w:color="auto"/>
                        <w:left w:val="none" w:sz="0" w:space="0" w:color="auto"/>
                        <w:bottom w:val="none" w:sz="0" w:space="0" w:color="auto"/>
                        <w:right w:val="none" w:sz="0" w:space="0" w:color="auto"/>
                      </w:divBdr>
                    </w:div>
                  </w:divsChild>
                </w:div>
                <w:div w:id="1676808770">
                  <w:marLeft w:val="0"/>
                  <w:marRight w:val="0"/>
                  <w:marTop w:val="0"/>
                  <w:marBottom w:val="0"/>
                  <w:divBdr>
                    <w:top w:val="none" w:sz="0" w:space="0" w:color="auto"/>
                    <w:left w:val="none" w:sz="0" w:space="0" w:color="auto"/>
                    <w:bottom w:val="none" w:sz="0" w:space="0" w:color="auto"/>
                    <w:right w:val="none" w:sz="0" w:space="0" w:color="auto"/>
                  </w:divBdr>
                  <w:divsChild>
                    <w:div w:id="1966815662">
                      <w:marLeft w:val="0"/>
                      <w:marRight w:val="0"/>
                      <w:marTop w:val="0"/>
                      <w:marBottom w:val="0"/>
                      <w:divBdr>
                        <w:top w:val="none" w:sz="0" w:space="0" w:color="auto"/>
                        <w:left w:val="none" w:sz="0" w:space="0" w:color="auto"/>
                        <w:bottom w:val="none" w:sz="0" w:space="0" w:color="auto"/>
                        <w:right w:val="none" w:sz="0" w:space="0" w:color="auto"/>
                      </w:divBdr>
                    </w:div>
                  </w:divsChild>
                </w:div>
                <w:div w:id="1702321308">
                  <w:marLeft w:val="0"/>
                  <w:marRight w:val="0"/>
                  <w:marTop w:val="0"/>
                  <w:marBottom w:val="0"/>
                  <w:divBdr>
                    <w:top w:val="none" w:sz="0" w:space="0" w:color="auto"/>
                    <w:left w:val="none" w:sz="0" w:space="0" w:color="auto"/>
                    <w:bottom w:val="none" w:sz="0" w:space="0" w:color="auto"/>
                    <w:right w:val="none" w:sz="0" w:space="0" w:color="auto"/>
                  </w:divBdr>
                  <w:divsChild>
                    <w:div w:id="2076512290">
                      <w:marLeft w:val="0"/>
                      <w:marRight w:val="0"/>
                      <w:marTop w:val="0"/>
                      <w:marBottom w:val="0"/>
                      <w:divBdr>
                        <w:top w:val="none" w:sz="0" w:space="0" w:color="auto"/>
                        <w:left w:val="none" w:sz="0" w:space="0" w:color="auto"/>
                        <w:bottom w:val="none" w:sz="0" w:space="0" w:color="auto"/>
                        <w:right w:val="none" w:sz="0" w:space="0" w:color="auto"/>
                      </w:divBdr>
                    </w:div>
                  </w:divsChild>
                </w:div>
                <w:div w:id="1872837259">
                  <w:marLeft w:val="0"/>
                  <w:marRight w:val="0"/>
                  <w:marTop w:val="0"/>
                  <w:marBottom w:val="0"/>
                  <w:divBdr>
                    <w:top w:val="none" w:sz="0" w:space="0" w:color="auto"/>
                    <w:left w:val="none" w:sz="0" w:space="0" w:color="auto"/>
                    <w:bottom w:val="none" w:sz="0" w:space="0" w:color="auto"/>
                    <w:right w:val="none" w:sz="0" w:space="0" w:color="auto"/>
                  </w:divBdr>
                  <w:divsChild>
                    <w:div w:id="590504496">
                      <w:marLeft w:val="0"/>
                      <w:marRight w:val="0"/>
                      <w:marTop w:val="0"/>
                      <w:marBottom w:val="0"/>
                      <w:divBdr>
                        <w:top w:val="none" w:sz="0" w:space="0" w:color="auto"/>
                        <w:left w:val="none" w:sz="0" w:space="0" w:color="auto"/>
                        <w:bottom w:val="none" w:sz="0" w:space="0" w:color="auto"/>
                        <w:right w:val="none" w:sz="0" w:space="0" w:color="auto"/>
                      </w:divBdr>
                    </w:div>
                  </w:divsChild>
                </w:div>
                <w:div w:id="1904680339">
                  <w:marLeft w:val="0"/>
                  <w:marRight w:val="0"/>
                  <w:marTop w:val="0"/>
                  <w:marBottom w:val="0"/>
                  <w:divBdr>
                    <w:top w:val="none" w:sz="0" w:space="0" w:color="auto"/>
                    <w:left w:val="none" w:sz="0" w:space="0" w:color="auto"/>
                    <w:bottom w:val="none" w:sz="0" w:space="0" w:color="auto"/>
                    <w:right w:val="none" w:sz="0" w:space="0" w:color="auto"/>
                  </w:divBdr>
                  <w:divsChild>
                    <w:div w:id="1067070854">
                      <w:marLeft w:val="0"/>
                      <w:marRight w:val="0"/>
                      <w:marTop w:val="0"/>
                      <w:marBottom w:val="0"/>
                      <w:divBdr>
                        <w:top w:val="none" w:sz="0" w:space="0" w:color="auto"/>
                        <w:left w:val="none" w:sz="0" w:space="0" w:color="auto"/>
                        <w:bottom w:val="none" w:sz="0" w:space="0" w:color="auto"/>
                        <w:right w:val="none" w:sz="0" w:space="0" w:color="auto"/>
                      </w:divBdr>
                    </w:div>
                  </w:divsChild>
                </w:div>
                <w:div w:id="1965112503">
                  <w:marLeft w:val="0"/>
                  <w:marRight w:val="0"/>
                  <w:marTop w:val="0"/>
                  <w:marBottom w:val="0"/>
                  <w:divBdr>
                    <w:top w:val="none" w:sz="0" w:space="0" w:color="auto"/>
                    <w:left w:val="none" w:sz="0" w:space="0" w:color="auto"/>
                    <w:bottom w:val="none" w:sz="0" w:space="0" w:color="auto"/>
                    <w:right w:val="none" w:sz="0" w:space="0" w:color="auto"/>
                  </w:divBdr>
                  <w:divsChild>
                    <w:div w:id="1146895204">
                      <w:marLeft w:val="0"/>
                      <w:marRight w:val="0"/>
                      <w:marTop w:val="0"/>
                      <w:marBottom w:val="0"/>
                      <w:divBdr>
                        <w:top w:val="none" w:sz="0" w:space="0" w:color="auto"/>
                        <w:left w:val="none" w:sz="0" w:space="0" w:color="auto"/>
                        <w:bottom w:val="none" w:sz="0" w:space="0" w:color="auto"/>
                        <w:right w:val="none" w:sz="0" w:space="0" w:color="auto"/>
                      </w:divBdr>
                    </w:div>
                  </w:divsChild>
                </w:div>
                <w:div w:id="2104953486">
                  <w:marLeft w:val="0"/>
                  <w:marRight w:val="0"/>
                  <w:marTop w:val="0"/>
                  <w:marBottom w:val="0"/>
                  <w:divBdr>
                    <w:top w:val="none" w:sz="0" w:space="0" w:color="auto"/>
                    <w:left w:val="none" w:sz="0" w:space="0" w:color="auto"/>
                    <w:bottom w:val="none" w:sz="0" w:space="0" w:color="auto"/>
                    <w:right w:val="none" w:sz="0" w:space="0" w:color="auto"/>
                  </w:divBdr>
                  <w:divsChild>
                    <w:div w:id="8356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6115">
          <w:marLeft w:val="0"/>
          <w:marRight w:val="0"/>
          <w:marTop w:val="0"/>
          <w:marBottom w:val="0"/>
          <w:divBdr>
            <w:top w:val="none" w:sz="0" w:space="0" w:color="auto"/>
            <w:left w:val="none" w:sz="0" w:space="0" w:color="auto"/>
            <w:bottom w:val="none" w:sz="0" w:space="0" w:color="auto"/>
            <w:right w:val="none" w:sz="0" w:space="0" w:color="auto"/>
          </w:divBdr>
        </w:div>
        <w:div w:id="2013022813">
          <w:marLeft w:val="0"/>
          <w:marRight w:val="0"/>
          <w:marTop w:val="0"/>
          <w:marBottom w:val="0"/>
          <w:divBdr>
            <w:top w:val="none" w:sz="0" w:space="0" w:color="auto"/>
            <w:left w:val="none" w:sz="0" w:space="0" w:color="auto"/>
            <w:bottom w:val="none" w:sz="0" w:space="0" w:color="auto"/>
            <w:right w:val="none" w:sz="0" w:space="0" w:color="auto"/>
          </w:divBdr>
        </w:div>
        <w:div w:id="2052419288">
          <w:marLeft w:val="0"/>
          <w:marRight w:val="0"/>
          <w:marTop w:val="0"/>
          <w:marBottom w:val="0"/>
          <w:divBdr>
            <w:top w:val="none" w:sz="0" w:space="0" w:color="auto"/>
            <w:left w:val="none" w:sz="0" w:space="0" w:color="auto"/>
            <w:bottom w:val="none" w:sz="0" w:space="0" w:color="auto"/>
            <w:right w:val="none" w:sz="0" w:space="0" w:color="auto"/>
          </w:divBdr>
        </w:div>
        <w:div w:id="2077245700">
          <w:marLeft w:val="0"/>
          <w:marRight w:val="0"/>
          <w:marTop w:val="0"/>
          <w:marBottom w:val="0"/>
          <w:divBdr>
            <w:top w:val="none" w:sz="0" w:space="0" w:color="auto"/>
            <w:left w:val="none" w:sz="0" w:space="0" w:color="auto"/>
            <w:bottom w:val="none" w:sz="0" w:space="0" w:color="auto"/>
            <w:right w:val="none" w:sz="0" w:space="0" w:color="auto"/>
          </w:divBdr>
        </w:div>
        <w:div w:id="2088305713">
          <w:marLeft w:val="0"/>
          <w:marRight w:val="0"/>
          <w:marTop w:val="0"/>
          <w:marBottom w:val="0"/>
          <w:divBdr>
            <w:top w:val="none" w:sz="0" w:space="0" w:color="auto"/>
            <w:left w:val="none" w:sz="0" w:space="0" w:color="auto"/>
            <w:bottom w:val="none" w:sz="0" w:space="0" w:color="auto"/>
            <w:right w:val="none" w:sz="0" w:space="0" w:color="auto"/>
          </w:divBdr>
        </w:div>
        <w:div w:id="2097902547">
          <w:marLeft w:val="0"/>
          <w:marRight w:val="0"/>
          <w:marTop w:val="0"/>
          <w:marBottom w:val="0"/>
          <w:divBdr>
            <w:top w:val="none" w:sz="0" w:space="0" w:color="auto"/>
            <w:left w:val="none" w:sz="0" w:space="0" w:color="auto"/>
            <w:bottom w:val="none" w:sz="0" w:space="0" w:color="auto"/>
            <w:right w:val="none" w:sz="0" w:space="0" w:color="auto"/>
          </w:divBdr>
        </w:div>
        <w:div w:id="2145811766">
          <w:marLeft w:val="0"/>
          <w:marRight w:val="0"/>
          <w:marTop w:val="0"/>
          <w:marBottom w:val="0"/>
          <w:divBdr>
            <w:top w:val="none" w:sz="0" w:space="0" w:color="auto"/>
            <w:left w:val="none" w:sz="0" w:space="0" w:color="auto"/>
            <w:bottom w:val="none" w:sz="0" w:space="0" w:color="auto"/>
            <w:right w:val="none" w:sz="0" w:space="0" w:color="auto"/>
          </w:divBdr>
        </w:div>
      </w:divsChild>
    </w:div>
    <w:div w:id="1737321029">
      <w:bodyDiv w:val="1"/>
      <w:marLeft w:val="0"/>
      <w:marRight w:val="0"/>
      <w:marTop w:val="0"/>
      <w:marBottom w:val="0"/>
      <w:divBdr>
        <w:top w:val="none" w:sz="0" w:space="0" w:color="auto"/>
        <w:left w:val="none" w:sz="0" w:space="0" w:color="auto"/>
        <w:bottom w:val="none" w:sz="0" w:space="0" w:color="auto"/>
        <w:right w:val="none" w:sz="0" w:space="0" w:color="auto"/>
      </w:divBdr>
    </w:div>
    <w:div w:id="1746145388">
      <w:bodyDiv w:val="1"/>
      <w:marLeft w:val="0"/>
      <w:marRight w:val="0"/>
      <w:marTop w:val="0"/>
      <w:marBottom w:val="0"/>
      <w:divBdr>
        <w:top w:val="none" w:sz="0" w:space="0" w:color="auto"/>
        <w:left w:val="none" w:sz="0" w:space="0" w:color="auto"/>
        <w:bottom w:val="none" w:sz="0" w:space="0" w:color="auto"/>
        <w:right w:val="none" w:sz="0" w:space="0" w:color="auto"/>
      </w:divBdr>
      <w:divsChild>
        <w:div w:id="102112474">
          <w:marLeft w:val="0"/>
          <w:marRight w:val="0"/>
          <w:marTop w:val="0"/>
          <w:marBottom w:val="0"/>
          <w:divBdr>
            <w:top w:val="none" w:sz="0" w:space="0" w:color="auto"/>
            <w:left w:val="none" w:sz="0" w:space="0" w:color="auto"/>
            <w:bottom w:val="none" w:sz="0" w:space="0" w:color="auto"/>
            <w:right w:val="none" w:sz="0" w:space="0" w:color="auto"/>
          </w:divBdr>
        </w:div>
        <w:div w:id="189421037">
          <w:marLeft w:val="0"/>
          <w:marRight w:val="0"/>
          <w:marTop w:val="0"/>
          <w:marBottom w:val="0"/>
          <w:divBdr>
            <w:top w:val="none" w:sz="0" w:space="0" w:color="auto"/>
            <w:left w:val="none" w:sz="0" w:space="0" w:color="auto"/>
            <w:bottom w:val="none" w:sz="0" w:space="0" w:color="auto"/>
            <w:right w:val="none" w:sz="0" w:space="0" w:color="auto"/>
          </w:divBdr>
        </w:div>
        <w:div w:id="198864501">
          <w:marLeft w:val="0"/>
          <w:marRight w:val="0"/>
          <w:marTop w:val="0"/>
          <w:marBottom w:val="0"/>
          <w:divBdr>
            <w:top w:val="none" w:sz="0" w:space="0" w:color="auto"/>
            <w:left w:val="none" w:sz="0" w:space="0" w:color="auto"/>
            <w:bottom w:val="none" w:sz="0" w:space="0" w:color="auto"/>
            <w:right w:val="none" w:sz="0" w:space="0" w:color="auto"/>
          </w:divBdr>
        </w:div>
        <w:div w:id="226650141">
          <w:marLeft w:val="0"/>
          <w:marRight w:val="0"/>
          <w:marTop w:val="0"/>
          <w:marBottom w:val="0"/>
          <w:divBdr>
            <w:top w:val="none" w:sz="0" w:space="0" w:color="auto"/>
            <w:left w:val="none" w:sz="0" w:space="0" w:color="auto"/>
            <w:bottom w:val="none" w:sz="0" w:space="0" w:color="auto"/>
            <w:right w:val="none" w:sz="0" w:space="0" w:color="auto"/>
          </w:divBdr>
        </w:div>
        <w:div w:id="228922826">
          <w:marLeft w:val="0"/>
          <w:marRight w:val="0"/>
          <w:marTop w:val="0"/>
          <w:marBottom w:val="0"/>
          <w:divBdr>
            <w:top w:val="none" w:sz="0" w:space="0" w:color="auto"/>
            <w:left w:val="none" w:sz="0" w:space="0" w:color="auto"/>
            <w:bottom w:val="none" w:sz="0" w:space="0" w:color="auto"/>
            <w:right w:val="none" w:sz="0" w:space="0" w:color="auto"/>
          </w:divBdr>
        </w:div>
        <w:div w:id="371538500">
          <w:marLeft w:val="0"/>
          <w:marRight w:val="0"/>
          <w:marTop w:val="0"/>
          <w:marBottom w:val="0"/>
          <w:divBdr>
            <w:top w:val="none" w:sz="0" w:space="0" w:color="auto"/>
            <w:left w:val="none" w:sz="0" w:space="0" w:color="auto"/>
            <w:bottom w:val="none" w:sz="0" w:space="0" w:color="auto"/>
            <w:right w:val="none" w:sz="0" w:space="0" w:color="auto"/>
          </w:divBdr>
        </w:div>
        <w:div w:id="401566591">
          <w:marLeft w:val="0"/>
          <w:marRight w:val="0"/>
          <w:marTop w:val="0"/>
          <w:marBottom w:val="0"/>
          <w:divBdr>
            <w:top w:val="none" w:sz="0" w:space="0" w:color="auto"/>
            <w:left w:val="none" w:sz="0" w:space="0" w:color="auto"/>
            <w:bottom w:val="none" w:sz="0" w:space="0" w:color="auto"/>
            <w:right w:val="none" w:sz="0" w:space="0" w:color="auto"/>
          </w:divBdr>
        </w:div>
        <w:div w:id="444732552">
          <w:marLeft w:val="0"/>
          <w:marRight w:val="0"/>
          <w:marTop w:val="0"/>
          <w:marBottom w:val="0"/>
          <w:divBdr>
            <w:top w:val="none" w:sz="0" w:space="0" w:color="auto"/>
            <w:left w:val="none" w:sz="0" w:space="0" w:color="auto"/>
            <w:bottom w:val="none" w:sz="0" w:space="0" w:color="auto"/>
            <w:right w:val="none" w:sz="0" w:space="0" w:color="auto"/>
          </w:divBdr>
        </w:div>
        <w:div w:id="451942885">
          <w:marLeft w:val="0"/>
          <w:marRight w:val="0"/>
          <w:marTop w:val="0"/>
          <w:marBottom w:val="0"/>
          <w:divBdr>
            <w:top w:val="none" w:sz="0" w:space="0" w:color="auto"/>
            <w:left w:val="none" w:sz="0" w:space="0" w:color="auto"/>
            <w:bottom w:val="none" w:sz="0" w:space="0" w:color="auto"/>
            <w:right w:val="none" w:sz="0" w:space="0" w:color="auto"/>
          </w:divBdr>
        </w:div>
        <w:div w:id="476453472">
          <w:marLeft w:val="0"/>
          <w:marRight w:val="0"/>
          <w:marTop w:val="0"/>
          <w:marBottom w:val="0"/>
          <w:divBdr>
            <w:top w:val="none" w:sz="0" w:space="0" w:color="auto"/>
            <w:left w:val="none" w:sz="0" w:space="0" w:color="auto"/>
            <w:bottom w:val="none" w:sz="0" w:space="0" w:color="auto"/>
            <w:right w:val="none" w:sz="0" w:space="0" w:color="auto"/>
          </w:divBdr>
          <w:divsChild>
            <w:div w:id="358118993">
              <w:marLeft w:val="-75"/>
              <w:marRight w:val="0"/>
              <w:marTop w:val="30"/>
              <w:marBottom w:val="30"/>
              <w:divBdr>
                <w:top w:val="none" w:sz="0" w:space="0" w:color="auto"/>
                <w:left w:val="none" w:sz="0" w:space="0" w:color="auto"/>
                <w:bottom w:val="none" w:sz="0" w:space="0" w:color="auto"/>
                <w:right w:val="none" w:sz="0" w:space="0" w:color="auto"/>
              </w:divBdr>
              <w:divsChild>
                <w:div w:id="101656865">
                  <w:marLeft w:val="0"/>
                  <w:marRight w:val="0"/>
                  <w:marTop w:val="0"/>
                  <w:marBottom w:val="0"/>
                  <w:divBdr>
                    <w:top w:val="none" w:sz="0" w:space="0" w:color="auto"/>
                    <w:left w:val="none" w:sz="0" w:space="0" w:color="auto"/>
                    <w:bottom w:val="none" w:sz="0" w:space="0" w:color="auto"/>
                    <w:right w:val="none" w:sz="0" w:space="0" w:color="auto"/>
                  </w:divBdr>
                  <w:divsChild>
                    <w:div w:id="2106533994">
                      <w:marLeft w:val="0"/>
                      <w:marRight w:val="0"/>
                      <w:marTop w:val="0"/>
                      <w:marBottom w:val="0"/>
                      <w:divBdr>
                        <w:top w:val="none" w:sz="0" w:space="0" w:color="auto"/>
                        <w:left w:val="none" w:sz="0" w:space="0" w:color="auto"/>
                        <w:bottom w:val="none" w:sz="0" w:space="0" w:color="auto"/>
                        <w:right w:val="none" w:sz="0" w:space="0" w:color="auto"/>
                      </w:divBdr>
                    </w:div>
                  </w:divsChild>
                </w:div>
                <w:div w:id="220676142">
                  <w:marLeft w:val="0"/>
                  <w:marRight w:val="0"/>
                  <w:marTop w:val="0"/>
                  <w:marBottom w:val="0"/>
                  <w:divBdr>
                    <w:top w:val="none" w:sz="0" w:space="0" w:color="auto"/>
                    <w:left w:val="none" w:sz="0" w:space="0" w:color="auto"/>
                    <w:bottom w:val="none" w:sz="0" w:space="0" w:color="auto"/>
                    <w:right w:val="none" w:sz="0" w:space="0" w:color="auto"/>
                  </w:divBdr>
                  <w:divsChild>
                    <w:div w:id="182718649">
                      <w:marLeft w:val="0"/>
                      <w:marRight w:val="0"/>
                      <w:marTop w:val="0"/>
                      <w:marBottom w:val="0"/>
                      <w:divBdr>
                        <w:top w:val="none" w:sz="0" w:space="0" w:color="auto"/>
                        <w:left w:val="none" w:sz="0" w:space="0" w:color="auto"/>
                        <w:bottom w:val="none" w:sz="0" w:space="0" w:color="auto"/>
                        <w:right w:val="none" w:sz="0" w:space="0" w:color="auto"/>
                      </w:divBdr>
                    </w:div>
                  </w:divsChild>
                </w:div>
                <w:div w:id="247736234">
                  <w:marLeft w:val="0"/>
                  <w:marRight w:val="0"/>
                  <w:marTop w:val="0"/>
                  <w:marBottom w:val="0"/>
                  <w:divBdr>
                    <w:top w:val="none" w:sz="0" w:space="0" w:color="auto"/>
                    <w:left w:val="none" w:sz="0" w:space="0" w:color="auto"/>
                    <w:bottom w:val="none" w:sz="0" w:space="0" w:color="auto"/>
                    <w:right w:val="none" w:sz="0" w:space="0" w:color="auto"/>
                  </w:divBdr>
                  <w:divsChild>
                    <w:div w:id="1054937109">
                      <w:marLeft w:val="0"/>
                      <w:marRight w:val="0"/>
                      <w:marTop w:val="0"/>
                      <w:marBottom w:val="0"/>
                      <w:divBdr>
                        <w:top w:val="none" w:sz="0" w:space="0" w:color="auto"/>
                        <w:left w:val="none" w:sz="0" w:space="0" w:color="auto"/>
                        <w:bottom w:val="none" w:sz="0" w:space="0" w:color="auto"/>
                        <w:right w:val="none" w:sz="0" w:space="0" w:color="auto"/>
                      </w:divBdr>
                    </w:div>
                  </w:divsChild>
                </w:div>
                <w:div w:id="353775442">
                  <w:marLeft w:val="0"/>
                  <w:marRight w:val="0"/>
                  <w:marTop w:val="0"/>
                  <w:marBottom w:val="0"/>
                  <w:divBdr>
                    <w:top w:val="none" w:sz="0" w:space="0" w:color="auto"/>
                    <w:left w:val="none" w:sz="0" w:space="0" w:color="auto"/>
                    <w:bottom w:val="none" w:sz="0" w:space="0" w:color="auto"/>
                    <w:right w:val="none" w:sz="0" w:space="0" w:color="auto"/>
                  </w:divBdr>
                  <w:divsChild>
                    <w:div w:id="275213467">
                      <w:marLeft w:val="0"/>
                      <w:marRight w:val="0"/>
                      <w:marTop w:val="0"/>
                      <w:marBottom w:val="0"/>
                      <w:divBdr>
                        <w:top w:val="none" w:sz="0" w:space="0" w:color="auto"/>
                        <w:left w:val="none" w:sz="0" w:space="0" w:color="auto"/>
                        <w:bottom w:val="none" w:sz="0" w:space="0" w:color="auto"/>
                        <w:right w:val="none" w:sz="0" w:space="0" w:color="auto"/>
                      </w:divBdr>
                    </w:div>
                  </w:divsChild>
                </w:div>
                <w:div w:id="409619776">
                  <w:marLeft w:val="0"/>
                  <w:marRight w:val="0"/>
                  <w:marTop w:val="0"/>
                  <w:marBottom w:val="0"/>
                  <w:divBdr>
                    <w:top w:val="none" w:sz="0" w:space="0" w:color="auto"/>
                    <w:left w:val="none" w:sz="0" w:space="0" w:color="auto"/>
                    <w:bottom w:val="none" w:sz="0" w:space="0" w:color="auto"/>
                    <w:right w:val="none" w:sz="0" w:space="0" w:color="auto"/>
                  </w:divBdr>
                  <w:divsChild>
                    <w:div w:id="382948185">
                      <w:marLeft w:val="0"/>
                      <w:marRight w:val="0"/>
                      <w:marTop w:val="0"/>
                      <w:marBottom w:val="0"/>
                      <w:divBdr>
                        <w:top w:val="none" w:sz="0" w:space="0" w:color="auto"/>
                        <w:left w:val="none" w:sz="0" w:space="0" w:color="auto"/>
                        <w:bottom w:val="none" w:sz="0" w:space="0" w:color="auto"/>
                        <w:right w:val="none" w:sz="0" w:space="0" w:color="auto"/>
                      </w:divBdr>
                    </w:div>
                  </w:divsChild>
                </w:div>
                <w:div w:id="795149117">
                  <w:marLeft w:val="0"/>
                  <w:marRight w:val="0"/>
                  <w:marTop w:val="0"/>
                  <w:marBottom w:val="0"/>
                  <w:divBdr>
                    <w:top w:val="none" w:sz="0" w:space="0" w:color="auto"/>
                    <w:left w:val="none" w:sz="0" w:space="0" w:color="auto"/>
                    <w:bottom w:val="none" w:sz="0" w:space="0" w:color="auto"/>
                    <w:right w:val="none" w:sz="0" w:space="0" w:color="auto"/>
                  </w:divBdr>
                  <w:divsChild>
                    <w:div w:id="505219130">
                      <w:marLeft w:val="0"/>
                      <w:marRight w:val="0"/>
                      <w:marTop w:val="0"/>
                      <w:marBottom w:val="0"/>
                      <w:divBdr>
                        <w:top w:val="none" w:sz="0" w:space="0" w:color="auto"/>
                        <w:left w:val="none" w:sz="0" w:space="0" w:color="auto"/>
                        <w:bottom w:val="none" w:sz="0" w:space="0" w:color="auto"/>
                        <w:right w:val="none" w:sz="0" w:space="0" w:color="auto"/>
                      </w:divBdr>
                    </w:div>
                  </w:divsChild>
                </w:div>
                <w:div w:id="911892991">
                  <w:marLeft w:val="0"/>
                  <w:marRight w:val="0"/>
                  <w:marTop w:val="0"/>
                  <w:marBottom w:val="0"/>
                  <w:divBdr>
                    <w:top w:val="none" w:sz="0" w:space="0" w:color="auto"/>
                    <w:left w:val="none" w:sz="0" w:space="0" w:color="auto"/>
                    <w:bottom w:val="none" w:sz="0" w:space="0" w:color="auto"/>
                    <w:right w:val="none" w:sz="0" w:space="0" w:color="auto"/>
                  </w:divBdr>
                  <w:divsChild>
                    <w:div w:id="562836979">
                      <w:marLeft w:val="0"/>
                      <w:marRight w:val="0"/>
                      <w:marTop w:val="0"/>
                      <w:marBottom w:val="0"/>
                      <w:divBdr>
                        <w:top w:val="none" w:sz="0" w:space="0" w:color="auto"/>
                        <w:left w:val="none" w:sz="0" w:space="0" w:color="auto"/>
                        <w:bottom w:val="none" w:sz="0" w:space="0" w:color="auto"/>
                        <w:right w:val="none" w:sz="0" w:space="0" w:color="auto"/>
                      </w:divBdr>
                    </w:div>
                  </w:divsChild>
                </w:div>
                <w:div w:id="912546769">
                  <w:marLeft w:val="0"/>
                  <w:marRight w:val="0"/>
                  <w:marTop w:val="0"/>
                  <w:marBottom w:val="0"/>
                  <w:divBdr>
                    <w:top w:val="none" w:sz="0" w:space="0" w:color="auto"/>
                    <w:left w:val="none" w:sz="0" w:space="0" w:color="auto"/>
                    <w:bottom w:val="none" w:sz="0" w:space="0" w:color="auto"/>
                    <w:right w:val="none" w:sz="0" w:space="0" w:color="auto"/>
                  </w:divBdr>
                  <w:divsChild>
                    <w:div w:id="1207135091">
                      <w:marLeft w:val="0"/>
                      <w:marRight w:val="0"/>
                      <w:marTop w:val="0"/>
                      <w:marBottom w:val="0"/>
                      <w:divBdr>
                        <w:top w:val="none" w:sz="0" w:space="0" w:color="auto"/>
                        <w:left w:val="none" w:sz="0" w:space="0" w:color="auto"/>
                        <w:bottom w:val="none" w:sz="0" w:space="0" w:color="auto"/>
                        <w:right w:val="none" w:sz="0" w:space="0" w:color="auto"/>
                      </w:divBdr>
                    </w:div>
                  </w:divsChild>
                </w:div>
                <w:div w:id="933900195">
                  <w:marLeft w:val="0"/>
                  <w:marRight w:val="0"/>
                  <w:marTop w:val="0"/>
                  <w:marBottom w:val="0"/>
                  <w:divBdr>
                    <w:top w:val="none" w:sz="0" w:space="0" w:color="auto"/>
                    <w:left w:val="none" w:sz="0" w:space="0" w:color="auto"/>
                    <w:bottom w:val="none" w:sz="0" w:space="0" w:color="auto"/>
                    <w:right w:val="none" w:sz="0" w:space="0" w:color="auto"/>
                  </w:divBdr>
                  <w:divsChild>
                    <w:div w:id="558514979">
                      <w:marLeft w:val="0"/>
                      <w:marRight w:val="0"/>
                      <w:marTop w:val="0"/>
                      <w:marBottom w:val="0"/>
                      <w:divBdr>
                        <w:top w:val="none" w:sz="0" w:space="0" w:color="auto"/>
                        <w:left w:val="none" w:sz="0" w:space="0" w:color="auto"/>
                        <w:bottom w:val="none" w:sz="0" w:space="0" w:color="auto"/>
                        <w:right w:val="none" w:sz="0" w:space="0" w:color="auto"/>
                      </w:divBdr>
                    </w:div>
                  </w:divsChild>
                </w:div>
                <w:div w:id="1112358219">
                  <w:marLeft w:val="0"/>
                  <w:marRight w:val="0"/>
                  <w:marTop w:val="0"/>
                  <w:marBottom w:val="0"/>
                  <w:divBdr>
                    <w:top w:val="none" w:sz="0" w:space="0" w:color="auto"/>
                    <w:left w:val="none" w:sz="0" w:space="0" w:color="auto"/>
                    <w:bottom w:val="none" w:sz="0" w:space="0" w:color="auto"/>
                    <w:right w:val="none" w:sz="0" w:space="0" w:color="auto"/>
                  </w:divBdr>
                  <w:divsChild>
                    <w:div w:id="1598564330">
                      <w:marLeft w:val="0"/>
                      <w:marRight w:val="0"/>
                      <w:marTop w:val="0"/>
                      <w:marBottom w:val="0"/>
                      <w:divBdr>
                        <w:top w:val="none" w:sz="0" w:space="0" w:color="auto"/>
                        <w:left w:val="none" w:sz="0" w:space="0" w:color="auto"/>
                        <w:bottom w:val="none" w:sz="0" w:space="0" w:color="auto"/>
                        <w:right w:val="none" w:sz="0" w:space="0" w:color="auto"/>
                      </w:divBdr>
                    </w:div>
                  </w:divsChild>
                </w:div>
                <w:div w:id="1231889454">
                  <w:marLeft w:val="0"/>
                  <w:marRight w:val="0"/>
                  <w:marTop w:val="0"/>
                  <w:marBottom w:val="0"/>
                  <w:divBdr>
                    <w:top w:val="none" w:sz="0" w:space="0" w:color="auto"/>
                    <w:left w:val="none" w:sz="0" w:space="0" w:color="auto"/>
                    <w:bottom w:val="none" w:sz="0" w:space="0" w:color="auto"/>
                    <w:right w:val="none" w:sz="0" w:space="0" w:color="auto"/>
                  </w:divBdr>
                  <w:divsChild>
                    <w:div w:id="177157306">
                      <w:marLeft w:val="0"/>
                      <w:marRight w:val="0"/>
                      <w:marTop w:val="0"/>
                      <w:marBottom w:val="0"/>
                      <w:divBdr>
                        <w:top w:val="none" w:sz="0" w:space="0" w:color="auto"/>
                        <w:left w:val="none" w:sz="0" w:space="0" w:color="auto"/>
                        <w:bottom w:val="none" w:sz="0" w:space="0" w:color="auto"/>
                        <w:right w:val="none" w:sz="0" w:space="0" w:color="auto"/>
                      </w:divBdr>
                    </w:div>
                  </w:divsChild>
                </w:div>
                <w:div w:id="1249390814">
                  <w:marLeft w:val="0"/>
                  <w:marRight w:val="0"/>
                  <w:marTop w:val="0"/>
                  <w:marBottom w:val="0"/>
                  <w:divBdr>
                    <w:top w:val="none" w:sz="0" w:space="0" w:color="auto"/>
                    <w:left w:val="none" w:sz="0" w:space="0" w:color="auto"/>
                    <w:bottom w:val="none" w:sz="0" w:space="0" w:color="auto"/>
                    <w:right w:val="none" w:sz="0" w:space="0" w:color="auto"/>
                  </w:divBdr>
                  <w:divsChild>
                    <w:div w:id="224532981">
                      <w:marLeft w:val="0"/>
                      <w:marRight w:val="0"/>
                      <w:marTop w:val="0"/>
                      <w:marBottom w:val="0"/>
                      <w:divBdr>
                        <w:top w:val="none" w:sz="0" w:space="0" w:color="auto"/>
                        <w:left w:val="none" w:sz="0" w:space="0" w:color="auto"/>
                        <w:bottom w:val="none" w:sz="0" w:space="0" w:color="auto"/>
                        <w:right w:val="none" w:sz="0" w:space="0" w:color="auto"/>
                      </w:divBdr>
                    </w:div>
                  </w:divsChild>
                </w:div>
                <w:div w:id="1297029067">
                  <w:marLeft w:val="0"/>
                  <w:marRight w:val="0"/>
                  <w:marTop w:val="0"/>
                  <w:marBottom w:val="0"/>
                  <w:divBdr>
                    <w:top w:val="none" w:sz="0" w:space="0" w:color="auto"/>
                    <w:left w:val="none" w:sz="0" w:space="0" w:color="auto"/>
                    <w:bottom w:val="none" w:sz="0" w:space="0" w:color="auto"/>
                    <w:right w:val="none" w:sz="0" w:space="0" w:color="auto"/>
                  </w:divBdr>
                  <w:divsChild>
                    <w:div w:id="611858037">
                      <w:marLeft w:val="0"/>
                      <w:marRight w:val="0"/>
                      <w:marTop w:val="0"/>
                      <w:marBottom w:val="0"/>
                      <w:divBdr>
                        <w:top w:val="none" w:sz="0" w:space="0" w:color="auto"/>
                        <w:left w:val="none" w:sz="0" w:space="0" w:color="auto"/>
                        <w:bottom w:val="none" w:sz="0" w:space="0" w:color="auto"/>
                        <w:right w:val="none" w:sz="0" w:space="0" w:color="auto"/>
                      </w:divBdr>
                    </w:div>
                  </w:divsChild>
                </w:div>
                <w:div w:id="1363360957">
                  <w:marLeft w:val="0"/>
                  <w:marRight w:val="0"/>
                  <w:marTop w:val="0"/>
                  <w:marBottom w:val="0"/>
                  <w:divBdr>
                    <w:top w:val="none" w:sz="0" w:space="0" w:color="auto"/>
                    <w:left w:val="none" w:sz="0" w:space="0" w:color="auto"/>
                    <w:bottom w:val="none" w:sz="0" w:space="0" w:color="auto"/>
                    <w:right w:val="none" w:sz="0" w:space="0" w:color="auto"/>
                  </w:divBdr>
                  <w:divsChild>
                    <w:div w:id="1314673508">
                      <w:marLeft w:val="0"/>
                      <w:marRight w:val="0"/>
                      <w:marTop w:val="0"/>
                      <w:marBottom w:val="0"/>
                      <w:divBdr>
                        <w:top w:val="none" w:sz="0" w:space="0" w:color="auto"/>
                        <w:left w:val="none" w:sz="0" w:space="0" w:color="auto"/>
                        <w:bottom w:val="none" w:sz="0" w:space="0" w:color="auto"/>
                        <w:right w:val="none" w:sz="0" w:space="0" w:color="auto"/>
                      </w:divBdr>
                    </w:div>
                  </w:divsChild>
                </w:div>
                <w:div w:id="1404136268">
                  <w:marLeft w:val="0"/>
                  <w:marRight w:val="0"/>
                  <w:marTop w:val="0"/>
                  <w:marBottom w:val="0"/>
                  <w:divBdr>
                    <w:top w:val="none" w:sz="0" w:space="0" w:color="auto"/>
                    <w:left w:val="none" w:sz="0" w:space="0" w:color="auto"/>
                    <w:bottom w:val="none" w:sz="0" w:space="0" w:color="auto"/>
                    <w:right w:val="none" w:sz="0" w:space="0" w:color="auto"/>
                  </w:divBdr>
                  <w:divsChild>
                    <w:div w:id="1847400031">
                      <w:marLeft w:val="0"/>
                      <w:marRight w:val="0"/>
                      <w:marTop w:val="0"/>
                      <w:marBottom w:val="0"/>
                      <w:divBdr>
                        <w:top w:val="none" w:sz="0" w:space="0" w:color="auto"/>
                        <w:left w:val="none" w:sz="0" w:space="0" w:color="auto"/>
                        <w:bottom w:val="none" w:sz="0" w:space="0" w:color="auto"/>
                        <w:right w:val="none" w:sz="0" w:space="0" w:color="auto"/>
                      </w:divBdr>
                    </w:div>
                  </w:divsChild>
                </w:div>
                <w:div w:id="1768621587">
                  <w:marLeft w:val="0"/>
                  <w:marRight w:val="0"/>
                  <w:marTop w:val="0"/>
                  <w:marBottom w:val="0"/>
                  <w:divBdr>
                    <w:top w:val="none" w:sz="0" w:space="0" w:color="auto"/>
                    <w:left w:val="none" w:sz="0" w:space="0" w:color="auto"/>
                    <w:bottom w:val="none" w:sz="0" w:space="0" w:color="auto"/>
                    <w:right w:val="none" w:sz="0" w:space="0" w:color="auto"/>
                  </w:divBdr>
                  <w:divsChild>
                    <w:div w:id="2103909631">
                      <w:marLeft w:val="0"/>
                      <w:marRight w:val="0"/>
                      <w:marTop w:val="0"/>
                      <w:marBottom w:val="0"/>
                      <w:divBdr>
                        <w:top w:val="none" w:sz="0" w:space="0" w:color="auto"/>
                        <w:left w:val="none" w:sz="0" w:space="0" w:color="auto"/>
                        <w:bottom w:val="none" w:sz="0" w:space="0" w:color="auto"/>
                        <w:right w:val="none" w:sz="0" w:space="0" w:color="auto"/>
                      </w:divBdr>
                    </w:div>
                  </w:divsChild>
                </w:div>
                <w:div w:id="1772503732">
                  <w:marLeft w:val="0"/>
                  <w:marRight w:val="0"/>
                  <w:marTop w:val="0"/>
                  <w:marBottom w:val="0"/>
                  <w:divBdr>
                    <w:top w:val="none" w:sz="0" w:space="0" w:color="auto"/>
                    <w:left w:val="none" w:sz="0" w:space="0" w:color="auto"/>
                    <w:bottom w:val="none" w:sz="0" w:space="0" w:color="auto"/>
                    <w:right w:val="none" w:sz="0" w:space="0" w:color="auto"/>
                  </w:divBdr>
                  <w:divsChild>
                    <w:div w:id="940069863">
                      <w:marLeft w:val="0"/>
                      <w:marRight w:val="0"/>
                      <w:marTop w:val="0"/>
                      <w:marBottom w:val="0"/>
                      <w:divBdr>
                        <w:top w:val="none" w:sz="0" w:space="0" w:color="auto"/>
                        <w:left w:val="none" w:sz="0" w:space="0" w:color="auto"/>
                        <w:bottom w:val="none" w:sz="0" w:space="0" w:color="auto"/>
                        <w:right w:val="none" w:sz="0" w:space="0" w:color="auto"/>
                      </w:divBdr>
                    </w:div>
                  </w:divsChild>
                </w:div>
                <w:div w:id="1896694506">
                  <w:marLeft w:val="0"/>
                  <w:marRight w:val="0"/>
                  <w:marTop w:val="0"/>
                  <w:marBottom w:val="0"/>
                  <w:divBdr>
                    <w:top w:val="none" w:sz="0" w:space="0" w:color="auto"/>
                    <w:left w:val="none" w:sz="0" w:space="0" w:color="auto"/>
                    <w:bottom w:val="none" w:sz="0" w:space="0" w:color="auto"/>
                    <w:right w:val="none" w:sz="0" w:space="0" w:color="auto"/>
                  </w:divBdr>
                  <w:divsChild>
                    <w:div w:id="1120414883">
                      <w:marLeft w:val="0"/>
                      <w:marRight w:val="0"/>
                      <w:marTop w:val="0"/>
                      <w:marBottom w:val="0"/>
                      <w:divBdr>
                        <w:top w:val="none" w:sz="0" w:space="0" w:color="auto"/>
                        <w:left w:val="none" w:sz="0" w:space="0" w:color="auto"/>
                        <w:bottom w:val="none" w:sz="0" w:space="0" w:color="auto"/>
                        <w:right w:val="none" w:sz="0" w:space="0" w:color="auto"/>
                      </w:divBdr>
                    </w:div>
                  </w:divsChild>
                </w:div>
                <w:div w:id="1981300857">
                  <w:marLeft w:val="0"/>
                  <w:marRight w:val="0"/>
                  <w:marTop w:val="0"/>
                  <w:marBottom w:val="0"/>
                  <w:divBdr>
                    <w:top w:val="none" w:sz="0" w:space="0" w:color="auto"/>
                    <w:left w:val="none" w:sz="0" w:space="0" w:color="auto"/>
                    <w:bottom w:val="none" w:sz="0" w:space="0" w:color="auto"/>
                    <w:right w:val="none" w:sz="0" w:space="0" w:color="auto"/>
                  </w:divBdr>
                  <w:divsChild>
                    <w:div w:id="1042439174">
                      <w:marLeft w:val="0"/>
                      <w:marRight w:val="0"/>
                      <w:marTop w:val="0"/>
                      <w:marBottom w:val="0"/>
                      <w:divBdr>
                        <w:top w:val="none" w:sz="0" w:space="0" w:color="auto"/>
                        <w:left w:val="none" w:sz="0" w:space="0" w:color="auto"/>
                        <w:bottom w:val="none" w:sz="0" w:space="0" w:color="auto"/>
                        <w:right w:val="none" w:sz="0" w:space="0" w:color="auto"/>
                      </w:divBdr>
                    </w:div>
                  </w:divsChild>
                </w:div>
                <w:div w:id="2027711236">
                  <w:marLeft w:val="0"/>
                  <w:marRight w:val="0"/>
                  <w:marTop w:val="0"/>
                  <w:marBottom w:val="0"/>
                  <w:divBdr>
                    <w:top w:val="none" w:sz="0" w:space="0" w:color="auto"/>
                    <w:left w:val="none" w:sz="0" w:space="0" w:color="auto"/>
                    <w:bottom w:val="none" w:sz="0" w:space="0" w:color="auto"/>
                    <w:right w:val="none" w:sz="0" w:space="0" w:color="auto"/>
                  </w:divBdr>
                  <w:divsChild>
                    <w:div w:id="17314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4966">
          <w:marLeft w:val="0"/>
          <w:marRight w:val="0"/>
          <w:marTop w:val="0"/>
          <w:marBottom w:val="0"/>
          <w:divBdr>
            <w:top w:val="none" w:sz="0" w:space="0" w:color="auto"/>
            <w:left w:val="none" w:sz="0" w:space="0" w:color="auto"/>
            <w:bottom w:val="none" w:sz="0" w:space="0" w:color="auto"/>
            <w:right w:val="none" w:sz="0" w:space="0" w:color="auto"/>
          </w:divBdr>
          <w:divsChild>
            <w:div w:id="1579515307">
              <w:marLeft w:val="-75"/>
              <w:marRight w:val="0"/>
              <w:marTop w:val="30"/>
              <w:marBottom w:val="30"/>
              <w:divBdr>
                <w:top w:val="none" w:sz="0" w:space="0" w:color="auto"/>
                <w:left w:val="none" w:sz="0" w:space="0" w:color="auto"/>
                <w:bottom w:val="none" w:sz="0" w:space="0" w:color="auto"/>
                <w:right w:val="none" w:sz="0" w:space="0" w:color="auto"/>
              </w:divBdr>
              <w:divsChild>
                <w:div w:id="74715858">
                  <w:marLeft w:val="0"/>
                  <w:marRight w:val="0"/>
                  <w:marTop w:val="0"/>
                  <w:marBottom w:val="0"/>
                  <w:divBdr>
                    <w:top w:val="none" w:sz="0" w:space="0" w:color="auto"/>
                    <w:left w:val="none" w:sz="0" w:space="0" w:color="auto"/>
                    <w:bottom w:val="none" w:sz="0" w:space="0" w:color="auto"/>
                    <w:right w:val="none" w:sz="0" w:space="0" w:color="auto"/>
                  </w:divBdr>
                  <w:divsChild>
                    <w:div w:id="1762022709">
                      <w:marLeft w:val="0"/>
                      <w:marRight w:val="0"/>
                      <w:marTop w:val="0"/>
                      <w:marBottom w:val="0"/>
                      <w:divBdr>
                        <w:top w:val="none" w:sz="0" w:space="0" w:color="auto"/>
                        <w:left w:val="none" w:sz="0" w:space="0" w:color="auto"/>
                        <w:bottom w:val="none" w:sz="0" w:space="0" w:color="auto"/>
                        <w:right w:val="none" w:sz="0" w:space="0" w:color="auto"/>
                      </w:divBdr>
                    </w:div>
                  </w:divsChild>
                </w:div>
                <w:div w:id="124324319">
                  <w:marLeft w:val="0"/>
                  <w:marRight w:val="0"/>
                  <w:marTop w:val="0"/>
                  <w:marBottom w:val="0"/>
                  <w:divBdr>
                    <w:top w:val="none" w:sz="0" w:space="0" w:color="auto"/>
                    <w:left w:val="none" w:sz="0" w:space="0" w:color="auto"/>
                    <w:bottom w:val="none" w:sz="0" w:space="0" w:color="auto"/>
                    <w:right w:val="none" w:sz="0" w:space="0" w:color="auto"/>
                  </w:divBdr>
                  <w:divsChild>
                    <w:div w:id="651131949">
                      <w:marLeft w:val="0"/>
                      <w:marRight w:val="0"/>
                      <w:marTop w:val="0"/>
                      <w:marBottom w:val="0"/>
                      <w:divBdr>
                        <w:top w:val="none" w:sz="0" w:space="0" w:color="auto"/>
                        <w:left w:val="none" w:sz="0" w:space="0" w:color="auto"/>
                        <w:bottom w:val="none" w:sz="0" w:space="0" w:color="auto"/>
                        <w:right w:val="none" w:sz="0" w:space="0" w:color="auto"/>
                      </w:divBdr>
                    </w:div>
                  </w:divsChild>
                </w:div>
                <w:div w:id="157624238">
                  <w:marLeft w:val="0"/>
                  <w:marRight w:val="0"/>
                  <w:marTop w:val="0"/>
                  <w:marBottom w:val="0"/>
                  <w:divBdr>
                    <w:top w:val="none" w:sz="0" w:space="0" w:color="auto"/>
                    <w:left w:val="none" w:sz="0" w:space="0" w:color="auto"/>
                    <w:bottom w:val="none" w:sz="0" w:space="0" w:color="auto"/>
                    <w:right w:val="none" w:sz="0" w:space="0" w:color="auto"/>
                  </w:divBdr>
                  <w:divsChild>
                    <w:div w:id="1534462924">
                      <w:marLeft w:val="0"/>
                      <w:marRight w:val="0"/>
                      <w:marTop w:val="0"/>
                      <w:marBottom w:val="0"/>
                      <w:divBdr>
                        <w:top w:val="none" w:sz="0" w:space="0" w:color="auto"/>
                        <w:left w:val="none" w:sz="0" w:space="0" w:color="auto"/>
                        <w:bottom w:val="none" w:sz="0" w:space="0" w:color="auto"/>
                        <w:right w:val="none" w:sz="0" w:space="0" w:color="auto"/>
                      </w:divBdr>
                    </w:div>
                  </w:divsChild>
                </w:div>
                <w:div w:id="225922062">
                  <w:marLeft w:val="0"/>
                  <w:marRight w:val="0"/>
                  <w:marTop w:val="0"/>
                  <w:marBottom w:val="0"/>
                  <w:divBdr>
                    <w:top w:val="none" w:sz="0" w:space="0" w:color="auto"/>
                    <w:left w:val="none" w:sz="0" w:space="0" w:color="auto"/>
                    <w:bottom w:val="none" w:sz="0" w:space="0" w:color="auto"/>
                    <w:right w:val="none" w:sz="0" w:space="0" w:color="auto"/>
                  </w:divBdr>
                  <w:divsChild>
                    <w:div w:id="968365438">
                      <w:marLeft w:val="0"/>
                      <w:marRight w:val="0"/>
                      <w:marTop w:val="0"/>
                      <w:marBottom w:val="0"/>
                      <w:divBdr>
                        <w:top w:val="none" w:sz="0" w:space="0" w:color="auto"/>
                        <w:left w:val="none" w:sz="0" w:space="0" w:color="auto"/>
                        <w:bottom w:val="none" w:sz="0" w:space="0" w:color="auto"/>
                        <w:right w:val="none" w:sz="0" w:space="0" w:color="auto"/>
                      </w:divBdr>
                    </w:div>
                  </w:divsChild>
                </w:div>
                <w:div w:id="310670954">
                  <w:marLeft w:val="0"/>
                  <w:marRight w:val="0"/>
                  <w:marTop w:val="0"/>
                  <w:marBottom w:val="0"/>
                  <w:divBdr>
                    <w:top w:val="none" w:sz="0" w:space="0" w:color="auto"/>
                    <w:left w:val="none" w:sz="0" w:space="0" w:color="auto"/>
                    <w:bottom w:val="none" w:sz="0" w:space="0" w:color="auto"/>
                    <w:right w:val="none" w:sz="0" w:space="0" w:color="auto"/>
                  </w:divBdr>
                  <w:divsChild>
                    <w:div w:id="616067444">
                      <w:marLeft w:val="0"/>
                      <w:marRight w:val="0"/>
                      <w:marTop w:val="0"/>
                      <w:marBottom w:val="0"/>
                      <w:divBdr>
                        <w:top w:val="none" w:sz="0" w:space="0" w:color="auto"/>
                        <w:left w:val="none" w:sz="0" w:space="0" w:color="auto"/>
                        <w:bottom w:val="none" w:sz="0" w:space="0" w:color="auto"/>
                        <w:right w:val="none" w:sz="0" w:space="0" w:color="auto"/>
                      </w:divBdr>
                    </w:div>
                  </w:divsChild>
                </w:div>
                <w:div w:id="310721227">
                  <w:marLeft w:val="0"/>
                  <w:marRight w:val="0"/>
                  <w:marTop w:val="0"/>
                  <w:marBottom w:val="0"/>
                  <w:divBdr>
                    <w:top w:val="none" w:sz="0" w:space="0" w:color="auto"/>
                    <w:left w:val="none" w:sz="0" w:space="0" w:color="auto"/>
                    <w:bottom w:val="none" w:sz="0" w:space="0" w:color="auto"/>
                    <w:right w:val="none" w:sz="0" w:space="0" w:color="auto"/>
                  </w:divBdr>
                  <w:divsChild>
                    <w:div w:id="801994777">
                      <w:marLeft w:val="0"/>
                      <w:marRight w:val="0"/>
                      <w:marTop w:val="0"/>
                      <w:marBottom w:val="0"/>
                      <w:divBdr>
                        <w:top w:val="none" w:sz="0" w:space="0" w:color="auto"/>
                        <w:left w:val="none" w:sz="0" w:space="0" w:color="auto"/>
                        <w:bottom w:val="none" w:sz="0" w:space="0" w:color="auto"/>
                        <w:right w:val="none" w:sz="0" w:space="0" w:color="auto"/>
                      </w:divBdr>
                    </w:div>
                  </w:divsChild>
                </w:div>
                <w:div w:id="470900470">
                  <w:marLeft w:val="0"/>
                  <w:marRight w:val="0"/>
                  <w:marTop w:val="0"/>
                  <w:marBottom w:val="0"/>
                  <w:divBdr>
                    <w:top w:val="none" w:sz="0" w:space="0" w:color="auto"/>
                    <w:left w:val="none" w:sz="0" w:space="0" w:color="auto"/>
                    <w:bottom w:val="none" w:sz="0" w:space="0" w:color="auto"/>
                    <w:right w:val="none" w:sz="0" w:space="0" w:color="auto"/>
                  </w:divBdr>
                  <w:divsChild>
                    <w:div w:id="638801640">
                      <w:marLeft w:val="0"/>
                      <w:marRight w:val="0"/>
                      <w:marTop w:val="0"/>
                      <w:marBottom w:val="0"/>
                      <w:divBdr>
                        <w:top w:val="none" w:sz="0" w:space="0" w:color="auto"/>
                        <w:left w:val="none" w:sz="0" w:space="0" w:color="auto"/>
                        <w:bottom w:val="none" w:sz="0" w:space="0" w:color="auto"/>
                        <w:right w:val="none" w:sz="0" w:space="0" w:color="auto"/>
                      </w:divBdr>
                    </w:div>
                  </w:divsChild>
                </w:div>
                <w:div w:id="512185921">
                  <w:marLeft w:val="0"/>
                  <w:marRight w:val="0"/>
                  <w:marTop w:val="0"/>
                  <w:marBottom w:val="0"/>
                  <w:divBdr>
                    <w:top w:val="none" w:sz="0" w:space="0" w:color="auto"/>
                    <w:left w:val="none" w:sz="0" w:space="0" w:color="auto"/>
                    <w:bottom w:val="none" w:sz="0" w:space="0" w:color="auto"/>
                    <w:right w:val="none" w:sz="0" w:space="0" w:color="auto"/>
                  </w:divBdr>
                  <w:divsChild>
                    <w:div w:id="327297184">
                      <w:marLeft w:val="0"/>
                      <w:marRight w:val="0"/>
                      <w:marTop w:val="0"/>
                      <w:marBottom w:val="0"/>
                      <w:divBdr>
                        <w:top w:val="none" w:sz="0" w:space="0" w:color="auto"/>
                        <w:left w:val="none" w:sz="0" w:space="0" w:color="auto"/>
                        <w:bottom w:val="none" w:sz="0" w:space="0" w:color="auto"/>
                        <w:right w:val="none" w:sz="0" w:space="0" w:color="auto"/>
                      </w:divBdr>
                    </w:div>
                  </w:divsChild>
                </w:div>
                <w:div w:id="656806801">
                  <w:marLeft w:val="0"/>
                  <w:marRight w:val="0"/>
                  <w:marTop w:val="0"/>
                  <w:marBottom w:val="0"/>
                  <w:divBdr>
                    <w:top w:val="none" w:sz="0" w:space="0" w:color="auto"/>
                    <w:left w:val="none" w:sz="0" w:space="0" w:color="auto"/>
                    <w:bottom w:val="none" w:sz="0" w:space="0" w:color="auto"/>
                    <w:right w:val="none" w:sz="0" w:space="0" w:color="auto"/>
                  </w:divBdr>
                  <w:divsChild>
                    <w:div w:id="1219437601">
                      <w:marLeft w:val="0"/>
                      <w:marRight w:val="0"/>
                      <w:marTop w:val="0"/>
                      <w:marBottom w:val="0"/>
                      <w:divBdr>
                        <w:top w:val="none" w:sz="0" w:space="0" w:color="auto"/>
                        <w:left w:val="none" w:sz="0" w:space="0" w:color="auto"/>
                        <w:bottom w:val="none" w:sz="0" w:space="0" w:color="auto"/>
                        <w:right w:val="none" w:sz="0" w:space="0" w:color="auto"/>
                      </w:divBdr>
                    </w:div>
                  </w:divsChild>
                </w:div>
                <w:div w:id="701054312">
                  <w:marLeft w:val="0"/>
                  <w:marRight w:val="0"/>
                  <w:marTop w:val="0"/>
                  <w:marBottom w:val="0"/>
                  <w:divBdr>
                    <w:top w:val="none" w:sz="0" w:space="0" w:color="auto"/>
                    <w:left w:val="none" w:sz="0" w:space="0" w:color="auto"/>
                    <w:bottom w:val="none" w:sz="0" w:space="0" w:color="auto"/>
                    <w:right w:val="none" w:sz="0" w:space="0" w:color="auto"/>
                  </w:divBdr>
                  <w:divsChild>
                    <w:div w:id="1734499249">
                      <w:marLeft w:val="0"/>
                      <w:marRight w:val="0"/>
                      <w:marTop w:val="0"/>
                      <w:marBottom w:val="0"/>
                      <w:divBdr>
                        <w:top w:val="none" w:sz="0" w:space="0" w:color="auto"/>
                        <w:left w:val="none" w:sz="0" w:space="0" w:color="auto"/>
                        <w:bottom w:val="none" w:sz="0" w:space="0" w:color="auto"/>
                        <w:right w:val="none" w:sz="0" w:space="0" w:color="auto"/>
                      </w:divBdr>
                    </w:div>
                  </w:divsChild>
                </w:div>
                <w:div w:id="702945564">
                  <w:marLeft w:val="0"/>
                  <w:marRight w:val="0"/>
                  <w:marTop w:val="0"/>
                  <w:marBottom w:val="0"/>
                  <w:divBdr>
                    <w:top w:val="none" w:sz="0" w:space="0" w:color="auto"/>
                    <w:left w:val="none" w:sz="0" w:space="0" w:color="auto"/>
                    <w:bottom w:val="none" w:sz="0" w:space="0" w:color="auto"/>
                    <w:right w:val="none" w:sz="0" w:space="0" w:color="auto"/>
                  </w:divBdr>
                  <w:divsChild>
                    <w:div w:id="708144554">
                      <w:marLeft w:val="0"/>
                      <w:marRight w:val="0"/>
                      <w:marTop w:val="0"/>
                      <w:marBottom w:val="0"/>
                      <w:divBdr>
                        <w:top w:val="none" w:sz="0" w:space="0" w:color="auto"/>
                        <w:left w:val="none" w:sz="0" w:space="0" w:color="auto"/>
                        <w:bottom w:val="none" w:sz="0" w:space="0" w:color="auto"/>
                        <w:right w:val="none" w:sz="0" w:space="0" w:color="auto"/>
                      </w:divBdr>
                    </w:div>
                  </w:divsChild>
                </w:div>
                <w:div w:id="768818923">
                  <w:marLeft w:val="0"/>
                  <w:marRight w:val="0"/>
                  <w:marTop w:val="0"/>
                  <w:marBottom w:val="0"/>
                  <w:divBdr>
                    <w:top w:val="none" w:sz="0" w:space="0" w:color="auto"/>
                    <w:left w:val="none" w:sz="0" w:space="0" w:color="auto"/>
                    <w:bottom w:val="none" w:sz="0" w:space="0" w:color="auto"/>
                    <w:right w:val="none" w:sz="0" w:space="0" w:color="auto"/>
                  </w:divBdr>
                  <w:divsChild>
                    <w:div w:id="1593968969">
                      <w:marLeft w:val="0"/>
                      <w:marRight w:val="0"/>
                      <w:marTop w:val="0"/>
                      <w:marBottom w:val="0"/>
                      <w:divBdr>
                        <w:top w:val="none" w:sz="0" w:space="0" w:color="auto"/>
                        <w:left w:val="none" w:sz="0" w:space="0" w:color="auto"/>
                        <w:bottom w:val="none" w:sz="0" w:space="0" w:color="auto"/>
                        <w:right w:val="none" w:sz="0" w:space="0" w:color="auto"/>
                      </w:divBdr>
                    </w:div>
                  </w:divsChild>
                </w:div>
                <w:div w:id="774129681">
                  <w:marLeft w:val="0"/>
                  <w:marRight w:val="0"/>
                  <w:marTop w:val="0"/>
                  <w:marBottom w:val="0"/>
                  <w:divBdr>
                    <w:top w:val="none" w:sz="0" w:space="0" w:color="auto"/>
                    <w:left w:val="none" w:sz="0" w:space="0" w:color="auto"/>
                    <w:bottom w:val="none" w:sz="0" w:space="0" w:color="auto"/>
                    <w:right w:val="none" w:sz="0" w:space="0" w:color="auto"/>
                  </w:divBdr>
                  <w:divsChild>
                    <w:div w:id="1414812809">
                      <w:marLeft w:val="0"/>
                      <w:marRight w:val="0"/>
                      <w:marTop w:val="0"/>
                      <w:marBottom w:val="0"/>
                      <w:divBdr>
                        <w:top w:val="none" w:sz="0" w:space="0" w:color="auto"/>
                        <w:left w:val="none" w:sz="0" w:space="0" w:color="auto"/>
                        <w:bottom w:val="none" w:sz="0" w:space="0" w:color="auto"/>
                        <w:right w:val="none" w:sz="0" w:space="0" w:color="auto"/>
                      </w:divBdr>
                    </w:div>
                  </w:divsChild>
                </w:div>
                <w:div w:id="857502566">
                  <w:marLeft w:val="0"/>
                  <w:marRight w:val="0"/>
                  <w:marTop w:val="0"/>
                  <w:marBottom w:val="0"/>
                  <w:divBdr>
                    <w:top w:val="none" w:sz="0" w:space="0" w:color="auto"/>
                    <w:left w:val="none" w:sz="0" w:space="0" w:color="auto"/>
                    <w:bottom w:val="none" w:sz="0" w:space="0" w:color="auto"/>
                    <w:right w:val="none" w:sz="0" w:space="0" w:color="auto"/>
                  </w:divBdr>
                  <w:divsChild>
                    <w:div w:id="55016631">
                      <w:marLeft w:val="0"/>
                      <w:marRight w:val="0"/>
                      <w:marTop w:val="0"/>
                      <w:marBottom w:val="0"/>
                      <w:divBdr>
                        <w:top w:val="none" w:sz="0" w:space="0" w:color="auto"/>
                        <w:left w:val="none" w:sz="0" w:space="0" w:color="auto"/>
                        <w:bottom w:val="none" w:sz="0" w:space="0" w:color="auto"/>
                        <w:right w:val="none" w:sz="0" w:space="0" w:color="auto"/>
                      </w:divBdr>
                    </w:div>
                  </w:divsChild>
                </w:div>
                <w:div w:id="883253569">
                  <w:marLeft w:val="0"/>
                  <w:marRight w:val="0"/>
                  <w:marTop w:val="0"/>
                  <w:marBottom w:val="0"/>
                  <w:divBdr>
                    <w:top w:val="none" w:sz="0" w:space="0" w:color="auto"/>
                    <w:left w:val="none" w:sz="0" w:space="0" w:color="auto"/>
                    <w:bottom w:val="none" w:sz="0" w:space="0" w:color="auto"/>
                    <w:right w:val="none" w:sz="0" w:space="0" w:color="auto"/>
                  </w:divBdr>
                  <w:divsChild>
                    <w:div w:id="379981649">
                      <w:marLeft w:val="0"/>
                      <w:marRight w:val="0"/>
                      <w:marTop w:val="0"/>
                      <w:marBottom w:val="0"/>
                      <w:divBdr>
                        <w:top w:val="none" w:sz="0" w:space="0" w:color="auto"/>
                        <w:left w:val="none" w:sz="0" w:space="0" w:color="auto"/>
                        <w:bottom w:val="none" w:sz="0" w:space="0" w:color="auto"/>
                        <w:right w:val="none" w:sz="0" w:space="0" w:color="auto"/>
                      </w:divBdr>
                    </w:div>
                  </w:divsChild>
                </w:div>
                <w:div w:id="914512244">
                  <w:marLeft w:val="0"/>
                  <w:marRight w:val="0"/>
                  <w:marTop w:val="0"/>
                  <w:marBottom w:val="0"/>
                  <w:divBdr>
                    <w:top w:val="none" w:sz="0" w:space="0" w:color="auto"/>
                    <w:left w:val="none" w:sz="0" w:space="0" w:color="auto"/>
                    <w:bottom w:val="none" w:sz="0" w:space="0" w:color="auto"/>
                    <w:right w:val="none" w:sz="0" w:space="0" w:color="auto"/>
                  </w:divBdr>
                  <w:divsChild>
                    <w:div w:id="205337311">
                      <w:marLeft w:val="0"/>
                      <w:marRight w:val="0"/>
                      <w:marTop w:val="0"/>
                      <w:marBottom w:val="0"/>
                      <w:divBdr>
                        <w:top w:val="none" w:sz="0" w:space="0" w:color="auto"/>
                        <w:left w:val="none" w:sz="0" w:space="0" w:color="auto"/>
                        <w:bottom w:val="none" w:sz="0" w:space="0" w:color="auto"/>
                        <w:right w:val="none" w:sz="0" w:space="0" w:color="auto"/>
                      </w:divBdr>
                    </w:div>
                  </w:divsChild>
                </w:div>
                <w:div w:id="964894147">
                  <w:marLeft w:val="0"/>
                  <w:marRight w:val="0"/>
                  <w:marTop w:val="0"/>
                  <w:marBottom w:val="0"/>
                  <w:divBdr>
                    <w:top w:val="none" w:sz="0" w:space="0" w:color="auto"/>
                    <w:left w:val="none" w:sz="0" w:space="0" w:color="auto"/>
                    <w:bottom w:val="none" w:sz="0" w:space="0" w:color="auto"/>
                    <w:right w:val="none" w:sz="0" w:space="0" w:color="auto"/>
                  </w:divBdr>
                  <w:divsChild>
                    <w:div w:id="1355227090">
                      <w:marLeft w:val="0"/>
                      <w:marRight w:val="0"/>
                      <w:marTop w:val="0"/>
                      <w:marBottom w:val="0"/>
                      <w:divBdr>
                        <w:top w:val="none" w:sz="0" w:space="0" w:color="auto"/>
                        <w:left w:val="none" w:sz="0" w:space="0" w:color="auto"/>
                        <w:bottom w:val="none" w:sz="0" w:space="0" w:color="auto"/>
                        <w:right w:val="none" w:sz="0" w:space="0" w:color="auto"/>
                      </w:divBdr>
                    </w:div>
                  </w:divsChild>
                </w:div>
                <w:div w:id="1028869133">
                  <w:marLeft w:val="0"/>
                  <w:marRight w:val="0"/>
                  <w:marTop w:val="0"/>
                  <w:marBottom w:val="0"/>
                  <w:divBdr>
                    <w:top w:val="none" w:sz="0" w:space="0" w:color="auto"/>
                    <w:left w:val="none" w:sz="0" w:space="0" w:color="auto"/>
                    <w:bottom w:val="none" w:sz="0" w:space="0" w:color="auto"/>
                    <w:right w:val="none" w:sz="0" w:space="0" w:color="auto"/>
                  </w:divBdr>
                  <w:divsChild>
                    <w:div w:id="1905220643">
                      <w:marLeft w:val="0"/>
                      <w:marRight w:val="0"/>
                      <w:marTop w:val="0"/>
                      <w:marBottom w:val="0"/>
                      <w:divBdr>
                        <w:top w:val="none" w:sz="0" w:space="0" w:color="auto"/>
                        <w:left w:val="none" w:sz="0" w:space="0" w:color="auto"/>
                        <w:bottom w:val="none" w:sz="0" w:space="0" w:color="auto"/>
                        <w:right w:val="none" w:sz="0" w:space="0" w:color="auto"/>
                      </w:divBdr>
                    </w:div>
                  </w:divsChild>
                </w:div>
                <w:div w:id="1036538474">
                  <w:marLeft w:val="0"/>
                  <w:marRight w:val="0"/>
                  <w:marTop w:val="0"/>
                  <w:marBottom w:val="0"/>
                  <w:divBdr>
                    <w:top w:val="none" w:sz="0" w:space="0" w:color="auto"/>
                    <w:left w:val="none" w:sz="0" w:space="0" w:color="auto"/>
                    <w:bottom w:val="none" w:sz="0" w:space="0" w:color="auto"/>
                    <w:right w:val="none" w:sz="0" w:space="0" w:color="auto"/>
                  </w:divBdr>
                  <w:divsChild>
                    <w:div w:id="1977490292">
                      <w:marLeft w:val="0"/>
                      <w:marRight w:val="0"/>
                      <w:marTop w:val="0"/>
                      <w:marBottom w:val="0"/>
                      <w:divBdr>
                        <w:top w:val="none" w:sz="0" w:space="0" w:color="auto"/>
                        <w:left w:val="none" w:sz="0" w:space="0" w:color="auto"/>
                        <w:bottom w:val="none" w:sz="0" w:space="0" w:color="auto"/>
                        <w:right w:val="none" w:sz="0" w:space="0" w:color="auto"/>
                      </w:divBdr>
                    </w:div>
                  </w:divsChild>
                </w:div>
                <w:div w:id="1038699938">
                  <w:marLeft w:val="0"/>
                  <w:marRight w:val="0"/>
                  <w:marTop w:val="0"/>
                  <w:marBottom w:val="0"/>
                  <w:divBdr>
                    <w:top w:val="none" w:sz="0" w:space="0" w:color="auto"/>
                    <w:left w:val="none" w:sz="0" w:space="0" w:color="auto"/>
                    <w:bottom w:val="none" w:sz="0" w:space="0" w:color="auto"/>
                    <w:right w:val="none" w:sz="0" w:space="0" w:color="auto"/>
                  </w:divBdr>
                  <w:divsChild>
                    <w:div w:id="1154369823">
                      <w:marLeft w:val="0"/>
                      <w:marRight w:val="0"/>
                      <w:marTop w:val="0"/>
                      <w:marBottom w:val="0"/>
                      <w:divBdr>
                        <w:top w:val="none" w:sz="0" w:space="0" w:color="auto"/>
                        <w:left w:val="none" w:sz="0" w:space="0" w:color="auto"/>
                        <w:bottom w:val="none" w:sz="0" w:space="0" w:color="auto"/>
                        <w:right w:val="none" w:sz="0" w:space="0" w:color="auto"/>
                      </w:divBdr>
                    </w:div>
                  </w:divsChild>
                </w:div>
                <w:div w:id="1040672321">
                  <w:marLeft w:val="0"/>
                  <w:marRight w:val="0"/>
                  <w:marTop w:val="0"/>
                  <w:marBottom w:val="0"/>
                  <w:divBdr>
                    <w:top w:val="none" w:sz="0" w:space="0" w:color="auto"/>
                    <w:left w:val="none" w:sz="0" w:space="0" w:color="auto"/>
                    <w:bottom w:val="none" w:sz="0" w:space="0" w:color="auto"/>
                    <w:right w:val="none" w:sz="0" w:space="0" w:color="auto"/>
                  </w:divBdr>
                  <w:divsChild>
                    <w:div w:id="1724982957">
                      <w:marLeft w:val="0"/>
                      <w:marRight w:val="0"/>
                      <w:marTop w:val="0"/>
                      <w:marBottom w:val="0"/>
                      <w:divBdr>
                        <w:top w:val="none" w:sz="0" w:space="0" w:color="auto"/>
                        <w:left w:val="none" w:sz="0" w:space="0" w:color="auto"/>
                        <w:bottom w:val="none" w:sz="0" w:space="0" w:color="auto"/>
                        <w:right w:val="none" w:sz="0" w:space="0" w:color="auto"/>
                      </w:divBdr>
                    </w:div>
                  </w:divsChild>
                </w:div>
                <w:div w:id="1134174485">
                  <w:marLeft w:val="0"/>
                  <w:marRight w:val="0"/>
                  <w:marTop w:val="0"/>
                  <w:marBottom w:val="0"/>
                  <w:divBdr>
                    <w:top w:val="none" w:sz="0" w:space="0" w:color="auto"/>
                    <w:left w:val="none" w:sz="0" w:space="0" w:color="auto"/>
                    <w:bottom w:val="none" w:sz="0" w:space="0" w:color="auto"/>
                    <w:right w:val="none" w:sz="0" w:space="0" w:color="auto"/>
                  </w:divBdr>
                  <w:divsChild>
                    <w:div w:id="902254829">
                      <w:marLeft w:val="0"/>
                      <w:marRight w:val="0"/>
                      <w:marTop w:val="0"/>
                      <w:marBottom w:val="0"/>
                      <w:divBdr>
                        <w:top w:val="none" w:sz="0" w:space="0" w:color="auto"/>
                        <w:left w:val="none" w:sz="0" w:space="0" w:color="auto"/>
                        <w:bottom w:val="none" w:sz="0" w:space="0" w:color="auto"/>
                        <w:right w:val="none" w:sz="0" w:space="0" w:color="auto"/>
                      </w:divBdr>
                    </w:div>
                  </w:divsChild>
                </w:div>
                <w:div w:id="1188761497">
                  <w:marLeft w:val="0"/>
                  <w:marRight w:val="0"/>
                  <w:marTop w:val="0"/>
                  <w:marBottom w:val="0"/>
                  <w:divBdr>
                    <w:top w:val="none" w:sz="0" w:space="0" w:color="auto"/>
                    <w:left w:val="none" w:sz="0" w:space="0" w:color="auto"/>
                    <w:bottom w:val="none" w:sz="0" w:space="0" w:color="auto"/>
                    <w:right w:val="none" w:sz="0" w:space="0" w:color="auto"/>
                  </w:divBdr>
                  <w:divsChild>
                    <w:div w:id="709840833">
                      <w:marLeft w:val="0"/>
                      <w:marRight w:val="0"/>
                      <w:marTop w:val="0"/>
                      <w:marBottom w:val="0"/>
                      <w:divBdr>
                        <w:top w:val="none" w:sz="0" w:space="0" w:color="auto"/>
                        <w:left w:val="none" w:sz="0" w:space="0" w:color="auto"/>
                        <w:bottom w:val="none" w:sz="0" w:space="0" w:color="auto"/>
                        <w:right w:val="none" w:sz="0" w:space="0" w:color="auto"/>
                      </w:divBdr>
                    </w:div>
                  </w:divsChild>
                </w:div>
                <w:div w:id="1205409839">
                  <w:marLeft w:val="0"/>
                  <w:marRight w:val="0"/>
                  <w:marTop w:val="0"/>
                  <w:marBottom w:val="0"/>
                  <w:divBdr>
                    <w:top w:val="none" w:sz="0" w:space="0" w:color="auto"/>
                    <w:left w:val="none" w:sz="0" w:space="0" w:color="auto"/>
                    <w:bottom w:val="none" w:sz="0" w:space="0" w:color="auto"/>
                    <w:right w:val="none" w:sz="0" w:space="0" w:color="auto"/>
                  </w:divBdr>
                  <w:divsChild>
                    <w:div w:id="1908107707">
                      <w:marLeft w:val="0"/>
                      <w:marRight w:val="0"/>
                      <w:marTop w:val="0"/>
                      <w:marBottom w:val="0"/>
                      <w:divBdr>
                        <w:top w:val="none" w:sz="0" w:space="0" w:color="auto"/>
                        <w:left w:val="none" w:sz="0" w:space="0" w:color="auto"/>
                        <w:bottom w:val="none" w:sz="0" w:space="0" w:color="auto"/>
                        <w:right w:val="none" w:sz="0" w:space="0" w:color="auto"/>
                      </w:divBdr>
                    </w:div>
                  </w:divsChild>
                </w:div>
                <w:div w:id="1247151701">
                  <w:marLeft w:val="0"/>
                  <w:marRight w:val="0"/>
                  <w:marTop w:val="0"/>
                  <w:marBottom w:val="0"/>
                  <w:divBdr>
                    <w:top w:val="none" w:sz="0" w:space="0" w:color="auto"/>
                    <w:left w:val="none" w:sz="0" w:space="0" w:color="auto"/>
                    <w:bottom w:val="none" w:sz="0" w:space="0" w:color="auto"/>
                    <w:right w:val="none" w:sz="0" w:space="0" w:color="auto"/>
                  </w:divBdr>
                  <w:divsChild>
                    <w:div w:id="1273437191">
                      <w:marLeft w:val="0"/>
                      <w:marRight w:val="0"/>
                      <w:marTop w:val="0"/>
                      <w:marBottom w:val="0"/>
                      <w:divBdr>
                        <w:top w:val="none" w:sz="0" w:space="0" w:color="auto"/>
                        <w:left w:val="none" w:sz="0" w:space="0" w:color="auto"/>
                        <w:bottom w:val="none" w:sz="0" w:space="0" w:color="auto"/>
                        <w:right w:val="none" w:sz="0" w:space="0" w:color="auto"/>
                      </w:divBdr>
                    </w:div>
                  </w:divsChild>
                </w:div>
                <w:div w:id="1254047436">
                  <w:marLeft w:val="0"/>
                  <w:marRight w:val="0"/>
                  <w:marTop w:val="0"/>
                  <w:marBottom w:val="0"/>
                  <w:divBdr>
                    <w:top w:val="none" w:sz="0" w:space="0" w:color="auto"/>
                    <w:left w:val="none" w:sz="0" w:space="0" w:color="auto"/>
                    <w:bottom w:val="none" w:sz="0" w:space="0" w:color="auto"/>
                    <w:right w:val="none" w:sz="0" w:space="0" w:color="auto"/>
                  </w:divBdr>
                  <w:divsChild>
                    <w:div w:id="1998797103">
                      <w:marLeft w:val="0"/>
                      <w:marRight w:val="0"/>
                      <w:marTop w:val="0"/>
                      <w:marBottom w:val="0"/>
                      <w:divBdr>
                        <w:top w:val="none" w:sz="0" w:space="0" w:color="auto"/>
                        <w:left w:val="none" w:sz="0" w:space="0" w:color="auto"/>
                        <w:bottom w:val="none" w:sz="0" w:space="0" w:color="auto"/>
                        <w:right w:val="none" w:sz="0" w:space="0" w:color="auto"/>
                      </w:divBdr>
                    </w:div>
                  </w:divsChild>
                </w:div>
                <w:div w:id="1286888006">
                  <w:marLeft w:val="0"/>
                  <w:marRight w:val="0"/>
                  <w:marTop w:val="0"/>
                  <w:marBottom w:val="0"/>
                  <w:divBdr>
                    <w:top w:val="none" w:sz="0" w:space="0" w:color="auto"/>
                    <w:left w:val="none" w:sz="0" w:space="0" w:color="auto"/>
                    <w:bottom w:val="none" w:sz="0" w:space="0" w:color="auto"/>
                    <w:right w:val="none" w:sz="0" w:space="0" w:color="auto"/>
                  </w:divBdr>
                  <w:divsChild>
                    <w:div w:id="708645674">
                      <w:marLeft w:val="0"/>
                      <w:marRight w:val="0"/>
                      <w:marTop w:val="0"/>
                      <w:marBottom w:val="0"/>
                      <w:divBdr>
                        <w:top w:val="none" w:sz="0" w:space="0" w:color="auto"/>
                        <w:left w:val="none" w:sz="0" w:space="0" w:color="auto"/>
                        <w:bottom w:val="none" w:sz="0" w:space="0" w:color="auto"/>
                        <w:right w:val="none" w:sz="0" w:space="0" w:color="auto"/>
                      </w:divBdr>
                    </w:div>
                  </w:divsChild>
                </w:div>
                <w:div w:id="1307516328">
                  <w:marLeft w:val="0"/>
                  <w:marRight w:val="0"/>
                  <w:marTop w:val="0"/>
                  <w:marBottom w:val="0"/>
                  <w:divBdr>
                    <w:top w:val="none" w:sz="0" w:space="0" w:color="auto"/>
                    <w:left w:val="none" w:sz="0" w:space="0" w:color="auto"/>
                    <w:bottom w:val="none" w:sz="0" w:space="0" w:color="auto"/>
                    <w:right w:val="none" w:sz="0" w:space="0" w:color="auto"/>
                  </w:divBdr>
                  <w:divsChild>
                    <w:div w:id="1916430042">
                      <w:marLeft w:val="0"/>
                      <w:marRight w:val="0"/>
                      <w:marTop w:val="0"/>
                      <w:marBottom w:val="0"/>
                      <w:divBdr>
                        <w:top w:val="none" w:sz="0" w:space="0" w:color="auto"/>
                        <w:left w:val="none" w:sz="0" w:space="0" w:color="auto"/>
                        <w:bottom w:val="none" w:sz="0" w:space="0" w:color="auto"/>
                        <w:right w:val="none" w:sz="0" w:space="0" w:color="auto"/>
                      </w:divBdr>
                    </w:div>
                  </w:divsChild>
                </w:div>
                <w:div w:id="1315333208">
                  <w:marLeft w:val="0"/>
                  <w:marRight w:val="0"/>
                  <w:marTop w:val="0"/>
                  <w:marBottom w:val="0"/>
                  <w:divBdr>
                    <w:top w:val="none" w:sz="0" w:space="0" w:color="auto"/>
                    <w:left w:val="none" w:sz="0" w:space="0" w:color="auto"/>
                    <w:bottom w:val="none" w:sz="0" w:space="0" w:color="auto"/>
                    <w:right w:val="none" w:sz="0" w:space="0" w:color="auto"/>
                  </w:divBdr>
                  <w:divsChild>
                    <w:div w:id="1214849585">
                      <w:marLeft w:val="0"/>
                      <w:marRight w:val="0"/>
                      <w:marTop w:val="0"/>
                      <w:marBottom w:val="0"/>
                      <w:divBdr>
                        <w:top w:val="none" w:sz="0" w:space="0" w:color="auto"/>
                        <w:left w:val="none" w:sz="0" w:space="0" w:color="auto"/>
                        <w:bottom w:val="none" w:sz="0" w:space="0" w:color="auto"/>
                        <w:right w:val="none" w:sz="0" w:space="0" w:color="auto"/>
                      </w:divBdr>
                    </w:div>
                  </w:divsChild>
                </w:div>
                <w:div w:id="1327517471">
                  <w:marLeft w:val="0"/>
                  <w:marRight w:val="0"/>
                  <w:marTop w:val="0"/>
                  <w:marBottom w:val="0"/>
                  <w:divBdr>
                    <w:top w:val="none" w:sz="0" w:space="0" w:color="auto"/>
                    <w:left w:val="none" w:sz="0" w:space="0" w:color="auto"/>
                    <w:bottom w:val="none" w:sz="0" w:space="0" w:color="auto"/>
                    <w:right w:val="none" w:sz="0" w:space="0" w:color="auto"/>
                  </w:divBdr>
                  <w:divsChild>
                    <w:div w:id="1696543292">
                      <w:marLeft w:val="0"/>
                      <w:marRight w:val="0"/>
                      <w:marTop w:val="0"/>
                      <w:marBottom w:val="0"/>
                      <w:divBdr>
                        <w:top w:val="none" w:sz="0" w:space="0" w:color="auto"/>
                        <w:left w:val="none" w:sz="0" w:space="0" w:color="auto"/>
                        <w:bottom w:val="none" w:sz="0" w:space="0" w:color="auto"/>
                        <w:right w:val="none" w:sz="0" w:space="0" w:color="auto"/>
                      </w:divBdr>
                    </w:div>
                  </w:divsChild>
                </w:div>
                <w:div w:id="1374499755">
                  <w:marLeft w:val="0"/>
                  <w:marRight w:val="0"/>
                  <w:marTop w:val="0"/>
                  <w:marBottom w:val="0"/>
                  <w:divBdr>
                    <w:top w:val="none" w:sz="0" w:space="0" w:color="auto"/>
                    <w:left w:val="none" w:sz="0" w:space="0" w:color="auto"/>
                    <w:bottom w:val="none" w:sz="0" w:space="0" w:color="auto"/>
                    <w:right w:val="none" w:sz="0" w:space="0" w:color="auto"/>
                  </w:divBdr>
                  <w:divsChild>
                    <w:div w:id="2135362299">
                      <w:marLeft w:val="0"/>
                      <w:marRight w:val="0"/>
                      <w:marTop w:val="0"/>
                      <w:marBottom w:val="0"/>
                      <w:divBdr>
                        <w:top w:val="none" w:sz="0" w:space="0" w:color="auto"/>
                        <w:left w:val="none" w:sz="0" w:space="0" w:color="auto"/>
                        <w:bottom w:val="none" w:sz="0" w:space="0" w:color="auto"/>
                        <w:right w:val="none" w:sz="0" w:space="0" w:color="auto"/>
                      </w:divBdr>
                    </w:div>
                  </w:divsChild>
                </w:div>
                <w:div w:id="1405494536">
                  <w:marLeft w:val="0"/>
                  <w:marRight w:val="0"/>
                  <w:marTop w:val="0"/>
                  <w:marBottom w:val="0"/>
                  <w:divBdr>
                    <w:top w:val="none" w:sz="0" w:space="0" w:color="auto"/>
                    <w:left w:val="none" w:sz="0" w:space="0" w:color="auto"/>
                    <w:bottom w:val="none" w:sz="0" w:space="0" w:color="auto"/>
                    <w:right w:val="none" w:sz="0" w:space="0" w:color="auto"/>
                  </w:divBdr>
                  <w:divsChild>
                    <w:div w:id="914902380">
                      <w:marLeft w:val="0"/>
                      <w:marRight w:val="0"/>
                      <w:marTop w:val="0"/>
                      <w:marBottom w:val="0"/>
                      <w:divBdr>
                        <w:top w:val="none" w:sz="0" w:space="0" w:color="auto"/>
                        <w:left w:val="none" w:sz="0" w:space="0" w:color="auto"/>
                        <w:bottom w:val="none" w:sz="0" w:space="0" w:color="auto"/>
                        <w:right w:val="none" w:sz="0" w:space="0" w:color="auto"/>
                      </w:divBdr>
                    </w:div>
                  </w:divsChild>
                </w:div>
                <w:div w:id="1437629976">
                  <w:marLeft w:val="0"/>
                  <w:marRight w:val="0"/>
                  <w:marTop w:val="0"/>
                  <w:marBottom w:val="0"/>
                  <w:divBdr>
                    <w:top w:val="none" w:sz="0" w:space="0" w:color="auto"/>
                    <w:left w:val="none" w:sz="0" w:space="0" w:color="auto"/>
                    <w:bottom w:val="none" w:sz="0" w:space="0" w:color="auto"/>
                    <w:right w:val="none" w:sz="0" w:space="0" w:color="auto"/>
                  </w:divBdr>
                  <w:divsChild>
                    <w:div w:id="472215675">
                      <w:marLeft w:val="0"/>
                      <w:marRight w:val="0"/>
                      <w:marTop w:val="0"/>
                      <w:marBottom w:val="0"/>
                      <w:divBdr>
                        <w:top w:val="none" w:sz="0" w:space="0" w:color="auto"/>
                        <w:left w:val="none" w:sz="0" w:space="0" w:color="auto"/>
                        <w:bottom w:val="none" w:sz="0" w:space="0" w:color="auto"/>
                        <w:right w:val="none" w:sz="0" w:space="0" w:color="auto"/>
                      </w:divBdr>
                    </w:div>
                  </w:divsChild>
                </w:div>
                <w:div w:id="1437873239">
                  <w:marLeft w:val="0"/>
                  <w:marRight w:val="0"/>
                  <w:marTop w:val="0"/>
                  <w:marBottom w:val="0"/>
                  <w:divBdr>
                    <w:top w:val="none" w:sz="0" w:space="0" w:color="auto"/>
                    <w:left w:val="none" w:sz="0" w:space="0" w:color="auto"/>
                    <w:bottom w:val="none" w:sz="0" w:space="0" w:color="auto"/>
                    <w:right w:val="none" w:sz="0" w:space="0" w:color="auto"/>
                  </w:divBdr>
                  <w:divsChild>
                    <w:div w:id="1812013080">
                      <w:marLeft w:val="0"/>
                      <w:marRight w:val="0"/>
                      <w:marTop w:val="0"/>
                      <w:marBottom w:val="0"/>
                      <w:divBdr>
                        <w:top w:val="none" w:sz="0" w:space="0" w:color="auto"/>
                        <w:left w:val="none" w:sz="0" w:space="0" w:color="auto"/>
                        <w:bottom w:val="none" w:sz="0" w:space="0" w:color="auto"/>
                        <w:right w:val="none" w:sz="0" w:space="0" w:color="auto"/>
                      </w:divBdr>
                    </w:div>
                  </w:divsChild>
                </w:div>
                <w:div w:id="1498568952">
                  <w:marLeft w:val="0"/>
                  <w:marRight w:val="0"/>
                  <w:marTop w:val="0"/>
                  <w:marBottom w:val="0"/>
                  <w:divBdr>
                    <w:top w:val="none" w:sz="0" w:space="0" w:color="auto"/>
                    <w:left w:val="none" w:sz="0" w:space="0" w:color="auto"/>
                    <w:bottom w:val="none" w:sz="0" w:space="0" w:color="auto"/>
                    <w:right w:val="none" w:sz="0" w:space="0" w:color="auto"/>
                  </w:divBdr>
                  <w:divsChild>
                    <w:div w:id="1770930693">
                      <w:marLeft w:val="0"/>
                      <w:marRight w:val="0"/>
                      <w:marTop w:val="0"/>
                      <w:marBottom w:val="0"/>
                      <w:divBdr>
                        <w:top w:val="none" w:sz="0" w:space="0" w:color="auto"/>
                        <w:left w:val="none" w:sz="0" w:space="0" w:color="auto"/>
                        <w:bottom w:val="none" w:sz="0" w:space="0" w:color="auto"/>
                        <w:right w:val="none" w:sz="0" w:space="0" w:color="auto"/>
                      </w:divBdr>
                    </w:div>
                  </w:divsChild>
                </w:div>
                <w:div w:id="1503541516">
                  <w:marLeft w:val="0"/>
                  <w:marRight w:val="0"/>
                  <w:marTop w:val="0"/>
                  <w:marBottom w:val="0"/>
                  <w:divBdr>
                    <w:top w:val="none" w:sz="0" w:space="0" w:color="auto"/>
                    <w:left w:val="none" w:sz="0" w:space="0" w:color="auto"/>
                    <w:bottom w:val="none" w:sz="0" w:space="0" w:color="auto"/>
                    <w:right w:val="none" w:sz="0" w:space="0" w:color="auto"/>
                  </w:divBdr>
                  <w:divsChild>
                    <w:div w:id="1233462383">
                      <w:marLeft w:val="0"/>
                      <w:marRight w:val="0"/>
                      <w:marTop w:val="0"/>
                      <w:marBottom w:val="0"/>
                      <w:divBdr>
                        <w:top w:val="none" w:sz="0" w:space="0" w:color="auto"/>
                        <w:left w:val="none" w:sz="0" w:space="0" w:color="auto"/>
                        <w:bottom w:val="none" w:sz="0" w:space="0" w:color="auto"/>
                        <w:right w:val="none" w:sz="0" w:space="0" w:color="auto"/>
                      </w:divBdr>
                    </w:div>
                  </w:divsChild>
                </w:div>
                <w:div w:id="1507212951">
                  <w:marLeft w:val="0"/>
                  <w:marRight w:val="0"/>
                  <w:marTop w:val="0"/>
                  <w:marBottom w:val="0"/>
                  <w:divBdr>
                    <w:top w:val="none" w:sz="0" w:space="0" w:color="auto"/>
                    <w:left w:val="none" w:sz="0" w:space="0" w:color="auto"/>
                    <w:bottom w:val="none" w:sz="0" w:space="0" w:color="auto"/>
                    <w:right w:val="none" w:sz="0" w:space="0" w:color="auto"/>
                  </w:divBdr>
                  <w:divsChild>
                    <w:div w:id="536704407">
                      <w:marLeft w:val="0"/>
                      <w:marRight w:val="0"/>
                      <w:marTop w:val="0"/>
                      <w:marBottom w:val="0"/>
                      <w:divBdr>
                        <w:top w:val="none" w:sz="0" w:space="0" w:color="auto"/>
                        <w:left w:val="none" w:sz="0" w:space="0" w:color="auto"/>
                        <w:bottom w:val="none" w:sz="0" w:space="0" w:color="auto"/>
                        <w:right w:val="none" w:sz="0" w:space="0" w:color="auto"/>
                      </w:divBdr>
                    </w:div>
                  </w:divsChild>
                </w:div>
                <w:div w:id="1527870408">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0"/>
                      <w:marRight w:val="0"/>
                      <w:marTop w:val="0"/>
                      <w:marBottom w:val="0"/>
                      <w:divBdr>
                        <w:top w:val="none" w:sz="0" w:space="0" w:color="auto"/>
                        <w:left w:val="none" w:sz="0" w:space="0" w:color="auto"/>
                        <w:bottom w:val="none" w:sz="0" w:space="0" w:color="auto"/>
                        <w:right w:val="none" w:sz="0" w:space="0" w:color="auto"/>
                      </w:divBdr>
                    </w:div>
                  </w:divsChild>
                </w:div>
                <w:div w:id="1576936224">
                  <w:marLeft w:val="0"/>
                  <w:marRight w:val="0"/>
                  <w:marTop w:val="0"/>
                  <w:marBottom w:val="0"/>
                  <w:divBdr>
                    <w:top w:val="none" w:sz="0" w:space="0" w:color="auto"/>
                    <w:left w:val="none" w:sz="0" w:space="0" w:color="auto"/>
                    <w:bottom w:val="none" w:sz="0" w:space="0" w:color="auto"/>
                    <w:right w:val="none" w:sz="0" w:space="0" w:color="auto"/>
                  </w:divBdr>
                  <w:divsChild>
                    <w:div w:id="1468620512">
                      <w:marLeft w:val="0"/>
                      <w:marRight w:val="0"/>
                      <w:marTop w:val="0"/>
                      <w:marBottom w:val="0"/>
                      <w:divBdr>
                        <w:top w:val="none" w:sz="0" w:space="0" w:color="auto"/>
                        <w:left w:val="none" w:sz="0" w:space="0" w:color="auto"/>
                        <w:bottom w:val="none" w:sz="0" w:space="0" w:color="auto"/>
                        <w:right w:val="none" w:sz="0" w:space="0" w:color="auto"/>
                      </w:divBdr>
                    </w:div>
                  </w:divsChild>
                </w:div>
                <w:div w:id="1585217231">
                  <w:marLeft w:val="0"/>
                  <w:marRight w:val="0"/>
                  <w:marTop w:val="0"/>
                  <w:marBottom w:val="0"/>
                  <w:divBdr>
                    <w:top w:val="none" w:sz="0" w:space="0" w:color="auto"/>
                    <w:left w:val="none" w:sz="0" w:space="0" w:color="auto"/>
                    <w:bottom w:val="none" w:sz="0" w:space="0" w:color="auto"/>
                    <w:right w:val="none" w:sz="0" w:space="0" w:color="auto"/>
                  </w:divBdr>
                  <w:divsChild>
                    <w:div w:id="1488474627">
                      <w:marLeft w:val="0"/>
                      <w:marRight w:val="0"/>
                      <w:marTop w:val="0"/>
                      <w:marBottom w:val="0"/>
                      <w:divBdr>
                        <w:top w:val="none" w:sz="0" w:space="0" w:color="auto"/>
                        <w:left w:val="none" w:sz="0" w:space="0" w:color="auto"/>
                        <w:bottom w:val="none" w:sz="0" w:space="0" w:color="auto"/>
                        <w:right w:val="none" w:sz="0" w:space="0" w:color="auto"/>
                      </w:divBdr>
                    </w:div>
                  </w:divsChild>
                </w:div>
                <w:div w:id="1622683280">
                  <w:marLeft w:val="0"/>
                  <w:marRight w:val="0"/>
                  <w:marTop w:val="0"/>
                  <w:marBottom w:val="0"/>
                  <w:divBdr>
                    <w:top w:val="none" w:sz="0" w:space="0" w:color="auto"/>
                    <w:left w:val="none" w:sz="0" w:space="0" w:color="auto"/>
                    <w:bottom w:val="none" w:sz="0" w:space="0" w:color="auto"/>
                    <w:right w:val="none" w:sz="0" w:space="0" w:color="auto"/>
                  </w:divBdr>
                  <w:divsChild>
                    <w:div w:id="1423603192">
                      <w:marLeft w:val="0"/>
                      <w:marRight w:val="0"/>
                      <w:marTop w:val="0"/>
                      <w:marBottom w:val="0"/>
                      <w:divBdr>
                        <w:top w:val="none" w:sz="0" w:space="0" w:color="auto"/>
                        <w:left w:val="none" w:sz="0" w:space="0" w:color="auto"/>
                        <w:bottom w:val="none" w:sz="0" w:space="0" w:color="auto"/>
                        <w:right w:val="none" w:sz="0" w:space="0" w:color="auto"/>
                      </w:divBdr>
                    </w:div>
                  </w:divsChild>
                </w:div>
                <w:div w:id="1623461755">
                  <w:marLeft w:val="0"/>
                  <w:marRight w:val="0"/>
                  <w:marTop w:val="0"/>
                  <w:marBottom w:val="0"/>
                  <w:divBdr>
                    <w:top w:val="none" w:sz="0" w:space="0" w:color="auto"/>
                    <w:left w:val="none" w:sz="0" w:space="0" w:color="auto"/>
                    <w:bottom w:val="none" w:sz="0" w:space="0" w:color="auto"/>
                    <w:right w:val="none" w:sz="0" w:space="0" w:color="auto"/>
                  </w:divBdr>
                  <w:divsChild>
                    <w:div w:id="1127434324">
                      <w:marLeft w:val="0"/>
                      <w:marRight w:val="0"/>
                      <w:marTop w:val="0"/>
                      <w:marBottom w:val="0"/>
                      <w:divBdr>
                        <w:top w:val="none" w:sz="0" w:space="0" w:color="auto"/>
                        <w:left w:val="none" w:sz="0" w:space="0" w:color="auto"/>
                        <w:bottom w:val="none" w:sz="0" w:space="0" w:color="auto"/>
                        <w:right w:val="none" w:sz="0" w:space="0" w:color="auto"/>
                      </w:divBdr>
                    </w:div>
                  </w:divsChild>
                </w:div>
                <w:div w:id="1755318879">
                  <w:marLeft w:val="0"/>
                  <w:marRight w:val="0"/>
                  <w:marTop w:val="0"/>
                  <w:marBottom w:val="0"/>
                  <w:divBdr>
                    <w:top w:val="none" w:sz="0" w:space="0" w:color="auto"/>
                    <w:left w:val="none" w:sz="0" w:space="0" w:color="auto"/>
                    <w:bottom w:val="none" w:sz="0" w:space="0" w:color="auto"/>
                    <w:right w:val="none" w:sz="0" w:space="0" w:color="auto"/>
                  </w:divBdr>
                  <w:divsChild>
                    <w:div w:id="1516187294">
                      <w:marLeft w:val="0"/>
                      <w:marRight w:val="0"/>
                      <w:marTop w:val="0"/>
                      <w:marBottom w:val="0"/>
                      <w:divBdr>
                        <w:top w:val="none" w:sz="0" w:space="0" w:color="auto"/>
                        <w:left w:val="none" w:sz="0" w:space="0" w:color="auto"/>
                        <w:bottom w:val="none" w:sz="0" w:space="0" w:color="auto"/>
                        <w:right w:val="none" w:sz="0" w:space="0" w:color="auto"/>
                      </w:divBdr>
                    </w:div>
                  </w:divsChild>
                </w:div>
                <w:div w:id="1835417136">
                  <w:marLeft w:val="0"/>
                  <w:marRight w:val="0"/>
                  <w:marTop w:val="0"/>
                  <w:marBottom w:val="0"/>
                  <w:divBdr>
                    <w:top w:val="none" w:sz="0" w:space="0" w:color="auto"/>
                    <w:left w:val="none" w:sz="0" w:space="0" w:color="auto"/>
                    <w:bottom w:val="none" w:sz="0" w:space="0" w:color="auto"/>
                    <w:right w:val="none" w:sz="0" w:space="0" w:color="auto"/>
                  </w:divBdr>
                  <w:divsChild>
                    <w:div w:id="1873423913">
                      <w:marLeft w:val="0"/>
                      <w:marRight w:val="0"/>
                      <w:marTop w:val="0"/>
                      <w:marBottom w:val="0"/>
                      <w:divBdr>
                        <w:top w:val="none" w:sz="0" w:space="0" w:color="auto"/>
                        <w:left w:val="none" w:sz="0" w:space="0" w:color="auto"/>
                        <w:bottom w:val="none" w:sz="0" w:space="0" w:color="auto"/>
                        <w:right w:val="none" w:sz="0" w:space="0" w:color="auto"/>
                      </w:divBdr>
                    </w:div>
                  </w:divsChild>
                </w:div>
                <w:div w:id="1916091872">
                  <w:marLeft w:val="0"/>
                  <w:marRight w:val="0"/>
                  <w:marTop w:val="0"/>
                  <w:marBottom w:val="0"/>
                  <w:divBdr>
                    <w:top w:val="none" w:sz="0" w:space="0" w:color="auto"/>
                    <w:left w:val="none" w:sz="0" w:space="0" w:color="auto"/>
                    <w:bottom w:val="none" w:sz="0" w:space="0" w:color="auto"/>
                    <w:right w:val="none" w:sz="0" w:space="0" w:color="auto"/>
                  </w:divBdr>
                  <w:divsChild>
                    <w:div w:id="1210146352">
                      <w:marLeft w:val="0"/>
                      <w:marRight w:val="0"/>
                      <w:marTop w:val="0"/>
                      <w:marBottom w:val="0"/>
                      <w:divBdr>
                        <w:top w:val="none" w:sz="0" w:space="0" w:color="auto"/>
                        <w:left w:val="none" w:sz="0" w:space="0" w:color="auto"/>
                        <w:bottom w:val="none" w:sz="0" w:space="0" w:color="auto"/>
                        <w:right w:val="none" w:sz="0" w:space="0" w:color="auto"/>
                      </w:divBdr>
                    </w:div>
                  </w:divsChild>
                </w:div>
                <w:div w:id="1989936301">
                  <w:marLeft w:val="0"/>
                  <w:marRight w:val="0"/>
                  <w:marTop w:val="0"/>
                  <w:marBottom w:val="0"/>
                  <w:divBdr>
                    <w:top w:val="none" w:sz="0" w:space="0" w:color="auto"/>
                    <w:left w:val="none" w:sz="0" w:space="0" w:color="auto"/>
                    <w:bottom w:val="none" w:sz="0" w:space="0" w:color="auto"/>
                    <w:right w:val="none" w:sz="0" w:space="0" w:color="auto"/>
                  </w:divBdr>
                  <w:divsChild>
                    <w:div w:id="1007632084">
                      <w:marLeft w:val="0"/>
                      <w:marRight w:val="0"/>
                      <w:marTop w:val="0"/>
                      <w:marBottom w:val="0"/>
                      <w:divBdr>
                        <w:top w:val="none" w:sz="0" w:space="0" w:color="auto"/>
                        <w:left w:val="none" w:sz="0" w:space="0" w:color="auto"/>
                        <w:bottom w:val="none" w:sz="0" w:space="0" w:color="auto"/>
                        <w:right w:val="none" w:sz="0" w:space="0" w:color="auto"/>
                      </w:divBdr>
                    </w:div>
                  </w:divsChild>
                </w:div>
                <w:div w:id="2017685741">
                  <w:marLeft w:val="0"/>
                  <w:marRight w:val="0"/>
                  <w:marTop w:val="0"/>
                  <w:marBottom w:val="0"/>
                  <w:divBdr>
                    <w:top w:val="none" w:sz="0" w:space="0" w:color="auto"/>
                    <w:left w:val="none" w:sz="0" w:space="0" w:color="auto"/>
                    <w:bottom w:val="none" w:sz="0" w:space="0" w:color="auto"/>
                    <w:right w:val="none" w:sz="0" w:space="0" w:color="auto"/>
                  </w:divBdr>
                  <w:divsChild>
                    <w:div w:id="1045562144">
                      <w:marLeft w:val="0"/>
                      <w:marRight w:val="0"/>
                      <w:marTop w:val="0"/>
                      <w:marBottom w:val="0"/>
                      <w:divBdr>
                        <w:top w:val="none" w:sz="0" w:space="0" w:color="auto"/>
                        <w:left w:val="none" w:sz="0" w:space="0" w:color="auto"/>
                        <w:bottom w:val="none" w:sz="0" w:space="0" w:color="auto"/>
                        <w:right w:val="none" w:sz="0" w:space="0" w:color="auto"/>
                      </w:divBdr>
                    </w:div>
                  </w:divsChild>
                </w:div>
                <w:div w:id="2082288465">
                  <w:marLeft w:val="0"/>
                  <w:marRight w:val="0"/>
                  <w:marTop w:val="0"/>
                  <w:marBottom w:val="0"/>
                  <w:divBdr>
                    <w:top w:val="none" w:sz="0" w:space="0" w:color="auto"/>
                    <w:left w:val="none" w:sz="0" w:space="0" w:color="auto"/>
                    <w:bottom w:val="none" w:sz="0" w:space="0" w:color="auto"/>
                    <w:right w:val="none" w:sz="0" w:space="0" w:color="auto"/>
                  </w:divBdr>
                  <w:divsChild>
                    <w:div w:id="643001054">
                      <w:marLeft w:val="0"/>
                      <w:marRight w:val="0"/>
                      <w:marTop w:val="0"/>
                      <w:marBottom w:val="0"/>
                      <w:divBdr>
                        <w:top w:val="none" w:sz="0" w:space="0" w:color="auto"/>
                        <w:left w:val="none" w:sz="0" w:space="0" w:color="auto"/>
                        <w:bottom w:val="none" w:sz="0" w:space="0" w:color="auto"/>
                        <w:right w:val="none" w:sz="0" w:space="0" w:color="auto"/>
                      </w:divBdr>
                    </w:div>
                  </w:divsChild>
                </w:div>
                <w:div w:id="2106149227">
                  <w:marLeft w:val="0"/>
                  <w:marRight w:val="0"/>
                  <w:marTop w:val="0"/>
                  <w:marBottom w:val="0"/>
                  <w:divBdr>
                    <w:top w:val="none" w:sz="0" w:space="0" w:color="auto"/>
                    <w:left w:val="none" w:sz="0" w:space="0" w:color="auto"/>
                    <w:bottom w:val="none" w:sz="0" w:space="0" w:color="auto"/>
                    <w:right w:val="none" w:sz="0" w:space="0" w:color="auto"/>
                  </w:divBdr>
                  <w:divsChild>
                    <w:div w:id="5575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7847">
          <w:marLeft w:val="0"/>
          <w:marRight w:val="0"/>
          <w:marTop w:val="0"/>
          <w:marBottom w:val="0"/>
          <w:divBdr>
            <w:top w:val="none" w:sz="0" w:space="0" w:color="auto"/>
            <w:left w:val="none" w:sz="0" w:space="0" w:color="auto"/>
            <w:bottom w:val="none" w:sz="0" w:space="0" w:color="auto"/>
            <w:right w:val="none" w:sz="0" w:space="0" w:color="auto"/>
          </w:divBdr>
        </w:div>
        <w:div w:id="745690067">
          <w:marLeft w:val="0"/>
          <w:marRight w:val="0"/>
          <w:marTop w:val="0"/>
          <w:marBottom w:val="0"/>
          <w:divBdr>
            <w:top w:val="none" w:sz="0" w:space="0" w:color="auto"/>
            <w:left w:val="none" w:sz="0" w:space="0" w:color="auto"/>
            <w:bottom w:val="none" w:sz="0" w:space="0" w:color="auto"/>
            <w:right w:val="none" w:sz="0" w:space="0" w:color="auto"/>
          </w:divBdr>
        </w:div>
        <w:div w:id="808203183">
          <w:marLeft w:val="0"/>
          <w:marRight w:val="0"/>
          <w:marTop w:val="0"/>
          <w:marBottom w:val="0"/>
          <w:divBdr>
            <w:top w:val="none" w:sz="0" w:space="0" w:color="auto"/>
            <w:left w:val="none" w:sz="0" w:space="0" w:color="auto"/>
            <w:bottom w:val="none" w:sz="0" w:space="0" w:color="auto"/>
            <w:right w:val="none" w:sz="0" w:space="0" w:color="auto"/>
          </w:divBdr>
          <w:divsChild>
            <w:div w:id="1850101506">
              <w:marLeft w:val="-75"/>
              <w:marRight w:val="0"/>
              <w:marTop w:val="30"/>
              <w:marBottom w:val="30"/>
              <w:divBdr>
                <w:top w:val="none" w:sz="0" w:space="0" w:color="auto"/>
                <w:left w:val="none" w:sz="0" w:space="0" w:color="auto"/>
                <w:bottom w:val="none" w:sz="0" w:space="0" w:color="auto"/>
                <w:right w:val="none" w:sz="0" w:space="0" w:color="auto"/>
              </w:divBdr>
              <w:divsChild>
                <w:div w:id="62871175">
                  <w:marLeft w:val="0"/>
                  <w:marRight w:val="0"/>
                  <w:marTop w:val="0"/>
                  <w:marBottom w:val="0"/>
                  <w:divBdr>
                    <w:top w:val="none" w:sz="0" w:space="0" w:color="auto"/>
                    <w:left w:val="none" w:sz="0" w:space="0" w:color="auto"/>
                    <w:bottom w:val="none" w:sz="0" w:space="0" w:color="auto"/>
                    <w:right w:val="none" w:sz="0" w:space="0" w:color="auto"/>
                  </w:divBdr>
                  <w:divsChild>
                    <w:div w:id="1906524968">
                      <w:marLeft w:val="0"/>
                      <w:marRight w:val="0"/>
                      <w:marTop w:val="0"/>
                      <w:marBottom w:val="0"/>
                      <w:divBdr>
                        <w:top w:val="none" w:sz="0" w:space="0" w:color="auto"/>
                        <w:left w:val="none" w:sz="0" w:space="0" w:color="auto"/>
                        <w:bottom w:val="none" w:sz="0" w:space="0" w:color="auto"/>
                        <w:right w:val="none" w:sz="0" w:space="0" w:color="auto"/>
                      </w:divBdr>
                    </w:div>
                  </w:divsChild>
                </w:div>
                <w:div w:id="72046880">
                  <w:marLeft w:val="0"/>
                  <w:marRight w:val="0"/>
                  <w:marTop w:val="0"/>
                  <w:marBottom w:val="0"/>
                  <w:divBdr>
                    <w:top w:val="none" w:sz="0" w:space="0" w:color="auto"/>
                    <w:left w:val="none" w:sz="0" w:space="0" w:color="auto"/>
                    <w:bottom w:val="none" w:sz="0" w:space="0" w:color="auto"/>
                    <w:right w:val="none" w:sz="0" w:space="0" w:color="auto"/>
                  </w:divBdr>
                  <w:divsChild>
                    <w:div w:id="1659269161">
                      <w:marLeft w:val="0"/>
                      <w:marRight w:val="0"/>
                      <w:marTop w:val="0"/>
                      <w:marBottom w:val="0"/>
                      <w:divBdr>
                        <w:top w:val="none" w:sz="0" w:space="0" w:color="auto"/>
                        <w:left w:val="none" w:sz="0" w:space="0" w:color="auto"/>
                        <w:bottom w:val="none" w:sz="0" w:space="0" w:color="auto"/>
                        <w:right w:val="none" w:sz="0" w:space="0" w:color="auto"/>
                      </w:divBdr>
                    </w:div>
                  </w:divsChild>
                </w:div>
                <w:div w:id="103770040">
                  <w:marLeft w:val="0"/>
                  <w:marRight w:val="0"/>
                  <w:marTop w:val="0"/>
                  <w:marBottom w:val="0"/>
                  <w:divBdr>
                    <w:top w:val="none" w:sz="0" w:space="0" w:color="auto"/>
                    <w:left w:val="none" w:sz="0" w:space="0" w:color="auto"/>
                    <w:bottom w:val="none" w:sz="0" w:space="0" w:color="auto"/>
                    <w:right w:val="none" w:sz="0" w:space="0" w:color="auto"/>
                  </w:divBdr>
                  <w:divsChild>
                    <w:div w:id="176164485">
                      <w:marLeft w:val="0"/>
                      <w:marRight w:val="0"/>
                      <w:marTop w:val="0"/>
                      <w:marBottom w:val="0"/>
                      <w:divBdr>
                        <w:top w:val="none" w:sz="0" w:space="0" w:color="auto"/>
                        <w:left w:val="none" w:sz="0" w:space="0" w:color="auto"/>
                        <w:bottom w:val="none" w:sz="0" w:space="0" w:color="auto"/>
                        <w:right w:val="none" w:sz="0" w:space="0" w:color="auto"/>
                      </w:divBdr>
                    </w:div>
                  </w:divsChild>
                </w:div>
                <w:div w:id="183982265">
                  <w:marLeft w:val="0"/>
                  <w:marRight w:val="0"/>
                  <w:marTop w:val="0"/>
                  <w:marBottom w:val="0"/>
                  <w:divBdr>
                    <w:top w:val="none" w:sz="0" w:space="0" w:color="auto"/>
                    <w:left w:val="none" w:sz="0" w:space="0" w:color="auto"/>
                    <w:bottom w:val="none" w:sz="0" w:space="0" w:color="auto"/>
                    <w:right w:val="none" w:sz="0" w:space="0" w:color="auto"/>
                  </w:divBdr>
                  <w:divsChild>
                    <w:div w:id="2024627587">
                      <w:marLeft w:val="0"/>
                      <w:marRight w:val="0"/>
                      <w:marTop w:val="0"/>
                      <w:marBottom w:val="0"/>
                      <w:divBdr>
                        <w:top w:val="none" w:sz="0" w:space="0" w:color="auto"/>
                        <w:left w:val="none" w:sz="0" w:space="0" w:color="auto"/>
                        <w:bottom w:val="none" w:sz="0" w:space="0" w:color="auto"/>
                        <w:right w:val="none" w:sz="0" w:space="0" w:color="auto"/>
                      </w:divBdr>
                    </w:div>
                  </w:divsChild>
                </w:div>
                <w:div w:id="308364319">
                  <w:marLeft w:val="0"/>
                  <w:marRight w:val="0"/>
                  <w:marTop w:val="0"/>
                  <w:marBottom w:val="0"/>
                  <w:divBdr>
                    <w:top w:val="none" w:sz="0" w:space="0" w:color="auto"/>
                    <w:left w:val="none" w:sz="0" w:space="0" w:color="auto"/>
                    <w:bottom w:val="none" w:sz="0" w:space="0" w:color="auto"/>
                    <w:right w:val="none" w:sz="0" w:space="0" w:color="auto"/>
                  </w:divBdr>
                  <w:divsChild>
                    <w:div w:id="1567690803">
                      <w:marLeft w:val="0"/>
                      <w:marRight w:val="0"/>
                      <w:marTop w:val="0"/>
                      <w:marBottom w:val="0"/>
                      <w:divBdr>
                        <w:top w:val="none" w:sz="0" w:space="0" w:color="auto"/>
                        <w:left w:val="none" w:sz="0" w:space="0" w:color="auto"/>
                        <w:bottom w:val="none" w:sz="0" w:space="0" w:color="auto"/>
                        <w:right w:val="none" w:sz="0" w:space="0" w:color="auto"/>
                      </w:divBdr>
                    </w:div>
                  </w:divsChild>
                </w:div>
                <w:div w:id="531497533">
                  <w:marLeft w:val="0"/>
                  <w:marRight w:val="0"/>
                  <w:marTop w:val="0"/>
                  <w:marBottom w:val="0"/>
                  <w:divBdr>
                    <w:top w:val="none" w:sz="0" w:space="0" w:color="auto"/>
                    <w:left w:val="none" w:sz="0" w:space="0" w:color="auto"/>
                    <w:bottom w:val="none" w:sz="0" w:space="0" w:color="auto"/>
                    <w:right w:val="none" w:sz="0" w:space="0" w:color="auto"/>
                  </w:divBdr>
                  <w:divsChild>
                    <w:div w:id="970092482">
                      <w:marLeft w:val="0"/>
                      <w:marRight w:val="0"/>
                      <w:marTop w:val="0"/>
                      <w:marBottom w:val="0"/>
                      <w:divBdr>
                        <w:top w:val="none" w:sz="0" w:space="0" w:color="auto"/>
                        <w:left w:val="none" w:sz="0" w:space="0" w:color="auto"/>
                        <w:bottom w:val="none" w:sz="0" w:space="0" w:color="auto"/>
                        <w:right w:val="none" w:sz="0" w:space="0" w:color="auto"/>
                      </w:divBdr>
                    </w:div>
                  </w:divsChild>
                </w:div>
                <w:div w:id="624501416">
                  <w:marLeft w:val="0"/>
                  <w:marRight w:val="0"/>
                  <w:marTop w:val="0"/>
                  <w:marBottom w:val="0"/>
                  <w:divBdr>
                    <w:top w:val="none" w:sz="0" w:space="0" w:color="auto"/>
                    <w:left w:val="none" w:sz="0" w:space="0" w:color="auto"/>
                    <w:bottom w:val="none" w:sz="0" w:space="0" w:color="auto"/>
                    <w:right w:val="none" w:sz="0" w:space="0" w:color="auto"/>
                  </w:divBdr>
                  <w:divsChild>
                    <w:div w:id="369258098">
                      <w:marLeft w:val="0"/>
                      <w:marRight w:val="0"/>
                      <w:marTop w:val="0"/>
                      <w:marBottom w:val="0"/>
                      <w:divBdr>
                        <w:top w:val="none" w:sz="0" w:space="0" w:color="auto"/>
                        <w:left w:val="none" w:sz="0" w:space="0" w:color="auto"/>
                        <w:bottom w:val="none" w:sz="0" w:space="0" w:color="auto"/>
                        <w:right w:val="none" w:sz="0" w:space="0" w:color="auto"/>
                      </w:divBdr>
                    </w:div>
                  </w:divsChild>
                </w:div>
                <w:div w:id="745955798">
                  <w:marLeft w:val="0"/>
                  <w:marRight w:val="0"/>
                  <w:marTop w:val="0"/>
                  <w:marBottom w:val="0"/>
                  <w:divBdr>
                    <w:top w:val="none" w:sz="0" w:space="0" w:color="auto"/>
                    <w:left w:val="none" w:sz="0" w:space="0" w:color="auto"/>
                    <w:bottom w:val="none" w:sz="0" w:space="0" w:color="auto"/>
                    <w:right w:val="none" w:sz="0" w:space="0" w:color="auto"/>
                  </w:divBdr>
                  <w:divsChild>
                    <w:div w:id="2053916024">
                      <w:marLeft w:val="0"/>
                      <w:marRight w:val="0"/>
                      <w:marTop w:val="0"/>
                      <w:marBottom w:val="0"/>
                      <w:divBdr>
                        <w:top w:val="none" w:sz="0" w:space="0" w:color="auto"/>
                        <w:left w:val="none" w:sz="0" w:space="0" w:color="auto"/>
                        <w:bottom w:val="none" w:sz="0" w:space="0" w:color="auto"/>
                        <w:right w:val="none" w:sz="0" w:space="0" w:color="auto"/>
                      </w:divBdr>
                    </w:div>
                  </w:divsChild>
                </w:div>
                <w:div w:id="772940904">
                  <w:marLeft w:val="0"/>
                  <w:marRight w:val="0"/>
                  <w:marTop w:val="0"/>
                  <w:marBottom w:val="0"/>
                  <w:divBdr>
                    <w:top w:val="none" w:sz="0" w:space="0" w:color="auto"/>
                    <w:left w:val="none" w:sz="0" w:space="0" w:color="auto"/>
                    <w:bottom w:val="none" w:sz="0" w:space="0" w:color="auto"/>
                    <w:right w:val="none" w:sz="0" w:space="0" w:color="auto"/>
                  </w:divBdr>
                  <w:divsChild>
                    <w:div w:id="1406608031">
                      <w:marLeft w:val="0"/>
                      <w:marRight w:val="0"/>
                      <w:marTop w:val="0"/>
                      <w:marBottom w:val="0"/>
                      <w:divBdr>
                        <w:top w:val="none" w:sz="0" w:space="0" w:color="auto"/>
                        <w:left w:val="none" w:sz="0" w:space="0" w:color="auto"/>
                        <w:bottom w:val="none" w:sz="0" w:space="0" w:color="auto"/>
                        <w:right w:val="none" w:sz="0" w:space="0" w:color="auto"/>
                      </w:divBdr>
                    </w:div>
                  </w:divsChild>
                </w:div>
                <w:div w:id="904069336">
                  <w:marLeft w:val="0"/>
                  <w:marRight w:val="0"/>
                  <w:marTop w:val="0"/>
                  <w:marBottom w:val="0"/>
                  <w:divBdr>
                    <w:top w:val="none" w:sz="0" w:space="0" w:color="auto"/>
                    <w:left w:val="none" w:sz="0" w:space="0" w:color="auto"/>
                    <w:bottom w:val="none" w:sz="0" w:space="0" w:color="auto"/>
                    <w:right w:val="none" w:sz="0" w:space="0" w:color="auto"/>
                  </w:divBdr>
                  <w:divsChild>
                    <w:div w:id="1603759763">
                      <w:marLeft w:val="0"/>
                      <w:marRight w:val="0"/>
                      <w:marTop w:val="0"/>
                      <w:marBottom w:val="0"/>
                      <w:divBdr>
                        <w:top w:val="none" w:sz="0" w:space="0" w:color="auto"/>
                        <w:left w:val="none" w:sz="0" w:space="0" w:color="auto"/>
                        <w:bottom w:val="none" w:sz="0" w:space="0" w:color="auto"/>
                        <w:right w:val="none" w:sz="0" w:space="0" w:color="auto"/>
                      </w:divBdr>
                    </w:div>
                  </w:divsChild>
                </w:div>
                <w:div w:id="922227219">
                  <w:marLeft w:val="0"/>
                  <w:marRight w:val="0"/>
                  <w:marTop w:val="0"/>
                  <w:marBottom w:val="0"/>
                  <w:divBdr>
                    <w:top w:val="none" w:sz="0" w:space="0" w:color="auto"/>
                    <w:left w:val="none" w:sz="0" w:space="0" w:color="auto"/>
                    <w:bottom w:val="none" w:sz="0" w:space="0" w:color="auto"/>
                    <w:right w:val="none" w:sz="0" w:space="0" w:color="auto"/>
                  </w:divBdr>
                  <w:divsChild>
                    <w:div w:id="1777093355">
                      <w:marLeft w:val="0"/>
                      <w:marRight w:val="0"/>
                      <w:marTop w:val="0"/>
                      <w:marBottom w:val="0"/>
                      <w:divBdr>
                        <w:top w:val="none" w:sz="0" w:space="0" w:color="auto"/>
                        <w:left w:val="none" w:sz="0" w:space="0" w:color="auto"/>
                        <w:bottom w:val="none" w:sz="0" w:space="0" w:color="auto"/>
                        <w:right w:val="none" w:sz="0" w:space="0" w:color="auto"/>
                      </w:divBdr>
                    </w:div>
                  </w:divsChild>
                </w:div>
                <w:div w:id="989868720">
                  <w:marLeft w:val="0"/>
                  <w:marRight w:val="0"/>
                  <w:marTop w:val="0"/>
                  <w:marBottom w:val="0"/>
                  <w:divBdr>
                    <w:top w:val="none" w:sz="0" w:space="0" w:color="auto"/>
                    <w:left w:val="none" w:sz="0" w:space="0" w:color="auto"/>
                    <w:bottom w:val="none" w:sz="0" w:space="0" w:color="auto"/>
                    <w:right w:val="none" w:sz="0" w:space="0" w:color="auto"/>
                  </w:divBdr>
                  <w:divsChild>
                    <w:div w:id="1688822582">
                      <w:marLeft w:val="0"/>
                      <w:marRight w:val="0"/>
                      <w:marTop w:val="0"/>
                      <w:marBottom w:val="0"/>
                      <w:divBdr>
                        <w:top w:val="none" w:sz="0" w:space="0" w:color="auto"/>
                        <w:left w:val="none" w:sz="0" w:space="0" w:color="auto"/>
                        <w:bottom w:val="none" w:sz="0" w:space="0" w:color="auto"/>
                        <w:right w:val="none" w:sz="0" w:space="0" w:color="auto"/>
                      </w:divBdr>
                    </w:div>
                  </w:divsChild>
                </w:div>
                <w:div w:id="1284457784">
                  <w:marLeft w:val="0"/>
                  <w:marRight w:val="0"/>
                  <w:marTop w:val="0"/>
                  <w:marBottom w:val="0"/>
                  <w:divBdr>
                    <w:top w:val="none" w:sz="0" w:space="0" w:color="auto"/>
                    <w:left w:val="none" w:sz="0" w:space="0" w:color="auto"/>
                    <w:bottom w:val="none" w:sz="0" w:space="0" w:color="auto"/>
                    <w:right w:val="none" w:sz="0" w:space="0" w:color="auto"/>
                  </w:divBdr>
                  <w:divsChild>
                    <w:div w:id="1187209505">
                      <w:marLeft w:val="0"/>
                      <w:marRight w:val="0"/>
                      <w:marTop w:val="0"/>
                      <w:marBottom w:val="0"/>
                      <w:divBdr>
                        <w:top w:val="none" w:sz="0" w:space="0" w:color="auto"/>
                        <w:left w:val="none" w:sz="0" w:space="0" w:color="auto"/>
                        <w:bottom w:val="none" w:sz="0" w:space="0" w:color="auto"/>
                        <w:right w:val="none" w:sz="0" w:space="0" w:color="auto"/>
                      </w:divBdr>
                    </w:div>
                  </w:divsChild>
                </w:div>
                <w:div w:id="1349915856">
                  <w:marLeft w:val="0"/>
                  <w:marRight w:val="0"/>
                  <w:marTop w:val="0"/>
                  <w:marBottom w:val="0"/>
                  <w:divBdr>
                    <w:top w:val="none" w:sz="0" w:space="0" w:color="auto"/>
                    <w:left w:val="none" w:sz="0" w:space="0" w:color="auto"/>
                    <w:bottom w:val="none" w:sz="0" w:space="0" w:color="auto"/>
                    <w:right w:val="none" w:sz="0" w:space="0" w:color="auto"/>
                  </w:divBdr>
                  <w:divsChild>
                    <w:div w:id="326711055">
                      <w:marLeft w:val="0"/>
                      <w:marRight w:val="0"/>
                      <w:marTop w:val="0"/>
                      <w:marBottom w:val="0"/>
                      <w:divBdr>
                        <w:top w:val="none" w:sz="0" w:space="0" w:color="auto"/>
                        <w:left w:val="none" w:sz="0" w:space="0" w:color="auto"/>
                        <w:bottom w:val="none" w:sz="0" w:space="0" w:color="auto"/>
                        <w:right w:val="none" w:sz="0" w:space="0" w:color="auto"/>
                      </w:divBdr>
                    </w:div>
                  </w:divsChild>
                </w:div>
                <w:div w:id="1375429218">
                  <w:marLeft w:val="0"/>
                  <w:marRight w:val="0"/>
                  <w:marTop w:val="0"/>
                  <w:marBottom w:val="0"/>
                  <w:divBdr>
                    <w:top w:val="none" w:sz="0" w:space="0" w:color="auto"/>
                    <w:left w:val="none" w:sz="0" w:space="0" w:color="auto"/>
                    <w:bottom w:val="none" w:sz="0" w:space="0" w:color="auto"/>
                    <w:right w:val="none" w:sz="0" w:space="0" w:color="auto"/>
                  </w:divBdr>
                  <w:divsChild>
                    <w:div w:id="1976524352">
                      <w:marLeft w:val="0"/>
                      <w:marRight w:val="0"/>
                      <w:marTop w:val="0"/>
                      <w:marBottom w:val="0"/>
                      <w:divBdr>
                        <w:top w:val="none" w:sz="0" w:space="0" w:color="auto"/>
                        <w:left w:val="none" w:sz="0" w:space="0" w:color="auto"/>
                        <w:bottom w:val="none" w:sz="0" w:space="0" w:color="auto"/>
                        <w:right w:val="none" w:sz="0" w:space="0" w:color="auto"/>
                      </w:divBdr>
                    </w:div>
                  </w:divsChild>
                </w:div>
                <w:div w:id="1464495977">
                  <w:marLeft w:val="0"/>
                  <w:marRight w:val="0"/>
                  <w:marTop w:val="0"/>
                  <w:marBottom w:val="0"/>
                  <w:divBdr>
                    <w:top w:val="none" w:sz="0" w:space="0" w:color="auto"/>
                    <w:left w:val="none" w:sz="0" w:space="0" w:color="auto"/>
                    <w:bottom w:val="none" w:sz="0" w:space="0" w:color="auto"/>
                    <w:right w:val="none" w:sz="0" w:space="0" w:color="auto"/>
                  </w:divBdr>
                  <w:divsChild>
                    <w:div w:id="561185838">
                      <w:marLeft w:val="0"/>
                      <w:marRight w:val="0"/>
                      <w:marTop w:val="0"/>
                      <w:marBottom w:val="0"/>
                      <w:divBdr>
                        <w:top w:val="none" w:sz="0" w:space="0" w:color="auto"/>
                        <w:left w:val="none" w:sz="0" w:space="0" w:color="auto"/>
                        <w:bottom w:val="none" w:sz="0" w:space="0" w:color="auto"/>
                        <w:right w:val="none" w:sz="0" w:space="0" w:color="auto"/>
                      </w:divBdr>
                    </w:div>
                  </w:divsChild>
                </w:div>
                <w:div w:id="1703313280">
                  <w:marLeft w:val="0"/>
                  <w:marRight w:val="0"/>
                  <w:marTop w:val="0"/>
                  <w:marBottom w:val="0"/>
                  <w:divBdr>
                    <w:top w:val="none" w:sz="0" w:space="0" w:color="auto"/>
                    <w:left w:val="none" w:sz="0" w:space="0" w:color="auto"/>
                    <w:bottom w:val="none" w:sz="0" w:space="0" w:color="auto"/>
                    <w:right w:val="none" w:sz="0" w:space="0" w:color="auto"/>
                  </w:divBdr>
                  <w:divsChild>
                    <w:div w:id="1087459483">
                      <w:marLeft w:val="0"/>
                      <w:marRight w:val="0"/>
                      <w:marTop w:val="0"/>
                      <w:marBottom w:val="0"/>
                      <w:divBdr>
                        <w:top w:val="none" w:sz="0" w:space="0" w:color="auto"/>
                        <w:left w:val="none" w:sz="0" w:space="0" w:color="auto"/>
                        <w:bottom w:val="none" w:sz="0" w:space="0" w:color="auto"/>
                        <w:right w:val="none" w:sz="0" w:space="0" w:color="auto"/>
                      </w:divBdr>
                    </w:div>
                  </w:divsChild>
                </w:div>
                <w:div w:id="1774091187">
                  <w:marLeft w:val="0"/>
                  <w:marRight w:val="0"/>
                  <w:marTop w:val="0"/>
                  <w:marBottom w:val="0"/>
                  <w:divBdr>
                    <w:top w:val="none" w:sz="0" w:space="0" w:color="auto"/>
                    <w:left w:val="none" w:sz="0" w:space="0" w:color="auto"/>
                    <w:bottom w:val="none" w:sz="0" w:space="0" w:color="auto"/>
                    <w:right w:val="none" w:sz="0" w:space="0" w:color="auto"/>
                  </w:divBdr>
                  <w:divsChild>
                    <w:div w:id="927731038">
                      <w:marLeft w:val="0"/>
                      <w:marRight w:val="0"/>
                      <w:marTop w:val="0"/>
                      <w:marBottom w:val="0"/>
                      <w:divBdr>
                        <w:top w:val="none" w:sz="0" w:space="0" w:color="auto"/>
                        <w:left w:val="none" w:sz="0" w:space="0" w:color="auto"/>
                        <w:bottom w:val="none" w:sz="0" w:space="0" w:color="auto"/>
                        <w:right w:val="none" w:sz="0" w:space="0" w:color="auto"/>
                      </w:divBdr>
                    </w:div>
                  </w:divsChild>
                </w:div>
                <w:div w:id="1952397401">
                  <w:marLeft w:val="0"/>
                  <w:marRight w:val="0"/>
                  <w:marTop w:val="0"/>
                  <w:marBottom w:val="0"/>
                  <w:divBdr>
                    <w:top w:val="none" w:sz="0" w:space="0" w:color="auto"/>
                    <w:left w:val="none" w:sz="0" w:space="0" w:color="auto"/>
                    <w:bottom w:val="none" w:sz="0" w:space="0" w:color="auto"/>
                    <w:right w:val="none" w:sz="0" w:space="0" w:color="auto"/>
                  </w:divBdr>
                  <w:divsChild>
                    <w:div w:id="1899703178">
                      <w:marLeft w:val="0"/>
                      <w:marRight w:val="0"/>
                      <w:marTop w:val="0"/>
                      <w:marBottom w:val="0"/>
                      <w:divBdr>
                        <w:top w:val="none" w:sz="0" w:space="0" w:color="auto"/>
                        <w:left w:val="none" w:sz="0" w:space="0" w:color="auto"/>
                        <w:bottom w:val="none" w:sz="0" w:space="0" w:color="auto"/>
                        <w:right w:val="none" w:sz="0" w:space="0" w:color="auto"/>
                      </w:divBdr>
                    </w:div>
                  </w:divsChild>
                </w:div>
                <w:div w:id="1956519604">
                  <w:marLeft w:val="0"/>
                  <w:marRight w:val="0"/>
                  <w:marTop w:val="0"/>
                  <w:marBottom w:val="0"/>
                  <w:divBdr>
                    <w:top w:val="none" w:sz="0" w:space="0" w:color="auto"/>
                    <w:left w:val="none" w:sz="0" w:space="0" w:color="auto"/>
                    <w:bottom w:val="none" w:sz="0" w:space="0" w:color="auto"/>
                    <w:right w:val="none" w:sz="0" w:space="0" w:color="auto"/>
                  </w:divBdr>
                  <w:divsChild>
                    <w:div w:id="375087821">
                      <w:marLeft w:val="0"/>
                      <w:marRight w:val="0"/>
                      <w:marTop w:val="0"/>
                      <w:marBottom w:val="0"/>
                      <w:divBdr>
                        <w:top w:val="none" w:sz="0" w:space="0" w:color="auto"/>
                        <w:left w:val="none" w:sz="0" w:space="0" w:color="auto"/>
                        <w:bottom w:val="none" w:sz="0" w:space="0" w:color="auto"/>
                        <w:right w:val="none" w:sz="0" w:space="0" w:color="auto"/>
                      </w:divBdr>
                    </w:div>
                  </w:divsChild>
                </w:div>
                <w:div w:id="2135520644">
                  <w:marLeft w:val="0"/>
                  <w:marRight w:val="0"/>
                  <w:marTop w:val="0"/>
                  <w:marBottom w:val="0"/>
                  <w:divBdr>
                    <w:top w:val="none" w:sz="0" w:space="0" w:color="auto"/>
                    <w:left w:val="none" w:sz="0" w:space="0" w:color="auto"/>
                    <w:bottom w:val="none" w:sz="0" w:space="0" w:color="auto"/>
                    <w:right w:val="none" w:sz="0" w:space="0" w:color="auto"/>
                  </w:divBdr>
                  <w:divsChild>
                    <w:div w:id="14767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2500">
          <w:marLeft w:val="0"/>
          <w:marRight w:val="0"/>
          <w:marTop w:val="0"/>
          <w:marBottom w:val="0"/>
          <w:divBdr>
            <w:top w:val="none" w:sz="0" w:space="0" w:color="auto"/>
            <w:left w:val="none" w:sz="0" w:space="0" w:color="auto"/>
            <w:bottom w:val="none" w:sz="0" w:space="0" w:color="auto"/>
            <w:right w:val="none" w:sz="0" w:space="0" w:color="auto"/>
          </w:divBdr>
          <w:divsChild>
            <w:div w:id="2068993255">
              <w:marLeft w:val="-75"/>
              <w:marRight w:val="0"/>
              <w:marTop w:val="30"/>
              <w:marBottom w:val="30"/>
              <w:divBdr>
                <w:top w:val="none" w:sz="0" w:space="0" w:color="auto"/>
                <w:left w:val="none" w:sz="0" w:space="0" w:color="auto"/>
                <w:bottom w:val="none" w:sz="0" w:space="0" w:color="auto"/>
                <w:right w:val="none" w:sz="0" w:space="0" w:color="auto"/>
              </w:divBdr>
              <w:divsChild>
                <w:div w:id="3754917">
                  <w:marLeft w:val="0"/>
                  <w:marRight w:val="0"/>
                  <w:marTop w:val="0"/>
                  <w:marBottom w:val="0"/>
                  <w:divBdr>
                    <w:top w:val="none" w:sz="0" w:space="0" w:color="auto"/>
                    <w:left w:val="none" w:sz="0" w:space="0" w:color="auto"/>
                    <w:bottom w:val="none" w:sz="0" w:space="0" w:color="auto"/>
                    <w:right w:val="none" w:sz="0" w:space="0" w:color="auto"/>
                  </w:divBdr>
                  <w:divsChild>
                    <w:div w:id="1148940856">
                      <w:marLeft w:val="0"/>
                      <w:marRight w:val="0"/>
                      <w:marTop w:val="0"/>
                      <w:marBottom w:val="0"/>
                      <w:divBdr>
                        <w:top w:val="none" w:sz="0" w:space="0" w:color="auto"/>
                        <w:left w:val="none" w:sz="0" w:space="0" w:color="auto"/>
                        <w:bottom w:val="none" w:sz="0" w:space="0" w:color="auto"/>
                        <w:right w:val="none" w:sz="0" w:space="0" w:color="auto"/>
                      </w:divBdr>
                    </w:div>
                  </w:divsChild>
                </w:div>
                <w:div w:id="11106766">
                  <w:marLeft w:val="0"/>
                  <w:marRight w:val="0"/>
                  <w:marTop w:val="0"/>
                  <w:marBottom w:val="0"/>
                  <w:divBdr>
                    <w:top w:val="none" w:sz="0" w:space="0" w:color="auto"/>
                    <w:left w:val="none" w:sz="0" w:space="0" w:color="auto"/>
                    <w:bottom w:val="none" w:sz="0" w:space="0" w:color="auto"/>
                    <w:right w:val="none" w:sz="0" w:space="0" w:color="auto"/>
                  </w:divBdr>
                  <w:divsChild>
                    <w:div w:id="2076661095">
                      <w:marLeft w:val="0"/>
                      <w:marRight w:val="0"/>
                      <w:marTop w:val="0"/>
                      <w:marBottom w:val="0"/>
                      <w:divBdr>
                        <w:top w:val="none" w:sz="0" w:space="0" w:color="auto"/>
                        <w:left w:val="none" w:sz="0" w:space="0" w:color="auto"/>
                        <w:bottom w:val="none" w:sz="0" w:space="0" w:color="auto"/>
                        <w:right w:val="none" w:sz="0" w:space="0" w:color="auto"/>
                      </w:divBdr>
                    </w:div>
                  </w:divsChild>
                </w:div>
                <w:div w:id="49891986">
                  <w:marLeft w:val="0"/>
                  <w:marRight w:val="0"/>
                  <w:marTop w:val="0"/>
                  <w:marBottom w:val="0"/>
                  <w:divBdr>
                    <w:top w:val="none" w:sz="0" w:space="0" w:color="auto"/>
                    <w:left w:val="none" w:sz="0" w:space="0" w:color="auto"/>
                    <w:bottom w:val="none" w:sz="0" w:space="0" w:color="auto"/>
                    <w:right w:val="none" w:sz="0" w:space="0" w:color="auto"/>
                  </w:divBdr>
                  <w:divsChild>
                    <w:div w:id="2124373472">
                      <w:marLeft w:val="0"/>
                      <w:marRight w:val="0"/>
                      <w:marTop w:val="0"/>
                      <w:marBottom w:val="0"/>
                      <w:divBdr>
                        <w:top w:val="none" w:sz="0" w:space="0" w:color="auto"/>
                        <w:left w:val="none" w:sz="0" w:space="0" w:color="auto"/>
                        <w:bottom w:val="none" w:sz="0" w:space="0" w:color="auto"/>
                        <w:right w:val="none" w:sz="0" w:space="0" w:color="auto"/>
                      </w:divBdr>
                    </w:div>
                  </w:divsChild>
                </w:div>
                <w:div w:id="127207649">
                  <w:marLeft w:val="0"/>
                  <w:marRight w:val="0"/>
                  <w:marTop w:val="0"/>
                  <w:marBottom w:val="0"/>
                  <w:divBdr>
                    <w:top w:val="none" w:sz="0" w:space="0" w:color="auto"/>
                    <w:left w:val="none" w:sz="0" w:space="0" w:color="auto"/>
                    <w:bottom w:val="none" w:sz="0" w:space="0" w:color="auto"/>
                    <w:right w:val="none" w:sz="0" w:space="0" w:color="auto"/>
                  </w:divBdr>
                  <w:divsChild>
                    <w:div w:id="458955431">
                      <w:marLeft w:val="0"/>
                      <w:marRight w:val="0"/>
                      <w:marTop w:val="0"/>
                      <w:marBottom w:val="0"/>
                      <w:divBdr>
                        <w:top w:val="none" w:sz="0" w:space="0" w:color="auto"/>
                        <w:left w:val="none" w:sz="0" w:space="0" w:color="auto"/>
                        <w:bottom w:val="none" w:sz="0" w:space="0" w:color="auto"/>
                        <w:right w:val="none" w:sz="0" w:space="0" w:color="auto"/>
                      </w:divBdr>
                    </w:div>
                  </w:divsChild>
                </w:div>
                <w:div w:id="132408653">
                  <w:marLeft w:val="0"/>
                  <w:marRight w:val="0"/>
                  <w:marTop w:val="0"/>
                  <w:marBottom w:val="0"/>
                  <w:divBdr>
                    <w:top w:val="none" w:sz="0" w:space="0" w:color="auto"/>
                    <w:left w:val="none" w:sz="0" w:space="0" w:color="auto"/>
                    <w:bottom w:val="none" w:sz="0" w:space="0" w:color="auto"/>
                    <w:right w:val="none" w:sz="0" w:space="0" w:color="auto"/>
                  </w:divBdr>
                  <w:divsChild>
                    <w:div w:id="652762519">
                      <w:marLeft w:val="0"/>
                      <w:marRight w:val="0"/>
                      <w:marTop w:val="0"/>
                      <w:marBottom w:val="0"/>
                      <w:divBdr>
                        <w:top w:val="none" w:sz="0" w:space="0" w:color="auto"/>
                        <w:left w:val="none" w:sz="0" w:space="0" w:color="auto"/>
                        <w:bottom w:val="none" w:sz="0" w:space="0" w:color="auto"/>
                        <w:right w:val="none" w:sz="0" w:space="0" w:color="auto"/>
                      </w:divBdr>
                    </w:div>
                  </w:divsChild>
                </w:div>
                <w:div w:id="140540188">
                  <w:marLeft w:val="0"/>
                  <w:marRight w:val="0"/>
                  <w:marTop w:val="0"/>
                  <w:marBottom w:val="0"/>
                  <w:divBdr>
                    <w:top w:val="none" w:sz="0" w:space="0" w:color="auto"/>
                    <w:left w:val="none" w:sz="0" w:space="0" w:color="auto"/>
                    <w:bottom w:val="none" w:sz="0" w:space="0" w:color="auto"/>
                    <w:right w:val="none" w:sz="0" w:space="0" w:color="auto"/>
                  </w:divBdr>
                  <w:divsChild>
                    <w:div w:id="838812513">
                      <w:marLeft w:val="0"/>
                      <w:marRight w:val="0"/>
                      <w:marTop w:val="0"/>
                      <w:marBottom w:val="0"/>
                      <w:divBdr>
                        <w:top w:val="none" w:sz="0" w:space="0" w:color="auto"/>
                        <w:left w:val="none" w:sz="0" w:space="0" w:color="auto"/>
                        <w:bottom w:val="none" w:sz="0" w:space="0" w:color="auto"/>
                        <w:right w:val="none" w:sz="0" w:space="0" w:color="auto"/>
                      </w:divBdr>
                    </w:div>
                  </w:divsChild>
                </w:div>
                <w:div w:id="208808953">
                  <w:marLeft w:val="0"/>
                  <w:marRight w:val="0"/>
                  <w:marTop w:val="0"/>
                  <w:marBottom w:val="0"/>
                  <w:divBdr>
                    <w:top w:val="none" w:sz="0" w:space="0" w:color="auto"/>
                    <w:left w:val="none" w:sz="0" w:space="0" w:color="auto"/>
                    <w:bottom w:val="none" w:sz="0" w:space="0" w:color="auto"/>
                    <w:right w:val="none" w:sz="0" w:space="0" w:color="auto"/>
                  </w:divBdr>
                  <w:divsChild>
                    <w:div w:id="1137063953">
                      <w:marLeft w:val="0"/>
                      <w:marRight w:val="0"/>
                      <w:marTop w:val="0"/>
                      <w:marBottom w:val="0"/>
                      <w:divBdr>
                        <w:top w:val="none" w:sz="0" w:space="0" w:color="auto"/>
                        <w:left w:val="none" w:sz="0" w:space="0" w:color="auto"/>
                        <w:bottom w:val="none" w:sz="0" w:space="0" w:color="auto"/>
                        <w:right w:val="none" w:sz="0" w:space="0" w:color="auto"/>
                      </w:divBdr>
                    </w:div>
                  </w:divsChild>
                </w:div>
                <w:div w:id="284237173">
                  <w:marLeft w:val="0"/>
                  <w:marRight w:val="0"/>
                  <w:marTop w:val="0"/>
                  <w:marBottom w:val="0"/>
                  <w:divBdr>
                    <w:top w:val="none" w:sz="0" w:space="0" w:color="auto"/>
                    <w:left w:val="none" w:sz="0" w:space="0" w:color="auto"/>
                    <w:bottom w:val="none" w:sz="0" w:space="0" w:color="auto"/>
                    <w:right w:val="none" w:sz="0" w:space="0" w:color="auto"/>
                  </w:divBdr>
                  <w:divsChild>
                    <w:div w:id="1381396361">
                      <w:marLeft w:val="0"/>
                      <w:marRight w:val="0"/>
                      <w:marTop w:val="0"/>
                      <w:marBottom w:val="0"/>
                      <w:divBdr>
                        <w:top w:val="none" w:sz="0" w:space="0" w:color="auto"/>
                        <w:left w:val="none" w:sz="0" w:space="0" w:color="auto"/>
                        <w:bottom w:val="none" w:sz="0" w:space="0" w:color="auto"/>
                        <w:right w:val="none" w:sz="0" w:space="0" w:color="auto"/>
                      </w:divBdr>
                    </w:div>
                  </w:divsChild>
                </w:div>
                <w:div w:id="308825552">
                  <w:marLeft w:val="0"/>
                  <w:marRight w:val="0"/>
                  <w:marTop w:val="0"/>
                  <w:marBottom w:val="0"/>
                  <w:divBdr>
                    <w:top w:val="none" w:sz="0" w:space="0" w:color="auto"/>
                    <w:left w:val="none" w:sz="0" w:space="0" w:color="auto"/>
                    <w:bottom w:val="none" w:sz="0" w:space="0" w:color="auto"/>
                    <w:right w:val="none" w:sz="0" w:space="0" w:color="auto"/>
                  </w:divBdr>
                  <w:divsChild>
                    <w:div w:id="2029987429">
                      <w:marLeft w:val="0"/>
                      <w:marRight w:val="0"/>
                      <w:marTop w:val="0"/>
                      <w:marBottom w:val="0"/>
                      <w:divBdr>
                        <w:top w:val="none" w:sz="0" w:space="0" w:color="auto"/>
                        <w:left w:val="none" w:sz="0" w:space="0" w:color="auto"/>
                        <w:bottom w:val="none" w:sz="0" w:space="0" w:color="auto"/>
                        <w:right w:val="none" w:sz="0" w:space="0" w:color="auto"/>
                      </w:divBdr>
                    </w:div>
                  </w:divsChild>
                </w:div>
                <w:div w:id="374475077">
                  <w:marLeft w:val="0"/>
                  <w:marRight w:val="0"/>
                  <w:marTop w:val="0"/>
                  <w:marBottom w:val="0"/>
                  <w:divBdr>
                    <w:top w:val="none" w:sz="0" w:space="0" w:color="auto"/>
                    <w:left w:val="none" w:sz="0" w:space="0" w:color="auto"/>
                    <w:bottom w:val="none" w:sz="0" w:space="0" w:color="auto"/>
                    <w:right w:val="none" w:sz="0" w:space="0" w:color="auto"/>
                  </w:divBdr>
                  <w:divsChild>
                    <w:div w:id="1202940292">
                      <w:marLeft w:val="0"/>
                      <w:marRight w:val="0"/>
                      <w:marTop w:val="0"/>
                      <w:marBottom w:val="0"/>
                      <w:divBdr>
                        <w:top w:val="none" w:sz="0" w:space="0" w:color="auto"/>
                        <w:left w:val="none" w:sz="0" w:space="0" w:color="auto"/>
                        <w:bottom w:val="none" w:sz="0" w:space="0" w:color="auto"/>
                        <w:right w:val="none" w:sz="0" w:space="0" w:color="auto"/>
                      </w:divBdr>
                    </w:div>
                  </w:divsChild>
                </w:div>
                <w:div w:id="509372344">
                  <w:marLeft w:val="0"/>
                  <w:marRight w:val="0"/>
                  <w:marTop w:val="0"/>
                  <w:marBottom w:val="0"/>
                  <w:divBdr>
                    <w:top w:val="none" w:sz="0" w:space="0" w:color="auto"/>
                    <w:left w:val="none" w:sz="0" w:space="0" w:color="auto"/>
                    <w:bottom w:val="none" w:sz="0" w:space="0" w:color="auto"/>
                    <w:right w:val="none" w:sz="0" w:space="0" w:color="auto"/>
                  </w:divBdr>
                  <w:divsChild>
                    <w:div w:id="569926287">
                      <w:marLeft w:val="0"/>
                      <w:marRight w:val="0"/>
                      <w:marTop w:val="0"/>
                      <w:marBottom w:val="0"/>
                      <w:divBdr>
                        <w:top w:val="none" w:sz="0" w:space="0" w:color="auto"/>
                        <w:left w:val="none" w:sz="0" w:space="0" w:color="auto"/>
                        <w:bottom w:val="none" w:sz="0" w:space="0" w:color="auto"/>
                        <w:right w:val="none" w:sz="0" w:space="0" w:color="auto"/>
                      </w:divBdr>
                    </w:div>
                  </w:divsChild>
                </w:div>
                <w:div w:id="661734649">
                  <w:marLeft w:val="0"/>
                  <w:marRight w:val="0"/>
                  <w:marTop w:val="0"/>
                  <w:marBottom w:val="0"/>
                  <w:divBdr>
                    <w:top w:val="none" w:sz="0" w:space="0" w:color="auto"/>
                    <w:left w:val="none" w:sz="0" w:space="0" w:color="auto"/>
                    <w:bottom w:val="none" w:sz="0" w:space="0" w:color="auto"/>
                    <w:right w:val="none" w:sz="0" w:space="0" w:color="auto"/>
                  </w:divBdr>
                  <w:divsChild>
                    <w:div w:id="1128431312">
                      <w:marLeft w:val="0"/>
                      <w:marRight w:val="0"/>
                      <w:marTop w:val="0"/>
                      <w:marBottom w:val="0"/>
                      <w:divBdr>
                        <w:top w:val="none" w:sz="0" w:space="0" w:color="auto"/>
                        <w:left w:val="none" w:sz="0" w:space="0" w:color="auto"/>
                        <w:bottom w:val="none" w:sz="0" w:space="0" w:color="auto"/>
                        <w:right w:val="none" w:sz="0" w:space="0" w:color="auto"/>
                      </w:divBdr>
                    </w:div>
                  </w:divsChild>
                </w:div>
                <w:div w:id="697312165">
                  <w:marLeft w:val="0"/>
                  <w:marRight w:val="0"/>
                  <w:marTop w:val="0"/>
                  <w:marBottom w:val="0"/>
                  <w:divBdr>
                    <w:top w:val="none" w:sz="0" w:space="0" w:color="auto"/>
                    <w:left w:val="none" w:sz="0" w:space="0" w:color="auto"/>
                    <w:bottom w:val="none" w:sz="0" w:space="0" w:color="auto"/>
                    <w:right w:val="none" w:sz="0" w:space="0" w:color="auto"/>
                  </w:divBdr>
                  <w:divsChild>
                    <w:div w:id="669867099">
                      <w:marLeft w:val="0"/>
                      <w:marRight w:val="0"/>
                      <w:marTop w:val="0"/>
                      <w:marBottom w:val="0"/>
                      <w:divBdr>
                        <w:top w:val="none" w:sz="0" w:space="0" w:color="auto"/>
                        <w:left w:val="none" w:sz="0" w:space="0" w:color="auto"/>
                        <w:bottom w:val="none" w:sz="0" w:space="0" w:color="auto"/>
                        <w:right w:val="none" w:sz="0" w:space="0" w:color="auto"/>
                      </w:divBdr>
                    </w:div>
                  </w:divsChild>
                </w:div>
                <w:div w:id="804273242">
                  <w:marLeft w:val="0"/>
                  <w:marRight w:val="0"/>
                  <w:marTop w:val="0"/>
                  <w:marBottom w:val="0"/>
                  <w:divBdr>
                    <w:top w:val="none" w:sz="0" w:space="0" w:color="auto"/>
                    <w:left w:val="none" w:sz="0" w:space="0" w:color="auto"/>
                    <w:bottom w:val="none" w:sz="0" w:space="0" w:color="auto"/>
                    <w:right w:val="none" w:sz="0" w:space="0" w:color="auto"/>
                  </w:divBdr>
                  <w:divsChild>
                    <w:div w:id="2003045962">
                      <w:marLeft w:val="0"/>
                      <w:marRight w:val="0"/>
                      <w:marTop w:val="0"/>
                      <w:marBottom w:val="0"/>
                      <w:divBdr>
                        <w:top w:val="none" w:sz="0" w:space="0" w:color="auto"/>
                        <w:left w:val="none" w:sz="0" w:space="0" w:color="auto"/>
                        <w:bottom w:val="none" w:sz="0" w:space="0" w:color="auto"/>
                        <w:right w:val="none" w:sz="0" w:space="0" w:color="auto"/>
                      </w:divBdr>
                    </w:div>
                  </w:divsChild>
                </w:div>
                <w:div w:id="840046055">
                  <w:marLeft w:val="0"/>
                  <w:marRight w:val="0"/>
                  <w:marTop w:val="0"/>
                  <w:marBottom w:val="0"/>
                  <w:divBdr>
                    <w:top w:val="none" w:sz="0" w:space="0" w:color="auto"/>
                    <w:left w:val="none" w:sz="0" w:space="0" w:color="auto"/>
                    <w:bottom w:val="none" w:sz="0" w:space="0" w:color="auto"/>
                    <w:right w:val="none" w:sz="0" w:space="0" w:color="auto"/>
                  </w:divBdr>
                  <w:divsChild>
                    <w:div w:id="487288034">
                      <w:marLeft w:val="0"/>
                      <w:marRight w:val="0"/>
                      <w:marTop w:val="0"/>
                      <w:marBottom w:val="0"/>
                      <w:divBdr>
                        <w:top w:val="none" w:sz="0" w:space="0" w:color="auto"/>
                        <w:left w:val="none" w:sz="0" w:space="0" w:color="auto"/>
                        <w:bottom w:val="none" w:sz="0" w:space="0" w:color="auto"/>
                        <w:right w:val="none" w:sz="0" w:space="0" w:color="auto"/>
                      </w:divBdr>
                    </w:div>
                  </w:divsChild>
                </w:div>
                <w:div w:id="914899365">
                  <w:marLeft w:val="0"/>
                  <w:marRight w:val="0"/>
                  <w:marTop w:val="0"/>
                  <w:marBottom w:val="0"/>
                  <w:divBdr>
                    <w:top w:val="none" w:sz="0" w:space="0" w:color="auto"/>
                    <w:left w:val="none" w:sz="0" w:space="0" w:color="auto"/>
                    <w:bottom w:val="none" w:sz="0" w:space="0" w:color="auto"/>
                    <w:right w:val="none" w:sz="0" w:space="0" w:color="auto"/>
                  </w:divBdr>
                  <w:divsChild>
                    <w:div w:id="885606993">
                      <w:marLeft w:val="0"/>
                      <w:marRight w:val="0"/>
                      <w:marTop w:val="0"/>
                      <w:marBottom w:val="0"/>
                      <w:divBdr>
                        <w:top w:val="none" w:sz="0" w:space="0" w:color="auto"/>
                        <w:left w:val="none" w:sz="0" w:space="0" w:color="auto"/>
                        <w:bottom w:val="none" w:sz="0" w:space="0" w:color="auto"/>
                        <w:right w:val="none" w:sz="0" w:space="0" w:color="auto"/>
                      </w:divBdr>
                    </w:div>
                  </w:divsChild>
                </w:div>
                <w:div w:id="929237777">
                  <w:marLeft w:val="0"/>
                  <w:marRight w:val="0"/>
                  <w:marTop w:val="0"/>
                  <w:marBottom w:val="0"/>
                  <w:divBdr>
                    <w:top w:val="none" w:sz="0" w:space="0" w:color="auto"/>
                    <w:left w:val="none" w:sz="0" w:space="0" w:color="auto"/>
                    <w:bottom w:val="none" w:sz="0" w:space="0" w:color="auto"/>
                    <w:right w:val="none" w:sz="0" w:space="0" w:color="auto"/>
                  </w:divBdr>
                  <w:divsChild>
                    <w:div w:id="2070879108">
                      <w:marLeft w:val="0"/>
                      <w:marRight w:val="0"/>
                      <w:marTop w:val="0"/>
                      <w:marBottom w:val="0"/>
                      <w:divBdr>
                        <w:top w:val="none" w:sz="0" w:space="0" w:color="auto"/>
                        <w:left w:val="none" w:sz="0" w:space="0" w:color="auto"/>
                        <w:bottom w:val="none" w:sz="0" w:space="0" w:color="auto"/>
                        <w:right w:val="none" w:sz="0" w:space="0" w:color="auto"/>
                      </w:divBdr>
                    </w:div>
                  </w:divsChild>
                </w:div>
                <w:div w:id="938682416">
                  <w:marLeft w:val="0"/>
                  <w:marRight w:val="0"/>
                  <w:marTop w:val="0"/>
                  <w:marBottom w:val="0"/>
                  <w:divBdr>
                    <w:top w:val="none" w:sz="0" w:space="0" w:color="auto"/>
                    <w:left w:val="none" w:sz="0" w:space="0" w:color="auto"/>
                    <w:bottom w:val="none" w:sz="0" w:space="0" w:color="auto"/>
                    <w:right w:val="none" w:sz="0" w:space="0" w:color="auto"/>
                  </w:divBdr>
                  <w:divsChild>
                    <w:div w:id="2109688992">
                      <w:marLeft w:val="0"/>
                      <w:marRight w:val="0"/>
                      <w:marTop w:val="0"/>
                      <w:marBottom w:val="0"/>
                      <w:divBdr>
                        <w:top w:val="none" w:sz="0" w:space="0" w:color="auto"/>
                        <w:left w:val="none" w:sz="0" w:space="0" w:color="auto"/>
                        <w:bottom w:val="none" w:sz="0" w:space="0" w:color="auto"/>
                        <w:right w:val="none" w:sz="0" w:space="0" w:color="auto"/>
                      </w:divBdr>
                    </w:div>
                  </w:divsChild>
                </w:div>
                <w:div w:id="977763433">
                  <w:marLeft w:val="0"/>
                  <w:marRight w:val="0"/>
                  <w:marTop w:val="0"/>
                  <w:marBottom w:val="0"/>
                  <w:divBdr>
                    <w:top w:val="none" w:sz="0" w:space="0" w:color="auto"/>
                    <w:left w:val="none" w:sz="0" w:space="0" w:color="auto"/>
                    <w:bottom w:val="none" w:sz="0" w:space="0" w:color="auto"/>
                    <w:right w:val="none" w:sz="0" w:space="0" w:color="auto"/>
                  </w:divBdr>
                  <w:divsChild>
                    <w:div w:id="1965310682">
                      <w:marLeft w:val="0"/>
                      <w:marRight w:val="0"/>
                      <w:marTop w:val="0"/>
                      <w:marBottom w:val="0"/>
                      <w:divBdr>
                        <w:top w:val="none" w:sz="0" w:space="0" w:color="auto"/>
                        <w:left w:val="none" w:sz="0" w:space="0" w:color="auto"/>
                        <w:bottom w:val="none" w:sz="0" w:space="0" w:color="auto"/>
                        <w:right w:val="none" w:sz="0" w:space="0" w:color="auto"/>
                      </w:divBdr>
                    </w:div>
                  </w:divsChild>
                </w:div>
                <w:div w:id="1070232912">
                  <w:marLeft w:val="0"/>
                  <w:marRight w:val="0"/>
                  <w:marTop w:val="0"/>
                  <w:marBottom w:val="0"/>
                  <w:divBdr>
                    <w:top w:val="none" w:sz="0" w:space="0" w:color="auto"/>
                    <w:left w:val="none" w:sz="0" w:space="0" w:color="auto"/>
                    <w:bottom w:val="none" w:sz="0" w:space="0" w:color="auto"/>
                    <w:right w:val="none" w:sz="0" w:space="0" w:color="auto"/>
                  </w:divBdr>
                  <w:divsChild>
                    <w:div w:id="984897574">
                      <w:marLeft w:val="0"/>
                      <w:marRight w:val="0"/>
                      <w:marTop w:val="0"/>
                      <w:marBottom w:val="0"/>
                      <w:divBdr>
                        <w:top w:val="none" w:sz="0" w:space="0" w:color="auto"/>
                        <w:left w:val="none" w:sz="0" w:space="0" w:color="auto"/>
                        <w:bottom w:val="none" w:sz="0" w:space="0" w:color="auto"/>
                        <w:right w:val="none" w:sz="0" w:space="0" w:color="auto"/>
                      </w:divBdr>
                    </w:div>
                  </w:divsChild>
                </w:div>
                <w:div w:id="1153251452">
                  <w:marLeft w:val="0"/>
                  <w:marRight w:val="0"/>
                  <w:marTop w:val="0"/>
                  <w:marBottom w:val="0"/>
                  <w:divBdr>
                    <w:top w:val="none" w:sz="0" w:space="0" w:color="auto"/>
                    <w:left w:val="none" w:sz="0" w:space="0" w:color="auto"/>
                    <w:bottom w:val="none" w:sz="0" w:space="0" w:color="auto"/>
                    <w:right w:val="none" w:sz="0" w:space="0" w:color="auto"/>
                  </w:divBdr>
                  <w:divsChild>
                    <w:div w:id="267350172">
                      <w:marLeft w:val="0"/>
                      <w:marRight w:val="0"/>
                      <w:marTop w:val="0"/>
                      <w:marBottom w:val="0"/>
                      <w:divBdr>
                        <w:top w:val="none" w:sz="0" w:space="0" w:color="auto"/>
                        <w:left w:val="none" w:sz="0" w:space="0" w:color="auto"/>
                        <w:bottom w:val="none" w:sz="0" w:space="0" w:color="auto"/>
                        <w:right w:val="none" w:sz="0" w:space="0" w:color="auto"/>
                      </w:divBdr>
                    </w:div>
                  </w:divsChild>
                </w:div>
                <w:div w:id="1178622096">
                  <w:marLeft w:val="0"/>
                  <w:marRight w:val="0"/>
                  <w:marTop w:val="0"/>
                  <w:marBottom w:val="0"/>
                  <w:divBdr>
                    <w:top w:val="none" w:sz="0" w:space="0" w:color="auto"/>
                    <w:left w:val="none" w:sz="0" w:space="0" w:color="auto"/>
                    <w:bottom w:val="none" w:sz="0" w:space="0" w:color="auto"/>
                    <w:right w:val="none" w:sz="0" w:space="0" w:color="auto"/>
                  </w:divBdr>
                  <w:divsChild>
                    <w:div w:id="1867020875">
                      <w:marLeft w:val="0"/>
                      <w:marRight w:val="0"/>
                      <w:marTop w:val="0"/>
                      <w:marBottom w:val="0"/>
                      <w:divBdr>
                        <w:top w:val="none" w:sz="0" w:space="0" w:color="auto"/>
                        <w:left w:val="none" w:sz="0" w:space="0" w:color="auto"/>
                        <w:bottom w:val="none" w:sz="0" w:space="0" w:color="auto"/>
                        <w:right w:val="none" w:sz="0" w:space="0" w:color="auto"/>
                      </w:divBdr>
                    </w:div>
                  </w:divsChild>
                </w:div>
                <w:div w:id="1206409101">
                  <w:marLeft w:val="0"/>
                  <w:marRight w:val="0"/>
                  <w:marTop w:val="0"/>
                  <w:marBottom w:val="0"/>
                  <w:divBdr>
                    <w:top w:val="none" w:sz="0" w:space="0" w:color="auto"/>
                    <w:left w:val="none" w:sz="0" w:space="0" w:color="auto"/>
                    <w:bottom w:val="none" w:sz="0" w:space="0" w:color="auto"/>
                    <w:right w:val="none" w:sz="0" w:space="0" w:color="auto"/>
                  </w:divBdr>
                  <w:divsChild>
                    <w:div w:id="1647200770">
                      <w:marLeft w:val="0"/>
                      <w:marRight w:val="0"/>
                      <w:marTop w:val="0"/>
                      <w:marBottom w:val="0"/>
                      <w:divBdr>
                        <w:top w:val="none" w:sz="0" w:space="0" w:color="auto"/>
                        <w:left w:val="none" w:sz="0" w:space="0" w:color="auto"/>
                        <w:bottom w:val="none" w:sz="0" w:space="0" w:color="auto"/>
                        <w:right w:val="none" w:sz="0" w:space="0" w:color="auto"/>
                      </w:divBdr>
                    </w:div>
                  </w:divsChild>
                </w:div>
                <w:div w:id="1224222454">
                  <w:marLeft w:val="0"/>
                  <w:marRight w:val="0"/>
                  <w:marTop w:val="0"/>
                  <w:marBottom w:val="0"/>
                  <w:divBdr>
                    <w:top w:val="none" w:sz="0" w:space="0" w:color="auto"/>
                    <w:left w:val="none" w:sz="0" w:space="0" w:color="auto"/>
                    <w:bottom w:val="none" w:sz="0" w:space="0" w:color="auto"/>
                    <w:right w:val="none" w:sz="0" w:space="0" w:color="auto"/>
                  </w:divBdr>
                  <w:divsChild>
                    <w:div w:id="1906522044">
                      <w:marLeft w:val="0"/>
                      <w:marRight w:val="0"/>
                      <w:marTop w:val="0"/>
                      <w:marBottom w:val="0"/>
                      <w:divBdr>
                        <w:top w:val="none" w:sz="0" w:space="0" w:color="auto"/>
                        <w:left w:val="none" w:sz="0" w:space="0" w:color="auto"/>
                        <w:bottom w:val="none" w:sz="0" w:space="0" w:color="auto"/>
                        <w:right w:val="none" w:sz="0" w:space="0" w:color="auto"/>
                      </w:divBdr>
                    </w:div>
                  </w:divsChild>
                </w:div>
                <w:div w:id="1251233975">
                  <w:marLeft w:val="0"/>
                  <w:marRight w:val="0"/>
                  <w:marTop w:val="0"/>
                  <w:marBottom w:val="0"/>
                  <w:divBdr>
                    <w:top w:val="none" w:sz="0" w:space="0" w:color="auto"/>
                    <w:left w:val="none" w:sz="0" w:space="0" w:color="auto"/>
                    <w:bottom w:val="none" w:sz="0" w:space="0" w:color="auto"/>
                    <w:right w:val="none" w:sz="0" w:space="0" w:color="auto"/>
                  </w:divBdr>
                  <w:divsChild>
                    <w:div w:id="1907641024">
                      <w:marLeft w:val="0"/>
                      <w:marRight w:val="0"/>
                      <w:marTop w:val="0"/>
                      <w:marBottom w:val="0"/>
                      <w:divBdr>
                        <w:top w:val="none" w:sz="0" w:space="0" w:color="auto"/>
                        <w:left w:val="none" w:sz="0" w:space="0" w:color="auto"/>
                        <w:bottom w:val="none" w:sz="0" w:space="0" w:color="auto"/>
                        <w:right w:val="none" w:sz="0" w:space="0" w:color="auto"/>
                      </w:divBdr>
                    </w:div>
                  </w:divsChild>
                </w:div>
                <w:div w:id="1259097160">
                  <w:marLeft w:val="0"/>
                  <w:marRight w:val="0"/>
                  <w:marTop w:val="0"/>
                  <w:marBottom w:val="0"/>
                  <w:divBdr>
                    <w:top w:val="none" w:sz="0" w:space="0" w:color="auto"/>
                    <w:left w:val="none" w:sz="0" w:space="0" w:color="auto"/>
                    <w:bottom w:val="none" w:sz="0" w:space="0" w:color="auto"/>
                    <w:right w:val="none" w:sz="0" w:space="0" w:color="auto"/>
                  </w:divBdr>
                  <w:divsChild>
                    <w:div w:id="685059878">
                      <w:marLeft w:val="0"/>
                      <w:marRight w:val="0"/>
                      <w:marTop w:val="0"/>
                      <w:marBottom w:val="0"/>
                      <w:divBdr>
                        <w:top w:val="none" w:sz="0" w:space="0" w:color="auto"/>
                        <w:left w:val="none" w:sz="0" w:space="0" w:color="auto"/>
                        <w:bottom w:val="none" w:sz="0" w:space="0" w:color="auto"/>
                        <w:right w:val="none" w:sz="0" w:space="0" w:color="auto"/>
                      </w:divBdr>
                    </w:div>
                  </w:divsChild>
                </w:div>
                <w:div w:id="1539971167">
                  <w:marLeft w:val="0"/>
                  <w:marRight w:val="0"/>
                  <w:marTop w:val="0"/>
                  <w:marBottom w:val="0"/>
                  <w:divBdr>
                    <w:top w:val="none" w:sz="0" w:space="0" w:color="auto"/>
                    <w:left w:val="none" w:sz="0" w:space="0" w:color="auto"/>
                    <w:bottom w:val="none" w:sz="0" w:space="0" w:color="auto"/>
                    <w:right w:val="none" w:sz="0" w:space="0" w:color="auto"/>
                  </w:divBdr>
                  <w:divsChild>
                    <w:div w:id="537160787">
                      <w:marLeft w:val="0"/>
                      <w:marRight w:val="0"/>
                      <w:marTop w:val="0"/>
                      <w:marBottom w:val="0"/>
                      <w:divBdr>
                        <w:top w:val="none" w:sz="0" w:space="0" w:color="auto"/>
                        <w:left w:val="none" w:sz="0" w:space="0" w:color="auto"/>
                        <w:bottom w:val="none" w:sz="0" w:space="0" w:color="auto"/>
                        <w:right w:val="none" w:sz="0" w:space="0" w:color="auto"/>
                      </w:divBdr>
                    </w:div>
                  </w:divsChild>
                </w:div>
                <w:div w:id="1609433552">
                  <w:marLeft w:val="0"/>
                  <w:marRight w:val="0"/>
                  <w:marTop w:val="0"/>
                  <w:marBottom w:val="0"/>
                  <w:divBdr>
                    <w:top w:val="none" w:sz="0" w:space="0" w:color="auto"/>
                    <w:left w:val="none" w:sz="0" w:space="0" w:color="auto"/>
                    <w:bottom w:val="none" w:sz="0" w:space="0" w:color="auto"/>
                    <w:right w:val="none" w:sz="0" w:space="0" w:color="auto"/>
                  </w:divBdr>
                  <w:divsChild>
                    <w:div w:id="1059473529">
                      <w:marLeft w:val="0"/>
                      <w:marRight w:val="0"/>
                      <w:marTop w:val="0"/>
                      <w:marBottom w:val="0"/>
                      <w:divBdr>
                        <w:top w:val="none" w:sz="0" w:space="0" w:color="auto"/>
                        <w:left w:val="none" w:sz="0" w:space="0" w:color="auto"/>
                        <w:bottom w:val="none" w:sz="0" w:space="0" w:color="auto"/>
                        <w:right w:val="none" w:sz="0" w:space="0" w:color="auto"/>
                      </w:divBdr>
                    </w:div>
                  </w:divsChild>
                </w:div>
                <w:div w:id="1637642813">
                  <w:marLeft w:val="0"/>
                  <w:marRight w:val="0"/>
                  <w:marTop w:val="0"/>
                  <w:marBottom w:val="0"/>
                  <w:divBdr>
                    <w:top w:val="none" w:sz="0" w:space="0" w:color="auto"/>
                    <w:left w:val="none" w:sz="0" w:space="0" w:color="auto"/>
                    <w:bottom w:val="none" w:sz="0" w:space="0" w:color="auto"/>
                    <w:right w:val="none" w:sz="0" w:space="0" w:color="auto"/>
                  </w:divBdr>
                  <w:divsChild>
                    <w:div w:id="674384423">
                      <w:marLeft w:val="0"/>
                      <w:marRight w:val="0"/>
                      <w:marTop w:val="0"/>
                      <w:marBottom w:val="0"/>
                      <w:divBdr>
                        <w:top w:val="none" w:sz="0" w:space="0" w:color="auto"/>
                        <w:left w:val="none" w:sz="0" w:space="0" w:color="auto"/>
                        <w:bottom w:val="none" w:sz="0" w:space="0" w:color="auto"/>
                        <w:right w:val="none" w:sz="0" w:space="0" w:color="auto"/>
                      </w:divBdr>
                    </w:div>
                  </w:divsChild>
                </w:div>
                <w:div w:id="1714454146">
                  <w:marLeft w:val="0"/>
                  <w:marRight w:val="0"/>
                  <w:marTop w:val="0"/>
                  <w:marBottom w:val="0"/>
                  <w:divBdr>
                    <w:top w:val="none" w:sz="0" w:space="0" w:color="auto"/>
                    <w:left w:val="none" w:sz="0" w:space="0" w:color="auto"/>
                    <w:bottom w:val="none" w:sz="0" w:space="0" w:color="auto"/>
                    <w:right w:val="none" w:sz="0" w:space="0" w:color="auto"/>
                  </w:divBdr>
                  <w:divsChild>
                    <w:div w:id="197622235">
                      <w:marLeft w:val="0"/>
                      <w:marRight w:val="0"/>
                      <w:marTop w:val="0"/>
                      <w:marBottom w:val="0"/>
                      <w:divBdr>
                        <w:top w:val="none" w:sz="0" w:space="0" w:color="auto"/>
                        <w:left w:val="none" w:sz="0" w:space="0" w:color="auto"/>
                        <w:bottom w:val="none" w:sz="0" w:space="0" w:color="auto"/>
                        <w:right w:val="none" w:sz="0" w:space="0" w:color="auto"/>
                      </w:divBdr>
                    </w:div>
                  </w:divsChild>
                </w:div>
                <w:div w:id="1833254440">
                  <w:marLeft w:val="0"/>
                  <w:marRight w:val="0"/>
                  <w:marTop w:val="0"/>
                  <w:marBottom w:val="0"/>
                  <w:divBdr>
                    <w:top w:val="none" w:sz="0" w:space="0" w:color="auto"/>
                    <w:left w:val="none" w:sz="0" w:space="0" w:color="auto"/>
                    <w:bottom w:val="none" w:sz="0" w:space="0" w:color="auto"/>
                    <w:right w:val="none" w:sz="0" w:space="0" w:color="auto"/>
                  </w:divBdr>
                  <w:divsChild>
                    <w:div w:id="799566374">
                      <w:marLeft w:val="0"/>
                      <w:marRight w:val="0"/>
                      <w:marTop w:val="0"/>
                      <w:marBottom w:val="0"/>
                      <w:divBdr>
                        <w:top w:val="none" w:sz="0" w:space="0" w:color="auto"/>
                        <w:left w:val="none" w:sz="0" w:space="0" w:color="auto"/>
                        <w:bottom w:val="none" w:sz="0" w:space="0" w:color="auto"/>
                        <w:right w:val="none" w:sz="0" w:space="0" w:color="auto"/>
                      </w:divBdr>
                    </w:div>
                  </w:divsChild>
                </w:div>
                <w:div w:id="1903566311">
                  <w:marLeft w:val="0"/>
                  <w:marRight w:val="0"/>
                  <w:marTop w:val="0"/>
                  <w:marBottom w:val="0"/>
                  <w:divBdr>
                    <w:top w:val="none" w:sz="0" w:space="0" w:color="auto"/>
                    <w:left w:val="none" w:sz="0" w:space="0" w:color="auto"/>
                    <w:bottom w:val="none" w:sz="0" w:space="0" w:color="auto"/>
                    <w:right w:val="none" w:sz="0" w:space="0" w:color="auto"/>
                  </w:divBdr>
                  <w:divsChild>
                    <w:div w:id="209846635">
                      <w:marLeft w:val="0"/>
                      <w:marRight w:val="0"/>
                      <w:marTop w:val="0"/>
                      <w:marBottom w:val="0"/>
                      <w:divBdr>
                        <w:top w:val="none" w:sz="0" w:space="0" w:color="auto"/>
                        <w:left w:val="none" w:sz="0" w:space="0" w:color="auto"/>
                        <w:bottom w:val="none" w:sz="0" w:space="0" w:color="auto"/>
                        <w:right w:val="none" w:sz="0" w:space="0" w:color="auto"/>
                      </w:divBdr>
                    </w:div>
                  </w:divsChild>
                </w:div>
                <w:div w:id="1963726402">
                  <w:marLeft w:val="0"/>
                  <w:marRight w:val="0"/>
                  <w:marTop w:val="0"/>
                  <w:marBottom w:val="0"/>
                  <w:divBdr>
                    <w:top w:val="none" w:sz="0" w:space="0" w:color="auto"/>
                    <w:left w:val="none" w:sz="0" w:space="0" w:color="auto"/>
                    <w:bottom w:val="none" w:sz="0" w:space="0" w:color="auto"/>
                    <w:right w:val="none" w:sz="0" w:space="0" w:color="auto"/>
                  </w:divBdr>
                  <w:divsChild>
                    <w:div w:id="660694269">
                      <w:marLeft w:val="0"/>
                      <w:marRight w:val="0"/>
                      <w:marTop w:val="0"/>
                      <w:marBottom w:val="0"/>
                      <w:divBdr>
                        <w:top w:val="none" w:sz="0" w:space="0" w:color="auto"/>
                        <w:left w:val="none" w:sz="0" w:space="0" w:color="auto"/>
                        <w:bottom w:val="none" w:sz="0" w:space="0" w:color="auto"/>
                        <w:right w:val="none" w:sz="0" w:space="0" w:color="auto"/>
                      </w:divBdr>
                    </w:div>
                  </w:divsChild>
                </w:div>
                <w:div w:id="1964117873">
                  <w:marLeft w:val="0"/>
                  <w:marRight w:val="0"/>
                  <w:marTop w:val="0"/>
                  <w:marBottom w:val="0"/>
                  <w:divBdr>
                    <w:top w:val="none" w:sz="0" w:space="0" w:color="auto"/>
                    <w:left w:val="none" w:sz="0" w:space="0" w:color="auto"/>
                    <w:bottom w:val="none" w:sz="0" w:space="0" w:color="auto"/>
                    <w:right w:val="none" w:sz="0" w:space="0" w:color="auto"/>
                  </w:divBdr>
                  <w:divsChild>
                    <w:div w:id="1596206783">
                      <w:marLeft w:val="0"/>
                      <w:marRight w:val="0"/>
                      <w:marTop w:val="0"/>
                      <w:marBottom w:val="0"/>
                      <w:divBdr>
                        <w:top w:val="none" w:sz="0" w:space="0" w:color="auto"/>
                        <w:left w:val="none" w:sz="0" w:space="0" w:color="auto"/>
                        <w:bottom w:val="none" w:sz="0" w:space="0" w:color="auto"/>
                        <w:right w:val="none" w:sz="0" w:space="0" w:color="auto"/>
                      </w:divBdr>
                    </w:div>
                  </w:divsChild>
                </w:div>
                <w:div w:id="2138836502">
                  <w:marLeft w:val="0"/>
                  <w:marRight w:val="0"/>
                  <w:marTop w:val="0"/>
                  <w:marBottom w:val="0"/>
                  <w:divBdr>
                    <w:top w:val="none" w:sz="0" w:space="0" w:color="auto"/>
                    <w:left w:val="none" w:sz="0" w:space="0" w:color="auto"/>
                    <w:bottom w:val="none" w:sz="0" w:space="0" w:color="auto"/>
                    <w:right w:val="none" w:sz="0" w:space="0" w:color="auto"/>
                  </w:divBdr>
                  <w:divsChild>
                    <w:div w:id="7881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4115">
          <w:marLeft w:val="0"/>
          <w:marRight w:val="0"/>
          <w:marTop w:val="0"/>
          <w:marBottom w:val="0"/>
          <w:divBdr>
            <w:top w:val="none" w:sz="0" w:space="0" w:color="auto"/>
            <w:left w:val="none" w:sz="0" w:space="0" w:color="auto"/>
            <w:bottom w:val="none" w:sz="0" w:space="0" w:color="auto"/>
            <w:right w:val="none" w:sz="0" w:space="0" w:color="auto"/>
          </w:divBdr>
        </w:div>
        <w:div w:id="1062676982">
          <w:marLeft w:val="0"/>
          <w:marRight w:val="0"/>
          <w:marTop w:val="0"/>
          <w:marBottom w:val="0"/>
          <w:divBdr>
            <w:top w:val="none" w:sz="0" w:space="0" w:color="auto"/>
            <w:left w:val="none" w:sz="0" w:space="0" w:color="auto"/>
            <w:bottom w:val="none" w:sz="0" w:space="0" w:color="auto"/>
            <w:right w:val="none" w:sz="0" w:space="0" w:color="auto"/>
          </w:divBdr>
          <w:divsChild>
            <w:div w:id="1593201017">
              <w:marLeft w:val="-75"/>
              <w:marRight w:val="0"/>
              <w:marTop w:val="30"/>
              <w:marBottom w:val="30"/>
              <w:divBdr>
                <w:top w:val="none" w:sz="0" w:space="0" w:color="auto"/>
                <w:left w:val="none" w:sz="0" w:space="0" w:color="auto"/>
                <w:bottom w:val="none" w:sz="0" w:space="0" w:color="auto"/>
                <w:right w:val="none" w:sz="0" w:space="0" w:color="auto"/>
              </w:divBdr>
              <w:divsChild>
                <w:div w:id="168298453">
                  <w:marLeft w:val="0"/>
                  <w:marRight w:val="0"/>
                  <w:marTop w:val="0"/>
                  <w:marBottom w:val="0"/>
                  <w:divBdr>
                    <w:top w:val="none" w:sz="0" w:space="0" w:color="auto"/>
                    <w:left w:val="none" w:sz="0" w:space="0" w:color="auto"/>
                    <w:bottom w:val="none" w:sz="0" w:space="0" w:color="auto"/>
                    <w:right w:val="none" w:sz="0" w:space="0" w:color="auto"/>
                  </w:divBdr>
                  <w:divsChild>
                    <w:div w:id="1184055321">
                      <w:marLeft w:val="0"/>
                      <w:marRight w:val="0"/>
                      <w:marTop w:val="0"/>
                      <w:marBottom w:val="0"/>
                      <w:divBdr>
                        <w:top w:val="none" w:sz="0" w:space="0" w:color="auto"/>
                        <w:left w:val="none" w:sz="0" w:space="0" w:color="auto"/>
                        <w:bottom w:val="none" w:sz="0" w:space="0" w:color="auto"/>
                        <w:right w:val="none" w:sz="0" w:space="0" w:color="auto"/>
                      </w:divBdr>
                    </w:div>
                  </w:divsChild>
                </w:div>
                <w:div w:id="295531414">
                  <w:marLeft w:val="0"/>
                  <w:marRight w:val="0"/>
                  <w:marTop w:val="0"/>
                  <w:marBottom w:val="0"/>
                  <w:divBdr>
                    <w:top w:val="none" w:sz="0" w:space="0" w:color="auto"/>
                    <w:left w:val="none" w:sz="0" w:space="0" w:color="auto"/>
                    <w:bottom w:val="none" w:sz="0" w:space="0" w:color="auto"/>
                    <w:right w:val="none" w:sz="0" w:space="0" w:color="auto"/>
                  </w:divBdr>
                  <w:divsChild>
                    <w:div w:id="1763723533">
                      <w:marLeft w:val="0"/>
                      <w:marRight w:val="0"/>
                      <w:marTop w:val="0"/>
                      <w:marBottom w:val="0"/>
                      <w:divBdr>
                        <w:top w:val="none" w:sz="0" w:space="0" w:color="auto"/>
                        <w:left w:val="none" w:sz="0" w:space="0" w:color="auto"/>
                        <w:bottom w:val="none" w:sz="0" w:space="0" w:color="auto"/>
                        <w:right w:val="none" w:sz="0" w:space="0" w:color="auto"/>
                      </w:divBdr>
                    </w:div>
                  </w:divsChild>
                </w:div>
                <w:div w:id="374427507">
                  <w:marLeft w:val="0"/>
                  <w:marRight w:val="0"/>
                  <w:marTop w:val="0"/>
                  <w:marBottom w:val="0"/>
                  <w:divBdr>
                    <w:top w:val="none" w:sz="0" w:space="0" w:color="auto"/>
                    <w:left w:val="none" w:sz="0" w:space="0" w:color="auto"/>
                    <w:bottom w:val="none" w:sz="0" w:space="0" w:color="auto"/>
                    <w:right w:val="none" w:sz="0" w:space="0" w:color="auto"/>
                  </w:divBdr>
                  <w:divsChild>
                    <w:div w:id="2093965182">
                      <w:marLeft w:val="0"/>
                      <w:marRight w:val="0"/>
                      <w:marTop w:val="0"/>
                      <w:marBottom w:val="0"/>
                      <w:divBdr>
                        <w:top w:val="none" w:sz="0" w:space="0" w:color="auto"/>
                        <w:left w:val="none" w:sz="0" w:space="0" w:color="auto"/>
                        <w:bottom w:val="none" w:sz="0" w:space="0" w:color="auto"/>
                        <w:right w:val="none" w:sz="0" w:space="0" w:color="auto"/>
                      </w:divBdr>
                    </w:div>
                  </w:divsChild>
                </w:div>
                <w:div w:id="449738962">
                  <w:marLeft w:val="0"/>
                  <w:marRight w:val="0"/>
                  <w:marTop w:val="0"/>
                  <w:marBottom w:val="0"/>
                  <w:divBdr>
                    <w:top w:val="none" w:sz="0" w:space="0" w:color="auto"/>
                    <w:left w:val="none" w:sz="0" w:space="0" w:color="auto"/>
                    <w:bottom w:val="none" w:sz="0" w:space="0" w:color="auto"/>
                    <w:right w:val="none" w:sz="0" w:space="0" w:color="auto"/>
                  </w:divBdr>
                  <w:divsChild>
                    <w:div w:id="878006165">
                      <w:marLeft w:val="0"/>
                      <w:marRight w:val="0"/>
                      <w:marTop w:val="0"/>
                      <w:marBottom w:val="0"/>
                      <w:divBdr>
                        <w:top w:val="none" w:sz="0" w:space="0" w:color="auto"/>
                        <w:left w:val="none" w:sz="0" w:space="0" w:color="auto"/>
                        <w:bottom w:val="none" w:sz="0" w:space="0" w:color="auto"/>
                        <w:right w:val="none" w:sz="0" w:space="0" w:color="auto"/>
                      </w:divBdr>
                    </w:div>
                  </w:divsChild>
                </w:div>
                <w:div w:id="607591594">
                  <w:marLeft w:val="0"/>
                  <w:marRight w:val="0"/>
                  <w:marTop w:val="0"/>
                  <w:marBottom w:val="0"/>
                  <w:divBdr>
                    <w:top w:val="none" w:sz="0" w:space="0" w:color="auto"/>
                    <w:left w:val="none" w:sz="0" w:space="0" w:color="auto"/>
                    <w:bottom w:val="none" w:sz="0" w:space="0" w:color="auto"/>
                    <w:right w:val="none" w:sz="0" w:space="0" w:color="auto"/>
                  </w:divBdr>
                  <w:divsChild>
                    <w:div w:id="1766997651">
                      <w:marLeft w:val="0"/>
                      <w:marRight w:val="0"/>
                      <w:marTop w:val="0"/>
                      <w:marBottom w:val="0"/>
                      <w:divBdr>
                        <w:top w:val="none" w:sz="0" w:space="0" w:color="auto"/>
                        <w:left w:val="none" w:sz="0" w:space="0" w:color="auto"/>
                        <w:bottom w:val="none" w:sz="0" w:space="0" w:color="auto"/>
                        <w:right w:val="none" w:sz="0" w:space="0" w:color="auto"/>
                      </w:divBdr>
                    </w:div>
                  </w:divsChild>
                </w:div>
                <w:div w:id="615136519">
                  <w:marLeft w:val="0"/>
                  <w:marRight w:val="0"/>
                  <w:marTop w:val="0"/>
                  <w:marBottom w:val="0"/>
                  <w:divBdr>
                    <w:top w:val="none" w:sz="0" w:space="0" w:color="auto"/>
                    <w:left w:val="none" w:sz="0" w:space="0" w:color="auto"/>
                    <w:bottom w:val="none" w:sz="0" w:space="0" w:color="auto"/>
                    <w:right w:val="none" w:sz="0" w:space="0" w:color="auto"/>
                  </w:divBdr>
                  <w:divsChild>
                    <w:div w:id="489177961">
                      <w:marLeft w:val="0"/>
                      <w:marRight w:val="0"/>
                      <w:marTop w:val="0"/>
                      <w:marBottom w:val="0"/>
                      <w:divBdr>
                        <w:top w:val="none" w:sz="0" w:space="0" w:color="auto"/>
                        <w:left w:val="none" w:sz="0" w:space="0" w:color="auto"/>
                        <w:bottom w:val="none" w:sz="0" w:space="0" w:color="auto"/>
                        <w:right w:val="none" w:sz="0" w:space="0" w:color="auto"/>
                      </w:divBdr>
                    </w:div>
                  </w:divsChild>
                </w:div>
                <w:div w:id="887107089">
                  <w:marLeft w:val="0"/>
                  <w:marRight w:val="0"/>
                  <w:marTop w:val="0"/>
                  <w:marBottom w:val="0"/>
                  <w:divBdr>
                    <w:top w:val="none" w:sz="0" w:space="0" w:color="auto"/>
                    <w:left w:val="none" w:sz="0" w:space="0" w:color="auto"/>
                    <w:bottom w:val="none" w:sz="0" w:space="0" w:color="auto"/>
                    <w:right w:val="none" w:sz="0" w:space="0" w:color="auto"/>
                  </w:divBdr>
                  <w:divsChild>
                    <w:div w:id="1920675861">
                      <w:marLeft w:val="0"/>
                      <w:marRight w:val="0"/>
                      <w:marTop w:val="0"/>
                      <w:marBottom w:val="0"/>
                      <w:divBdr>
                        <w:top w:val="none" w:sz="0" w:space="0" w:color="auto"/>
                        <w:left w:val="none" w:sz="0" w:space="0" w:color="auto"/>
                        <w:bottom w:val="none" w:sz="0" w:space="0" w:color="auto"/>
                        <w:right w:val="none" w:sz="0" w:space="0" w:color="auto"/>
                      </w:divBdr>
                    </w:div>
                  </w:divsChild>
                </w:div>
                <w:div w:id="1103920261">
                  <w:marLeft w:val="0"/>
                  <w:marRight w:val="0"/>
                  <w:marTop w:val="0"/>
                  <w:marBottom w:val="0"/>
                  <w:divBdr>
                    <w:top w:val="none" w:sz="0" w:space="0" w:color="auto"/>
                    <w:left w:val="none" w:sz="0" w:space="0" w:color="auto"/>
                    <w:bottom w:val="none" w:sz="0" w:space="0" w:color="auto"/>
                    <w:right w:val="none" w:sz="0" w:space="0" w:color="auto"/>
                  </w:divBdr>
                  <w:divsChild>
                    <w:div w:id="472672448">
                      <w:marLeft w:val="0"/>
                      <w:marRight w:val="0"/>
                      <w:marTop w:val="0"/>
                      <w:marBottom w:val="0"/>
                      <w:divBdr>
                        <w:top w:val="none" w:sz="0" w:space="0" w:color="auto"/>
                        <w:left w:val="none" w:sz="0" w:space="0" w:color="auto"/>
                        <w:bottom w:val="none" w:sz="0" w:space="0" w:color="auto"/>
                        <w:right w:val="none" w:sz="0" w:space="0" w:color="auto"/>
                      </w:divBdr>
                    </w:div>
                  </w:divsChild>
                </w:div>
                <w:div w:id="1459369804">
                  <w:marLeft w:val="0"/>
                  <w:marRight w:val="0"/>
                  <w:marTop w:val="0"/>
                  <w:marBottom w:val="0"/>
                  <w:divBdr>
                    <w:top w:val="none" w:sz="0" w:space="0" w:color="auto"/>
                    <w:left w:val="none" w:sz="0" w:space="0" w:color="auto"/>
                    <w:bottom w:val="none" w:sz="0" w:space="0" w:color="auto"/>
                    <w:right w:val="none" w:sz="0" w:space="0" w:color="auto"/>
                  </w:divBdr>
                  <w:divsChild>
                    <w:div w:id="270819070">
                      <w:marLeft w:val="0"/>
                      <w:marRight w:val="0"/>
                      <w:marTop w:val="0"/>
                      <w:marBottom w:val="0"/>
                      <w:divBdr>
                        <w:top w:val="none" w:sz="0" w:space="0" w:color="auto"/>
                        <w:left w:val="none" w:sz="0" w:space="0" w:color="auto"/>
                        <w:bottom w:val="none" w:sz="0" w:space="0" w:color="auto"/>
                        <w:right w:val="none" w:sz="0" w:space="0" w:color="auto"/>
                      </w:divBdr>
                    </w:div>
                  </w:divsChild>
                </w:div>
                <w:div w:id="1572929620">
                  <w:marLeft w:val="0"/>
                  <w:marRight w:val="0"/>
                  <w:marTop w:val="0"/>
                  <w:marBottom w:val="0"/>
                  <w:divBdr>
                    <w:top w:val="none" w:sz="0" w:space="0" w:color="auto"/>
                    <w:left w:val="none" w:sz="0" w:space="0" w:color="auto"/>
                    <w:bottom w:val="none" w:sz="0" w:space="0" w:color="auto"/>
                    <w:right w:val="none" w:sz="0" w:space="0" w:color="auto"/>
                  </w:divBdr>
                  <w:divsChild>
                    <w:div w:id="1034696970">
                      <w:marLeft w:val="0"/>
                      <w:marRight w:val="0"/>
                      <w:marTop w:val="0"/>
                      <w:marBottom w:val="0"/>
                      <w:divBdr>
                        <w:top w:val="none" w:sz="0" w:space="0" w:color="auto"/>
                        <w:left w:val="none" w:sz="0" w:space="0" w:color="auto"/>
                        <w:bottom w:val="none" w:sz="0" w:space="0" w:color="auto"/>
                        <w:right w:val="none" w:sz="0" w:space="0" w:color="auto"/>
                      </w:divBdr>
                    </w:div>
                  </w:divsChild>
                </w:div>
                <w:div w:id="1785222630">
                  <w:marLeft w:val="0"/>
                  <w:marRight w:val="0"/>
                  <w:marTop w:val="0"/>
                  <w:marBottom w:val="0"/>
                  <w:divBdr>
                    <w:top w:val="none" w:sz="0" w:space="0" w:color="auto"/>
                    <w:left w:val="none" w:sz="0" w:space="0" w:color="auto"/>
                    <w:bottom w:val="none" w:sz="0" w:space="0" w:color="auto"/>
                    <w:right w:val="none" w:sz="0" w:space="0" w:color="auto"/>
                  </w:divBdr>
                  <w:divsChild>
                    <w:div w:id="1933902003">
                      <w:marLeft w:val="0"/>
                      <w:marRight w:val="0"/>
                      <w:marTop w:val="0"/>
                      <w:marBottom w:val="0"/>
                      <w:divBdr>
                        <w:top w:val="none" w:sz="0" w:space="0" w:color="auto"/>
                        <w:left w:val="none" w:sz="0" w:space="0" w:color="auto"/>
                        <w:bottom w:val="none" w:sz="0" w:space="0" w:color="auto"/>
                        <w:right w:val="none" w:sz="0" w:space="0" w:color="auto"/>
                      </w:divBdr>
                    </w:div>
                  </w:divsChild>
                </w:div>
                <w:div w:id="2026470348">
                  <w:marLeft w:val="0"/>
                  <w:marRight w:val="0"/>
                  <w:marTop w:val="0"/>
                  <w:marBottom w:val="0"/>
                  <w:divBdr>
                    <w:top w:val="none" w:sz="0" w:space="0" w:color="auto"/>
                    <w:left w:val="none" w:sz="0" w:space="0" w:color="auto"/>
                    <w:bottom w:val="none" w:sz="0" w:space="0" w:color="auto"/>
                    <w:right w:val="none" w:sz="0" w:space="0" w:color="auto"/>
                  </w:divBdr>
                  <w:divsChild>
                    <w:div w:id="19248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4839">
          <w:marLeft w:val="0"/>
          <w:marRight w:val="0"/>
          <w:marTop w:val="0"/>
          <w:marBottom w:val="0"/>
          <w:divBdr>
            <w:top w:val="none" w:sz="0" w:space="0" w:color="auto"/>
            <w:left w:val="none" w:sz="0" w:space="0" w:color="auto"/>
            <w:bottom w:val="none" w:sz="0" w:space="0" w:color="auto"/>
            <w:right w:val="none" w:sz="0" w:space="0" w:color="auto"/>
          </w:divBdr>
        </w:div>
        <w:div w:id="1110205879">
          <w:marLeft w:val="0"/>
          <w:marRight w:val="0"/>
          <w:marTop w:val="0"/>
          <w:marBottom w:val="0"/>
          <w:divBdr>
            <w:top w:val="none" w:sz="0" w:space="0" w:color="auto"/>
            <w:left w:val="none" w:sz="0" w:space="0" w:color="auto"/>
            <w:bottom w:val="none" w:sz="0" w:space="0" w:color="auto"/>
            <w:right w:val="none" w:sz="0" w:space="0" w:color="auto"/>
          </w:divBdr>
        </w:div>
        <w:div w:id="1161654720">
          <w:marLeft w:val="0"/>
          <w:marRight w:val="0"/>
          <w:marTop w:val="0"/>
          <w:marBottom w:val="0"/>
          <w:divBdr>
            <w:top w:val="none" w:sz="0" w:space="0" w:color="auto"/>
            <w:left w:val="none" w:sz="0" w:space="0" w:color="auto"/>
            <w:bottom w:val="none" w:sz="0" w:space="0" w:color="auto"/>
            <w:right w:val="none" w:sz="0" w:space="0" w:color="auto"/>
          </w:divBdr>
        </w:div>
        <w:div w:id="1199507237">
          <w:marLeft w:val="0"/>
          <w:marRight w:val="0"/>
          <w:marTop w:val="0"/>
          <w:marBottom w:val="0"/>
          <w:divBdr>
            <w:top w:val="none" w:sz="0" w:space="0" w:color="auto"/>
            <w:left w:val="none" w:sz="0" w:space="0" w:color="auto"/>
            <w:bottom w:val="none" w:sz="0" w:space="0" w:color="auto"/>
            <w:right w:val="none" w:sz="0" w:space="0" w:color="auto"/>
          </w:divBdr>
        </w:div>
        <w:div w:id="1220095515">
          <w:marLeft w:val="0"/>
          <w:marRight w:val="0"/>
          <w:marTop w:val="0"/>
          <w:marBottom w:val="0"/>
          <w:divBdr>
            <w:top w:val="none" w:sz="0" w:space="0" w:color="auto"/>
            <w:left w:val="none" w:sz="0" w:space="0" w:color="auto"/>
            <w:bottom w:val="none" w:sz="0" w:space="0" w:color="auto"/>
            <w:right w:val="none" w:sz="0" w:space="0" w:color="auto"/>
          </w:divBdr>
        </w:div>
        <w:div w:id="1271738263">
          <w:marLeft w:val="0"/>
          <w:marRight w:val="0"/>
          <w:marTop w:val="0"/>
          <w:marBottom w:val="0"/>
          <w:divBdr>
            <w:top w:val="none" w:sz="0" w:space="0" w:color="auto"/>
            <w:left w:val="none" w:sz="0" w:space="0" w:color="auto"/>
            <w:bottom w:val="none" w:sz="0" w:space="0" w:color="auto"/>
            <w:right w:val="none" w:sz="0" w:space="0" w:color="auto"/>
          </w:divBdr>
        </w:div>
        <w:div w:id="1304889395">
          <w:marLeft w:val="0"/>
          <w:marRight w:val="0"/>
          <w:marTop w:val="0"/>
          <w:marBottom w:val="0"/>
          <w:divBdr>
            <w:top w:val="none" w:sz="0" w:space="0" w:color="auto"/>
            <w:left w:val="none" w:sz="0" w:space="0" w:color="auto"/>
            <w:bottom w:val="none" w:sz="0" w:space="0" w:color="auto"/>
            <w:right w:val="none" w:sz="0" w:space="0" w:color="auto"/>
          </w:divBdr>
        </w:div>
        <w:div w:id="1314068805">
          <w:marLeft w:val="0"/>
          <w:marRight w:val="0"/>
          <w:marTop w:val="0"/>
          <w:marBottom w:val="0"/>
          <w:divBdr>
            <w:top w:val="none" w:sz="0" w:space="0" w:color="auto"/>
            <w:left w:val="none" w:sz="0" w:space="0" w:color="auto"/>
            <w:bottom w:val="none" w:sz="0" w:space="0" w:color="auto"/>
            <w:right w:val="none" w:sz="0" w:space="0" w:color="auto"/>
          </w:divBdr>
          <w:divsChild>
            <w:div w:id="1530677428">
              <w:marLeft w:val="-75"/>
              <w:marRight w:val="0"/>
              <w:marTop w:val="30"/>
              <w:marBottom w:val="30"/>
              <w:divBdr>
                <w:top w:val="none" w:sz="0" w:space="0" w:color="auto"/>
                <w:left w:val="none" w:sz="0" w:space="0" w:color="auto"/>
                <w:bottom w:val="none" w:sz="0" w:space="0" w:color="auto"/>
                <w:right w:val="none" w:sz="0" w:space="0" w:color="auto"/>
              </w:divBdr>
              <w:divsChild>
                <w:div w:id="51658896">
                  <w:marLeft w:val="0"/>
                  <w:marRight w:val="0"/>
                  <w:marTop w:val="0"/>
                  <w:marBottom w:val="0"/>
                  <w:divBdr>
                    <w:top w:val="none" w:sz="0" w:space="0" w:color="auto"/>
                    <w:left w:val="none" w:sz="0" w:space="0" w:color="auto"/>
                    <w:bottom w:val="none" w:sz="0" w:space="0" w:color="auto"/>
                    <w:right w:val="none" w:sz="0" w:space="0" w:color="auto"/>
                  </w:divBdr>
                  <w:divsChild>
                    <w:div w:id="1257204400">
                      <w:marLeft w:val="0"/>
                      <w:marRight w:val="0"/>
                      <w:marTop w:val="0"/>
                      <w:marBottom w:val="0"/>
                      <w:divBdr>
                        <w:top w:val="none" w:sz="0" w:space="0" w:color="auto"/>
                        <w:left w:val="none" w:sz="0" w:space="0" w:color="auto"/>
                        <w:bottom w:val="none" w:sz="0" w:space="0" w:color="auto"/>
                        <w:right w:val="none" w:sz="0" w:space="0" w:color="auto"/>
                      </w:divBdr>
                    </w:div>
                  </w:divsChild>
                </w:div>
                <w:div w:id="156309529">
                  <w:marLeft w:val="0"/>
                  <w:marRight w:val="0"/>
                  <w:marTop w:val="0"/>
                  <w:marBottom w:val="0"/>
                  <w:divBdr>
                    <w:top w:val="none" w:sz="0" w:space="0" w:color="auto"/>
                    <w:left w:val="none" w:sz="0" w:space="0" w:color="auto"/>
                    <w:bottom w:val="none" w:sz="0" w:space="0" w:color="auto"/>
                    <w:right w:val="none" w:sz="0" w:space="0" w:color="auto"/>
                  </w:divBdr>
                  <w:divsChild>
                    <w:div w:id="550848357">
                      <w:marLeft w:val="0"/>
                      <w:marRight w:val="0"/>
                      <w:marTop w:val="0"/>
                      <w:marBottom w:val="0"/>
                      <w:divBdr>
                        <w:top w:val="none" w:sz="0" w:space="0" w:color="auto"/>
                        <w:left w:val="none" w:sz="0" w:space="0" w:color="auto"/>
                        <w:bottom w:val="none" w:sz="0" w:space="0" w:color="auto"/>
                        <w:right w:val="none" w:sz="0" w:space="0" w:color="auto"/>
                      </w:divBdr>
                    </w:div>
                  </w:divsChild>
                </w:div>
                <w:div w:id="160971598">
                  <w:marLeft w:val="0"/>
                  <w:marRight w:val="0"/>
                  <w:marTop w:val="0"/>
                  <w:marBottom w:val="0"/>
                  <w:divBdr>
                    <w:top w:val="none" w:sz="0" w:space="0" w:color="auto"/>
                    <w:left w:val="none" w:sz="0" w:space="0" w:color="auto"/>
                    <w:bottom w:val="none" w:sz="0" w:space="0" w:color="auto"/>
                    <w:right w:val="none" w:sz="0" w:space="0" w:color="auto"/>
                  </w:divBdr>
                  <w:divsChild>
                    <w:div w:id="1769620061">
                      <w:marLeft w:val="0"/>
                      <w:marRight w:val="0"/>
                      <w:marTop w:val="0"/>
                      <w:marBottom w:val="0"/>
                      <w:divBdr>
                        <w:top w:val="none" w:sz="0" w:space="0" w:color="auto"/>
                        <w:left w:val="none" w:sz="0" w:space="0" w:color="auto"/>
                        <w:bottom w:val="none" w:sz="0" w:space="0" w:color="auto"/>
                        <w:right w:val="none" w:sz="0" w:space="0" w:color="auto"/>
                      </w:divBdr>
                    </w:div>
                  </w:divsChild>
                </w:div>
                <w:div w:id="187260887">
                  <w:marLeft w:val="0"/>
                  <w:marRight w:val="0"/>
                  <w:marTop w:val="0"/>
                  <w:marBottom w:val="0"/>
                  <w:divBdr>
                    <w:top w:val="none" w:sz="0" w:space="0" w:color="auto"/>
                    <w:left w:val="none" w:sz="0" w:space="0" w:color="auto"/>
                    <w:bottom w:val="none" w:sz="0" w:space="0" w:color="auto"/>
                    <w:right w:val="none" w:sz="0" w:space="0" w:color="auto"/>
                  </w:divBdr>
                  <w:divsChild>
                    <w:div w:id="1986619546">
                      <w:marLeft w:val="0"/>
                      <w:marRight w:val="0"/>
                      <w:marTop w:val="0"/>
                      <w:marBottom w:val="0"/>
                      <w:divBdr>
                        <w:top w:val="none" w:sz="0" w:space="0" w:color="auto"/>
                        <w:left w:val="none" w:sz="0" w:space="0" w:color="auto"/>
                        <w:bottom w:val="none" w:sz="0" w:space="0" w:color="auto"/>
                        <w:right w:val="none" w:sz="0" w:space="0" w:color="auto"/>
                      </w:divBdr>
                    </w:div>
                  </w:divsChild>
                </w:div>
                <w:div w:id="223835264">
                  <w:marLeft w:val="0"/>
                  <w:marRight w:val="0"/>
                  <w:marTop w:val="0"/>
                  <w:marBottom w:val="0"/>
                  <w:divBdr>
                    <w:top w:val="none" w:sz="0" w:space="0" w:color="auto"/>
                    <w:left w:val="none" w:sz="0" w:space="0" w:color="auto"/>
                    <w:bottom w:val="none" w:sz="0" w:space="0" w:color="auto"/>
                    <w:right w:val="none" w:sz="0" w:space="0" w:color="auto"/>
                  </w:divBdr>
                  <w:divsChild>
                    <w:div w:id="2146384934">
                      <w:marLeft w:val="0"/>
                      <w:marRight w:val="0"/>
                      <w:marTop w:val="0"/>
                      <w:marBottom w:val="0"/>
                      <w:divBdr>
                        <w:top w:val="none" w:sz="0" w:space="0" w:color="auto"/>
                        <w:left w:val="none" w:sz="0" w:space="0" w:color="auto"/>
                        <w:bottom w:val="none" w:sz="0" w:space="0" w:color="auto"/>
                        <w:right w:val="none" w:sz="0" w:space="0" w:color="auto"/>
                      </w:divBdr>
                    </w:div>
                  </w:divsChild>
                </w:div>
                <w:div w:id="255289386">
                  <w:marLeft w:val="0"/>
                  <w:marRight w:val="0"/>
                  <w:marTop w:val="0"/>
                  <w:marBottom w:val="0"/>
                  <w:divBdr>
                    <w:top w:val="none" w:sz="0" w:space="0" w:color="auto"/>
                    <w:left w:val="none" w:sz="0" w:space="0" w:color="auto"/>
                    <w:bottom w:val="none" w:sz="0" w:space="0" w:color="auto"/>
                    <w:right w:val="none" w:sz="0" w:space="0" w:color="auto"/>
                  </w:divBdr>
                  <w:divsChild>
                    <w:div w:id="171646074">
                      <w:marLeft w:val="0"/>
                      <w:marRight w:val="0"/>
                      <w:marTop w:val="0"/>
                      <w:marBottom w:val="0"/>
                      <w:divBdr>
                        <w:top w:val="none" w:sz="0" w:space="0" w:color="auto"/>
                        <w:left w:val="none" w:sz="0" w:space="0" w:color="auto"/>
                        <w:bottom w:val="none" w:sz="0" w:space="0" w:color="auto"/>
                        <w:right w:val="none" w:sz="0" w:space="0" w:color="auto"/>
                      </w:divBdr>
                    </w:div>
                  </w:divsChild>
                </w:div>
                <w:div w:id="270476829">
                  <w:marLeft w:val="0"/>
                  <w:marRight w:val="0"/>
                  <w:marTop w:val="0"/>
                  <w:marBottom w:val="0"/>
                  <w:divBdr>
                    <w:top w:val="none" w:sz="0" w:space="0" w:color="auto"/>
                    <w:left w:val="none" w:sz="0" w:space="0" w:color="auto"/>
                    <w:bottom w:val="none" w:sz="0" w:space="0" w:color="auto"/>
                    <w:right w:val="none" w:sz="0" w:space="0" w:color="auto"/>
                  </w:divBdr>
                  <w:divsChild>
                    <w:div w:id="532308105">
                      <w:marLeft w:val="0"/>
                      <w:marRight w:val="0"/>
                      <w:marTop w:val="0"/>
                      <w:marBottom w:val="0"/>
                      <w:divBdr>
                        <w:top w:val="none" w:sz="0" w:space="0" w:color="auto"/>
                        <w:left w:val="none" w:sz="0" w:space="0" w:color="auto"/>
                        <w:bottom w:val="none" w:sz="0" w:space="0" w:color="auto"/>
                        <w:right w:val="none" w:sz="0" w:space="0" w:color="auto"/>
                      </w:divBdr>
                    </w:div>
                  </w:divsChild>
                </w:div>
                <w:div w:id="281882970">
                  <w:marLeft w:val="0"/>
                  <w:marRight w:val="0"/>
                  <w:marTop w:val="0"/>
                  <w:marBottom w:val="0"/>
                  <w:divBdr>
                    <w:top w:val="none" w:sz="0" w:space="0" w:color="auto"/>
                    <w:left w:val="none" w:sz="0" w:space="0" w:color="auto"/>
                    <w:bottom w:val="none" w:sz="0" w:space="0" w:color="auto"/>
                    <w:right w:val="none" w:sz="0" w:space="0" w:color="auto"/>
                  </w:divBdr>
                  <w:divsChild>
                    <w:div w:id="120005314">
                      <w:marLeft w:val="0"/>
                      <w:marRight w:val="0"/>
                      <w:marTop w:val="0"/>
                      <w:marBottom w:val="0"/>
                      <w:divBdr>
                        <w:top w:val="none" w:sz="0" w:space="0" w:color="auto"/>
                        <w:left w:val="none" w:sz="0" w:space="0" w:color="auto"/>
                        <w:bottom w:val="none" w:sz="0" w:space="0" w:color="auto"/>
                        <w:right w:val="none" w:sz="0" w:space="0" w:color="auto"/>
                      </w:divBdr>
                    </w:div>
                  </w:divsChild>
                </w:div>
                <w:div w:id="316765833">
                  <w:marLeft w:val="0"/>
                  <w:marRight w:val="0"/>
                  <w:marTop w:val="0"/>
                  <w:marBottom w:val="0"/>
                  <w:divBdr>
                    <w:top w:val="none" w:sz="0" w:space="0" w:color="auto"/>
                    <w:left w:val="none" w:sz="0" w:space="0" w:color="auto"/>
                    <w:bottom w:val="none" w:sz="0" w:space="0" w:color="auto"/>
                    <w:right w:val="none" w:sz="0" w:space="0" w:color="auto"/>
                  </w:divBdr>
                  <w:divsChild>
                    <w:div w:id="1515069753">
                      <w:marLeft w:val="0"/>
                      <w:marRight w:val="0"/>
                      <w:marTop w:val="0"/>
                      <w:marBottom w:val="0"/>
                      <w:divBdr>
                        <w:top w:val="none" w:sz="0" w:space="0" w:color="auto"/>
                        <w:left w:val="none" w:sz="0" w:space="0" w:color="auto"/>
                        <w:bottom w:val="none" w:sz="0" w:space="0" w:color="auto"/>
                        <w:right w:val="none" w:sz="0" w:space="0" w:color="auto"/>
                      </w:divBdr>
                    </w:div>
                  </w:divsChild>
                </w:div>
                <w:div w:id="374278968">
                  <w:marLeft w:val="0"/>
                  <w:marRight w:val="0"/>
                  <w:marTop w:val="0"/>
                  <w:marBottom w:val="0"/>
                  <w:divBdr>
                    <w:top w:val="none" w:sz="0" w:space="0" w:color="auto"/>
                    <w:left w:val="none" w:sz="0" w:space="0" w:color="auto"/>
                    <w:bottom w:val="none" w:sz="0" w:space="0" w:color="auto"/>
                    <w:right w:val="none" w:sz="0" w:space="0" w:color="auto"/>
                  </w:divBdr>
                  <w:divsChild>
                    <w:div w:id="1826237777">
                      <w:marLeft w:val="0"/>
                      <w:marRight w:val="0"/>
                      <w:marTop w:val="0"/>
                      <w:marBottom w:val="0"/>
                      <w:divBdr>
                        <w:top w:val="none" w:sz="0" w:space="0" w:color="auto"/>
                        <w:left w:val="none" w:sz="0" w:space="0" w:color="auto"/>
                        <w:bottom w:val="none" w:sz="0" w:space="0" w:color="auto"/>
                        <w:right w:val="none" w:sz="0" w:space="0" w:color="auto"/>
                      </w:divBdr>
                    </w:div>
                  </w:divsChild>
                </w:div>
                <w:div w:id="375935166">
                  <w:marLeft w:val="0"/>
                  <w:marRight w:val="0"/>
                  <w:marTop w:val="0"/>
                  <w:marBottom w:val="0"/>
                  <w:divBdr>
                    <w:top w:val="none" w:sz="0" w:space="0" w:color="auto"/>
                    <w:left w:val="none" w:sz="0" w:space="0" w:color="auto"/>
                    <w:bottom w:val="none" w:sz="0" w:space="0" w:color="auto"/>
                    <w:right w:val="none" w:sz="0" w:space="0" w:color="auto"/>
                  </w:divBdr>
                  <w:divsChild>
                    <w:div w:id="1766338594">
                      <w:marLeft w:val="0"/>
                      <w:marRight w:val="0"/>
                      <w:marTop w:val="0"/>
                      <w:marBottom w:val="0"/>
                      <w:divBdr>
                        <w:top w:val="none" w:sz="0" w:space="0" w:color="auto"/>
                        <w:left w:val="none" w:sz="0" w:space="0" w:color="auto"/>
                        <w:bottom w:val="none" w:sz="0" w:space="0" w:color="auto"/>
                        <w:right w:val="none" w:sz="0" w:space="0" w:color="auto"/>
                      </w:divBdr>
                    </w:div>
                  </w:divsChild>
                </w:div>
                <w:div w:id="566116275">
                  <w:marLeft w:val="0"/>
                  <w:marRight w:val="0"/>
                  <w:marTop w:val="0"/>
                  <w:marBottom w:val="0"/>
                  <w:divBdr>
                    <w:top w:val="none" w:sz="0" w:space="0" w:color="auto"/>
                    <w:left w:val="none" w:sz="0" w:space="0" w:color="auto"/>
                    <w:bottom w:val="none" w:sz="0" w:space="0" w:color="auto"/>
                    <w:right w:val="none" w:sz="0" w:space="0" w:color="auto"/>
                  </w:divBdr>
                  <w:divsChild>
                    <w:div w:id="1405448301">
                      <w:marLeft w:val="0"/>
                      <w:marRight w:val="0"/>
                      <w:marTop w:val="0"/>
                      <w:marBottom w:val="0"/>
                      <w:divBdr>
                        <w:top w:val="none" w:sz="0" w:space="0" w:color="auto"/>
                        <w:left w:val="none" w:sz="0" w:space="0" w:color="auto"/>
                        <w:bottom w:val="none" w:sz="0" w:space="0" w:color="auto"/>
                        <w:right w:val="none" w:sz="0" w:space="0" w:color="auto"/>
                      </w:divBdr>
                    </w:div>
                  </w:divsChild>
                </w:div>
                <w:div w:id="675035345">
                  <w:marLeft w:val="0"/>
                  <w:marRight w:val="0"/>
                  <w:marTop w:val="0"/>
                  <w:marBottom w:val="0"/>
                  <w:divBdr>
                    <w:top w:val="none" w:sz="0" w:space="0" w:color="auto"/>
                    <w:left w:val="none" w:sz="0" w:space="0" w:color="auto"/>
                    <w:bottom w:val="none" w:sz="0" w:space="0" w:color="auto"/>
                    <w:right w:val="none" w:sz="0" w:space="0" w:color="auto"/>
                  </w:divBdr>
                  <w:divsChild>
                    <w:div w:id="1635326839">
                      <w:marLeft w:val="0"/>
                      <w:marRight w:val="0"/>
                      <w:marTop w:val="0"/>
                      <w:marBottom w:val="0"/>
                      <w:divBdr>
                        <w:top w:val="none" w:sz="0" w:space="0" w:color="auto"/>
                        <w:left w:val="none" w:sz="0" w:space="0" w:color="auto"/>
                        <w:bottom w:val="none" w:sz="0" w:space="0" w:color="auto"/>
                        <w:right w:val="none" w:sz="0" w:space="0" w:color="auto"/>
                      </w:divBdr>
                    </w:div>
                  </w:divsChild>
                </w:div>
                <w:div w:id="793254648">
                  <w:marLeft w:val="0"/>
                  <w:marRight w:val="0"/>
                  <w:marTop w:val="0"/>
                  <w:marBottom w:val="0"/>
                  <w:divBdr>
                    <w:top w:val="none" w:sz="0" w:space="0" w:color="auto"/>
                    <w:left w:val="none" w:sz="0" w:space="0" w:color="auto"/>
                    <w:bottom w:val="none" w:sz="0" w:space="0" w:color="auto"/>
                    <w:right w:val="none" w:sz="0" w:space="0" w:color="auto"/>
                  </w:divBdr>
                  <w:divsChild>
                    <w:div w:id="614870874">
                      <w:marLeft w:val="0"/>
                      <w:marRight w:val="0"/>
                      <w:marTop w:val="0"/>
                      <w:marBottom w:val="0"/>
                      <w:divBdr>
                        <w:top w:val="none" w:sz="0" w:space="0" w:color="auto"/>
                        <w:left w:val="none" w:sz="0" w:space="0" w:color="auto"/>
                        <w:bottom w:val="none" w:sz="0" w:space="0" w:color="auto"/>
                        <w:right w:val="none" w:sz="0" w:space="0" w:color="auto"/>
                      </w:divBdr>
                    </w:div>
                  </w:divsChild>
                </w:div>
                <w:div w:id="872114469">
                  <w:marLeft w:val="0"/>
                  <w:marRight w:val="0"/>
                  <w:marTop w:val="0"/>
                  <w:marBottom w:val="0"/>
                  <w:divBdr>
                    <w:top w:val="none" w:sz="0" w:space="0" w:color="auto"/>
                    <w:left w:val="none" w:sz="0" w:space="0" w:color="auto"/>
                    <w:bottom w:val="none" w:sz="0" w:space="0" w:color="auto"/>
                    <w:right w:val="none" w:sz="0" w:space="0" w:color="auto"/>
                  </w:divBdr>
                  <w:divsChild>
                    <w:div w:id="2106725132">
                      <w:marLeft w:val="0"/>
                      <w:marRight w:val="0"/>
                      <w:marTop w:val="0"/>
                      <w:marBottom w:val="0"/>
                      <w:divBdr>
                        <w:top w:val="none" w:sz="0" w:space="0" w:color="auto"/>
                        <w:left w:val="none" w:sz="0" w:space="0" w:color="auto"/>
                        <w:bottom w:val="none" w:sz="0" w:space="0" w:color="auto"/>
                        <w:right w:val="none" w:sz="0" w:space="0" w:color="auto"/>
                      </w:divBdr>
                    </w:div>
                  </w:divsChild>
                </w:div>
                <w:div w:id="872499883">
                  <w:marLeft w:val="0"/>
                  <w:marRight w:val="0"/>
                  <w:marTop w:val="0"/>
                  <w:marBottom w:val="0"/>
                  <w:divBdr>
                    <w:top w:val="none" w:sz="0" w:space="0" w:color="auto"/>
                    <w:left w:val="none" w:sz="0" w:space="0" w:color="auto"/>
                    <w:bottom w:val="none" w:sz="0" w:space="0" w:color="auto"/>
                    <w:right w:val="none" w:sz="0" w:space="0" w:color="auto"/>
                  </w:divBdr>
                  <w:divsChild>
                    <w:div w:id="1258103011">
                      <w:marLeft w:val="0"/>
                      <w:marRight w:val="0"/>
                      <w:marTop w:val="0"/>
                      <w:marBottom w:val="0"/>
                      <w:divBdr>
                        <w:top w:val="none" w:sz="0" w:space="0" w:color="auto"/>
                        <w:left w:val="none" w:sz="0" w:space="0" w:color="auto"/>
                        <w:bottom w:val="none" w:sz="0" w:space="0" w:color="auto"/>
                        <w:right w:val="none" w:sz="0" w:space="0" w:color="auto"/>
                      </w:divBdr>
                    </w:div>
                  </w:divsChild>
                </w:div>
                <w:div w:id="906300086">
                  <w:marLeft w:val="0"/>
                  <w:marRight w:val="0"/>
                  <w:marTop w:val="0"/>
                  <w:marBottom w:val="0"/>
                  <w:divBdr>
                    <w:top w:val="none" w:sz="0" w:space="0" w:color="auto"/>
                    <w:left w:val="none" w:sz="0" w:space="0" w:color="auto"/>
                    <w:bottom w:val="none" w:sz="0" w:space="0" w:color="auto"/>
                    <w:right w:val="none" w:sz="0" w:space="0" w:color="auto"/>
                  </w:divBdr>
                  <w:divsChild>
                    <w:div w:id="1184368672">
                      <w:marLeft w:val="0"/>
                      <w:marRight w:val="0"/>
                      <w:marTop w:val="0"/>
                      <w:marBottom w:val="0"/>
                      <w:divBdr>
                        <w:top w:val="none" w:sz="0" w:space="0" w:color="auto"/>
                        <w:left w:val="none" w:sz="0" w:space="0" w:color="auto"/>
                        <w:bottom w:val="none" w:sz="0" w:space="0" w:color="auto"/>
                        <w:right w:val="none" w:sz="0" w:space="0" w:color="auto"/>
                      </w:divBdr>
                    </w:div>
                  </w:divsChild>
                </w:div>
                <w:div w:id="1008676175">
                  <w:marLeft w:val="0"/>
                  <w:marRight w:val="0"/>
                  <w:marTop w:val="0"/>
                  <w:marBottom w:val="0"/>
                  <w:divBdr>
                    <w:top w:val="none" w:sz="0" w:space="0" w:color="auto"/>
                    <w:left w:val="none" w:sz="0" w:space="0" w:color="auto"/>
                    <w:bottom w:val="none" w:sz="0" w:space="0" w:color="auto"/>
                    <w:right w:val="none" w:sz="0" w:space="0" w:color="auto"/>
                  </w:divBdr>
                  <w:divsChild>
                    <w:div w:id="2070953653">
                      <w:marLeft w:val="0"/>
                      <w:marRight w:val="0"/>
                      <w:marTop w:val="0"/>
                      <w:marBottom w:val="0"/>
                      <w:divBdr>
                        <w:top w:val="none" w:sz="0" w:space="0" w:color="auto"/>
                        <w:left w:val="none" w:sz="0" w:space="0" w:color="auto"/>
                        <w:bottom w:val="none" w:sz="0" w:space="0" w:color="auto"/>
                        <w:right w:val="none" w:sz="0" w:space="0" w:color="auto"/>
                      </w:divBdr>
                    </w:div>
                  </w:divsChild>
                </w:div>
                <w:div w:id="1022628880">
                  <w:marLeft w:val="0"/>
                  <w:marRight w:val="0"/>
                  <w:marTop w:val="0"/>
                  <w:marBottom w:val="0"/>
                  <w:divBdr>
                    <w:top w:val="none" w:sz="0" w:space="0" w:color="auto"/>
                    <w:left w:val="none" w:sz="0" w:space="0" w:color="auto"/>
                    <w:bottom w:val="none" w:sz="0" w:space="0" w:color="auto"/>
                    <w:right w:val="none" w:sz="0" w:space="0" w:color="auto"/>
                  </w:divBdr>
                  <w:divsChild>
                    <w:div w:id="1106315730">
                      <w:marLeft w:val="0"/>
                      <w:marRight w:val="0"/>
                      <w:marTop w:val="0"/>
                      <w:marBottom w:val="0"/>
                      <w:divBdr>
                        <w:top w:val="none" w:sz="0" w:space="0" w:color="auto"/>
                        <w:left w:val="none" w:sz="0" w:space="0" w:color="auto"/>
                        <w:bottom w:val="none" w:sz="0" w:space="0" w:color="auto"/>
                        <w:right w:val="none" w:sz="0" w:space="0" w:color="auto"/>
                      </w:divBdr>
                    </w:div>
                  </w:divsChild>
                </w:div>
                <w:div w:id="1071853362">
                  <w:marLeft w:val="0"/>
                  <w:marRight w:val="0"/>
                  <w:marTop w:val="0"/>
                  <w:marBottom w:val="0"/>
                  <w:divBdr>
                    <w:top w:val="none" w:sz="0" w:space="0" w:color="auto"/>
                    <w:left w:val="none" w:sz="0" w:space="0" w:color="auto"/>
                    <w:bottom w:val="none" w:sz="0" w:space="0" w:color="auto"/>
                    <w:right w:val="none" w:sz="0" w:space="0" w:color="auto"/>
                  </w:divBdr>
                  <w:divsChild>
                    <w:div w:id="448819440">
                      <w:marLeft w:val="0"/>
                      <w:marRight w:val="0"/>
                      <w:marTop w:val="0"/>
                      <w:marBottom w:val="0"/>
                      <w:divBdr>
                        <w:top w:val="none" w:sz="0" w:space="0" w:color="auto"/>
                        <w:left w:val="none" w:sz="0" w:space="0" w:color="auto"/>
                        <w:bottom w:val="none" w:sz="0" w:space="0" w:color="auto"/>
                        <w:right w:val="none" w:sz="0" w:space="0" w:color="auto"/>
                      </w:divBdr>
                    </w:div>
                  </w:divsChild>
                </w:div>
                <w:div w:id="1133668752">
                  <w:marLeft w:val="0"/>
                  <w:marRight w:val="0"/>
                  <w:marTop w:val="0"/>
                  <w:marBottom w:val="0"/>
                  <w:divBdr>
                    <w:top w:val="none" w:sz="0" w:space="0" w:color="auto"/>
                    <w:left w:val="none" w:sz="0" w:space="0" w:color="auto"/>
                    <w:bottom w:val="none" w:sz="0" w:space="0" w:color="auto"/>
                    <w:right w:val="none" w:sz="0" w:space="0" w:color="auto"/>
                  </w:divBdr>
                  <w:divsChild>
                    <w:div w:id="598566824">
                      <w:marLeft w:val="0"/>
                      <w:marRight w:val="0"/>
                      <w:marTop w:val="0"/>
                      <w:marBottom w:val="0"/>
                      <w:divBdr>
                        <w:top w:val="none" w:sz="0" w:space="0" w:color="auto"/>
                        <w:left w:val="none" w:sz="0" w:space="0" w:color="auto"/>
                        <w:bottom w:val="none" w:sz="0" w:space="0" w:color="auto"/>
                        <w:right w:val="none" w:sz="0" w:space="0" w:color="auto"/>
                      </w:divBdr>
                    </w:div>
                  </w:divsChild>
                </w:div>
                <w:div w:id="1172835449">
                  <w:marLeft w:val="0"/>
                  <w:marRight w:val="0"/>
                  <w:marTop w:val="0"/>
                  <w:marBottom w:val="0"/>
                  <w:divBdr>
                    <w:top w:val="none" w:sz="0" w:space="0" w:color="auto"/>
                    <w:left w:val="none" w:sz="0" w:space="0" w:color="auto"/>
                    <w:bottom w:val="none" w:sz="0" w:space="0" w:color="auto"/>
                    <w:right w:val="none" w:sz="0" w:space="0" w:color="auto"/>
                  </w:divBdr>
                  <w:divsChild>
                    <w:div w:id="483932339">
                      <w:marLeft w:val="0"/>
                      <w:marRight w:val="0"/>
                      <w:marTop w:val="0"/>
                      <w:marBottom w:val="0"/>
                      <w:divBdr>
                        <w:top w:val="none" w:sz="0" w:space="0" w:color="auto"/>
                        <w:left w:val="none" w:sz="0" w:space="0" w:color="auto"/>
                        <w:bottom w:val="none" w:sz="0" w:space="0" w:color="auto"/>
                        <w:right w:val="none" w:sz="0" w:space="0" w:color="auto"/>
                      </w:divBdr>
                    </w:div>
                  </w:divsChild>
                </w:div>
                <w:div w:id="1242132525">
                  <w:marLeft w:val="0"/>
                  <w:marRight w:val="0"/>
                  <w:marTop w:val="0"/>
                  <w:marBottom w:val="0"/>
                  <w:divBdr>
                    <w:top w:val="none" w:sz="0" w:space="0" w:color="auto"/>
                    <w:left w:val="none" w:sz="0" w:space="0" w:color="auto"/>
                    <w:bottom w:val="none" w:sz="0" w:space="0" w:color="auto"/>
                    <w:right w:val="none" w:sz="0" w:space="0" w:color="auto"/>
                  </w:divBdr>
                  <w:divsChild>
                    <w:div w:id="2093157148">
                      <w:marLeft w:val="0"/>
                      <w:marRight w:val="0"/>
                      <w:marTop w:val="0"/>
                      <w:marBottom w:val="0"/>
                      <w:divBdr>
                        <w:top w:val="none" w:sz="0" w:space="0" w:color="auto"/>
                        <w:left w:val="none" w:sz="0" w:space="0" w:color="auto"/>
                        <w:bottom w:val="none" w:sz="0" w:space="0" w:color="auto"/>
                        <w:right w:val="none" w:sz="0" w:space="0" w:color="auto"/>
                      </w:divBdr>
                    </w:div>
                  </w:divsChild>
                </w:div>
                <w:div w:id="1259406176">
                  <w:marLeft w:val="0"/>
                  <w:marRight w:val="0"/>
                  <w:marTop w:val="0"/>
                  <w:marBottom w:val="0"/>
                  <w:divBdr>
                    <w:top w:val="none" w:sz="0" w:space="0" w:color="auto"/>
                    <w:left w:val="none" w:sz="0" w:space="0" w:color="auto"/>
                    <w:bottom w:val="none" w:sz="0" w:space="0" w:color="auto"/>
                    <w:right w:val="none" w:sz="0" w:space="0" w:color="auto"/>
                  </w:divBdr>
                  <w:divsChild>
                    <w:div w:id="181825362">
                      <w:marLeft w:val="0"/>
                      <w:marRight w:val="0"/>
                      <w:marTop w:val="0"/>
                      <w:marBottom w:val="0"/>
                      <w:divBdr>
                        <w:top w:val="none" w:sz="0" w:space="0" w:color="auto"/>
                        <w:left w:val="none" w:sz="0" w:space="0" w:color="auto"/>
                        <w:bottom w:val="none" w:sz="0" w:space="0" w:color="auto"/>
                        <w:right w:val="none" w:sz="0" w:space="0" w:color="auto"/>
                      </w:divBdr>
                    </w:div>
                  </w:divsChild>
                </w:div>
                <w:div w:id="1293445385">
                  <w:marLeft w:val="0"/>
                  <w:marRight w:val="0"/>
                  <w:marTop w:val="0"/>
                  <w:marBottom w:val="0"/>
                  <w:divBdr>
                    <w:top w:val="none" w:sz="0" w:space="0" w:color="auto"/>
                    <w:left w:val="none" w:sz="0" w:space="0" w:color="auto"/>
                    <w:bottom w:val="none" w:sz="0" w:space="0" w:color="auto"/>
                    <w:right w:val="none" w:sz="0" w:space="0" w:color="auto"/>
                  </w:divBdr>
                  <w:divsChild>
                    <w:div w:id="378406657">
                      <w:marLeft w:val="0"/>
                      <w:marRight w:val="0"/>
                      <w:marTop w:val="0"/>
                      <w:marBottom w:val="0"/>
                      <w:divBdr>
                        <w:top w:val="none" w:sz="0" w:space="0" w:color="auto"/>
                        <w:left w:val="none" w:sz="0" w:space="0" w:color="auto"/>
                        <w:bottom w:val="none" w:sz="0" w:space="0" w:color="auto"/>
                        <w:right w:val="none" w:sz="0" w:space="0" w:color="auto"/>
                      </w:divBdr>
                    </w:div>
                  </w:divsChild>
                </w:div>
                <w:div w:id="1316880857">
                  <w:marLeft w:val="0"/>
                  <w:marRight w:val="0"/>
                  <w:marTop w:val="0"/>
                  <w:marBottom w:val="0"/>
                  <w:divBdr>
                    <w:top w:val="none" w:sz="0" w:space="0" w:color="auto"/>
                    <w:left w:val="none" w:sz="0" w:space="0" w:color="auto"/>
                    <w:bottom w:val="none" w:sz="0" w:space="0" w:color="auto"/>
                    <w:right w:val="none" w:sz="0" w:space="0" w:color="auto"/>
                  </w:divBdr>
                  <w:divsChild>
                    <w:div w:id="1521118234">
                      <w:marLeft w:val="0"/>
                      <w:marRight w:val="0"/>
                      <w:marTop w:val="0"/>
                      <w:marBottom w:val="0"/>
                      <w:divBdr>
                        <w:top w:val="none" w:sz="0" w:space="0" w:color="auto"/>
                        <w:left w:val="none" w:sz="0" w:space="0" w:color="auto"/>
                        <w:bottom w:val="none" w:sz="0" w:space="0" w:color="auto"/>
                        <w:right w:val="none" w:sz="0" w:space="0" w:color="auto"/>
                      </w:divBdr>
                    </w:div>
                  </w:divsChild>
                </w:div>
                <w:div w:id="1317302629">
                  <w:marLeft w:val="0"/>
                  <w:marRight w:val="0"/>
                  <w:marTop w:val="0"/>
                  <w:marBottom w:val="0"/>
                  <w:divBdr>
                    <w:top w:val="none" w:sz="0" w:space="0" w:color="auto"/>
                    <w:left w:val="none" w:sz="0" w:space="0" w:color="auto"/>
                    <w:bottom w:val="none" w:sz="0" w:space="0" w:color="auto"/>
                    <w:right w:val="none" w:sz="0" w:space="0" w:color="auto"/>
                  </w:divBdr>
                  <w:divsChild>
                    <w:div w:id="994534789">
                      <w:marLeft w:val="0"/>
                      <w:marRight w:val="0"/>
                      <w:marTop w:val="0"/>
                      <w:marBottom w:val="0"/>
                      <w:divBdr>
                        <w:top w:val="none" w:sz="0" w:space="0" w:color="auto"/>
                        <w:left w:val="none" w:sz="0" w:space="0" w:color="auto"/>
                        <w:bottom w:val="none" w:sz="0" w:space="0" w:color="auto"/>
                        <w:right w:val="none" w:sz="0" w:space="0" w:color="auto"/>
                      </w:divBdr>
                    </w:div>
                  </w:divsChild>
                </w:div>
                <w:div w:id="1374422017">
                  <w:marLeft w:val="0"/>
                  <w:marRight w:val="0"/>
                  <w:marTop w:val="0"/>
                  <w:marBottom w:val="0"/>
                  <w:divBdr>
                    <w:top w:val="none" w:sz="0" w:space="0" w:color="auto"/>
                    <w:left w:val="none" w:sz="0" w:space="0" w:color="auto"/>
                    <w:bottom w:val="none" w:sz="0" w:space="0" w:color="auto"/>
                    <w:right w:val="none" w:sz="0" w:space="0" w:color="auto"/>
                  </w:divBdr>
                  <w:divsChild>
                    <w:div w:id="1673484656">
                      <w:marLeft w:val="0"/>
                      <w:marRight w:val="0"/>
                      <w:marTop w:val="0"/>
                      <w:marBottom w:val="0"/>
                      <w:divBdr>
                        <w:top w:val="none" w:sz="0" w:space="0" w:color="auto"/>
                        <w:left w:val="none" w:sz="0" w:space="0" w:color="auto"/>
                        <w:bottom w:val="none" w:sz="0" w:space="0" w:color="auto"/>
                        <w:right w:val="none" w:sz="0" w:space="0" w:color="auto"/>
                      </w:divBdr>
                    </w:div>
                  </w:divsChild>
                </w:div>
                <w:div w:id="1453089432">
                  <w:marLeft w:val="0"/>
                  <w:marRight w:val="0"/>
                  <w:marTop w:val="0"/>
                  <w:marBottom w:val="0"/>
                  <w:divBdr>
                    <w:top w:val="none" w:sz="0" w:space="0" w:color="auto"/>
                    <w:left w:val="none" w:sz="0" w:space="0" w:color="auto"/>
                    <w:bottom w:val="none" w:sz="0" w:space="0" w:color="auto"/>
                    <w:right w:val="none" w:sz="0" w:space="0" w:color="auto"/>
                  </w:divBdr>
                  <w:divsChild>
                    <w:div w:id="1467042643">
                      <w:marLeft w:val="0"/>
                      <w:marRight w:val="0"/>
                      <w:marTop w:val="0"/>
                      <w:marBottom w:val="0"/>
                      <w:divBdr>
                        <w:top w:val="none" w:sz="0" w:space="0" w:color="auto"/>
                        <w:left w:val="none" w:sz="0" w:space="0" w:color="auto"/>
                        <w:bottom w:val="none" w:sz="0" w:space="0" w:color="auto"/>
                        <w:right w:val="none" w:sz="0" w:space="0" w:color="auto"/>
                      </w:divBdr>
                    </w:div>
                  </w:divsChild>
                </w:div>
                <w:div w:id="1476414677">
                  <w:marLeft w:val="0"/>
                  <w:marRight w:val="0"/>
                  <w:marTop w:val="0"/>
                  <w:marBottom w:val="0"/>
                  <w:divBdr>
                    <w:top w:val="none" w:sz="0" w:space="0" w:color="auto"/>
                    <w:left w:val="none" w:sz="0" w:space="0" w:color="auto"/>
                    <w:bottom w:val="none" w:sz="0" w:space="0" w:color="auto"/>
                    <w:right w:val="none" w:sz="0" w:space="0" w:color="auto"/>
                  </w:divBdr>
                  <w:divsChild>
                    <w:div w:id="934939090">
                      <w:marLeft w:val="0"/>
                      <w:marRight w:val="0"/>
                      <w:marTop w:val="0"/>
                      <w:marBottom w:val="0"/>
                      <w:divBdr>
                        <w:top w:val="none" w:sz="0" w:space="0" w:color="auto"/>
                        <w:left w:val="none" w:sz="0" w:space="0" w:color="auto"/>
                        <w:bottom w:val="none" w:sz="0" w:space="0" w:color="auto"/>
                        <w:right w:val="none" w:sz="0" w:space="0" w:color="auto"/>
                      </w:divBdr>
                    </w:div>
                  </w:divsChild>
                </w:div>
                <w:div w:id="1518275771">
                  <w:marLeft w:val="0"/>
                  <w:marRight w:val="0"/>
                  <w:marTop w:val="0"/>
                  <w:marBottom w:val="0"/>
                  <w:divBdr>
                    <w:top w:val="none" w:sz="0" w:space="0" w:color="auto"/>
                    <w:left w:val="none" w:sz="0" w:space="0" w:color="auto"/>
                    <w:bottom w:val="none" w:sz="0" w:space="0" w:color="auto"/>
                    <w:right w:val="none" w:sz="0" w:space="0" w:color="auto"/>
                  </w:divBdr>
                  <w:divsChild>
                    <w:div w:id="1100368333">
                      <w:marLeft w:val="0"/>
                      <w:marRight w:val="0"/>
                      <w:marTop w:val="0"/>
                      <w:marBottom w:val="0"/>
                      <w:divBdr>
                        <w:top w:val="none" w:sz="0" w:space="0" w:color="auto"/>
                        <w:left w:val="none" w:sz="0" w:space="0" w:color="auto"/>
                        <w:bottom w:val="none" w:sz="0" w:space="0" w:color="auto"/>
                        <w:right w:val="none" w:sz="0" w:space="0" w:color="auto"/>
                      </w:divBdr>
                    </w:div>
                  </w:divsChild>
                </w:div>
                <w:div w:id="1670333089">
                  <w:marLeft w:val="0"/>
                  <w:marRight w:val="0"/>
                  <w:marTop w:val="0"/>
                  <w:marBottom w:val="0"/>
                  <w:divBdr>
                    <w:top w:val="none" w:sz="0" w:space="0" w:color="auto"/>
                    <w:left w:val="none" w:sz="0" w:space="0" w:color="auto"/>
                    <w:bottom w:val="none" w:sz="0" w:space="0" w:color="auto"/>
                    <w:right w:val="none" w:sz="0" w:space="0" w:color="auto"/>
                  </w:divBdr>
                  <w:divsChild>
                    <w:div w:id="204370824">
                      <w:marLeft w:val="0"/>
                      <w:marRight w:val="0"/>
                      <w:marTop w:val="0"/>
                      <w:marBottom w:val="0"/>
                      <w:divBdr>
                        <w:top w:val="none" w:sz="0" w:space="0" w:color="auto"/>
                        <w:left w:val="none" w:sz="0" w:space="0" w:color="auto"/>
                        <w:bottom w:val="none" w:sz="0" w:space="0" w:color="auto"/>
                        <w:right w:val="none" w:sz="0" w:space="0" w:color="auto"/>
                      </w:divBdr>
                    </w:div>
                  </w:divsChild>
                </w:div>
                <w:div w:id="1682507016">
                  <w:marLeft w:val="0"/>
                  <w:marRight w:val="0"/>
                  <w:marTop w:val="0"/>
                  <w:marBottom w:val="0"/>
                  <w:divBdr>
                    <w:top w:val="none" w:sz="0" w:space="0" w:color="auto"/>
                    <w:left w:val="none" w:sz="0" w:space="0" w:color="auto"/>
                    <w:bottom w:val="none" w:sz="0" w:space="0" w:color="auto"/>
                    <w:right w:val="none" w:sz="0" w:space="0" w:color="auto"/>
                  </w:divBdr>
                  <w:divsChild>
                    <w:div w:id="588269542">
                      <w:marLeft w:val="0"/>
                      <w:marRight w:val="0"/>
                      <w:marTop w:val="0"/>
                      <w:marBottom w:val="0"/>
                      <w:divBdr>
                        <w:top w:val="none" w:sz="0" w:space="0" w:color="auto"/>
                        <w:left w:val="none" w:sz="0" w:space="0" w:color="auto"/>
                        <w:bottom w:val="none" w:sz="0" w:space="0" w:color="auto"/>
                        <w:right w:val="none" w:sz="0" w:space="0" w:color="auto"/>
                      </w:divBdr>
                    </w:div>
                  </w:divsChild>
                </w:div>
                <w:div w:id="1690832214">
                  <w:marLeft w:val="0"/>
                  <w:marRight w:val="0"/>
                  <w:marTop w:val="0"/>
                  <w:marBottom w:val="0"/>
                  <w:divBdr>
                    <w:top w:val="none" w:sz="0" w:space="0" w:color="auto"/>
                    <w:left w:val="none" w:sz="0" w:space="0" w:color="auto"/>
                    <w:bottom w:val="none" w:sz="0" w:space="0" w:color="auto"/>
                    <w:right w:val="none" w:sz="0" w:space="0" w:color="auto"/>
                  </w:divBdr>
                  <w:divsChild>
                    <w:div w:id="255403123">
                      <w:marLeft w:val="0"/>
                      <w:marRight w:val="0"/>
                      <w:marTop w:val="0"/>
                      <w:marBottom w:val="0"/>
                      <w:divBdr>
                        <w:top w:val="none" w:sz="0" w:space="0" w:color="auto"/>
                        <w:left w:val="none" w:sz="0" w:space="0" w:color="auto"/>
                        <w:bottom w:val="none" w:sz="0" w:space="0" w:color="auto"/>
                        <w:right w:val="none" w:sz="0" w:space="0" w:color="auto"/>
                      </w:divBdr>
                    </w:div>
                  </w:divsChild>
                </w:div>
                <w:div w:id="1725592399">
                  <w:marLeft w:val="0"/>
                  <w:marRight w:val="0"/>
                  <w:marTop w:val="0"/>
                  <w:marBottom w:val="0"/>
                  <w:divBdr>
                    <w:top w:val="none" w:sz="0" w:space="0" w:color="auto"/>
                    <w:left w:val="none" w:sz="0" w:space="0" w:color="auto"/>
                    <w:bottom w:val="none" w:sz="0" w:space="0" w:color="auto"/>
                    <w:right w:val="none" w:sz="0" w:space="0" w:color="auto"/>
                  </w:divBdr>
                  <w:divsChild>
                    <w:div w:id="394741177">
                      <w:marLeft w:val="0"/>
                      <w:marRight w:val="0"/>
                      <w:marTop w:val="0"/>
                      <w:marBottom w:val="0"/>
                      <w:divBdr>
                        <w:top w:val="none" w:sz="0" w:space="0" w:color="auto"/>
                        <w:left w:val="none" w:sz="0" w:space="0" w:color="auto"/>
                        <w:bottom w:val="none" w:sz="0" w:space="0" w:color="auto"/>
                        <w:right w:val="none" w:sz="0" w:space="0" w:color="auto"/>
                      </w:divBdr>
                    </w:div>
                  </w:divsChild>
                </w:div>
                <w:div w:id="1769735686">
                  <w:marLeft w:val="0"/>
                  <w:marRight w:val="0"/>
                  <w:marTop w:val="0"/>
                  <w:marBottom w:val="0"/>
                  <w:divBdr>
                    <w:top w:val="none" w:sz="0" w:space="0" w:color="auto"/>
                    <w:left w:val="none" w:sz="0" w:space="0" w:color="auto"/>
                    <w:bottom w:val="none" w:sz="0" w:space="0" w:color="auto"/>
                    <w:right w:val="none" w:sz="0" w:space="0" w:color="auto"/>
                  </w:divBdr>
                  <w:divsChild>
                    <w:div w:id="1691490392">
                      <w:marLeft w:val="0"/>
                      <w:marRight w:val="0"/>
                      <w:marTop w:val="0"/>
                      <w:marBottom w:val="0"/>
                      <w:divBdr>
                        <w:top w:val="none" w:sz="0" w:space="0" w:color="auto"/>
                        <w:left w:val="none" w:sz="0" w:space="0" w:color="auto"/>
                        <w:bottom w:val="none" w:sz="0" w:space="0" w:color="auto"/>
                        <w:right w:val="none" w:sz="0" w:space="0" w:color="auto"/>
                      </w:divBdr>
                    </w:div>
                  </w:divsChild>
                </w:div>
                <w:div w:id="1798406050">
                  <w:marLeft w:val="0"/>
                  <w:marRight w:val="0"/>
                  <w:marTop w:val="0"/>
                  <w:marBottom w:val="0"/>
                  <w:divBdr>
                    <w:top w:val="none" w:sz="0" w:space="0" w:color="auto"/>
                    <w:left w:val="none" w:sz="0" w:space="0" w:color="auto"/>
                    <w:bottom w:val="none" w:sz="0" w:space="0" w:color="auto"/>
                    <w:right w:val="none" w:sz="0" w:space="0" w:color="auto"/>
                  </w:divBdr>
                  <w:divsChild>
                    <w:div w:id="1065952985">
                      <w:marLeft w:val="0"/>
                      <w:marRight w:val="0"/>
                      <w:marTop w:val="0"/>
                      <w:marBottom w:val="0"/>
                      <w:divBdr>
                        <w:top w:val="none" w:sz="0" w:space="0" w:color="auto"/>
                        <w:left w:val="none" w:sz="0" w:space="0" w:color="auto"/>
                        <w:bottom w:val="none" w:sz="0" w:space="0" w:color="auto"/>
                        <w:right w:val="none" w:sz="0" w:space="0" w:color="auto"/>
                      </w:divBdr>
                    </w:div>
                  </w:divsChild>
                </w:div>
                <w:div w:id="1868524887">
                  <w:marLeft w:val="0"/>
                  <w:marRight w:val="0"/>
                  <w:marTop w:val="0"/>
                  <w:marBottom w:val="0"/>
                  <w:divBdr>
                    <w:top w:val="none" w:sz="0" w:space="0" w:color="auto"/>
                    <w:left w:val="none" w:sz="0" w:space="0" w:color="auto"/>
                    <w:bottom w:val="none" w:sz="0" w:space="0" w:color="auto"/>
                    <w:right w:val="none" w:sz="0" w:space="0" w:color="auto"/>
                  </w:divBdr>
                  <w:divsChild>
                    <w:div w:id="1882478844">
                      <w:marLeft w:val="0"/>
                      <w:marRight w:val="0"/>
                      <w:marTop w:val="0"/>
                      <w:marBottom w:val="0"/>
                      <w:divBdr>
                        <w:top w:val="none" w:sz="0" w:space="0" w:color="auto"/>
                        <w:left w:val="none" w:sz="0" w:space="0" w:color="auto"/>
                        <w:bottom w:val="none" w:sz="0" w:space="0" w:color="auto"/>
                        <w:right w:val="none" w:sz="0" w:space="0" w:color="auto"/>
                      </w:divBdr>
                    </w:div>
                  </w:divsChild>
                </w:div>
                <w:div w:id="1870725451">
                  <w:marLeft w:val="0"/>
                  <w:marRight w:val="0"/>
                  <w:marTop w:val="0"/>
                  <w:marBottom w:val="0"/>
                  <w:divBdr>
                    <w:top w:val="none" w:sz="0" w:space="0" w:color="auto"/>
                    <w:left w:val="none" w:sz="0" w:space="0" w:color="auto"/>
                    <w:bottom w:val="none" w:sz="0" w:space="0" w:color="auto"/>
                    <w:right w:val="none" w:sz="0" w:space="0" w:color="auto"/>
                  </w:divBdr>
                  <w:divsChild>
                    <w:div w:id="823084190">
                      <w:marLeft w:val="0"/>
                      <w:marRight w:val="0"/>
                      <w:marTop w:val="0"/>
                      <w:marBottom w:val="0"/>
                      <w:divBdr>
                        <w:top w:val="none" w:sz="0" w:space="0" w:color="auto"/>
                        <w:left w:val="none" w:sz="0" w:space="0" w:color="auto"/>
                        <w:bottom w:val="none" w:sz="0" w:space="0" w:color="auto"/>
                        <w:right w:val="none" w:sz="0" w:space="0" w:color="auto"/>
                      </w:divBdr>
                    </w:div>
                  </w:divsChild>
                </w:div>
                <w:div w:id="1987316055">
                  <w:marLeft w:val="0"/>
                  <w:marRight w:val="0"/>
                  <w:marTop w:val="0"/>
                  <w:marBottom w:val="0"/>
                  <w:divBdr>
                    <w:top w:val="none" w:sz="0" w:space="0" w:color="auto"/>
                    <w:left w:val="none" w:sz="0" w:space="0" w:color="auto"/>
                    <w:bottom w:val="none" w:sz="0" w:space="0" w:color="auto"/>
                    <w:right w:val="none" w:sz="0" w:space="0" w:color="auto"/>
                  </w:divBdr>
                  <w:divsChild>
                    <w:div w:id="466162555">
                      <w:marLeft w:val="0"/>
                      <w:marRight w:val="0"/>
                      <w:marTop w:val="0"/>
                      <w:marBottom w:val="0"/>
                      <w:divBdr>
                        <w:top w:val="none" w:sz="0" w:space="0" w:color="auto"/>
                        <w:left w:val="none" w:sz="0" w:space="0" w:color="auto"/>
                        <w:bottom w:val="none" w:sz="0" w:space="0" w:color="auto"/>
                        <w:right w:val="none" w:sz="0" w:space="0" w:color="auto"/>
                      </w:divBdr>
                    </w:div>
                  </w:divsChild>
                </w:div>
                <w:div w:id="2114323746">
                  <w:marLeft w:val="0"/>
                  <w:marRight w:val="0"/>
                  <w:marTop w:val="0"/>
                  <w:marBottom w:val="0"/>
                  <w:divBdr>
                    <w:top w:val="none" w:sz="0" w:space="0" w:color="auto"/>
                    <w:left w:val="none" w:sz="0" w:space="0" w:color="auto"/>
                    <w:bottom w:val="none" w:sz="0" w:space="0" w:color="auto"/>
                    <w:right w:val="none" w:sz="0" w:space="0" w:color="auto"/>
                  </w:divBdr>
                  <w:divsChild>
                    <w:div w:id="495076910">
                      <w:marLeft w:val="0"/>
                      <w:marRight w:val="0"/>
                      <w:marTop w:val="0"/>
                      <w:marBottom w:val="0"/>
                      <w:divBdr>
                        <w:top w:val="none" w:sz="0" w:space="0" w:color="auto"/>
                        <w:left w:val="none" w:sz="0" w:space="0" w:color="auto"/>
                        <w:bottom w:val="none" w:sz="0" w:space="0" w:color="auto"/>
                        <w:right w:val="none" w:sz="0" w:space="0" w:color="auto"/>
                      </w:divBdr>
                    </w:div>
                  </w:divsChild>
                </w:div>
                <w:div w:id="2130707096">
                  <w:marLeft w:val="0"/>
                  <w:marRight w:val="0"/>
                  <w:marTop w:val="0"/>
                  <w:marBottom w:val="0"/>
                  <w:divBdr>
                    <w:top w:val="none" w:sz="0" w:space="0" w:color="auto"/>
                    <w:left w:val="none" w:sz="0" w:space="0" w:color="auto"/>
                    <w:bottom w:val="none" w:sz="0" w:space="0" w:color="auto"/>
                    <w:right w:val="none" w:sz="0" w:space="0" w:color="auto"/>
                  </w:divBdr>
                  <w:divsChild>
                    <w:div w:id="1846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92919">
          <w:marLeft w:val="0"/>
          <w:marRight w:val="0"/>
          <w:marTop w:val="0"/>
          <w:marBottom w:val="0"/>
          <w:divBdr>
            <w:top w:val="none" w:sz="0" w:space="0" w:color="auto"/>
            <w:left w:val="none" w:sz="0" w:space="0" w:color="auto"/>
            <w:bottom w:val="none" w:sz="0" w:space="0" w:color="auto"/>
            <w:right w:val="none" w:sz="0" w:space="0" w:color="auto"/>
          </w:divBdr>
        </w:div>
        <w:div w:id="1363819439">
          <w:marLeft w:val="0"/>
          <w:marRight w:val="0"/>
          <w:marTop w:val="0"/>
          <w:marBottom w:val="0"/>
          <w:divBdr>
            <w:top w:val="none" w:sz="0" w:space="0" w:color="auto"/>
            <w:left w:val="none" w:sz="0" w:space="0" w:color="auto"/>
            <w:bottom w:val="none" w:sz="0" w:space="0" w:color="auto"/>
            <w:right w:val="none" w:sz="0" w:space="0" w:color="auto"/>
          </w:divBdr>
        </w:div>
        <w:div w:id="1373268188">
          <w:marLeft w:val="0"/>
          <w:marRight w:val="0"/>
          <w:marTop w:val="0"/>
          <w:marBottom w:val="0"/>
          <w:divBdr>
            <w:top w:val="none" w:sz="0" w:space="0" w:color="auto"/>
            <w:left w:val="none" w:sz="0" w:space="0" w:color="auto"/>
            <w:bottom w:val="none" w:sz="0" w:space="0" w:color="auto"/>
            <w:right w:val="none" w:sz="0" w:space="0" w:color="auto"/>
          </w:divBdr>
        </w:div>
        <w:div w:id="1477526067">
          <w:marLeft w:val="0"/>
          <w:marRight w:val="0"/>
          <w:marTop w:val="0"/>
          <w:marBottom w:val="0"/>
          <w:divBdr>
            <w:top w:val="none" w:sz="0" w:space="0" w:color="auto"/>
            <w:left w:val="none" w:sz="0" w:space="0" w:color="auto"/>
            <w:bottom w:val="none" w:sz="0" w:space="0" w:color="auto"/>
            <w:right w:val="none" w:sz="0" w:space="0" w:color="auto"/>
          </w:divBdr>
        </w:div>
        <w:div w:id="1482690700">
          <w:marLeft w:val="0"/>
          <w:marRight w:val="0"/>
          <w:marTop w:val="0"/>
          <w:marBottom w:val="0"/>
          <w:divBdr>
            <w:top w:val="none" w:sz="0" w:space="0" w:color="auto"/>
            <w:left w:val="none" w:sz="0" w:space="0" w:color="auto"/>
            <w:bottom w:val="none" w:sz="0" w:space="0" w:color="auto"/>
            <w:right w:val="none" w:sz="0" w:space="0" w:color="auto"/>
          </w:divBdr>
        </w:div>
        <w:div w:id="1522474228">
          <w:marLeft w:val="0"/>
          <w:marRight w:val="0"/>
          <w:marTop w:val="0"/>
          <w:marBottom w:val="0"/>
          <w:divBdr>
            <w:top w:val="none" w:sz="0" w:space="0" w:color="auto"/>
            <w:left w:val="none" w:sz="0" w:space="0" w:color="auto"/>
            <w:bottom w:val="none" w:sz="0" w:space="0" w:color="auto"/>
            <w:right w:val="none" w:sz="0" w:space="0" w:color="auto"/>
          </w:divBdr>
        </w:div>
        <w:div w:id="1584217292">
          <w:marLeft w:val="0"/>
          <w:marRight w:val="0"/>
          <w:marTop w:val="0"/>
          <w:marBottom w:val="0"/>
          <w:divBdr>
            <w:top w:val="none" w:sz="0" w:space="0" w:color="auto"/>
            <w:left w:val="none" w:sz="0" w:space="0" w:color="auto"/>
            <w:bottom w:val="none" w:sz="0" w:space="0" w:color="auto"/>
            <w:right w:val="none" w:sz="0" w:space="0" w:color="auto"/>
          </w:divBdr>
          <w:divsChild>
            <w:div w:id="39869299">
              <w:marLeft w:val="-75"/>
              <w:marRight w:val="0"/>
              <w:marTop w:val="30"/>
              <w:marBottom w:val="30"/>
              <w:divBdr>
                <w:top w:val="none" w:sz="0" w:space="0" w:color="auto"/>
                <w:left w:val="none" w:sz="0" w:space="0" w:color="auto"/>
                <w:bottom w:val="none" w:sz="0" w:space="0" w:color="auto"/>
                <w:right w:val="none" w:sz="0" w:space="0" w:color="auto"/>
              </w:divBdr>
              <w:divsChild>
                <w:div w:id="48265212">
                  <w:marLeft w:val="0"/>
                  <w:marRight w:val="0"/>
                  <w:marTop w:val="0"/>
                  <w:marBottom w:val="0"/>
                  <w:divBdr>
                    <w:top w:val="none" w:sz="0" w:space="0" w:color="auto"/>
                    <w:left w:val="none" w:sz="0" w:space="0" w:color="auto"/>
                    <w:bottom w:val="none" w:sz="0" w:space="0" w:color="auto"/>
                    <w:right w:val="none" w:sz="0" w:space="0" w:color="auto"/>
                  </w:divBdr>
                  <w:divsChild>
                    <w:div w:id="754743107">
                      <w:marLeft w:val="0"/>
                      <w:marRight w:val="0"/>
                      <w:marTop w:val="0"/>
                      <w:marBottom w:val="0"/>
                      <w:divBdr>
                        <w:top w:val="none" w:sz="0" w:space="0" w:color="auto"/>
                        <w:left w:val="none" w:sz="0" w:space="0" w:color="auto"/>
                        <w:bottom w:val="none" w:sz="0" w:space="0" w:color="auto"/>
                        <w:right w:val="none" w:sz="0" w:space="0" w:color="auto"/>
                      </w:divBdr>
                    </w:div>
                  </w:divsChild>
                </w:div>
                <w:div w:id="153228720">
                  <w:marLeft w:val="0"/>
                  <w:marRight w:val="0"/>
                  <w:marTop w:val="0"/>
                  <w:marBottom w:val="0"/>
                  <w:divBdr>
                    <w:top w:val="none" w:sz="0" w:space="0" w:color="auto"/>
                    <w:left w:val="none" w:sz="0" w:space="0" w:color="auto"/>
                    <w:bottom w:val="none" w:sz="0" w:space="0" w:color="auto"/>
                    <w:right w:val="none" w:sz="0" w:space="0" w:color="auto"/>
                  </w:divBdr>
                  <w:divsChild>
                    <w:div w:id="350105610">
                      <w:marLeft w:val="0"/>
                      <w:marRight w:val="0"/>
                      <w:marTop w:val="0"/>
                      <w:marBottom w:val="0"/>
                      <w:divBdr>
                        <w:top w:val="none" w:sz="0" w:space="0" w:color="auto"/>
                        <w:left w:val="none" w:sz="0" w:space="0" w:color="auto"/>
                        <w:bottom w:val="none" w:sz="0" w:space="0" w:color="auto"/>
                        <w:right w:val="none" w:sz="0" w:space="0" w:color="auto"/>
                      </w:divBdr>
                    </w:div>
                  </w:divsChild>
                </w:div>
                <w:div w:id="204677641">
                  <w:marLeft w:val="0"/>
                  <w:marRight w:val="0"/>
                  <w:marTop w:val="0"/>
                  <w:marBottom w:val="0"/>
                  <w:divBdr>
                    <w:top w:val="none" w:sz="0" w:space="0" w:color="auto"/>
                    <w:left w:val="none" w:sz="0" w:space="0" w:color="auto"/>
                    <w:bottom w:val="none" w:sz="0" w:space="0" w:color="auto"/>
                    <w:right w:val="none" w:sz="0" w:space="0" w:color="auto"/>
                  </w:divBdr>
                  <w:divsChild>
                    <w:div w:id="1537506656">
                      <w:marLeft w:val="0"/>
                      <w:marRight w:val="0"/>
                      <w:marTop w:val="0"/>
                      <w:marBottom w:val="0"/>
                      <w:divBdr>
                        <w:top w:val="none" w:sz="0" w:space="0" w:color="auto"/>
                        <w:left w:val="none" w:sz="0" w:space="0" w:color="auto"/>
                        <w:bottom w:val="none" w:sz="0" w:space="0" w:color="auto"/>
                        <w:right w:val="none" w:sz="0" w:space="0" w:color="auto"/>
                      </w:divBdr>
                    </w:div>
                  </w:divsChild>
                </w:div>
                <w:div w:id="332146496">
                  <w:marLeft w:val="0"/>
                  <w:marRight w:val="0"/>
                  <w:marTop w:val="0"/>
                  <w:marBottom w:val="0"/>
                  <w:divBdr>
                    <w:top w:val="none" w:sz="0" w:space="0" w:color="auto"/>
                    <w:left w:val="none" w:sz="0" w:space="0" w:color="auto"/>
                    <w:bottom w:val="none" w:sz="0" w:space="0" w:color="auto"/>
                    <w:right w:val="none" w:sz="0" w:space="0" w:color="auto"/>
                  </w:divBdr>
                  <w:divsChild>
                    <w:div w:id="2136101657">
                      <w:marLeft w:val="0"/>
                      <w:marRight w:val="0"/>
                      <w:marTop w:val="0"/>
                      <w:marBottom w:val="0"/>
                      <w:divBdr>
                        <w:top w:val="none" w:sz="0" w:space="0" w:color="auto"/>
                        <w:left w:val="none" w:sz="0" w:space="0" w:color="auto"/>
                        <w:bottom w:val="none" w:sz="0" w:space="0" w:color="auto"/>
                        <w:right w:val="none" w:sz="0" w:space="0" w:color="auto"/>
                      </w:divBdr>
                    </w:div>
                  </w:divsChild>
                </w:div>
                <w:div w:id="354120041">
                  <w:marLeft w:val="0"/>
                  <w:marRight w:val="0"/>
                  <w:marTop w:val="0"/>
                  <w:marBottom w:val="0"/>
                  <w:divBdr>
                    <w:top w:val="none" w:sz="0" w:space="0" w:color="auto"/>
                    <w:left w:val="none" w:sz="0" w:space="0" w:color="auto"/>
                    <w:bottom w:val="none" w:sz="0" w:space="0" w:color="auto"/>
                    <w:right w:val="none" w:sz="0" w:space="0" w:color="auto"/>
                  </w:divBdr>
                  <w:divsChild>
                    <w:div w:id="1104351040">
                      <w:marLeft w:val="0"/>
                      <w:marRight w:val="0"/>
                      <w:marTop w:val="0"/>
                      <w:marBottom w:val="0"/>
                      <w:divBdr>
                        <w:top w:val="none" w:sz="0" w:space="0" w:color="auto"/>
                        <w:left w:val="none" w:sz="0" w:space="0" w:color="auto"/>
                        <w:bottom w:val="none" w:sz="0" w:space="0" w:color="auto"/>
                        <w:right w:val="none" w:sz="0" w:space="0" w:color="auto"/>
                      </w:divBdr>
                    </w:div>
                  </w:divsChild>
                </w:div>
                <w:div w:id="419328656">
                  <w:marLeft w:val="0"/>
                  <w:marRight w:val="0"/>
                  <w:marTop w:val="0"/>
                  <w:marBottom w:val="0"/>
                  <w:divBdr>
                    <w:top w:val="none" w:sz="0" w:space="0" w:color="auto"/>
                    <w:left w:val="none" w:sz="0" w:space="0" w:color="auto"/>
                    <w:bottom w:val="none" w:sz="0" w:space="0" w:color="auto"/>
                    <w:right w:val="none" w:sz="0" w:space="0" w:color="auto"/>
                  </w:divBdr>
                  <w:divsChild>
                    <w:div w:id="1239172408">
                      <w:marLeft w:val="0"/>
                      <w:marRight w:val="0"/>
                      <w:marTop w:val="0"/>
                      <w:marBottom w:val="0"/>
                      <w:divBdr>
                        <w:top w:val="none" w:sz="0" w:space="0" w:color="auto"/>
                        <w:left w:val="none" w:sz="0" w:space="0" w:color="auto"/>
                        <w:bottom w:val="none" w:sz="0" w:space="0" w:color="auto"/>
                        <w:right w:val="none" w:sz="0" w:space="0" w:color="auto"/>
                      </w:divBdr>
                    </w:div>
                  </w:divsChild>
                </w:div>
                <w:div w:id="449595099">
                  <w:marLeft w:val="0"/>
                  <w:marRight w:val="0"/>
                  <w:marTop w:val="0"/>
                  <w:marBottom w:val="0"/>
                  <w:divBdr>
                    <w:top w:val="none" w:sz="0" w:space="0" w:color="auto"/>
                    <w:left w:val="none" w:sz="0" w:space="0" w:color="auto"/>
                    <w:bottom w:val="none" w:sz="0" w:space="0" w:color="auto"/>
                    <w:right w:val="none" w:sz="0" w:space="0" w:color="auto"/>
                  </w:divBdr>
                  <w:divsChild>
                    <w:div w:id="194731299">
                      <w:marLeft w:val="0"/>
                      <w:marRight w:val="0"/>
                      <w:marTop w:val="0"/>
                      <w:marBottom w:val="0"/>
                      <w:divBdr>
                        <w:top w:val="none" w:sz="0" w:space="0" w:color="auto"/>
                        <w:left w:val="none" w:sz="0" w:space="0" w:color="auto"/>
                        <w:bottom w:val="none" w:sz="0" w:space="0" w:color="auto"/>
                        <w:right w:val="none" w:sz="0" w:space="0" w:color="auto"/>
                      </w:divBdr>
                    </w:div>
                  </w:divsChild>
                </w:div>
                <w:div w:id="580531801">
                  <w:marLeft w:val="0"/>
                  <w:marRight w:val="0"/>
                  <w:marTop w:val="0"/>
                  <w:marBottom w:val="0"/>
                  <w:divBdr>
                    <w:top w:val="none" w:sz="0" w:space="0" w:color="auto"/>
                    <w:left w:val="none" w:sz="0" w:space="0" w:color="auto"/>
                    <w:bottom w:val="none" w:sz="0" w:space="0" w:color="auto"/>
                    <w:right w:val="none" w:sz="0" w:space="0" w:color="auto"/>
                  </w:divBdr>
                  <w:divsChild>
                    <w:div w:id="1166214372">
                      <w:marLeft w:val="0"/>
                      <w:marRight w:val="0"/>
                      <w:marTop w:val="0"/>
                      <w:marBottom w:val="0"/>
                      <w:divBdr>
                        <w:top w:val="none" w:sz="0" w:space="0" w:color="auto"/>
                        <w:left w:val="none" w:sz="0" w:space="0" w:color="auto"/>
                        <w:bottom w:val="none" w:sz="0" w:space="0" w:color="auto"/>
                        <w:right w:val="none" w:sz="0" w:space="0" w:color="auto"/>
                      </w:divBdr>
                    </w:div>
                  </w:divsChild>
                </w:div>
                <w:div w:id="954798500">
                  <w:marLeft w:val="0"/>
                  <w:marRight w:val="0"/>
                  <w:marTop w:val="0"/>
                  <w:marBottom w:val="0"/>
                  <w:divBdr>
                    <w:top w:val="none" w:sz="0" w:space="0" w:color="auto"/>
                    <w:left w:val="none" w:sz="0" w:space="0" w:color="auto"/>
                    <w:bottom w:val="none" w:sz="0" w:space="0" w:color="auto"/>
                    <w:right w:val="none" w:sz="0" w:space="0" w:color="auto"/>
                  </w:divBdr>
                  <w:divsChild>
                    <w:div w:id="501045319">
                      <w:marLeft w:val="0"/>
                      <w:marRight w:val="0"/>
                      <w:marTop w:val="0"/>
                      <w:marBottom w:val="0"/>
                      <w:divBdr>
                        <w:top w:val="none" w:sz="0" w:space="0" w:color="auto"/>
                        <w:left w:val="none" w:sz="0" w:space="0" w:color="auto"/>
                        <w:bottom w:val="none" w:sz="0" w:space="0" w:color="auto"/>
                        <w:right w:val="none" w:sz="0" w:space="0" w:color="auto"/>
                      </w:divBdr>
                    </w:div>
                  </w:divsChild>
                </w:div>
                <w:div w:id="1030766983">
                  <w:marLeft w:val="0"/>
                  <w:marRight w:val="0"/>
                  <w:marTop w:val="0"/>
                  <w:marBottom w:val="0"/>
                  <w:divBdr>
                    <w:top w:val="none" w:sz="0" w:space="0" w:color="auto"/>
                    <w:left w:val="none" w:sz="0" w:space="0" w:color="auto"/>
                    <w:bottom w:val="none" w:sz="0" w:space="0" w:color="auto"/>
                    <w:right w:val="none" w:sz="0" w:space="0" w:color="auto"/>
                  </w:divBdr>
                  <w:divsChild>
                    <w:div w:id="461777241">
                      <w:marLeft w:val="0"/>
                      <w:marRight w:val="0"/>
                      <w:marTop w:val="0"/>
                      <w:marBottom w:val="0"/>
                      <w:divBdr>
                        <w:top w:val="none" w:sz="0" w:space="0" w:color="auto"/>
                        <w:left w:val="none" w:sz="0" w:space="0" w:color="auto"/>
                        <w:bottom w:val="none" w:sz="0" w:space="0" w:color="auto"/>
                        <w:right w:val="none" w:sz="0" w:space="0" w:color="auto"/>
                      </w:divBdr>
                    </w:div>
                  </w:divsChild>
                </w:div>
                <w:div w:id="1069645493">
                  <w:marLeft w:val="0"/>
                  <w:marRight w:val="0"/>
                  <w:marTop w:val="0"/>
                  <w:marBottom w:val="0"/>
                  <w:divBdr>
                    <w:top w:val="none" w:sz="0" w:space="0" w:color="auto"/>
                    <w:left w:val="none" w:sz="0" w:space="0" w:color="auto"/>
                    <w:bottom w:val="none" w:sz="0" w:space="0" w:color="auto"/>
                    <w:right w:val="none" w:sz="0" w:space="0" w:color="auto"/>
                  </w:divBdr>
                  <w:divsChild>
                    <w:div w:id="1474836515">
                      <w:marLeft w:val="0"/>
                      <w:marRight w:val="0"/>
                      <w:marTop w:val="0"/>
                      <w:marBottom w:val="0"/>
                      <w:divBdr>
                        <w:top w:val="none" w:sz="0" w:space="0" w:color="auto"/>
                        <w:left w:val="none" w:sz="0" w:space="0" w:color="auto"/>
                        <w:bottom w:val="none" w:sz="0" w:space="0" w:color="auto"/>
                        <w:right w:val="none" w:sz="0" w:space="0" w:color="auto"/>
                      </w:divBdr>
                    </w:div>
                  </w:divsChild>
                </w:div>
                <w:div w:id="1077628153">
                  <w:marLeft w:val="0"/>
                  <w:marRight w:val="0"/>
                  <w:marTop w:val="0"/>
                  <w:marBottom w:val="0"/>
                  <w:divBdr>
                    <w:top w:val="none" w:sz="0" w:space="0" w:color="auto"/>
                    <w:left w:val="none" w:sz="0" w:space="0" w:color="auto"/>
                    <w:bottom w:val="none" w:sz="0" w:space="0" w:color="auto"/>
                    <w:right w:val="none" w:sz="0" w:space="0" w:color="auto"/>
                  </w:divBdr>
                  <w:divsChild>
                    <w:div w:id="787771708">
                      <w:marLeft w:val="0"/>
                      <w:marRight w:val="0"/>
                      <w:marTop w:val="0"/>
                      <w:marBottom w:val="0"/>
                      <w:divBdr>
                        <w:top w:val="none" w:sz="0" w:space="0" w:color="auto"/>
                        <w:left w:val="none" w:sz="0" w:space="0" w:color="auto"/>
                        <w:bottom w:val="none" w:sz="0" w:space="0" w:color="auto"/>
                        <w:right w:val="none" w:sz="0" w:space="0" w:color="auto"/>
                      </w:divBdr>
                    </w:div>
                  </w:divsChild>
                </w:div>
                <w:div w:id="1118378890">
                  <w:marLeft w:val="0"/>
                  <w:marRight w:val="0"/>
                  <w:marTop w:val="0"/>
                  <w:marBottom w:val="0"/>
                  <w:divBdr>
                    <w:top w:val="none" w:sz="0" w:space="0" w:color="auto"/>
                    <w:left w:val="none" w:sz="0" w:space="0" w:color="auto"/>
                    <w:bottom w:val="none" w:sz="0" w:space="0" w:color="auto"/>
                    <w:right w:val="none" w:sz="0" w:space="0" w:color="auto"/>
                  </w:divBdr>
                  <w:divsChild>
                    <w:div w:id="1878617137">
                      <w:marLeft w:val="0"/>
                      <w:marRight w:val="0"/>
                      <w:marTop w:val="0"/>
                      <w:marBottom w:val="0"/>
                      <w:divBdr>
                        <w:top w:val="none" w:sz="0" w:space="0" w:color="auto"/>
                        <w:left w:val="none" w:sz="0" w:space="0" w:color="auto"/>
                        <w:bottom w:val="none" w:sz="0" w:space="0" w:color="auto"/>
                        <w:right w:val="none" w:sz="0" w:space="0" w:color="auto"/>
                      </w:divBdr>
                    </w:div>
                  </w:divsChild>
                </w:div>
                <w:div w:id="1189181154">
                  <w:marLeft w:val="0"/>
                  <w:marRight w:val="0"/>
                  <w:marTop w:val="0"/>
                  <w:marBottom w:val="0"/>
                  <w:divBdr>
                    <w:top w:val="none" w:sz="0" w:space="0" w:color="auto"/>
                    <w:left w:val="none" w:sz="0" w:space="0" w:color="auto"/>
                    <w:bottom w:val="none" w:sz="0" w:space="0" w:color="auto"/>
                    <w:right w:val="none" w:sz="0" w:space="0" w:color="auto"/>
                  </w:divBdr>
                  <w:divsChild>
                    <w:div w:id="1054428861">
                      <w:marLeft w:val="0"/>
                      <w:marRight w:val="0"/>
                      <w:marTop w:val="0"/>
                      <w:marBottom w:val="0"/>
                      <w:divBdr>
                        <w:top w:val="none" w:sz="0" w:space="0" w:color="auto"/>
                        <w:left w:val="none" w:sz="0" w:space="0" w:color="auto"/>
                        <w:bottom w:val="none" w:sz="0" w:space="0" w:color="auto"/>
                        <w:right w:val="none" w:sz="0" w:space="0" w:color="auto"/>
                      </w:divBdr>
                    </w:div>
                  </w:divsChild>
                </w:div>
                <w:div w:id="1189218959">
                  <w:marLeft w:val="0"/>
                  <w:marRight w:val="0"/>
                  <w:marTop w:val="0"/>
                  <w:marBottom w:val="0"/>
                  <w:divBdr>
                    <w:top w:val="none" w:sz="0" w:space="0" w:color="auto"/>
                    <w:left w:val="none" w:sz="0" w:space="0" w:color="auto"/>
                    <w:bottom w:val="none" w:sz="0" w:space="0" w:color="auto"/>
                    <w:right w:val="none" w:sz="0" w:space="0" w:color="auto"/>
                  </w:divBdr>
                  <w:divsChild>
                    <w:div w:id="1878396934">
                      <w:marLeft w:val="0"/>
                      <w:marRight w:val="0"/>
                      <w:marTop w:val="0"/>
                      <w:marBottom w:val="0"/>
                      <w:divBdr>
                        <w:top w:val="none" w:sz="0" w:space="0" w:color="auto"/>
                        <w:left w:val="none" w:sz="0" w:space="0" w:color="auto"/>
                        <w:bottom w:val="none" w:sz="0" w:space="0" w:color="auto"/>
                        <w:right w:val="none" w:sz="0" w:space="0" w:color="auto"/>
                      </w:divBdr>
                    </w:div>
                  </w:divsChild>
                </w:div>
                <w:div w:id="1193111413">
                  <w:marLeft w:val="0"/>
                  <w:marRight w:val="0"/>
                  <w:marTop w:val="0"/>
                  <w:marBottom w:val="0"/>
                  <w:divBdr>
                    <w:top w:val="none" w:sz="0" w:space="0" w:color="auto"/>
                    <w:left w:val="none" w:sz="0" w:space="0" w:color="auto"/>
                    <w:bottom w:val="none" w:sz="0" w:space="0" w:color="auto"/>
                    <w:right w:val="none" w:sz="0" w:space="0" w:color="auto"/>
                  </w:divBdr>
                  <w:divsChild>
                    <w:div w:id="1279340269">
                      <w:marLeft w:val="0"/>
                      <w:marRight w:val="0"/>
                      <w:marTop w:val="0"/>
                      <w:marBottom w:val="0"/>
                      <w:divBdr>
                        <w:top w:val="none" w:sz="0" w:space="0" w:color="auto"/>
                        <w:left w:val="none" w:sz="0" w:space="0" w:color="auto"/>
                        <w:bottom w:val="none" w:sz="0" w:space="0" w:color="auto"/>
                        <w:right w:val="none" w:sz="0" w:space="0" w:color="auto"/>
                      </w:divBdr>
                    </w:div>
                  </w:divsChild>
                </w:div>
                <w:div w:id="1403673779">
                  <w:marLeft w:val="0"/>
                  <w:marRight w:val="0"/>
                  <w:marTop w:val="0"/>
                  <w:marBottom w:val="0"/>
                  <w:divBdr>
                    <w:top w:val="none" w:sz="0" w:space="0" w:color="auto"/>
                    <w:left w:val="none" w:sz="0" w:space="0" w:color="auto"/>
                    <w:bottom w:val="none" w:sz="0" w:space="0" w:color="auto"/>
                    <w:right w:val="none" w:sz="0" w:space="0" w:color="auto"/>
                  </w:divBdr>
                  <w:divsChild>
                    <w:div w:id="271979530">
                      <w:marLeft w:val="0"/>
                      <w:marRight w:val="0"/>
                      <w:marTop w:val="0"/>
                      <w:marBottom w:val="0"/>
                      <w:divBdr>
                        <w:top w:val="none" w:sz="0" w:space="0" w:color="auto"/>
                        <w:left w:val="none" w:sz="0" w:space="0" w:color="auto"/>
                        <w:bottom w:val="none" w:sz="0" w:space="0" w:color="auto"/>
                        <w:right w:val="none" w:sz="0" w:space="0" w:color="auto"/>
                      </w:divBdr>
                    </w:div>
                  </w:divsChild>
                </w:div>
                <w:div w:id="1424447306">
                  <w:marLeft w:val="0"/>
                  <w:marRight w:val="0"/>
                  <w:marTop w:val="0"/>
                  <w:marBottom w:val="0"/>
                  <w:divBdr>
                    <w:top w:val="none" w:sz="0" w:space="0" w:color="auto"/>
                    <w:left w:val="none" w:sz="0" w:space="0" w:color="auto"/>
                    <w:bottom w:val="none" w:sz="0" w:space="0" w:color="auto"/>
                    <w:right w:val="none" w:sz="0" w:space="0" w:color="auto"/>
                  </w:divBdr>
                  <w:divsChild>
                    <w:div w:id="1766270701">
                      <w:marLeft w:val="0"/>
                      <w:marRight w:val="0"/>
                      <w:marTop w:val="0"/>
                      <w:marBottom w:val="0"/>
                      <w:divBdr>
                        <w:top w:val="none" w:sz="0" w:space="0" w:color="auto"/>
                        <w:left w:val="none" w:sz="0" w:space="0" w:color="auto"/>
                        <w:bottom w:val="none" w:sz="0" w:space="0" w:color="auto"/>
                        <w:right w:val="none" w:sz="0" w:space="0" w:color="auto"/>
                      </w:divBdr>
                    </w:div>
                  </w:divsChild>
                </w:div>
                <w:div w:id="1448115076">
                  <w:marLeft w:val="0"/>
                  <w:marRight w:val="0"/>
                  <w:marTop w:val="0"/>
                  <w:marBottom w:val="0"/>
                  <w:divBdr>
                    <w:top w:val="none" w:sz="0" w:space="0" w:color="auto"/>
                    <w:left w:val="none" w:sz="0" w:space="0" w:color="auto"/>
                    <w:bottom w:val="none" w:sz="0" w:space="0" w:color="auto"/>
                    <w:right w:val="none" w:sz="0" w:space="0" w:color="auto"/>
                  </w:divBdr>
                  <w:divsChild>
                    <w:div w:id="761950198">
                      <w:marLeft w:val="0"/>
                      <w:marRight w:val="0"/>
                      <w:marTop w:val="0"/>
                      <w:marBottom w:val="0"/>
                      <w:divBdr>
                        <w:top w:val="none" w:sz="0" w:space="0" w:color="auto"/>
                        <w:left w:val="none" w:sz="0" w:space="0" w:color="auto"/>
                        <w:bottom w:val="none" w:sz="0" w:space="0" w:color="auto"/>
                        <w:right w:val="none" w:sz="0" w:space="0" w:color="auto"/>
                      </w:divBdr>
                    </w:div>
                  </w:divsChild>
                </w:div>
                <w:div w:id="1606620374">
                  <w:marLeft w:val="0"/>
                  <w:marRight w:val="0"/>
                  <w:marTop w:val="0"/>
                  <w:marBottom w:val="0"/>
                  <w:divBdr>
                    <w:top w:val="none" w:sz="0" w:space="0" w:color="auto"/>
                    <w:left w:val="none" w:sz="0" w:space="0" w:color="auto"/>
                    <w:bottom w:val="none" w:sz="0" w:space="0" w:color="auto"/>
                    <w:right w:val="none" w:sz="0" w:space="0" w:color="auto"/>
                  </w:divBdr>
                  <w:divsChild>
                    <w:div w:id="1692950941">
                      <w:marLeft w:val="0"/>
                      <w:marRight w:val="0"/>
                      <w:marTop w:val="0"/>
                      <w:marBottom w:val="0"/>
                      <w:divBdr>
                        <w:top w:val="none" w:sz="0" w:space="0" w:color="auto"/>
                        <w:left w:val="none" w:sz="0" w:space="0" w:color="auto"/>
                        <w:bottom w:val="none" w:sz="0" w:space="0" w:color="auto"/>
                        <w:right w:val="none" w:sz="0" w:space="0" w:color="auto"/>
                      </w:divBdr>
                    </w:div>
                  </w:divsChild>
                </w:div>
                <w:div w:id="1680690276">
                  <w:marLeft w:val="0"/>
                  <w:marRight w:val="0"/>
                  <w:marTop w:val="0"/>
                  <w:marBottom w:val="0"/>
                  <w:divBdr>
                    <w:top w:val="none" w:sz="0" w:space="0" w:color="auto"/>
                    <w:left w:val="none" w:sz="0" w:space="0" w:color="auto"/>
                    <w:bottom w:val="none" w:sz="0" w:space="0" w:color="auto"/>
                    <w:right w:val="none" w:sz="0" w:space="0" w:color="auto"/>
                  </w:divBdr>
                  <w:divsChild>
                    <w:div w:id="1750080470">
                      <w:marLeft w:val="0"/>
                      <w:marRight w:val="0"/>
                      <w:marTop w:val="0"/>
                      <w:marBottom w:val="0"/>
                      <w:divBdr>
                        <w:top w:val="none" w:sz="0" w:space="0" w:color="auto"/>
                        <w:left w:val="none" w:sz="0" w:space="0" w:color="auto"/>
                        <w:bottom w:val="none" w:sz="0" w:space="0" w:color="auto"/>
                        <w:right w:val="none" w:sz="0" w:space="0" w:color="auto"/>
                      </w:divBdr>
                    </w:div>
                  </w:divsChild>
                </w:div>
                <w:div w:id="1702591586">
                  <w:marLeft w:val="0"/>
                  <w:marRight w:val="0"/>
                  <w:marTop w:val="0"/>
                  <w:marBottom w:val="0"/>
                  <w:divBdr>
                    <w:top w:val="none" w:sz="0" w:space="0" w:color="auto"/>
                    <w:left w:val="none" w:sz="0" w:space="0" w:color="auto"/>
                    <w:bottom w:val="none" w:sz="0" w:space="0" w:color="auto"/>
                    <w:right w:val="none" w:sz="0" w:space="0" w:color="auto"/>
                  </w:divBdr>
                  <w:divsChild>
                    <w:div w:id="1158308970">
                      <w:marLeft w:val="0"/>
                      <w:marRight w:val="0"/>
                      <w:marTop w:val="0"/>
                      <w:marBottom w:val="0"/>
                      <w:divBdr>
                        <w:top w:val="none" w:sz="0" w:space="0" w:color="auto"/>
                        <w:left w:val="none" w:sz="0" w:space="0" w:color="auto"/>
                        <w:bottom w:val="none" w:sz="0" w:space="0" w:color="auto"/>
                        <w:right w:val="none" w:sz="0" w:space="0" w:color="auto"/>
                      </w:divBdr>
                    </w:div>
                  </w:divsChild>
                </w:div>
                <w:div w:id="1749035023">
                  <w:marLeft w:val="0"/>
                  <w:marRight w:val="0"/>
                  <w:marTop w:val="0"/>
                  <w:marBottom w:val="0"/>
                  <w:divBdr>
                    <w:top w:val="none" w:sz="0" w:space="0" w:color="auto"/>
                    <w:left w:val="none" w:sz="0" w:space="0" w:color="auto"/>
                    <w:bottom w:val="none" w:sz="0" w:space="0" w:color="auto"/>
                    <w:right w:val="none" w:sz="0" w:space="0" w:color="auto"/>
                  </w:divBdr>
                  <w:divsChild>
                    <w:div w:id="238176751">
                      <w:marLeft w:val="0"/>
                      <w:marRight w:val="0"/>
                      <w:marTop w:val="0"/>
                      <w:marBottom w:val="0"/>
                      <w:divBdr>
                        <w:top w:val="none" w:sz="0" w:space="0" w:color="auto"/>
                        <w:left w:val="none" w:sz="0" w:space="0" w:color="auto"/>
                        <w:bottom w:val="none" w:sz="0" w:space="0" w:color="auto"/>
                        <w:right w:val="none" w:sz="0" w:space="0" w:color="auto"/>
                      </w:divBdr>
                    </w:div>
                  </w:divsChild>
                </w:div>
                <w:div w:id="1771390416">
                  <w:marLeft w:val="0"/>
                  <w:marRight w:val="0"/>
                  <w:marTop w:val="0"/>
                  <w:marBottom w:val="0"/>
                  <w:divBdr>
                    <w:top w:val="none" w:sz="0" w:space="0" w:color="auto"/>
                    <w:left w:val="none" w:sz="0" w:space="0" w:color="auto"/>
                    <w:bottom w:val="none" w:sz="0" w:space="0" w:color="auto"/>
                    <w:right w:val="none" w:sz="0" w:space="0" w:color="auto"/>
                  </w:divBdr>
                  <w:divsChild>
                    <w:div w:id="511837831">
                      <w:marLeft w:val="0"/>
                      <w:marRight w:val="0"/>
                      <w:marTop w:val="0"/>
                      <w:marBottom w:val="0"/>
                      <w:divBdr>
                        <w:top w:val="none" w:sz="0" w:space="0" w:color="auto"/>
                        <w:left w:val="none" w:sz="0" w:space="0" w:color="auto"/>
                        <w:bottom w:val="none" w:sz="0" w:space="0" w:color="auto"/>
                        <w:right w:val="none" w:sz="0" w:space="0" w:color="auto"/>
                      </w:divBdr>
                    </w:div>
                  </w:divsChild>
                </w:div>
                <w:div w:id="1792703604">
                  <w:marLeft w:val="0"/>
                  <w:marRight w:val="0"/>
                  <w:marTop w:val="0"/>
                  <w:marBottom w:val="0"/>
                  <w:divBdr>
                    <w:top w:val="none" w:sz="0" w:space="0" w:color="auto"/>
                    <w:left w:val="none" w:sz="0" w:space="0" w:color="auto"/>
                    <w:bottom w:val="none" w:sz="0" w:space="0" w:color="auto"/>
                    <w:right w:val="none" w:sz="0" w:space="0" w:color="auto"/>
                  </w:divBdr>
                  <w:divsChild>
                    <w:div w:id="517741055">
                      <w:marLeft w:val="0"/>
                      <w:marRight w:val="0"/>
                      <w:marTop w:val="0"/>
                      <w:marBottom w:val="0"/>
                      <w:divBdr>
                        <w:top w:val="none" w:sz="0" w:space="0" w:color="auto"/>
                        <w:left w:val="none" w:sz="0" w:space="0" w:color="auto"/>
                        <w:bottom w:val="none" w:sz="0" w:space="0" w:color="auto"/>
                        <w:right w:val="none" w:sz="0" w:space="0" w:color="auto"/>
                      </w:divBdr>
                    </w:div>
                  </w:divsChild>
                </w:div>
                <w:div w:id="1803226952">
                  <w:marLeft w:val="0"/>
                  <w:marRight w:val="0"/>
                  <w:marTop w:val="0"/>
                  <w:marBottom w:val="0"/>
                  <w:divBdr>
                    <w:top w:val="none" w:sz="0" w:space="0" w:color="auto"/>
                    <w:left w:val="none" w:sz="0" w:space="0" w:color="auto"/>
                    <w:bottom w:val="none" w:sz="0" w:space="0" w:color="auto"/>
                    <w:right w:val="none" w:sz="0" w:space="0" w:color="auto"/>
                  </w:divBdr>
                  <w:divsChild>
                    <w:div w:id="1843814743">
                      <w:marLeft w:val="0"/>
                      <w:marRight w:val="0"/>
                      <w:marTop w:val="0"/>
                      <w:marBottom w:val="0"/>
                      <w:divBdr>
                        <w:top w:val="none" w:sz="0" w:space="0" w:color="auto"/>
                        <w:left w:val="none" w:sz="0" w:space="0" w:color="auto"/>
                        <w:bottom w:val="none" w:sz="0" w:space="0" w:color="auto"/>
                        <w:right w:val="none" w:sz="0" w:space="0" w:color="auto"/>
                      </w:divBdr>
                    </w:div>
                  </w:divsChild>
                </w:div>
                <w:div w:id="1866744515">
                  <w:marLeft w:val="0"/>
                  <w:marRight w:val="0"/>
                  <w:marTop w:val="0"/>
                  <w:marBottom w:val="0"/>
                  <w:divBdr>
                    <w:top w:val="none" w:sz="0" w:space="0" w:color="auto"/>
                    <w:left w:val="none" w:sz="0" w:space="0" w:color="auto"/>
                    <w:bottom w:val="none" w:sz="0" w:space="0" w:color="auto"/>
                    <w:right w:val="none" w:sz="0" w:space="0" w:color="auto"/>
                  </w:divBdr>
                  <w:divsChild>
                    <w:div w:id="1989897180">
                      <w:marLeft w:val="0"/>
                      <w:marRight w:val="0"/>
                      <w:marTop w:val="0"/>
                      <w:marBottom w:val="0"/>
                      <w:divBdr>
                        <w:top w:val="none" w:sz="0" w:space="0" w:color="auto"/>
                        <w:left w:val="none" w:sz="0" w:space="0" w:color="auto"/>
                        <w:bottom w:val="none" w:sz="0" w:space="0" w:color="auto"/>
                        <w:right w:val="none" w:sz="0" w:space="0" w:color="auto"/>
                      </w:divBdr>
                    </w:div>
                  </w:divsChild>
                </w:div>
                <w:div w:id="1892761759">
                  <w:marLeft w:val="0"/>
                  <w:marRight w:val="0"/>
                  <w:marTop w:val="0"/>
                  <w:marBottom w:val="0"/>
                  <w:divBdr>
                    <w:top w:val="none" w:sz="0" w:space="0" w:color="auto"/>
                    <w:left w:val="none" w:sz="0" w:space="0" w:color="auto"/>
                    <w:bottom w:val="none" w:sz="0" w:space="0" w:color="auto"/>
                    <w:right w:val="none" w:sz="0" w:space="0" w:color="auto"/>
                  </w:divBdr>
                  <w:divsChild>
                    <w:div w:id="2063863945">
                      <w:marLeft w:val="0"/>
                      <w:marRight w:val="0"/>
                      <w:marTop w:val="0"/>
                      <w:marBottom w:val="0"/>
                      <w:divBdr>
                        <w:top w:val="none" w:sz="0" w:space="0" w:color="auto"/>
                        <w:left w:val="none" w:sz="0" w:space="0" w:color="auto"/>
                        <w:bottom w:val="none" w:sz="0" w:space="0" w:color="auto"/>
                        <w:right w:val="none" w:sz="0" w:space="0" w:color="auto"/>
                      </w:divBdr>
                    </w:div>
                  </w:divsChild>
                </w:div>
                <w:div w:id="1951623984">
                  <w:marLeft w:val="0"/>
                  <w:marRight w:val="0"/>
                  <w:marTop w:val="0"/>
                  <w:marBottom w:val="0"/>
                  <w:divBdr>
                    <w:top w:val="none" w:sz="0" w:space="0" w:color="auto"/>
                    <w:left w:val="none" w:sz="0" w:space="0" w:color="auto"/>
                    <w:bottom w:val="none" w:sz="0" w:space="0" w:color="auto"/>
                    <w:right w:val="none" w:sz="0" w:space="0" w:color="auto"/>
                  </w:divBdr>
                  <w:divsChild>
                    <w:div w:id="2063826529">
                      <w:marLeft w:val="0"/>
                      <w:marRight w:val="0"/>
                      <w:marTop w:val="0"/>
                      <w:marBottom w:val="0"/>
                      <w:divBdr>
                        <w:top w:val="none" w:sz="0" w:space="0" w:color="auto"/>
                        <w:left w:val="none" w:sz="0" w:space="0" w:color="auto"/>
                        <w:bottom w:val="none" w:sz="0" w:space="0" w:color="auto"/>
                        <w:right w:val="none" w:sz="0" w:space="0" w:color="auto"/>
                      </w:divBdr>
                    </w:div>
                  </w:divsChild>
                </w:div>
                <w:div w:id="2053966284">
                  <w:marLeft w:val="0"/>
                  <w:marRight w:val="0"/>
                  <w:marTop w:val="0"/>
                  <w:marBottom w:val="0"/>
                  <w:divBdr>
                    <w:top w:val="none" w:sz="0" w:space="0" w:color="auto"/>
                    <w:left w:val="none" w:sz="0" w:space="0" w:color="auto"/>
                    <w:bottom w:val="none" w:sz="0" w:space="0" w:color="auto"/>
                    <w:right w:val="none" w:sz="0" w:space="0" w:color="auto"/>
                  </w:divBdr>
                  <w:divsChild>
                    <w:div w:id="10715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21481">
          <w:marLeft w:val="0"/>
          <w:marRight w:val="0"/>
          <w:marTop w:val="0"/>
          <w:marBottom w:val="0"/>
          <w:divBdr>
            <w:top w:val="none" w:sz="0" w:space="0" w:color="auto"/>
            <w:left w:val="none" w:sz="0" w:space="0" w:color="auto"/>
            <w:bottom w:val="none" w:sz="0" w:space="0" w:color="auto"/>
            <w:right w:val="none" w:sz="0" w:space="0" w:color="auto"/>
          </w:divBdr>
        </w:div>
        <w:div w:id="1604412209">
          <w:marLeft w:val="0"/>
          <w:marRight w:val="0"/>
          <w:marTop w:val="0"/>
          <w:marBottom w:val="0"/>
          <w:divBdr>
            <w:top w:val="none" w:sz="0" w:space="0" w:color="auto"/>
            <w:left w:val="none" w:sz="0" w:space="0" w:color="auto"/>
            <w:bottom w:val="none" w:sz="0" w:space="0" w:color="auto"/>
            <w:right w:val="none" w:sz="0" w:space="0" w:color="auto"/>
          </w:divBdr>
        </w:div>
        <w:div w:id="1622497801">
          <w:marLeft w:val="0"/>
          <w:marRight w:val="0"/>
          <w:marTop w:val="0"/>
          <w:marBottom w:val="0"/>
          <w:divBdr>
            <w:top w:val="none" w:sz="0" w:space="0" w:color="auto"/>
            <w:left w:val="none" w:sz="0" w:space="0" w:color="auto"/>
            <w:bottom w:val="none" w:sz="0" w:space="0" w:color="auto"/>
            <w:right w:val="none" w:sz="0" w:space="0" w:color="auto"/>
          </w:divBdr>
        </w:div>
        <w:div w:id="1733312502">
          <w:marLeft w:val="0"/>
          <w:marRight w:val="0"/>
          <w:marTop w:val="0"/>
          <w:marBottom w:val="0"/>
          <w:divBdr>
            <w:top w:val="none" w:sz="0" w:space="0" w:color="auto"/>
            <w:left w:val="none" w:sz="0" w:space="0" w:color="auto"/>
            <w:bottom w:val="none" w:sz="0" w:space="0" w:color="auto"/>
            <w:right w:val="none" w:sz="0" w:space="0" w:color="auto"/>
          </w:divBdr>
        </w:div>
        <w:div w:id="1759322333">
          <w:marLeft w:val="0"/>
          <w:marRight w:val="0"/>
          <w:marTop w:val="0"/>
          <w:marBottom w:val="0"/>
          <w:divBdr>
            <w:top w:val="none" w:sz="0" w:space="0" w:color="auto"/>
            <w:left w:val="none" w:sz="0" w:space="0" w:color="auto"/>
            <w:bottom w:val="none" w:sz="0" w:space="0" w:color="auto"/>
            <w:right w:val="none" w:sz="0" w:space="0" w:color="auto"/>
          </w:divBdr>
        </w:div>
        <w:div w:id="1769426037">
          <w:marLeft w:val="0"/>
          <w:marRight w:val="0"/>
          <w:marTop w:val="0"/>
          <w:marBottom w:val="0"/>
          <w:divBdr>
            <w:top w:val="none" w:sz="0" w:space="0" w:color="auto"/>
            <w:left w:val="none" w:sz="0" w:space="0" w:color="auto"/>
            <w:bottom w:val="none" w:sz="0" w:space="0" w:color="auto"/>
            <w:right w:val="none" w:sz="0" w:space="0" w:color="auto"/>
          </w:divBdr>
        </w:div>
        <w:div w:id="1789743022">
          <w:marLeft w:val="0"/>
          <w:marRight w:val="0"/>
          <w:marTop w:val="0"/>
          <w:marBottom w:val="0"/>
          <w:divBdr>
            <w:top w:val="none" w:sz="0" w:space="0" w:color="auto"/>
            <w:left w:val="none" w:sz="0" w:space="0" w:color="auto"/>
            <w:bottom w:val="none" w:sz="0" w:space="0" w:color="auto"/>
            <w:right w:val="none" w:sz="0" w:space="0" w:color="auto"/>
          </w:divBdr>
        </w:div>
        <w:div w:id="1808357790">
          <w:marLeft w:val="0"/>
          <w:marRight w:val="0"/>
          <w:marTop w:val="0"/>
          <w:marBottom w:val="0"/>
          <w:divBdr>
            <w:top w:val="none" w:sz="0" w:space="0" w:color="auto"/>
            <w:left w:val="none" w:sz="0" w:space="0" w:color="auto"/>
            <w:bottom w:val="none" w:sz="0" w:space="0" w:color="auto"/>
            <w:right w:val="none" w:sz="0" w:space="0" w:color="auto"/>
          </w:divBdr>
        </w:div>
        <w:div w:id="1987782664">
          <w:marLeft w:val="0"/>
          <w:marRight w:val="0"/>
          <w:marTop w:val="0"/>
          <w:marBottom w:val="0"/>
          <w:divBdr>
            <w:top w:val="none" w:sz="0" w:space="0" w:color="auto"/>
            <w:left w:val="none" w:sz="0" w:space="0" w:color="auto"/>
            <w:bottom w:val="none" w:sz="0" w:space="0" w:color="auto"/>
            <w:right w:val="none" w:sz="0" w:space="0" w:color="auto"/>
          </w:divBdr>
        </w:div>
        <w:div w:id="2002930243">
          <w:marLeft w:val="0"/>
          <w:marRight w:val="0"/>
          <w:marTop w:val="0"/>
          <w:marBottom w:val="0"/>
          <w:divBdr>
            <w:top w:val="none" w:sz="0" w:space="0" w:color="auto"/>
            <w:left w:val="none" w:sz="0" w:space="0" w:color="auto"/>
            <w:bottom w:val="none" w:sz="0" w:space="0" w:color="auto"/>
            <w:right w:val="none" w:sz="0" w:space="0" w:color="auto"/>
          </w:divBdr>
          <w:divsChild>
            <w:div w:id="1732266596">
              <w:marLeft w:val="-75"/>
              <w:marRight w:val="0"/>
              <w:marTop w:val="30"/>
              <w:marBottom w:val="30"/>
              <w:divBdr>
                <w:top w:val="none" w:sz="0" w:space="0" w:color="auto"/>
                <w:left w:val="none" w:sz="0" w:space="0" w:color="auto"/>
                <w:bottom w:val="none" w:sz="0" w:space="0" w:color="auto"/>
                <w:right w:val="none" w:sz="0" w:space="0" w:color="auto"/>
              </w:divBdr>
              <w:divsChild>
                <w:div w:id="337193368">
                  <w:marLeft w:val="0"/>
                  <w:marRight w:val="0"/>
                  <w:marTop w:val="0"/>
                  <w:marBottom w:val="0"/>
                  <w:divBdr>
                    <w:top w:val="none" w:sz="0" w:space="0" w:color="auto"/>
                    <w:left w:val="none" w:sz="0" w:space="0" w:color="auto"/>
                    <w:bottom w:val="none" w:sz="0" w:space="0" w:color="auto"/>
                    <w:right w:val="none" w:sz="0" w:space="0" w:color="auto"/>
                  </w:divBdr>
                  <w:divsChild>
                    <w:div w:id="1194920220">
                      <w:marLeft w:val="0"/>
                      <w:marRight w:val="0"/>
                      <w:marTop w:val="0"/>
                      <w:marBottom w:val="0"/>
                      <w:divBdr>
                        <w:top w:val="none" w:sz="0" w:space="0" w:color="auto"/>
                        <w:left w:val="none" w:sz="0" w:space="0" w:color="auto"/>
                        <w:bottom w:val="none" w:sz="0" w:space="0" w:color="auto"/>
                        <w:right w:val="none" w:sz="0" w:space="0" w:color="auto"/>
                      </w:divBdr>
                    </w:div>
                  </w:divsChild>
                </w:div>
                <w:div w:id="504592366">
                  <w:marLeft w:val="0"/>
                  <w:marRight w:val="0"/>
                  <w:marTop w:val="0"/>
                  <w:marBottom w:val="0"/>
                  <w:divBdr>
                    <w:top w:val="none" w:sz="0" w:space="0" w:color="auto"/>
                    <w:left w:val="none" w:sz="0" w:space="0" w:color="auto"/>
                    <w:bottom w:val="none" w:sz="0" w:space="0" w:color="auto"/>
                    <w:right w:val="none" w:sz="0" w:space="0" w:color="auto"/>
                  </w:divBdr>
                  <w:divsChild>
                    <w:div w:id="955720127">
                      <w:marLeft w:val="0"/>
                      <w:marRight w:val="0"/>
                      <w:marTop w:val="0"/>
                      <w:marBottom w:val="0"/>
                      <w:divBdr>
                        <w:top w:val="none" w:sz="0" w:space="0" w:color="auto"/>
                        <w:left w:val="none" w:sz="0" w:space="0" w:color="auto"/>
                        <w:bottom w:val="none" w:sz="0" w:space="0" w:color="auto"/>
                        <w:right w:val="none" w:sz="0" w:space="0" w:color="auto"/>
                      </w:divBdr>
                    </w:div>
                  </w:divsChild>
                </w:div>
                <w:div w:id="1296721078">
                  <w:marLeft w:val="0"/>
                  <w:marRight w:val="0"/>
                  <w:marTop w:val="0"/>
                  <w:marBottom w:val="0"/>
                  <w:divBdr>
                    <w:top w:val="none" w:sz="0" w:space="0" w:color="auto"/>
                    <w:left w:val="none" w:sz="0" w:space="0" w:color="auto"/>
                    <w:bottom w:val="none" w:sz="0" w:space="0" w:color="auto"/>
                    <w:right w:val="none" w:sz="0" w:space="0" w:color="auto"/>
                  </w:divBdr>
                  <w:divsChild>
                    <w:div w:id="1276788085">
                      <w:marLeft w:val="0"/>
                      <w:marRight w:val="0"/>
                      <w:marTop w:val="0"/>
                      <w:marBottom w:val="0"/>
                      <w:divBdr>
                        <w:top w:val="none" w:sz="0" w:space="0" w:color="auto"/>
                        <w:left w:val="none" w:sz="0" w:space="0" w:color="auto"/>
                        <w:bottom w:val="none" w:sz="0" w:space="0" w:color="auto"/>
                        <w:right w:val="none" w:sz="0" w:space="0" w:color="auto"/>
                      </w:divBdr>
                    </w:div>
                  </w:divsChild>
                </w:div>
                <w:div w:id="1460757869">
                  <w:marLeft w:val="0"/>
                  <w:marRight w:val="0"/>
                  <w:marTop w:val="0"/>
                  <w:marBottom w:val="0"/>
                  <w:divBdr>
                    <w:top w:val="none" w:sz="0" w:space="0" w:color="auto"/>
                    <w:left w:val="none" w:sz="0" w:space="0" w:color="auto"/>
                    <w:bottom w:val="none" w:sz="0" w:space="0" w:color="auto"/>
                    <w:right w:val="none" w:sz="0" w:space="0" w:color="auto"/>
                  </w:divBdr>
                  <w:divsChild>
                    <w:div w:id="1645046627">
                      <w:marLeft w:val="0"/>
                      <w:marRight w:val="0"/>
                      <w:marTop w:val="0"/>
                      <w:marBottom w:val="0"/>
                      <w:divBdr>
                        <w:top w:val="none" w:sz="0" w:space="0" w:color="auto"/>
                        <w:left w:val="none" w:sz="0" w:space="0" w:color="auto"/>
                        <w:bottom w:val="none" w:sz="0" w:space="0" w:color="auto"/>
                        <w:right w:val="none" w:sz="0" w:space="0" w:color="auto"/>
                      </w:divBdr>
                    </w:div>
                  </w:divsChild>
                </w:div>
                <w:div w:id="1835684168">
                  <w:marLeft w:val="0"/>
                  <w:marRight w:val="0"/>
                  <w:marTop w:val="0"/>
                  <w:marBottom w:val="0"/>
                  <w:divBdr>
                    <w:top w:val="none" w:sz="0" w:space="0" w:color="auto"/>
                    <w:left w:val="none" w:sz="0" w:space="0" w:color="auto"/>
                    <w:bottom w:val="none" w:sz="0" w:space="0" w:color="auto"/>
                    <w:right w:val="none" w:sz="0" w:space="0" w:color="auto"/>
                  </w:divBdr>
                  <w:divsChild>
                    <w:div w:id="789936706">
                      <w:marLeft w:val="0"/>
                      <w:marRight w:val="0"/>
                      <w:marTop w:val="0"/>
                      <w:marBottom w:val="0"/>
                      <w:divBdr>
                        <w:top w:val="none" w:sz="0" w:space="0" w:color="auto"/>
                        <w:left w:val="none" w:sz="0" w:space="0" w:color="auto"/>
                        <w:bottom w:val="none" w:sz="0" w:space="0" w:color="auto"/>
                        <w:right w:val="none" w:sz="0" w:space="0" w:color="auto"/>
                      </w:divBdr>
                    </w:div>
                  </w:divsChild>
                </w:div>
                <w:div w:id="1865435557">
                  <w:marLeft w:val="0"/>
                  <w:marRight w:val="0"/>
                  <w:marTop w:val="0"/>
                  <w:marBottom w:val="0"/>
                  <w:divBdr>
                    <w:top w:val="none" w:sz="0" w:space="0" w:color="auto"/>
                    <w:left w:val="none" w:sz="0" w:space="0" w:color="auto"/>
                    <w:bottom w:val="none" w:sz="0" w:space="0" w:color="auto"/>
                    <w:right w:val="none" w:sz="0" w:space="0" w:color="auto"/>
                  </w:divBdr>
                  <w:divsChild>
                    <w:div w:id="258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38747">
          <w:marLeft w:val="0"/>
          <w:marRight w:val="0"/>
          <w:marTop w:val="0"/>
          <w:marBottom w:val="0"/>
          <w:divBdr>
            <w:top w:val="none" w:sz="0" w:space="0" w:color="auto"/>
            <w:left w:val="none" w:sz="0" w:space="0" w:color="auto"/>
            <w:bottom w:val="none" w:sz="0" w:space="0" w:color="auto"/>
            <w:right w:val="none" w:sz="0" w:space="0" w:color="auto"/>
          </w:divBdr>
          <w:divsChild>
            <w:div w:id="795828884">
              <w:marLeft w:val="-75"/>
              <w:marRight w:val="0"/>
              <w:marTop w:val="30"/>
              <w:marBottom w:val="30"/>
              <w:divBdr>
                <w:top w:val="none" w:sz="0" w:space="0" w:color="auto"/>
                <w:left w:val="none" w:sz="0" w:space="0" w:color="auto"/>
                <w:bottom w:val="none" w:sz="0" w:space="0" w:color="auto"/>
                <w:right w:val="none" w:sz="0" w:space="0" w:color="auto"/>
              </w:divBdr>
              <w:divsChild>
                <w:div w:id="162404729">
                  <w:marLeft w:val="0"/>
                  <w:marRight w:val="0"/>
                  <w:marTop w:val="0"/>
                  <w:marBottom w:val="0"/>
                  <w:divBdr>
                    <w:top w:val="none" w:sz="0" w:space="0" w:color="auto"/>
                    <w:left w:val="none" w:sz="0" w:space="0" w:color="auto"/>
                    <w:bottom w:val="none" w:sz="0" w:space="0" w:color="auto"/>
                    <w:right w:val="none" w:sz="0" w:space="0" w:color="auto"/>
                  </w:divBdr>
                  <w:divsChild>
                    <w:div w:id="1490900901">
                      <w:marLeft w:val="0"/>
                      <w:marRight w:val="0"/>
                      <w:marTop w:val="0"/>
                      <w:marBottom w:val="0"/>
                      <w:divBdr>
                        <w:top w:val="none" w:sz="0" w:space="0" w:color="auto"/>
                        <w:left w:val="none" w:sz="0" w:space="0" w:color="auto"/>
                        <w:bottom w:val="none" w:sz="0" w:space="0" w:color="auto"/>
                        <w:right w:val="none" w:sz="0" w:space="0" w:color="auto"/>
                      </w:divBdr>
                    </w:div>
                  </w:divsChild>
                </w:div>
                <w:div w:id="168301004">
                  <w:marLeft w:val="0"/>
                  <w:marRight w:val="0"/>
                  <w:marTop w:val="0"/>
                  <w:marBottom w:val="0"/>
                  <w:divBdr>
                    <w:top w:val="none" w:sz="0" w:space="0" w:color="auto"/>
                    <w:left w:val="none" w:sz="0" w:space="0" w:color="auto"/>
                    <w:bottom w:val="none" w:sz="0" w:space="0" w:color="auto"/>
                    <w:right w:val="none" w:sz="0" w:space="0" w:color="auto"/>
                  </w:divBdr>
                  <w:divsChild>
                    <w:div w:id="983506079">
                      <w:marLeft w:val="0"/>
                      <w:marRight w:val="0"/>
                      <w:marTop w:val="0"/>
                      <w:marBottom w:val="0"/>
                      <w:divBdr>
                        <w:top w:val="none" w:sz="0" w:space="0" w:color="auto"/>
                        <w:left w:val="none" w:sz="0" w:space="0" w:color="auto"/>
                        <w:bottom w:val="none" w:sz="0" w:space="0" w:color="auto"/>
                        <w:right w:val="none" w:sz="0" w:space="0" w:color="auto"/>
                      </w:divBdr>
                    </w:div>
                  </w:divsChild>
                </w:div>
                <w:div w:id="335351284">
                  <w:marLeft w:val="0"/>
                  <w:marRight w:val="0"/>
                  <w:marTop w:val="0"/>
                  <w:marBottom w:val="0"/>
                  <w:divBdr>
                    <w:top w:val="none" w:sz="0" w:space="0" w:color="auto"/>
                    <w:left w:val="none" w:sz="0" w:space="0" w:color="auto"/>
                    <w:bottom w:val="none" w:sz="0" w:space="0" w:color="auto"/>
                    <w:right w:val="none" w:sz="0" w:space="0" w:color="auto"/>
                  </w:divBdr>
                  <w:divsChild>
                    <w:div w:id="639265006">
                      <w:marLeft w:val="0"/>
                      <w:marRight w:val="0"/>
                      <w:marTop w:val="0"/>
                      <w:marBottom w:val="0"/>
                      <w:divBdr>
                        <w:top w:val="none" w:sz="0" w:space="0" w:color="auto"/>
                        <w:left w:val="none" w:sz="0" w:space="0" w:color="auto"/>
                        <w:bottom w:val="none" w:sz="0" w:space="0" w:color="auto"/>
                        <w:right w:val="none" w:sz="0" w:space="0" w:color="auto"/>
                      </w:divBdr>
                    </w:div>
                  </w:divsChild>
                </w:div>
                <w:div w:id="439030850">
                  <w:marLeft w:val="0"/>
                  <w:marRight w:val="0"/>
                  <w:marTop w:val="0"/>
                  <w:marBottom w:val="0"/>
                  <w:divBdr>
                    <w:top w:val="none" w:sz="0" w:space="0" w:color="auto"/>
                    <w:left w:val="none" w:sz="0" w:space="0" w:color="auto"/>
                    <w:bottom w:val="none" w:sz="0" w:space="0" w:color="auto"/>
                    <w:right w:val="none" w:sz="0" w:space="0" w:color="auto"/>
                  </w:divBdr>
                  <w:divsChild>
                    <w:div w:id="1610358927">
                      <w:marLeft w:val="0"/>
                      <w:marRight w:val="0"/>
                      <w:marTop w:val="0"/>
                      <w:marBottom w:val="0"/>
                      <w:divBdr>
                        <w:top w:val="none" w:sz="0" w:space="0" w:color="auto"/>
                        <w:left w:val="none" w:sz="0" w:space="0" w:color="auto"/>
                        <w:bottom w:val="none" w:sz="0" w:space="0" w:color="auto"/>
                        <w:right w:val="none" w:sz="0" w:space="0" w:color="auto"/>
                      </w:divBdr>
                    </w:div>
                  </w:divsChild>
                </w:div>
                <w:div w:id="1042049214">
                  <w:marLeft w:val="0"/>
                  <w:marRight w:val="0"/>
                  <w:marTop w:val="0"/>
                  <w:marBottom w:val="0"/>
                  <w:divBdr>
                    <w:top w:val="none" w:sz="0" w:space="0" w:color="auto"/>
                    <w:left w:val="none" w:sz="0" w:space="0" w:color="auto"/>
                    <w:bottom w:val="none" w:sz="0" w:space="0" w:color="auto"/>
                    <w:right w:val="none" w:sz="0" w:space="0" w:color="auto"/>
                  </w:divBdr>
                  <w:divsChild>
                    <w:div w:id="1614169501">
                      <w:marLeft w:val="0"/>
                      <w:marRight w:val="0"/>
                      <w:marTop w:val="0"/>
                      <w:marBottom w:val="0"/>
                      <w:divBdr>
                        <w:top w:val="none" w:sz="0" w:space="0" w:color="auto"/>
                        <w:left w:val="none" w:sz="0" w:space="0" w:color="auto"/>
                        <w:bottom w:val="none" w:sz="0" w:space="0" w:color="auto"/>
                        <w:right w:val="none" w:sz="0" w:space="0" w:color="auto"/>
                      </w:divBdr>
                    </w:div>
                  </w:divsChild>
                </w:div>
                <w:div w:id="1144394081">
                  <w:marLeft w:val="0"/>
                  <w:marRight w:val="0"/>
                  <w:marTop w:val="0"/>
                  <w:marBottom w:val="0"/>
                  <w:divBdr>
                    <w:top w:val="none" w:sz="0" w:space="0" w:color="auto"/>
                    <w:left w:val="none" w:sz="0" w:space="0" w:color="auto"/>
                    <w:bottom w:val="none" w:sz="0" w:space="0" w:color="auto"/>
                    <w:right w:val="none" w:sz="0" w:space="0" w:color="auto"/>
                  </w:divBdr>
                  <w:divsChild>
                    <w:div w:id="14712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6557">
          <w:marLeft w:val="0"/>
          <w:marRight w:val="0"/>
          <w:marTop w:val="0"/>
          <w:marBottom w:val="0"/>
          <w:divBdr>
            <w:top w:val="none" w:sz="0" w:space="0" w:color="auto"/>
            <w:left w:val="none" w:sz="0" w:space="0" w:color="auto"/>
            <w:bottom w:val="none" w:sz="0" w:space="0" w:color="auto"/>
            <w:right w:val="none" w:sz="0" w:space="0" w:color="auto"/>
          </w:divBdr>
        </w:div>
        <w:div w:id="2124566136">
          <w:marLeft w:val="0"/>
          <w:marRight w:val="0"/>
          <w:marTop w:val="0"/>
          <w:marBottom w:val="0"/>
          <w:divBdr>
            <w:top w:val="none" w:sz="0" w:space="0" w:color="auto"/>
            <w:left w:val="none" w:sz="0" w:space="0" w:color="auto"/>
            <w:bottom w:val="none" w:sz="0" w:space="0" w:color="auto"/>
            <w:right w:val="none" w:sz="0" w:space="0" w:color="auto"/>
          </w:divBdr>
        </w:div>
      </w:divsChild>
    </w:div>
    <w:div w:id="1755588953">
      <w:bodyDiv w:val="1"/>
      <w:marLeft w:val="0"/>
      <w:marRight w:val="0"/>
      <w:marTop w:val="0"/>
      <w:marBottom w:val="0"/>
      <w:divBdr>
        <w:top w:val="none" w:sz="0" w:space="0" w:color="auto"/>
        <w:left w:val="none" w:sz="0" w:space="0" w:color="auto"/>
        <w:bottom w:val="none" w:sz="0" w:space="0" w:color="auto"/>
        <w:right w:val="none" w:sz="0" w:space="0" w:color="auto"/>
      </w:divBdr>
      <w:divsChild>
        <w:div w:id="1008096024">
          <w:marLeft w:val="480"/>
          <w:marRight w:val="0"/>
          <w:marTop w:val="0"/>
          <w:marBottom w:val="0"/>
          <w:divBdr>
            <w:top w:val="none" w:sz="0" w:space="0" w:color="auto"/>
            <w:left w:val="none" w:sz="0" w:space="0" w:color="auto"/>
            <w:bottom w:val="none" w:sz="0" w:space="0" w:color="auto"/>
            <w:right w:val="none" w:sz="0" w:space="0" w:color="auto"/>
          </w:divBdr>
          <w:divsChild>
            <w:div w:id="876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890">
      <w:bodyDiv w:val="1"/>
      <w:marLeft w:val="0"/>
      <w:marRight w:val="0"/>
      <w:marTop w:val="0"/>
      <w:marBottom w:val="0"/>
      <w:divBdr>
        <w:top w:val="none" w:sz="0" w:space="0" w:color="auto"/>
        <w:left w:val="none" w:sz="0" w:space="0" w:color="auto"/>
        <w:bottom w:val="none" w:sz="0" w:space="0" w:color="auto"/>
        <w:right w:val="none" w:sz="0" w:space="0" w:color="auto"/>
      </w:divBdr>
    </w:div>
    <w:div w:id="1790976100">
      <w:bodyDiv w:val="1"/>
      <w:marLeft w:val="0"/>
      <w:marRight w:val="0"/>
      <w:marTop w:val="0"/>
      <w:marBottom w:val="0"/>
      <w:divBdr>
        <w:top w:val="none" w:sz="0" w:space="0" w:color="auto"/>
        <w:left w:val="none" w:sz="0" w:space="0" w:color="auto"/>
        <w:bottom w:val="none" w:sz="0" w:space="0" w:color="auto"/>
        <w:right w:val="none" w:sz="0" w:space="0" w:color="auto"/>
      </w:divBdr>
    </w:div>
    <w:div w:id="1833333580">
      <w:bodyDiv w:val="1"/>
      <w:marLeft w:val="0"/>
      <w:marRight w:val="0"/>
      <w:marTop w:val="0"/>
      <w:marBottom w:val="0"/>
      <w:divBdr>
        <w:top w:val="none" w:sz="0" w:space="0" w:color="auto"/>
        <w:left w:val="none" w:sz="0" w:space="0" w:color="auto"/>
        <w:bottom w:val="none" w:sz="0" w:space="0" w:color="auto"/>
        <w:right w:val="none" w:sz="0" w:space="0" w:color="auto"/>
      </w:divBdr>
      <w:divsChild>
        <w:div w:id="1242250697">
          <w:marLeft w:val="480"/>
          <w:marRight w:val="0"/>
          <w:marTop w:val="0"/>
          <w:marBottom w:val="0"/>
          <w:divBdr>
            <w:top w:val="none" w:sz="0" w:space="0" w:color="auto"/>
            <w:left w:val="none" w:sz="0" w:space="0" w:color="auto"/>
            <w:bottom w:val="none" w:sz="0" w:space="0" w:color="auto"/>
            <w:right w:val="none" w:sz="0" w:space="0" w:color="auto"/>
          </w:divBdr>
          <w:divsChild>
            <w:div w:id="5039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7261">
      <w:bodyDiv w:val="1"/>
      <w:marLeft w:val="0"/>
      <w:marRight w:val="0"/>
      <w:marTop w:val="0"/>
      <w:marBottom w:val="0"/>
      <w:divBdr>
        <w:top w:val="none" w:sz="0" w:space="0" w:color="auto"/>
        <w:left w:val="none" w:sz="0" w:space="0" w:color="auto"/>
        <w:bottom w:val="none" w:sz="0" w:space="0" w:color="auto"/>
        <w:right w:val="none" w:sz="0" w:space="0" w:color="auto"/>
      </w:divBdr>
      <w:divsChild>
        <w:div w:id="1859469383">
          <w:marLeft w:val="480"/>
          <w:marRight w:val="0"/>
          <w:marTop w:val="0"/>
          <w:marBottom w:val="0"/>
          <w:divBdr>
            <w:top w:val="none" w:sz="0" w:space="0" w:color="auto"/>
            <w:left w:val="none" w:sz="0" w:space="0" w:color="auto"/>
            <w:bottom w:val="none" w:sz="0" w:space="0" w:color="auto"/>
            <w:right w:val="none" w:sz="0" w:space="0" w:color="auto"/>
          </w:divBdr>
          <w:divsChild>
            <w:div w:id="14220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0583">
      <w:bodyDiv w:val="1"/>
      <w:marLeft w:val="0"/>
      <w:marRight w:val="0"/>
      <w:marTop w:val="0"/>
      <w:marBottom w:val="0"/>
      <w:divBdr>
        <w:top w:val="none" w:sz="0" w:space="0" w:color="auto"/>
        <w:left w:val="none" w:sz="0" w:space="0" w:color="auto"/>
        <w:bottom w:val="none" w:sz="0" w:space="0" w:color="auto"/>
        <w:right w:val="none" w:sz="0" w:space="0" w:color="auto"/>
      </w:divBdr>
      <w:divsChild>
        <w:div w:id="873270863">
          <w:marLeft w:val="480"/>
          <w:marRight w:val="0"/>
          <w:marTop w:val="0"/>
          <w:marBottom w:val="0"/>
          <w:divBdr>
            <w:top w:val="none" w:sz="0" w:space="0" w:color="auto"/>
            <w:left w:val="none" w:sz="0" w:space="0" w:color="auto"/>
            <w:bottom w:val="none" w:sz="0" w:space="0" w:color="auto"/>
            <w:right w:val="none" w:sz="0" w:space="0" w:color="auto"/>
          </w:divBdr>
          <w:divsChild>
            <w:div w:id="18987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5699">
      <w:bodyDiv w:val="1"/>
      <w:marLeft w:val="0"/>
      <w:marRight w:val="0"/>
      <w:marTop w:val="0"/>
      <w:marBottom w:val="0"/>
      <w:divBdr>
        <w:top w:val="none" w:sz="0" w:space="0" w:color="auto"/>
        <w:left w:val="none" w:sz="0" w:space="0" w:color="auto"/>
        <w:bottom w:val="none" w:sz="0" w:space="0" w:color="auto"/>
        <w:right w:val="none" w:sz="0" w:space="0" w:color="auto"/>
      </w:divBdr>
      <w:divsChild>
        <w:div w:id="2102993068">
          <w:marLeft w:val="480"/>
          <w:marRight w:val="0"/>
          <w:marTop w:val="0"/>
          <w:marBottom w:val="0"/>
          <w:divBdr>
            <w:top w:val="none" w:sz="0" w:space="0" w:color="auto"/>
            <w:left w:val="none" w:sz="0" w:space="0" w:color="auto"/>
            <w:bottom w:val="none" w:sz="0" w:space="0" w:color="auto"/>
            <w:right w:val="none" w:sz="0" w:space="0" w:color="auto"/>
          </w:divBdr>
          <w:divsChild>
            <w:div w:id="641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8578">
      <w:bodyDiv w:val="1"/>
      <w:marLeft w:val="0"/>
      <w:marRight w:val="0"/>
      <w:marTop w:val="0"/>
      <w:marBottom w:val="0"/>
      <w:divBdr>
        <w:top w:val="none" w:sz="0" w:space="0" w:color="auto"/>
        <w:left w:val="none" w:sz="0" w:space="0" w:color="auto"/>
        <w:bottom w:val="none" w:sz="0" w:space="0" w:color="auto"/>
        <w:right w:val="none" w:sz="0" w:space="0" w:color="auto"/>
      </w:divBdr>
      <w:divsChild>
        <w:div w:id="904535805">
          <w:marLeft w:val="480"/>
          <w:marRight w:val="0"/>
          <w:marTop w:val="0"/>
          <w:marBottom w:val="0"/>
          <w:divBdr>
            <w:top w:val="none" w:sz="0" w:space="0" w:color="auto"/>
            <w:left w:val="none" w:sz="0" w:space="0" w:color="auto"/>
            <w:bottom w:val="none" w:sz="0" w:space="0" w:color="auto"/>
            <w:right w:val="none" w:sz="0" w:space="0" w:color="auto"/>
          </w:divBdr>
          <w:divsChild>
            <w:div w:id="6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40781">
      <w:bodyDiv w:val="1"/>
      <w:marLeft w:val="0"/>
      <w:marRight w:val="0"/>
      <w:marTop w:val="0"/>
      <w:marBottom w:val="0"/>
      <w:divBdr>
        <w:top w:val="none" w:sz="0" w:space="0" w:color="auto"/>
        <w:left w:val="none" w:sz="0" w:space="0" w:color="auto"/>
        <w:bottom w:val="none" w:sz="0" w:space="0" w:color="auto"/>
        <w:right w:val="none" w:sz="0" w:space="0" w:color="auto"/>
      </w:divBdr>
      <w:divsChild>
        <w:div w:id="333921474">
          <w:marLeft w:val="480"/>
          <w:marRight w:val="0"/>
          <w:marTop w:val="0"/>
          <w:marBottom w:val="0"/>
          <w:divBdr>
            <w:top w:val="none" w:sz="0" w:space="0" w:color="auto"/>
            <w:left w:val="none" w:sz="0" w:space="0" w:color="auto"/>
            <w:bottom w:val="none" w:sz="0" w:space="0" w:color="auto"/>
            <w:right w:val="none" w:sz="0" w:space="0" w:color="auto"/>
          </w:divBdr>
          <w:divsChild>
            <w:div w:id="11651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0365">
      <w:bodyDiv w:val="1"/>
      <w:marLeft w:val="0"/>
      <w:marRight w:val="0"/>
      <w:marTop w:val="0"/>
      <w:marBottom w:val="0"/>
      <w:divBdr>
        <w:top w:val="none" w:sz="0" w:space="0" w:color="auto"/>
        <w:left w:val="none" w:sz="0" w:space="0" w:color="auto"/>
        <w:bottom w:val="none" w:sz="0" w:space="0" w:color="auto"/>
        <w:right w:val="none" w:sz="0" w:space="0" w:color="auto"/>
      </w:divBdr>
      <w:divsChild>
        <w:div w:id="94597980">
          <w:marLeft w:val="0"/>
          <w:marRight w:val="0"/>
          <w:marTop w:val="0"/>
          <w:marBottom w:val="0"/>
          <w:divBdr>
            <w:top w:val="none" w:sz="0" w:space="0" w:color="auto"/>
            <w:left w:val="none" w:sz="0" w:space="0" w:color="auto"/>
            <w:bottom w:val="none" w:sz="0" w:space="0" w:color="auto"/>
            <w:right w:val="none" w:sz="0" w:space="0" w:color="auto"/>
          </w:divBdr>
        </w:div>
        <w:div w:id="99687970">
          <w:marLeft w:val="0"/>
          <w:marRight w:val="0"/>
          <w:marTop w:val="0"/>
          <w:marBottom w:val="0"/>
          <w:divBdr>
            <w:top w:val="none" w:sz="0" w:space="0" w:color="auto"/>
            <w:left w:val="none" w:sz="0" w:space="0" w:color="auto"/>
            <w:bottom w:val="none" w:sz="0" w:space="0" w:color="auto"/>
            <w:right w:val="none" w:sz="0" w:space="0" w:color="auto"/>
          </w:divBdr>
        </w:div>
        <w:div w:id="147404461">
          <w:marLeft w:val="0"/>
          <w:marRight w:val="0"/>
          <w:marTop w:val="0"/>
          <w:marBottom w:val="0"/>
          <w:divBdr>
            <w:top w:val="none" w:sz="0" w:space="0" w:color="auto"/>
            <w:left w:val="none" w:sz="0" w:space="0" w:color="auto"/>
            <w:bottom w:val="none" w:sz="0" w:space="0" w:color="auto"/>
            <w:right w:val="none" w:sz="0" w:space="0" w:color="auto"/>
          </w:divBdr>
        </w:div>
        <w:div w:id="177548549">
          <w:marLeft w:val="0"/>
          <w:marRight w:val="0"/>
          <w:marTop w:val="0"/>
          <w:marBottom w:val="0"/>
          <w:divBdr>
            <w:top w:val="none" w:sz="0" w:space="0" w:color="auto"/>
            <w:left w:val="none" w:sz="0" w:space="0" w:color="auto"/>
            <w:bottom w:val="none" w:sz="0" w:space="0" w:color="auto"/>
            <w:right w:val="none" w:sz="0" w:space="0" w:color="auto"/>
          </w:divBdr>
        </w:div>
        <w:div w:id="344523515">
          <w:marLeft w:val="0"/>
          <w:marRight w:val="0"/>
          <w:marTop w:val="0"/>
          <w:marBottom w:val="0"/>
          <w:divBdr>
            <w:top w:val="none" w:sz="0" w:space="0" w:color="auto"/>
            <w:left w:val="none" w:sz="0" w:space="0" w:color="auto"/>
            <w:bottom w:val="none" w:sz="0" w:space="0" w:color="auto"/>
            <w:right w:val="none" w:sz="0" w:space="0" w:color="auto"/>
          </w:divBdr>
        </w:div>
        <w:div w:id="387800636">
          <w:marLeft w:val="0"/>
          <w:marRight w:val="0"/>
          <w:marTop w:val="0"/>
          <w:marBottom w:val="0"/>
          <w:divBdr>
            <w:top w:val="none" w:sz="0" w:space="0" w:color="auto"/>
            <w:left w:val="none" w:sz="0" w:space="0" w:color="auto"/>
            <w:bottom w:val="none" w:sz="0" w:space="0" w:color="auto"/>
            <w:right w:val="none" w:sz="0" w:space="0" w:color="auto"/>
          </w:divBdr>
          <w:divsChild>
            <w:div w:id="1524320268">
              <w:marLeft w:val="-75"/>
              <w:marRight w:val="0"/>
              <w:marTop w:val="30"/>
              <w:marBottom w:val="30"/>
              <w:divBdr>
                <w:top w:val="none" w:sz="0" w:space="0" w:color="auto"/>
                <w:left w:val="none" w:sz="0" w:space="0" w:color="auto"/>
                <w:bottom w:val="none" w:sz="0" w:space="0" w:color="auto"/>
                <w:right w:val="none" w:sz="0" w:space="0" w:color="auto"/>
              </w:divBdr>
              <w:divsChild>
                <w:div w:id="18556749">
                  <w:marLeft w:val="0"/>
                  <w:marRight w:val="0"/>
                  <w:marTop w:val="0"/>
                  <w:marBottom w:val="0"/>
                  <w:divBdr>
                    <w:top w:val="none" w:sz="0" w:space="0" w:color="auto"/>
                    <w:left w:val="none" w:sz="0" w:space="0" w:color="auto"/>
                    <w:bottom w:val="none" w:sz="0" w:space="0" w:color="auto"/>
                    <w:right w:val="none" w:sz="0" w:space="0" w:color="auto"/>
                  </w:divBdr>
                  <w:divsChild>
                    <w:div w:id="661393452">
                      <w:marLeft w:val="0"/>
                      <w:marRight w:val="0"/>
                      <w:marTop w:val="0"/>
                      <w:marBottom w:val="0"/>
                      <w:divBdr>
                        <w:top w:val="none" w:sz="0" w:space="0" w:color="auto"/>
                        <w:left w:val="none" w:sz="0" w:space="0" w:color="auto"/>
                        <w:bottom w:val="none" w:sz="0" w:space="0" w:color="auto"/>
                        <w:right w:val="none" w:sz="0" w:space="0" w:color="auto"/>
                      </w:divBdr>
                    </w:div>
                  </w:divsChild>
                </w:div>
                <w:div w:id="34043369">
                  <w:marLeft w:val="0"/>
                  <w:marRight w:val="0"/>
                  <w:marTop w:val="0"/>
                  <w:marBottom w:val="0"/>
                  <w:divBdr>
                    <w:top w:val="none" w:sz="0" w:space="0" w:color="auto"/>
                    <w:left w:val="none" w:sz="0" w:space="0" w:color="auto"/>
                    <w:bottom w:val="none" w:sz="0" w:space="0" w:color="auto"/>
                    <w:right w:val="none" w:sz="0" w:space="0" w:color="auto"/>
                  </w:divBdr>
                  <w:divsChild>
                    <w:div w:id="1023048569">
                      <w:marLeft w:val="0"/>
                      <w:marRight w:val="0"/>
                      <w:marTop w:val="0"/>
                      <w:marBottom w:val="0"/>
                      <w:divBdr>
                        <w:top w:val="none" w:sz="0" w:space="0" w:color="auto"/>
                        <w:left w:val="none" w:sz="0" w:space="0" w:color="auto"/>
                        <w:bottom w:val="none" w:sz="0" w:space="0" w:color="auto"/>
                        <w:right w:val="none" w:sz="0" w:space="0" w:color="auto"/>
                      </w:divBdr>
                    </w:div>
                  </w:divsChild>
                </w:div>
                <w:div w:id="143552316">
                  <w:marLeft w:val="0"/>
                  <w:marRight w:val="0"/>
                  <w:marTop w:val="0"/>
                  <w:marBottom w:val="0"/>
                  <w:divBdr>
                    <w:top w:val="none" w:sz="0" w:space="0" w:color="auto"/>
                    <w:left w:val="none" w:sz="0" w:space="0" w:color="auto"/>
                    <w:bottom w:val="none" w:sz="0" w:space="0" w:color="auto"/>
                    <w:right w:val="none" w:sz="0" w:space="0" w:color="auto"/>
                  </w:divBdr>
                  <w:divsChild>
                    <w:div w:id="1502964694">
                      <w:marLeft w:val="0"/>
                      <w:marRight w:val="0"/>
                      <w:marTop w:val="0"/>
                      <w:marBottom w:val="0"/>
                      <w:divBdr>
                        <w:top w:val="none" w:sz="0" w:space="0" w:color="auto"/>
                        <w:left w:val="none" w:sz="0" w:space="0" w:color="auto"/>
                        <w:bottom w:val="none" w:sz="0" w:space="0" w:color="auto"/>
                        <w:right w:val="none" w:sz="0" w:space="0" w:color="auto"/>
                      </w:divBdr>
                    </w:div>
                  </w:divsChild>
                </w:div>
                <w:div w:id="152333164">
                  <w:marLeft w:val="0"/>
                  <w:marRight w:val="0"/>
                  <w:marTop w:val="0"/>
                  <w:marBottom w:val="0"/>
                  <w:divBdr>
                    <w:top w:val="none" w:sz="0" w:space="0" w:color="auto"/>
                    <w:left w:val="none" w:sz="0" w:space="0" w:color="auto"/>
                    <w:bottom w:val="none" w:sz="0" w:space="0" w:color="auto"/>
                    <w:right w:val="none" w:sz="0" w:space="0" w:color="auto"/>
                  </w:divBdr>
                  <w:divsChild>
                    <w:div w:id="1504203782">
                      <w:marLeft w:val="0"/>
                      <w:marRight w:val="0"/>
                      <w:marTop w:val="0"/>
                      <w:marBottom w:val="0"/>
                      <w:divBdr>
                        <w:top w:val="none" w:sz="0" w:space="0" w:color="auto"/>
                        <w:left w:val="none" w:sz="0" w:space="0" w:color="auto"/>
                        <w:bottom w:val="none" w:sz="0" w:space="0" w:color="auto"/>
                        <w:right w:val="none" w:sz="0" w:space="0" w:color="auto"/>
                      </w:divBdr>
                    </w:div>
                  </w:divsChild>
                </w:div>
                <w:div w:id="282465572">
                  <w:marLeft w:val="0"/>
                  <w:marRight w:val="0"/>
                  <w:marTop w:val="0"/>
                  <w:marBottom w:val="0"/>
                  <w:divBdr>
                    <w:top w:val="none" w:sz="0" w:space="0" w:color="auto"/>
                    <w:left w:val="none" w:sz="0" w:space="0" w:color="auto"/>
                    <w:bottom w:val="none" w:sz="0" w:space="0" w:color="auto"/>
                    <w:right w:val="none" w:sz="0" w:space="0" w:color="auto"/>
                  </w:divBdr>
                  <w:divsChild>
                    <w:div w:id="1238246837">
                      <w:marLeft w:val="0"/>
                      <w:marRight w:val="0"/>
                      <w:marTop w:val="0"/>
                      <w:marBottom w:val="0"/>
                      <w:divBdr>
                        <w:top w:val="none" w:sz="0" w:space="0" w:color="auto"/>
                        <w:left w:val="none" w:sz="0" w:space="0" w:color="auto"/>
                        <w:bottom w:val="none" w:sz="0" w:space="0" w:color="auto"/>
                        <w:right w:val="none" w:sz="0" w:space="0" w:color="auto"/>
                      </w:divBdr>
                    </w:div>
                  </w:divsChild>
                </w:div>
                <w:div w:id="309676024">
                  <w:marLeft w:val="0"/>
                  <w:marRight w:val="0"/>
                  <w:marTop w:val="0"/>
                  <w:marBottom w:val="0"/>
                  <w:divBdr>
                    <w:top w:val="none" w:sz="0" w:space="0" w:color="auto"/>
                    <w:left w:val="none" w:sz="0" w:space="0" w:color="auto"/>
                    <w:bottom w:val="none" w:sz="0" w:space="0" w:color="auto"/>
                    <w:right w:val="none" w:sz="0" w:space="0" w:color="auto"/>
                  </w:divBdr>
                  <w:divsChild>
                    <w:div w:id="516237809">
                      <w:marLeft w:val="0"/>
                      <w:marRight w:val="0"/>
                      <w:marTop w:val="0"/>
                      <w:marBottom w:val="0"/>
                      <w:divBdr>
                        <w:top w:val="none" w:sz="0" w:space="0" w:color="auto"/>
                        <w:left w:val="none" w:sz="0" w:space="0" w:color="auto"/>
                        <w:bottom w:val="none" w:sz="0" w:space="0" w:color="auto"/>
                        <w:right w:val="none" w:sz="0" w:space="0" w:color="auto"/>
                      </w:divBdr>
                    </w:div>
                  </w:divsChild>
                </w:div>
                <w:div w:id="358361522">
                  <w:marLeft w:val="0"/>
                  <w:marRight w:val="0"/>
                  <w:marTop w:val="0"/>
                  <w:marBottom w:val="0"/>
                  <w:divBdr>
                    <w:top w:val="none" w:sz="0" w:space="0" w:color="auto"/>
                    <w:left w:val="none" w:sz="0" w:space="0" w:color="auto"/>
                    <w:bottom w:val="none" w:sz="0" w:space="0" w:color="auto"/>
                    <w:right w:val="none" w:sz="0" w:space="0" w:color="auto"/>
                  </w:divBdr>
                  <w:divsChild>
                    <w:div w:id="2137215499">
                      <w:marLeft w:val="0"/>
                      <w:marRight w:val="0"/>
                      <w:marTop w:val="0"/>
                      <w:marBottom w:val="0"/>
                      <w:divBdr>
                        <w:top w:val="none" w:sz="0" w:space="0" w:color="auto"/>
                        <w:left w:val="none" w:sz="0" w:space="0" w:color="auto"/>
                        <w:bottom w:val="none" w:sz="0" w:space="0" w:color="auto"/>
                        <w:right w:val="none" w:sz="0" w:space="0" w:color="auto"/>
                      </w:divBdr>
                    </w:div>
                  </w:divsChild>
                </w:div>
                <w:div w:id="361437431">
                  <w:marLeft w:val="0"/>
                  <w:marRight w:val="0"/>
                  <w:marTop w:val="0"/>
                  <w:marBottom w:val="0"/>
                  <w:divBdr>
                    <w:top w:val="none" w:sz="0" w:space="0" w:color="auto"/>
                    <w:left w:val="none" w:sz="0" w:space="0" w:color="auto"/>
                    <w:bottom w:val="none" w:sz="0" w:space="0" w:color="auto"/>
                    <w:right w:val="none" w:sz="0" w:space="0" w:color="auto"/>
                  </w:divBdr>
                  <w:divsChild>
                    <w:div w:id="116722426">
                      <w:marLeft w:val="0"/>
                      <w:marRight w:val="0"/>
                      <w:marTop w:val="0"/>
                      <w:marBottom w:val="0"/>
                      <w:divBdr>
                        <w:top w:val="none" w:sz="0" w:space="0" w:color="auto"/>
                        <w:left w:val="none" w:sz="0" w:space="0" w:color="auto"/>
                        <w:bottom w:val="none" w:sz="0" w:space="0" w:color="auto"/>
                        <w:right w:val="none" w:sz="0" w:space="0" w:color="auto"/>
                      </w:divBdr>
                    </w:div>
                  </w:divsChild>
                </w:div>
                <w:div w:id="373503947">
                  <w:marLeft w:val="0"/>
                  <w:marRight w:val="0"/>
                  <w:marTop w:val="0"/>
                  <w:marBottom w:val="0"/>
                  <w:divBdr>
                    <w:top w:val="none" w:sz="0" w:space="0" w:color="auto"/>
                    <w:left w:val="none" w:sz="0" w:space="0" w:color="auto"/>
                    <w:bottom w:val="none" w:sz="0" w:space="0" w:color="auto"/>
                    <w:right w:val="none" w:sz="0" w:space="0" w:color="auto"/>
                  </w:divBdr>
                  <w:divsChild>
                    <w:div w:id="350493698">
                      <w:marLeft w:val="0"/>
                      <w:marRight w:val="0"/>
                      <w:marTop w:val="0"/>
                      <w:marBottom w:val="0"/>
                      <w:divBdr>
                        <w:top w:val="none" w:sz="0" w:space="0" w:color="auto"/>
                        <w:left w:val="none" w:sz="0" w:space="0" w:color="auto"/>
                        <w:bottom w:val="none" w:sz="0" w:space="0" w:color="auto"/>
                        <w:right w:val="none" w:sz="0" w:space="0" w:color="auto"/>
                      </w:divBdr>
                    </w:div>
                  </w:divsChild>
                </w:div>
                <w:div w:id="435901732">
                  <w:marLeft w:val="0"/>
                  <w:marRight w:val="0"/>
                  <w:marTop w:val="0"/>
                  <w:marBottom w:val="0"/>
                  <w:divBdr>
                    <w:top w:val="none" w:sz="0" w:space="0" w:color="auto"/>
                    <w:left w:val="none" w:sz="0" w:space="0" w:color="auto"/>
                    <w:bottom w:val="none" w:sz="0" w:space="0" w:color="auto"/>
                    <w:right w:val="none" w:sz="0" w:space="0" w:color="auto"/>
                  </w:divBdr>
                  <w:divsChild>
                    <w:div w:id="1527862262">
                      <w:marLeft w:val="0"/>
                      <w:marRight w:val="0"/>
                      <w:marTop w:val="0"/>
                      <w:marBottom w:val="0"/>
                      <w:divBdr>
                        <w:top w:val="none" w:sz="0" w:space="0" w:color="auto"/>
                        <w:left w:val="none" w:sz="0" w:space="0" w:color="auto"/>
                        <w:bottom w:val="none" w:sz="0" w:space="0" w:color="auto"/>
                        <w:right w:val="none" w:sz="0" w:space="0" w:color="auto"/>
                      </w:divBdr>
                    </w:div>
                  </w:divsChild>
                </w:div>
                <w:div w:id="446852209">
                  <w:marLeft w:val="0"/>
                  <w:marRight w:val="0"/>
                  <w:marTop w:val="0"/>
                  <w:marBottom w:val="0"/>
                  <w:divBdr>
                    <w:top w:val="none" w:sz="0" w:space="0" w:color="auto"/>
                    <w:left w:val="none" w:sz="0" w:space="0" w:color="auto"/>
                    <w:bottom w:val="none" w:sz="0" w:space="0" w:color="auto"/>
                    <w:right w:val="none" w:sz="0" w:space="0" w:color="auto"/>
                  </w:divBdr>
                  <w:divsChild>
                    <w:div w:id="860170790">
                      <w:marLeft w:val="0"/>
                      <w:marRight w:val="0"/>
                      <w:marTop w:val="0"/>
                      <w:marBottom w:val="0"/>
                      <w:divBdr>
                        <w:top w:val="none" w:sz="0" w:space="0" w:color="auto"/>
                        <w:left w:val="none" w:sz="0" w:space="0" w:color="auto"/>
                        <w:bottom w:val="none" w:sz="0" w:space="0" w:color="auto"/>
                        <w:right w:val="none" w:sz="0" w:space="0" w:color="auto"/>
                      </w:divBdr>
                    </w:div>
                  </w:divsChild>
                </w:div>
                <w:div w:id="466433174">
                  <w:marLeft w:val="0"/>
                  <w:marRight w:val="0"/>
                  <w:marTop w:val="0"/>
                  <w:marBottom w:val="0"/>
                  <w:divBdr>
                    <w:top w:val="none" w:sz="0" w:space="0" w:color="auto"/>
                    <w:left w:val="none" w:sz="0" w:space="0" w:color="auto"/>
                    <w:bottom w:val="none" w:sz="0" w:space="0" w:color="auto"/>
                    <w:right w:val="none" w:sz="0" w:space="0" w:color="auto"/>
                  </w:divBdr>
                  <w:divsChild>
                    <w:div w:id="1719813502">
                      <w:marLeft w:val="0"/>
                      <w:marRight w:val="0"/>
                      <w:marTop w:val="0"/>
                      <w:marBottom w:val="0"/>
                      <w:divBdr>
                        <w:top w:val="none" w:sz="0" w:space="0" w:color="auto"/>
                        <w:left w:val="none" w:sz="0" w:space="0" w:color="auto"/>
                        <w:bottom w:val="none" w:sz="0" w:space="0" w:color="auto"/>
                        <w:right w:val="none" w:sz="0" w:space="0" w:color="auto"/>
                      </w:divBdr>
                    </w:div>
                  </w:divsChild>
                </w:div>
                <w:div w:id="560021789">
                  <w:marLeft w:val="0"/>
                  <w:marRight w:val="0"/>
                  <w:marTop w:val="0"/>
                  <w:marBottom w:val="0"/>
                  <w:divBdr>
                    <w:top w:val="none" w:sz="0" w:space="0" w:color="auto"/>
                    <w:left w:val="none" w:sz="0" w:space="0" w:color="auto"/>
                    <w:bottom w:val="none" w:sz="0" w:space="0" w:color="auto"/>
                    <w:right w:val="none" w:sz="0" w:space="0" w:color="auto"/>
                  </w:divBdr>
                  <w:divsChild>
                    <w:div w:id="1778793150">
                      <w:marLeft w:val="0"/>
                      <w:marRight w:val="0"/>
                      <w:marTop w:val="0"/>
                      <w:marBottom w:val="0"/>
                      <w:divBdr>
                        <w:top w:val="none" w:sz="0" w:space="0" w:color="auto"/>
                        <w:left w:val="none" w:sz="0" w:space="0" w:color="auto"/>
                        <w:bottom w:val="none" w:sz="0" w:space="0" w:color="auto"/>
                        <w:right w:val="none" w:sz="0" w:space="0" w:color="auto"/>
                      </w:divBdr>
                    </w:div>
                  </w:divsChild>
                </w:div>
                <w:div w:id="591206854">
                  <w:marLeft w:val="0"/>
                  <w:marRight w:val="0"/>
                  <w:marTop w:val="0"/>
                  <w:marBottom w:val="0"/>
                  <w:divBdr>
                    <w:top w:val="none" w:sz="0" w:space="0" w:color="auto"/>
                    <w:left w:val="none" w:sz="0" w:space="0" w:color="auto"/>
                    <w:bottom w:val="none" w:sz="0" w:space="0" w:color="auto"/>
                    <w:right w:val="none" w:sz="0" w:space="0" w:color="auto"/>
                  </w:divBdr>
                  <w:divsChild>
                    <w:div w:id="820468837">
                      <w:marLeft w:val="0"/>
                      <w:marRight w:val="0"/>
                      <w:marTop w:val="0"/>
                      <w:marBottom w:val="0"/>
                      <w:divBdr>
                        <w:top w:val="none" w:sz="0" w:space="0" w:color="auto"/>
                        <w:left w:val="none" w:sz="0" w:space="0" w:color="auto"/>
                        <w:bottom w:val="none" w:sz="0" w:space="0" w:color="auto"/>
                        <w:right w:val="none" w:sz="0" w:space="0" w:color="auto"/>
                      </w:divBdr>
                    </w:div>
                  </w:divsChild>
                </w:div>
                <w:div w:id="697509448">
                  <w:marLeft w:val="0"/>
                  <w:marRight w:val="0"/>
                  <w:marTop w:val="0"/>
                  <w:marBottom w:val="0"/>
                  <w:divBdr>
                    <w:top w:val="none" w:sz="0" w:space="0" w:color="auto"/>
                    <w:left w:val="none" w:sz="0" w:space="0" w:color="auto"/>
                    <w:bottom w:val="none" w:sz="0" w:space="0" w:color="auto"/>
                    <w:right w:val="none" w:sz="0" w:space="0" w:color="auto"/>
                  </w:divBdr>
                  <w:divsChild>
                    <w:div w:id="328098650">
                      <w:marLeft w:val="0"/>
                      <w:marRight w:val="0"/>
                      <w:marTop w:val="0"/>
                      <w:marBottom w:val="0"/>
                      <w:divBdr>
                        <w:top w:val="none" w:sz="0" w:space="0" w:color="auto"/>
                        <w:left w:val="none" w:sz="0" w:space="0" w:color="auto"/>
                        <w:bottom w:val="none" w:sz="0" w:space="0" w:color="auto"/>
                        <w:right w:val="none" w:sz="0" w:space="0" w:color="auto"/>
                      </w:divBdr>
                    </w:div>
                  </w:divsChild>
                </w:div>
                <w:div w:id="872697122">
                  <w:marLeft w:val="0"/>
                  <w:marRight w:val="0"/>
                  <w:marTop w:val="0"/>
                  <w:marBottom w:val="0"/>
                  <w:divBdr>
                    <w:top w:val="none" w:sz="0" w:space="0" w:color="auto"/>
                    <w:left w:val="none" w:sz="0" w:space="0" w:color="auto"/>
                    <w:bottom w:val="none" w:sz="0" w:space="0" w:color="auto"/>
                    <w:right w:val="none" w:sz="0" w:space="0" w:color="auto"/>
                  </w:divBdr>
                  <w:divsChild>
                    <w:div w:id="415707754">
                      <w:marLeft w:val="0"/>
                      <w:marRight w:val="0"/>
                      <w:marTop w:val="0"/>
                      <w:marBottom w:val="0"/>
                      <w:divBdr>
                        <w:top w:val="none" w:sz="0" w:space="0" w:color="auto"/>
                        <w:left w:val="none" w:sz="0" w:space="0" w:color="auto"/>
                        <w:bottom w:val="none" w:sz="0" w:space="0" w:color="auto"/>
                        <w:right w:val="none" w:sz="0" w:space="0" w:color="auto"/>
                      </w:divBdr>
                    </w:div>
                  </w:divsChild>
                </w:div>
                <w:div w:id="913784556">
                  <w:marLeft w:val="0"/>
                  <w:marRight w:val="0"/>
                  <w:marTop w:val="0"/>
                  <w:marBottom w:val="0"/>
                  <w:divBdr>
                    <w:top w:val="none" w:sz="0" w:space="0" w:color="auto"/>
                    <w:left w:val="none" w:sz="0" w:space="0" w:color="auto"/>
                    <w:bottom w:val="none" w:sz="0" w:space="0" w:color="auto"/>
                    <w:right w:val="none" w:sz="0" w:space="0" w:color="auto"/>
                  </w:divBdr>
                  <w:divsChild>
                    <w:div w:id="324361304">
                      <w:marLeft w:val="0"/>
                      <w:marRight w:val="0"/>
                      <w:marTop w:val="0"/>
                      <w:marBottom w:val="0"/>
                      <w:divBdr>
                        <w:top w:val="none" w:sz="0" w:space="0" w:color="auto"/>
                        <w:left w:val="none" w:sz="0" w:space="0" w:color="auto"/>
                        <w:bottom w:val="none" w:sz="0" w:space="0" w:color="auto"/>
                        <w:right w:val="none" w:sz="0" w:space="0" w:color="auto"/>
                      </w:divBdr>
                    </w:div>
                  </w:divsChild>
                </w:div>
                <w:div w:id="1008409089">
                  <w:marLeft w:val="0"/>
                  <w:marRight w:val="0"/>
                  <w:marTop w:val="0"/>
                  <w:marBottom w:val="0"/>
                  <w:divBdr>
                    <w:top w:val="none" w:sz="0" w:space="0" w:color="auto"/>
                    <w:left w:val="none" w:sz="0" w:space="0" w:color="auto"/>
                    <w:bottom w:val="none" w:sz="0" w:space="0" w:color="auto"/>
                    <w:right w:val="none" w:sz="0" w:space="0" w:color="auto"/>
                  </w:divBdr>
                  <w:divsChild>
                    <w:div w:id="854928218">
                      <w:marLeft w:val="0"/>
                      <w:marRight w:val="0"/>
                      <w:marTop w:val="0"/>
                      <w:marBottom w:val="0"/>
                      <w:divBdr>
                        <w:top w:val="none" w:sz="0" w:space="0" w:color="auto"/>
                        <w:left w:val="none" w:sz="0" w:space="0" w:color="auto"/>
                        <w:bottom w:val="none" w:sz="0" w:space="0" w:color="auto"/>
                        <w:right w:val="none" w:sz="0" w:space="0" w:color="auto"/>
                      </w:divBdr>
                    </w:div>
                  </w:divsChild>
                </w:div>
                <w:div w:id="1091659149">
                  <w:marLeft w:val="0"/>
                  <w:marRight w:val="0"/>
                  <w:marTop w:val="0"/>
                  <w:marBottom w:val="0"/>
                  <w:divBdr>
                    <w:top w:val="none" w:sz="0" w:space="0" w:color="auto"/>
                    <w:left w:val="none" w:sz="0" w:space="0" w:color="auto"/>
                    <w:bottom w:val="none" w:sz="0" w:space="0" w:color="auto"/>
                    <w:right w:val="none" w:sz="0" w:space="0" w:color="auto"/>
                  </w:divBdr>
                  <w:divsChild>
                    <w:div w:id="1504082908">
                      <w:marLeft w:val="0"/>
                      <w:marRight w:val="0"/>
                      <w:marTop w:val="0"/>
                      <w:marBottom w:val="0"/>
                      <w:divBdr>
                        <w:top w:val="none" w:sz="0" w:space="0" w:color="auto"/>
                        <w:left w:val="none" w:sz="0" w:space="0" w:color="auto"/>
                        <w:bottom w:val="none" w:sz="0" w:space="0" w:color="auto"/>
                        <w:right w:val="none" w:sz="0" w:space="0" w:color="auto"/>
                      </w:divBdr>
                    </w:div>
                  </w:divsChild>
                </w:div>
                <w:div w:id="1092630348">
                  <w:marLeft w:val="0"/>
                  <w:marRight w:val="0"/>
                  <w:marTop w:val="0"/>
                  <w:marBottom w:val="0"/>
                  <w:divBdr>
                    <w:top w:val="none" w:sz="0" w:space="0" w:color="auto"/>
                    <w:left w:val="none" w:sz="0" w:space="0" w:color="auto"/>
                    <w:bottom w:val="none" w:sz="0" w:space="0" w:color="auto"/>
                    <w:right w:val="none" w:sz="0" w:space="0" w:color="auto"/>
                  </w:divBdr>
                  <w:divsChild>
                    <w:div w:id="756171208">
                      <w:marLeft w:val="0"/>
                      <w:marRight w:val="0"/>
                      <w:marTop w:val="0"/>
                      <w:marBottom w:val="0"/>
                      <w:divBdr>
                        <w:top w:val="none" w:sz="0" w:space="0" w:color="auto"/>
                        <w:left w:val="none" w:sz="0" w:space="0" w:color="auto"/>
                        <w:bottom w:val="none" w:sz="0" w:space="0" w:color="auto"/>
                        <w:right w:val="none" w:sz="0" w:space="0" w:color="auto"/>
                      </w:divBdr>
                    </w:div>
                  </w:divsChild>
                </w:div>
                <w:div w:id="1096635883">
                  <w:marLeft w:val="0"/>
                  <w:marRight w:val="0"/>
                  <w:marTop w:val="0"/>
                  <w:marBottom w:val="0"/>
                  <w:divBdr>
                    <w:top w:val="none" w:sz="0" w:space="0" w:color="auto"/>
                    <w:left w:val="none" w:sz="0" w:space="0" w:color="auto"/>
                    <w:bottom w:val="none" w:sz="0" w:space="0" w:color="auto"/>
                    <w:right w:val="none" w:sz="0" w:space="0" w:color="auto"/>
                  </w:divBdr>
                  <w:divsChild>
                    <w:div w:id="312105094">
                      <w:marLeft w:val="0"/>
                      <w:marRight w:val="0"/>
                      <w:marTop w:val="0"/>
                      <w:marBottom w:val="0"/>
                      <w:divBdr>
                        <w:top w:val="none" w:sz="0" w:space="0" w:color="auto"/>
                        <w:left w:val="none" w:sz="0" w:space="0" w:color="auto"/>
                        <w:bottom w:val="none" w:sz="0" w:space="0" w:color="auto"/>
                        <w:right w:val="none" w:sz="0" w:space="0" w:color="auto"/>
                      </w:divBdr>
                    </w:div>
                  </w:divsChild>
                </w:div>
                <w:div w:id="1097561660">
                  <w:marLeft w:val="0"/>
                  <w:marRight w:val="0"/>
                  <w:marTop w:val="0"/>
                  <w:marBottom w:val="0"/>
                  <w:divBdr>
                    <w:top w:val="none" w:sz="0" w:space="0" w:color="auto"/>
                    <w:left w:val="none" w:sz="0" w:space="0" w:color="auto"/>
                    <w:bottom w:val="none" w:sz="0" w:space="0" w:color="auto"/>
                    <w:right w:val="none" w:sz="0" w:space="0" w:color="auto"/>
                  </w:divBdr>
                  <w:divsChild>
                    <w:div w:id="362487365">
                      <w:marLeft w:val="0"/>
                      <w:marRight w:val="0"/>
                      <w:marTop w:val="0"/>
                      <w:marBottom w:val="0"/>
                      <w:divBdr>
                        <w:top w:val="none" w:sz="0" w:space="0" w:color="auto"/>
                        <w:left w:val="none" w:sz="0" w:space="0" w:color="auto"/>
                        <w:bottom w:val="none" w:sz="0" w:space="0" w:color="auto"/>
                        <w:right w:val="none" w:sz="0" w:space="0" w:color="auto"/>
                      </w:divBdr>
                    </w:div>
                  </w:divsChild>
                </w:div>
                <w:div w:id="1100954598">
                  <w:marLeft w:val="0"/>
                  <w:marRight w:val="0"/>
                  <w:marTop w:val="0"/>
                  <w:marBottom w:val="0"/>
                  <w:divBdr>
                    <w:top w:val="none" w:sz="0" w:space="0" w:color="auto"/>
                    <w:left w:val="none" w:sz="0" w:space="0" w:color="auto"/>
                    <w:bottom w:val="none" w:sz="0" w:space="0" w:color="auto"/>
                    <w:right w:val="none" w:sz="0" w:space="0" w:color="auto"/>
                  </w:divBdr>
                  <w:divsChild>
                    <w:div w:id="2010866456">
                      <w:marLeft w:val="0"/>
                      <w:marRight w:val="0"/>
                      <w:marTop w:val="0"/>
                      <w:marBottom w:val="0"/>
                      <w:divBdr>
                        <w:top w:val="none" w:sz="0" w:space="0" w:color="auto"/>
                        <w:left w:val="none" w:sz="0" w:space="0" w:color="auto"/>
                        <w:bottom w:val="none" w:sz="0" w:space="0" w:color="auto"/>
                        <w:right w:val="none" w:sz="0" w:space="0" w:color="auto"/>
                      </w:divBdr>
                    </w:div>
                  </w:divsChild>
                </w:div>
                <w:div w:id="1151562352">
                  <w:marLeft w:val="0"/>
                  <w:marRight w:val="0"/>
                  <w:marTop w:val="0"/>
                  <w:marBottom w:val="0"/>
                  <w:divBdr>
                    <w:top w:val="none" w:sz="0" w:space="0" w:color="auto"/>
                    <w:left w:val="none" w:sz="0" w:space="0" w:color="auto"/>
                    <w:bottom w:val="none" w:sz="0" w:space="0" w:color="auto"/>
                    <w:right w:val="none" w:sz="0" w:space="0" w:color="auto"/>
                  </w:divBdr>
                  <w:divsChild>
                    <w:div w:id="1409840184">
                      <w:marLeft w:val="0"/>
                      <w:marRight w:val="0"/>
                      <w:marTop w:val="0"/>
                      <w:marBottom w:val="0"/>
                      <w:divBdr>
                        <w:top w:val="none" w:sz="0" w:space="0" w:color="auto"/>
                        <w:left w:val="none" w:sz="0" w:space="0" w:color="auto"/>
                        <w:bottom w:val="none" w:sz="0" w:space="0" w:color="auto"/>
                        <w:right w:val="none" w:sz="0" w:space="0" w:color="auto"/>
                      </w:divBdr>
                    </w:div>
                  </w:divsChild>
                </w:div>
                <w:div w:id="1231426816">
                  <w:marLeft w:val="0"/>
                  <w:marRight w:val="0"/>
                  <w:marTop w:val="0"/>
                  <w:marBottom w:val="0"/>
                  <w:divBdr>
                    <w:top w:val="none" w:sz="0" w:space="0" w:color="auto"/>
                    <w:left w:val="none" w:sz="0" w:space="0" w:color="auto"/>
                    <w:bottom w:val="none" w:sz="0" w:space="0" w:color="auto"/>
                    <w:right w:val="none" w:sz="0" w:space="0" w:color="auto"/>
                  </w:divBdr>
                  <w:divsChild>
                    <w:div w:id="1043293216">
                      <w:marLeft w:val="0"/>
                      <w:marRight w:val="0"/>
                      <w:marTop w:val="0"/>
                      <w:marBottom w:val="0"/>
                      <w:divBdr>
                        <w:top w:val="none" w:sz="0" w:space="0" w:color="auto"/>
                        <w:left w:val="none" w:sz="0" w:space="0" w:color="auto"/>
                        <w:bottom w:val="none" w:sz="0" w:space="0" w:color="auto"/>
                        <w:right w:val="none" w:sz="0" w:space="0" w:color="auto"/>
                      </w:divBdr>
                    </w:div>
                  </w:divsChild>
                </w:div>
                <w:div w:id="1260716785">
                  <w:marLeft w:val="0"/>
                  <w:marRight w:val="0"/>
                  <w:marTop w:val="0"/>
                  <w:marBottom w:val="0"/>
                  <w:divBdr>
                    <w:top w:val="none" w:sz="0" w:space="0" w:color="auto"/>
                    <w:left w:val="none" w:sz="0" w:space="0" w:color="auto"/>
                    <w:bottom w:val="none" w:sz="0" w:space="0" w:color="auto"/>
                    <w:right w:val="none" w:sz="0" w:space="0" w:color="auto"/>
                  </w:divBdr>
                  <w:divsChild>
                    <w:div w:id="1652561830">
                      <w:marLeft w:val="0"/>
                      <w:marRight w:val="0"/>
                      <w:marTop w:val="0"/>
                      <w:marBottom w:val="0"/>
                      <w:divBdr>
                        <w:top w:val="none" w:sz="0" w:space="0" w:color="auto"/>
                        <w:left w:val="none" w:sz="0" w:space="0" w:color="auto"/>
                        <w:bottom w:val="none" w:sz="0" w:space="0" w:color="auto"/>
                        <w:right w:val="none" w:sz="0" w:space="0" w:color="auto"/>
                      </w:divBdr>
                    </w:div>
                  </w:divsChild>
                </w:div>
                <w:div w:id="1272593131">
                  <w:marLeft w:val="0"/>
                  <w:marRight w:val="0"/>
                  <w:marTop w:val="0"/>
                  <w:marBottom w:val="0"/>
                  <w:divBdr>
                    <w:top w:val="none" w:sz="0" w:space="0" w:color="auto"/>
                    <w:left w:val="none" w:sz="0" w:space="0" w:color="auto"/>
                    <w:bottom w:val="none" w:sz="0" w:space="0" w:color="auto"/>
                    <w:right w:val="none" w:sz="0" w:space="0" w:color="auto"/>
                  </w:divBdr>
                  <w:divsChild>
                    <w:div w:id="269435123">
                      <w:marLeft w:val="0"/>
                      <w:marRight w:val="0"/>
                      <w:marTop w:val="0"/>
                      <w:marBottom w:val="0"/>
                      <w:divBdr>
                        <w:top w:val="none" w:sz="0" w:space="0" w:color="auto"/>
                        <w:left w:val="none" w:sz="0" w:space="0" w:color="auto"/>
                        <w:bottom w:val="none" w:sz="0" w:space="0" w:color="auto"/>
                        <w:right w:val="none" w:sz="0" w:space="0" w:color="auto"/>
                      </w:divBdr>
                    </w:div>
                  </w:divsChild>
                </w:div>
                <w:div w:id="1396393696">
                  <w:marLeft w:val="0"/>
                  <w:marRight w:val="0"/>
                  <w:marTop w:val="0"/>
                  <w:marBottom w:val="0"/>
                  <w:divBdr>
                    <w:top w:val="none" w:sz="0" w:space="0" w:color="auto"/>
                    <w:left w:val="none" w:sz="0" w:space="0" w:color="auto"/>
                    <w:bottom w:val="none" w:sz="0" w:space="0" w:color="auto"/>
                    <w:right w:val="none" w:sz="0" w:space="0" w:color="auto"/>
                  </w:divBdr>
                  <w:divsChild>
                    <w:div w:id="1868786948">
                      <w:marLeft w:val="0"/>
                      <w:marRight w:val="0"/>
                      <w:marTop w:val="0"/>
                      <w:marBottom w:val="0"/>
                      <w:divBdr>
                        <w:top w:val="none" w:sz="0" w:space="0" w:color="auto"/>
                        <w:left w:val="none" w:sz="0" w:space="0" w:color="auto"/>
                        <w:bottom w:val="none" w:sz="0" w:space="0" w:color="auto"/>
                        <w:right w:val="none" w:sz="0" w:space="0" w:color="auto"/>
                      </w:divBdr>
                    </w:div>
                  </w:divsChild>
                </w:div>
                <w:div w:id="1406948209">
                  <w:marLeft w:val="0"/>
                  <w:marRight w:val="0"/>
                  <w:marTop w:val="0"/>
                  <w:marBottom w:val="0"/>
                  <w:divBdr>
                    <w:top w:val="none" w:sz="0" w:space="0" w:color="auto"/>
                    <w:left w:val="none" w:sz="0" w:space="0" w:color="auto"/>
                    <w:bottom w:val="none" w:sz="0" w:space="0" w:color="auto"/>
                    <w:right w:val="none" w:sz="0" w:space="0" w:color="auto"/>
                  </w:divBdr>
                  <w:divsChild>
                    <w:div w:id="611860860">
                      <w:marLeft w:val="0"/>
                      <w:marRight w:val="0"/>
                      <w:marTop w:val="0"/>
                      <w:marBottom w:val="0"/>
                      <w:divBdr>
                        <w:top w:val="none" w:sz="0" w:space="0" w:color="auto"/>
                        <w:left w:val="none" w:sz="0" w:space="0" w:color="auto"/>
                        <w:bottom w:val="none" w:sz="0" w:space="0" w:color="auto"/>
                        <w:right w:val="none" w:sz="0" w:space="0" w:color="auto"/>
                      </w:divBdr>
                    </w:div>
                  </w:divsChild>
                </w:div>
                <w:div w:id="1453212748">
                  <w:marLeft w:val="0"/>
                  <w:marRight w:val="0"/>
                  <w:marTop w:val="0"/>
                  <w:marBottom w:val="0"/>
                  <w:divBdr>
                    <w:top w:val="none" w:sz="0" w:space="0" w:color="auto"/>
                    <w:left w:val="none" w:sz="0" w:space="0" w:color="auto"/>
                    <w:bottom w:val="none" w:sz="0" w:space="0" w:color="auto"/>
                    <w:right w:val="none" w:sz="0" w:space="0" w:color="auto"/>
                  </w:divBdr>
                  <w:divsChild>
                    <w:div w:id="2022900451">
                      <w:marLeft w:val="0"/>
                      <w:marRight w:val="0"/>
                      <w:marTop w:val="0"/>
                      <w:marBottom w:val="0"/>
                      <w:divBdr>
                        <w:top w:val="none" w:sz="0" w:space="0" w:color="auto"/>
                        <w:left w:val="none" w:sz="0" w:space="0" w:color="auto"/>
                        <w:bottom w:val="none" w:sz="0" w:space="0" w:color="auto"/>
                        <w:right w:val="none" w:sz="0" w:space="0" w:color="auto"/>
                      </w:divBdr>
                    </w:div>
                  </w:divsChild>
                </w:div>
                <w:div w:id="1484469155">
                  <w:marLeft w:val="0"/>
                  <w:marRight w:val="0"/>
                  <w:marTop w:val="0"/>
                  <w:marBottom w:val="0"/>
                  <w:divBdr>
                    <w:top w:val="none" w:sz="0" w:space="0" w:color="auto"/>
                    <w:left w:val="none" w:sz="0" w:space="0" w:color="auto"/>
                    <w:bottom w:val="none" w:sz="0" w:space="0" w:color="auto"/>
                    <w:right w:val="none" w:sz="0" w:space="0" w:color="auto"/>
                  </w:divBdr>
                  <w:divsChild>
                    <w:div w:id="392197704">
                      <w:marLeft w:val="0"/>
                      <w:marRight w:val="0"/>
                      <w:marTop w:val="0"/>
                      <w:marBottom w:val="0"/>
                      <w:divBdr>
                        <w:top w:val="none" w:sz="0" w:space="0" w:color="auto"/>
                        <w:left w:val="none" w:sz="0" w:space="0" w:color="auto"/>
                        <w:bottom w:val="none" w:sz="0" w:space="0" w:color="auto"/>
                        <w:right w:val="none" w:sz="0" w:space="0" w:color="auto"/>
                      </w:divBdr>
                    </w:div>
                  </w:divsChild>
                </w:div>
                <w:div w:id="1573739175">
                  <w:marLeft w:val="0"/>
                  <w:marRight w:val="0"/>
                  <w:marTop w:val="0"/>
                  <w:marBottom w:val="0"/>
                  <w:divBdr>
                    <w:top w:val="none" w:sz="0" w:space="0" w:color="auto"/>
                    <w:left w:val="none" w:sz="0" w:space="0" w:color="auto"/>
                    <w:bottom w:val="none" w:sz="0" w:space="0" w:color="auto"/>
                    <w:right w:val="none" w:sz="0" w:space="0" w:color="auto"/>
                  </w:divBdr>
                  <w:divsChild>
                    <w:div w:id="483595001">
                      <w:marLeft w:val="0"/>
                      <w:marRight w:val="0"/>
                      <w:marTop w:val="0"/>
                      <w:marBottom w:val="0"/>
                      <w:divBdr>
                        <w:top w:val="none" w:sz="0" w:space="0" w:color="auto"/>
                        <w:left w:val="none" w:sz="0" w:space="0" w:color="auto"/>
                        <w:bottom w:val="none" w:sz="0" w:space="0" w:color="auto"/>
                        <w:right w:val="none" w:sz="0" w:space="0" w:color="auto"/>
                      </w:divBdr>
                    </w:div>
                  </w:divsChild>
                </w:div>
                <w:div w:id="1598367522">
                  <w:marLeft w:val="0"/>
                  <w:marRight w:val="0"/>
                  <w:marTop w:val="0"/>
                  <w:marBottom w:val="0"/>
                  <w:divBdr>
                    <w:top w:val="none" w:sz="0" w:space="0" w:color="auto"/>
                    <w:left w:val="none" w:sz="0" w:space="0" w:color="auto"/>
                    <w:bottom w:val="none" w:sz="0" w:space="0" w:color="auto"/>
                    <w:right w:val="none" w:sz="0" w:space="0" w:color="auto"/>
                  </w:divBdr>
                  <w:divsChild>
                    <w:div w:id="10836627">
                      <w:marLeft w:val="0"/>
                      <w:marRight w:val="0"/>
                      <w:marTop w:val="0"/>
                      <w:marBottom w:val="0"/>
                      <w:divBdr>
                        <w:top w:val="none" w:sz="0" w:space="0" w:color="auto"/>
                        <w:left w:val="none" w:sz="0" w:space="0" w:color="auto"/>
                        <w:bottom w:val="none" w:sz="0" w:space="0" w:color="auto"/>
                        <w:right w:val="none" w:sz="0" w:space="0" w:color="auto"/>
                      </w:divBdr>
                    </w:div>
                  </w:divsChild>
                </w:div>
                <w:div w:id="1668434573">
                  <w:marLeft w:val="0"/>
                  <w:marRight w:val="0"/>
                  <w:marTop w:val="0"/>
                  <w:marBottom w:val="0"/>
                  <w:divBdr>
                    <w:top w:val="none" w:sz="0" w:space="0" w:color="auto"/>
                    <w:left w:val="none" w:sz="0" w:space="0" w:color="auto"/>
                    <w:bottom w:val="none" w:sz="0" w:space="0" w:color="auto"/>
                    <w:right w:val="none" w:sz="0" w:space="0" w:color="auto"/>
                  </w:divBdr>
                  <w:divsChild>
                    <w:div w:id="1774284443">
                      <w:marLeft w:val="0"/>
                      <w:marRight w:val="0"/>
                      <w:marTop w:val="0"/>
                      <w:marBottom w:val="0"/>
                      <w:divBdr>
                        <w:top w:val="none" w:sz="0" w:space="0" w:color="auto"/>
                        <w:left w:val="none" w:sz="0" w:space="0" w:color="auto"/>
                        <w:bottom w:val="none" w:sz="0" w:space="0" w:color="auto"/>
                        <w:right w:val="none" w:sz="0" w:space="0" w:color="auto"/>
                      </w:divBdr>
                    </w:div>
                  </w:divsChild>
                </w:div>
                <w:div w:id="1793092449">
                  <w:marLeft w:val="0"/>
                  <w:marRight w:val="0"/>
                  <w:marTop w:val="0"/>
                  <w:marBottom w:val="0"/>
                  <w:divBdr>
                    <w:top w:val="none" w:sz="0" w:space="0" w:color="auto"/>
                    <w:left w:val="none" w:sz="0" w:space="0" w:color="auto"/>
                    <w:bottom w:val="none" w:sz="0" w:space="0" w:color="auto"/>
                    <w:right w:val="none" w:sz="0" w:space="0" w:color="auto"/>
                  </w:divBdr>
                  <w:divsChild>
                    <w:div w:id="335495215">
                      <w:marLeft w:val="0"/>
                      <w:marRight w:val="0"/>
                      <w:marTop w:val="0"/>
                      <w:marBottom w:val="0"/>
                      <w:divBdr>
                        <w:top w:val="none" w:sz="0" w:space="0" w:color="auto"/>
                        <w:left w:val="none" w:sz="0" w:space="0" w:color="auto"/>
                        <w:bottom w:val="none" w:sz="0" w:space="0" w:color="auto"/>
                        <w:right w:val="none" w:sz="0" w:space="0" w:color="auto"/>
                      </w:divBdr>
                    </w:div>
                  </w:divsChild>
                </w:div>
                <w:div w:id="1845044654">
                  <w:marLeft w:val="0"/>
                  <w:marRight w:val="0"/>
                  <w:marTop w:val="0"/>
                  <w:marBottom w:val="0"/>
                  <w:divBdr>
                    <w:top w:val="none" w:sz="0" w:space="0" w:color="auto"/>
                    <w:left w:val="none" w:sz="0" w:space="0" w:color="auto"/>
                    <w:bottom w:val="none" w:sz="0" w:space="0" w:color="auto"/>
                    <w:right w:val="none" w:sz="0" w:space="0" w:color="auto"/>
                  </w:divBdr>
                  <w:divsChild>
                    <w:div w:id="1141506174">
                      <w:marLeft w:val="0"/>
                      <w:marRight w:val="0"/>
                      <w:marTop w:val="0"/>
                      <w:marBottom w:val="0"/>
                      <w:divBdr>
                        <w:top w:val="none" w:sz="0" w:space="0" w:color="auto"/>
                        <w:left w:val="none" w:sz="0" w:space="0" w:color="auto"/>
                        <w:bottom w:val="none" w:sz="0" w:space="0" w:color="auto"/>
                        <w:right w:val="none" w:sz="0" w:space="0" w:color="auto"/>
                      </w:divBdr>
                    </w:div>
                  </w:divsChild>
                </w:div>
                <w:div w:id="1877231133">
                  <w:marLeft w:val="0"/>
                  <w:marRight w:val="0"/>
                  <w:marTop w:val="0"/>
                  <w:marBottom w:val="0"/>
                  <w:divBdr>
                    <w:top w:val="none" w:sz="0" w:space="0" w:color="auto"/>
                    <w:left w:val="none" w:sz="0" w:space="0" w:color="auto"/>
                    <w:bottom w:val="none" w:sz="0" w:space="0" w:color="auto"/>
                    <w:right w:val="none" w:sz="0" w:space="0" w:color="auto"/>
                  </w:divBdr>
                  <w:divsChild>
                    <w:div w:id="1678146525">
                      <w:marLeft w:val="0"/>
                      <w:marRight w:val="0"/>
                      <w:marTop w:val="0"/>
                      <w:marBottom w:val="0"/>
                      <w:divBdr>
                        <w:top w:val="none" w:sz="0" w:space="0" w:color="auto"/>
                        <w:left w:val="none" w:sz="0" w:space="0" w:color="auto"/>
                        <w:bottom w:val="none" w:sz="0" w:space="0" w:color="auto"/>
                        <w:right w:val="none" w:sz="0" w:space="0" w:color="auto"/>
                      </w:divBdr>
                    </w:div>
                  </w:divsChild>
                </w:div>
                <w:div w:id="2042319189">
                  <w:marLeft w:val="0"/>
                  <w:marRight w:val="0"/>
                  <w:marTop w:val="0"/>
                  <w:marBottom w:val="0"/>
                  <w:divBdr>
                    <w:top w:val="none" w:sz="0" w:space="0" w:color="auto"/>
                    <w:left w:val="none" w:sz="0" w:space="0" w:color="auto"/>
                    <w:bottom w:val="none" w:sz="0" w:space="0" w:color="auto"/>
                    <w:right w:val="none" w:sz="0" w:space="0" w:color="auto"/>
                  </w:divBdr>
                  <w:divsChild>
                    <w:div w:id="77752607">
                      <w:marLeft w:val="0"/>
                      <w:marRight w:val="0"/>
                      <w:marTop w:val="0"/>
                      <w:marBottom w:val="0"/>
                      <w:divBdr>
                        <w:top w:val="none" w:sz="0" w:space="0" w:color="auto"/>
                        <w:left w:val="none" w:sz="0" w:space="0" w:color="auto"/>
                        <w:bottom w:val="none" w:sz="0" w:space="0" w:color="auto"/>
                        <w:right w:val="none" w:sz="0" w:space="0" w:color="auto"/>
                      </w:divBdr>
                    </w:div>
                  </w:divsChild>
                </w:div>
                <w:div w:id="2059551501">
                  <w:marLeft w:val="0"/>
                  <w:marRight w:val="0"/>
                  <w:marTop w:val="0"/>
                  <w:marBottom w:val="0"/>
                  <w:divBdr>
                    <w:top w:val="none" w:sz="0" w:space="0" w:color="auto"/>
                    <w:left w:val="none" w:sz="0" w:space="0" w:color="auto"/>
                    <w:bottom w:val="none" w:sz="0" w:space="0" w:color="auto"/>
                    <w:right w:val="none" w:sz="0" w:space="0" w:color="auto"/>
                  </w:divBdr>
                  <w:divsChild>
                    <w:div w:id="1831293184">
                      <w:marLeft w:val="0"/>
                      <w:marRight w:val="0"/>
                      <w:marTop w:val="0"/>
                      <w:marBottom w:val="0"/>
                      <w:divBdr>
                        <w:top w:val="none" w:sz="0" w:space="0" w:color="auto"/>
                        <w:left w:val="none" w:sz="0" w:space="0" w:color="auto"/>
                        <w:bottom w:val="none" w:sz="0" w:space="0" w:color="auto"/>
                        <w:right w:val="none" w:sz="0" w:space="0" w:color="auto"/>
                      </w:divBdr>
                    </w:div>
                  </w:divsChild>
                </w:div>
                <w:div w:id="2114279537">
                  <w:marLeft w:val="0"/>
                  <w:marRight w:val="0"/>
                  <w:marTop w:val="0"/>
                  <w:marBottom w:val="0"/>
                  <w:divBdr>
                    <w:top w:val="none" w:sz="0" w:space="0" w:color="auto"/>
                    <w:left w:val="none" w:sz="0" w:space="0" w:color="auto"/>
                    <w:bottom w:val="none" w:sz="0" w:space="0" w:color="auto"/>
                    <w:right w:val="none" w:sz="0" w:space="0" w:color="auto"/>
                  </w:divBdr>
                  <w:divsChild>
                    <w:div w:id="1999840365">
                      <w:marLeft w:val="0"/>
                      <w:marRight w:val="0"/>
                      <w:marTop w:val="0"/>
                      <w:marBottom w:val="0"/>
                      <w:divBdr>
                        <w:top w:val="none" w:sz="0" w:space="0" w:color="auto"/>
                        <w:left w:val="none" w:sz="0" w:space="0" w:color="auto"/>
                        <w:bottom w:val="none" w:sz="0" w:space="0" w:color="auto"/>
                        <w:right w:val="none" w:sz="0" w:space="0" w:color="auto"/>
                      </w:divBdr>
                    </w:div>
                  </w:divsChild>
                </w:div>
                <w:div w:id="2137872334">
                  <w:marLeft w:val="0"/>
                  <w:marRight w:val="0"/>
                  <w:marTop w:val="0"/>
                  <w:marBottom w:val="0"/>
                  <w:divBdr>
                    <w:top w:val="none" w:sz="0" w:space="0" w:color="auto"/>
                    <w:left w:val="none" w:sz="0" w:space="0" w:color="auto"/>
                    <w:bottom w:val="none" w:sz="0" w:space="0" w:color="auto"/>
                    <w:right w:val="none" w:sz="0" w:space="0" w:color="auto"/>
                  </w:divBdr>
                  <w:divsChild>
                    <w:div w:id="1772041450">
                      <w:marLeft w:val="0"/>
                      <w:marRight w:val="0"/>
                      <w:marTop w:val="0"/>
                      <w:marBottom w:val="0"/>
                      <w:divBdr>
                        <w:top w:val="none" w:sz="0" w:space="0" w:color="auto"/>
                        <w:left w:val="none" w:sz="0" w:space="0" w:color="auto"/>
                        <w:bottom w:val="none" w:sz="0" w:space="0" w:color="auto"/>
                        <w:right w:val="none" w:sz="0" w:space="0" w:color="auto"/>
                      </w:divBdr>
                    </w:div>
                  </w:divsChild>
                </w:div>
                <w:div w:id="2141220296">
                  <w:marLeft w:val="0"/>
                  <w:marRight w:val="0"/>
                  <w:marTop w:val="0"/>
                  <w:marBottom w:val="0"/>
                  <w:divBdr>
                    <w:top w:val="none" w:sz="0" w:space="0" w:color="auto"/>
                    <w:left w:val="none" w:sz="0" w:space="0" w:color="auto"/>
                    <w:bottom w:val="none" w:sz="0" w:space="0" w:color="auto"/>
                    <w:right w:val="none" w:sz="0" w:space="0" w:color="auto"/>
                  </w:divBdr>
                  <w:divsChild>
                    <w:div w:id="8620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1991">
          <w:marLeft w:val="0"/>
          <w:marRight w:val="0"/>
          <w:marTop w:val="0"/>
          <w:marBottom w:val="0"/>
          <w:divBdr>
            <w:top w:val="none" w:sz="0" w:space="0" w:color="auto"/>
            <w:left w:val="none" w:sz="0" w:space="0" w:color="auto"/>
            <w:bottom w:val="none" w:sz="0" w:space="0" w:color="auto"/>
            <w:right w:val="none" w:sz="0" w:space="0" w:color="auto"/>
          </w:divBdr>
        </w:div>
        <w:div w:id="449009646">
          <w:marLeft w:val="0"/>
          <w:marRight w:val="0"/>
          <w:marTop w:val="0"/>
          <w:marBottom w:val="0"/>
          <w:divBdr>
            <w:top w:val="none" w:sz="0" w:space="0" w:color="auto"/>
            <w:left w:val="none" w:sz="0" w:space="0" w:color="auto"/>
            <w:bottom w:val="none" w:sz="0" w:space="0" w:color="auto"/>
            <w:right w:val="none" w:sz="0" w:space="0" w:color="auto"/>
          </w:divBdr>
        </w:div>
        <w:div w:id="453600122">
          <w:marLeft w:val="0"/>
          <w:marRight w:val="0"/>
          <w:marTop w:val="0"/>
          <w:marBottom w:val="0"/>
          <w:divBdr>
            <w:top w:val="none" w:sz="0" w:space="0" w:color="auto"/>
            <w:left w:val="none" w:sz="0" w:space="0" w:color="auto"/>
            <w:bottom w:val="none" w:sz="0" w:space="0" w:color="auto"/>
            <w:right w:val="none" w:sz="0" w:space="0" w:color="auto"/>
          </w:divBdr>
        </w:div>
        <w:div w:id="799762115">
          <w:marLeft w:val="0"/>
          <w:marRight w:val="0"/>
          <w:marTop w:val="0"/>
          <w:marBottom w:val="0"/>
          <w:divBdr>
            <w:top w:val="none" w:sz="0" w:space="0" w:color="auto"/>
            <w:left w:val="none" w:sz="0" w:space="0" w:color="auto"/>
            <w:bottom w:val="none" w:sz="0" w:space="0" w:color="auto"/>
            <w:right w:val="none" w:sz="0" w:space="0" w:color="auto"/>
          </w:divBdr>
        </w:div>
        <w:div w:id="805396149">
          <w:marLeft w:val="0"/>
          <w:marRight w:val="0"/>
          <w:marTop w:val="0"/>
          <w:marBottom w:val="0"/>
          <w:divBdr>
            <w:top w:val="none" w:sz="0" w:space="0" w:color="auto"/>
            <w:left w:val="none" w:sz="0" w:space="0" w:color="auto"/>
            <w:bottom w:val="none" w:sz="0" w:space="0" w:color="auto"/>
            <w:right w:val="none" w:sz="0" w:space="0" w:color="auto"/>
          </w:divBdr>
        </w:div>
        <w:div w:id="847519005">
          <w:marLeft w:val="0"/>
          <w:marRight w:val="0"/>
          <w:marTop w:val="0"/>
          <w:marBottom w:val="0"/>
          <w:divBdr>
            <w:top w:val="none" w:sz="0" w:space="0" w:color="auto"/>
            <w:left w:val="none" w:sz="0" w:space="0" w:color="auto"/>
            <w:bottom w:val="none" w:sz="0" w:space="0" w:color="auto"/>
            <w:right w:val="none" w:sz="0" w:space="0" w:color="auto"/>
          </w:divBdr>
        </w:div>
        <w:div w:id="870188750">
          <w:marLeft w:val="0"/>
          <w:marRight w:val="0"/>
          <w:marTop w:val="0"/>
          <w:marBottom w:val="0"/>
          <w:divBdr>
            <w:top w:val="none" w:sz="0" w:space="0" w:color="auto"/>
            <w:left w:val="none" w:sz="0" w:space="0" w:color="auto"/>
            <w:bottom w:val="none" w:sz="0" w:space="0" w:color="auto"/>
            <w:right w:val="none" w:sz="0" w:space="0" w:color="auto"/>
          </w:divBdr>
          <w:divsChild>
            <w:div w:id="1264000901">
              <w:marLeft w:val="-75"/>
              <w:marRight w:val="0"/>
              <w:marTop w:val="30"/>
              <w:marBottom w:val="30"/>
              <w:divBdr>
                <w:top w:val="none" w:sz="0" w:space="0" w:color="auto"/>
                <w:left w:val="none" w:sz="0" w:space="0" w:color="auto"/>
                <w:bottom w:val="none" w:sz="0" w:space="0" w:color="auto"/>
                <w:right w:val="none" w:sz="0" w:space="0" w:color="auto"/>
              </w:divBdr>
              <w:divsChild>
                <w:div w:id="75827602">
                  <w:marLeft w:val="0"/>
                  <w:marRight w:val="0"/>
                  <w:marTop w:val="0"/>
                  <w:marBottom w:val="0"/>
                  <w:divBdr>
                    <w:top w:val="none" w:sz="0" w:space="0" w:color="auto"/>
                    <w:left w:val="none" w:sz="0" w:space="0" w:color="auto"/>
                    <w:bottom w:val="none" w:sz="0" w:space="0" w:color="auto"/>
                    <w:right w:val="none" w:sz="0" w:space="0" w:color="auto"/>
                  </w:divBdr>
                  <w:divsChild>
                    <w:div w:id="8528862">
                      <w:marLeft w:val="0"/>
                      <w:marRight w:val="0"/>
                      <w:marTop w:val="0"/>
                      <w:marBottom w:val="0"/>
                      <w:divBdr>
                        <w:top w:val="none" w:sz="0" w:space="0" w:color="auto"/>
                        <w:left w:val="none" w:sz="0" w:space="0" w:color="auto"/>
                        <w:bottom w:val="none" w:sz="0" w:space="0" w:color="auto"/>
                        <w:right w:val="none" w:sz="0" w:space="0" w:color="auto"/>
                      </w:divBdr>
                    </w:div>
                  </w:divsChild>
                </w:div>
                <w:div w:id="156461206">
                  <w:marLeft w:val="0"/>
                  <w:marRight w:val="0"/>
                  <w:marTop w:val="0"/>
                  <w:marBottom w:val="0"/>
                  <w:divBdr>
                    <w:top w:val="none" w:sz="0" w:space="0" w:color="auto"/>
                    <w:left w:val="none" w:sz="0" w:space="0" w:color="auto"/>
                    <w:bottom w:val="none" w:sz="0" w:space="0" w:color="auto"/>
                    <w:right w:val="none" w:sz="0" w:space="0" w:color="auto"/>
                  </w:divBdr>
                  <w:divsChild>
                    <w:div w:id="869759825">
                      <w:marLeft w:val="0"/>
                      <w:marRight w:val="0"/>
                      <w:marTop w:val="0"/>
                      <w:marBottom w:val="0"/>
                      <w:divBdr>
                        <w:top w:val="none" w:sz="0" w:space="0" w:color="auto"/>
                        <w:left w:val="none" w:sz="0" w:space="0" w:color="auto"/>
                        <w:bottom w:val="none" w:sz="0" w:space="0" w:color="auto"/>
                        <w:right w:val="none" w:sz="0" w:space="0" w:color="auto"/>
                      </w:divBdr>
                    </w:div>
                  </w:divsChild>
                </w:div>
                <w:div w:id="163865260">
                  <w:marLeft w:val="0"/>
                  <w:marRight w:val="0"/>
                  <w:marTop w:val="0"/>
                  <w:marBottom w:val="0"/>
                  <w:divBdr>
                    <w:top w:val="none" w:sz="0" w:space="0" w:color="auto"/>
                    <w:left w:val="none" w:sz="0" w:space="0" w:color="auto"/>
                    <w:bottom w:val="none" w:sz="0" w:space="0" w:color="auto"/>
                    <w:right w:val="none" w:sz="0" w:space="0" w:color="auto"/>
                  </w:divBdr>
                  <w:divsChild>
                    <w:div w:id="501890676">
                      <w:marLeft w:val="0"/>
                      <w:marRight w:val="0"/>
                      <w:marTop w:val="0"/>
                      <w:marBottom w:val="0"/>
                      <w:divBdr>
                        <w:top w:val="none" w:sz="0" w:space="0" w:color="auto"/>
                        <w:left w:val="none" w:sz="0" w:space="0" w:color="auto"/>
                        <w:bottom w:val="none" w:sz="0" w:space="0" w:color="auto"/>
                        <w:right w:val="none" w:sz="0" w:space="0" w:color="auto"/>
                      </w:divBdr>
                    </w:div>
                  </w:divsChild>
                </w:div>
                <w:div w:id="177894284">
                  <w:marLeft w:val="0"/>
                  <w:marRight w:val="0"/>
                  <w:marTop w:val="0"/>
                  <w:marBottom w:val="0"/>
                  <w:divBdr>
                    <w:top w:val="none" w:sz="0" w:space="0" w:color="auto"/>
                    <w:left w:val="none" w:sz="0" w:space="0" w:color="auto"/>
                    <w:bottom w:val="none" w:sz="0" w:space="0" w:color="auto"/>
                    <w:right w:val="none" w:sz="0" w:space="0" w:color="auto"/>
                  </w:divBdr>
                  <w:divsChild>
                    <w:div w:id="860973160">
                      <w:marLeft w:val="0"/>
                      <w:marRight w:val="0"/>
                      <w:marTop w:val="0"/>
                      <w:marBottom w:val="0"/>
                      <w:divBdr>
                        <w:top w:val="none" w:sz="0" w:space="0" w:color="auto"/>
                        <w:left w:val="none" w:sz="0" w:space="0" w:color="auto"/>
                        <w:bottom w:val="none" w:sz="0" w:space="0" w:color="auto"/>
                        <w:right w:val="none" w:sz="0" w:space="0" w:color="auto"/>
                      </w:divBdr>
                    </w:div>
                  </w:divsChild>
                </w:div>
                <w:div w:id="281039836">
                  <w:marLeft w:val="0"/>
                  <w:marRight w:val="0"/>
                  <w:marTop w:val="0"/>
                  <w:marBottom w:val="0"/>
                  <w:divBdr>
                    <w:top w:val="none" w:sz="0" w:space="0" w:color="auto"/>
                    <w:left w:val="none" w:sz="0" w:space="0" w:color="auto"/>
                    <w:bottom w:val="none" w:sz="0" w:space="0" w:color="auto"/>
                    <w:right w:val="none" w:sz="0" w:space="0" w:color="auto"/>
                  </w:divBdr>
                  <w:divsChild>
                    <w:div w:id="49232910">
                      <w:marLeft w:val="0"/>
                      <w:marRight w:val="0"/>
                      <w:marTop w:val="0"/>
                      <w:marBottom w:val="0"/>
                      <w:divBdr>
                        <w:top w:val="none" w:sz="0" w:space="0" w:color="auto"/>
                        <w:left w:val="none" w:sz="0" w:space="0" w:color="auto"/>
                        <w:bottom w:val="none" w:sz="0" w:space="0" w:color="auto"/>
                        <w:right w:val="none" w:sz="0" w:space="0" w:color="auto"/>
                      </w:divBdr>
                    </w:div>
                  </w:divsChild>
                </w:div>
                <w:div w:id="291786817">
                  <w:marLeft w:val="0"/>
                  <w:marRight w:val="0"/>
                  <w:marTop w:val="0"/>
                  <w:marBottom w:val="0"/>
                  <w:divBdr>
                    <w:top w:val="none" w:sz="0" w:space="0" w:color="auto"/>
                    <w:left w:val="none" w:sz="0" w:space="0" w:color="auto"/>
                    <w:bottom w:val="none" w:sz="0" w:space="0" w:color="auto"/>
                    <w:right w:val="none" w:sz="0" w:space="0" w:color="auto"/>
                  </w:divBdr>
                  <w:divsChild>
                    <w:div w:id="1051853367">
                      <w:marLeft w:val="0"/>
                      <w:marRight w:val="0"/>
                      <w:marTop w:val="0"/>
                      <w:marBottom w:val="0"/>
                      <w:divBdr>
                        <w:top w:val="none" w:sz="0" w:space="0" w:color="auto"/>
                        <w:left w:val="none" w:sz="0" w:space="0" w:color="auto"/>
                        <w:bottom w:val="none" w:sz="0" w:space="0" w:color="auto"/>
                        <w:right w:val="none" w:sz="0" w:space="0" w:color="auto"/>
                      </w:divBdr>
                    </w:div>
                  </w:divsChild>
                </w:div>
                <w:div w:id="342707334">
                  <w:marLeft w:val="0"/>
                  <w:marRight w:val="0"/>
                  <w:marTop w:val="0"/>
                  <w:marBottom w:val="0"/>
                  <w:divBdr>
                    <w:top w:val="none" w:sz="0" w:space="0" w:color="auto"/>
                    <w:left w:val="none" w:sz="0" w:space="0" w:color="auto"/>
                    <w:bottom w:val="none" w:sz="0" w:space="0" w:color="auto"/>
                    <w:right w:val="none" w:sz="0" w:space="0" w:color="auto"/>
                  </w:divBdr>
                  <w:divsChild>
                    <w:div w:id="1585727000">
                      <w:marLeft w:val="0"/>
                      <w:marRight w:val="0"/>
                      <w:marTop w:val="0"/>
                      <w:marBottom w:val="0"/>
                      <w:divBdr>
                        <w:top w:val="none" w:sz="0" w:space="0" w:color="auto"/>
                        <w:left w:val="none" w:sz="0" w:space="0" w:color="auto"/>
                        <w:bottom w:val="none" w:sz="0" w:space="0" w:color="auto"/>
                        <w:right w:val="none" w:sz="0" w:space="0" w:color="auto"/>
                      </w:divBdr>
                    </w:div>
                  </w:divsChild>
                </w:div>
                <w:div w:id="373193330">
                  <w:marLeft w:val="0"/>
                  <w:marRight w:val="0"/>
                  <w:marTop w:val="0"/>
                  <w:marBottom w:val="0"/>
                  <w:divBdr>
                    <w:top w:val="none" w:sz="0" w:space="0" w:color="auto"/>
                    <w:left w:val="none" w:sz="0" w:space="0" w:color="auto"/>
                    <w:bottom w:val="none" w:sz="0" w:space="0" w:color="auto"/>
                    <w:right w:val="none" w:sz="0" w:space="0" w:color="auto"/>
                  </w:divBdr>
                  <w:divsChild>
                    <w:div w:id="900941986">
                      <w:marLeft w:val="0"/>
                      <w:marRight w:val="0"/>
                      <w:marTop w:val="0"/>
                      <w:marBottom w:val="0"/>
                      <w:divBdr>
                        <w:top w:val="none" w:sz="0" w:space="0" w:color="auto"/>
                        <w:left w:val="none" w:sz="0" w:space="0" w:color="auto"/>
                        <w:bottom w:val="none" w:sz="0" w:space="0" w:color="auto"/>
                        <w:right w:val="none" w:sz="0" w:space="0" w:color="auto"/>
                      </w:divBdr>
                    </w:div>
                  </w:divsChild>
                </w:div>
                <w:div w:id="417748312">
                  <w:marLeft w:val="0"/>
                  <w:marRight w:val="0"/>
                  <w:marTop w:val="0"/>
                  <w:marBottom w:val="0"/>
                  <w:divBdr>
                    <w:top w:val="none" w:sz="0" w:space="0" w:color="auto"/>
                    <w:left w:val="none" w:sz="0" w:space="0" w:color="auto"/>
                    <w:bottom w:val="none" w:sz="0" w:space="0" w:color="auto"/>
                    <w:right w:val="none" w:sz="0" w:space="0" w:color="auto"/>
                  </w:divBdr>
                  <w:divsChild>
                    <w:div w:id="250243477">
                      <w:marLeft w:val="0"/>
                      <w:marRight w:val="0"/>
                      <w:marTop w:val="0"/>
                      <w:marBottom w:val="0"/>
                      <w:divBdr>
                        <w:top w:val="none" w:sz="0" w:space="0" w:color="auto"/>
                        <w:left w:val="none" w:sz="0" w:space="0" w:color="auto"/>
                        <w:bottom w:val="none" w:sz="0" w:space="0" w:color="auto"/>
                        <w:right w:val="none" w:sz="0" w:space="0" w:color="auto"/>
                      </w:divBdr>
                    </w:div>
                  </w:divsChild>
                </w:div>
                <w:div w:id="469790603">
                  <w:marLeft w:val="0"/>
                  <w:marRight w:val="0"/>
                  <w:marTop w:val="0"/>
                  <w:marBottom w:val="0"/>
                  <w:divBdr>
                    <w:top w:val="none" w:sz="0" w:space="0" w:color="auto"/>
                    <w:left w:val="none" w:sz="0" w:space="0" w:color="auto"/>
                    <w:bottom w:val="none" w:sz="0" w:space="0" w:color="auto"/>
                    <w:right w:val="none" w:sz="0" w:space="0" w:color="auto"/>
                  </w:divBdr>
                  <w:divsChild>
                    <w:div w:id="1466192349">
                      <w:marLeft w:val="0"/>
                      <w:marRight w:val="0"/>
                      <w:marTop w:val="0"/>
                      <w:marBottom w:val="0"/>
                      <w:divBdr>
                        <w:top w:val="none" w:sz="0" w:space="0" w:color="auto"/>
                        <w:left w:val="none" w:sz="0" w:space="0" w:color="auto"/>
                        <w:bottom w:val="none" w:sz="0" w:space="0" w:color="auto"/>
                        <w:right w:val="none" w:sz="0" w:space="0" w:color="auto"/>
                      </w:divBdr>
                    </w:div>
                  </w:divsChild>
                </w:div>
                <w:div w:id="507213129">
                  <w:marLeft w:val="0"/>
                  <w:marRight w:val="0"/>
                  <w:marTop w:val="0"/>
                  <w:marBottom w:val="0"/>
                  <w:divBdr>
                    <w:top w:val="none" w:sz="0" w:space="0" w:color="auto"/>
                    <w:left w:val="none" w:sz="0" w:space="0" w:color="auto"/>
                    <w:bottom w:val="none" w:sz="0" w:space="0" w:color="auto"/>
                    <w:right w:val="none" w:sz="0" w:space="0" w:color="auto"/>
                  </w:divBdr>
                  <w:divsChild>
                    <w:div w:id="231619636">
                      <w:marLeft w:val="0"/>
                      <w:marRight w:val="0"/>
                      <w:marTop w:val="0"/>
                      <w:marBottom w:val="0"/>
                      <w:divBdr>
                        <w:top w:val="none" w:sz="0" w:space="0" w:color="auto"/>
                        <w:left w:val="none" w:sz="0" w:space="0" w:color="auto"/>
                        <w:bottom w:val="none" w:sz="0" w:space="0" w:color="auto"/>
                        <w:right w:val="none" w:sz="0" w:space="0" w:color="auto"/>
                      </w:divBdr>
                    </w:div>
                  </w:divsChild>
                </w:div>
                <w:div w:id="579875065">
                  <w:marLeft w:val="0"/>
                  <w:marRight w:val="0"/>
                  <w:marTop w:val="0"/>
                  <w:marBottom w:val="0"/>
                  <w:divBdr>
                    <w:top w:val="none" w:sz="0" w:space="0" w:color="auto"/>
                    <w:left w:val="none" w:sz="0" w:space="0" w:color="auto"/>
                    <w:bottom w:val="none" w:sz="0" w:space="0" w:color="auto"/>
                    <w:right w:val="none" w:sz="0" w:space="0" w:color="auto"/>
                  </w:divBdr>
                  <w:divsChild>
                    <w:div w:id="1457798392">
                      <w:marLeft w:val="0"/>
                      <w:marRight w:val="0"/>
                      <w:marTop w:val="0"/>
                      <w:marBottom w:val="0"/>
                      <w:divBdr>
                        <w:top w:val="none" w:sz="0" w:space="0" w:color="auto"/>
                        <w:left w:val="none" w:sz="0" w:space="0" w:color="auto"/>
                        <w:bottom w:val="none" w:sz="0" w:space="0" w:color="auto"/>
                        <w:right w:val="none" w:sz="0" w:space="0" w:color="auto"/>
                      </w:divBdr>
                    </w:div>
                  </w:divsChild>
                </w:div>
                <w:div w:id="583298687">
                  <w:marLeft w:val="0"/>
                  <w:marRight w:val="0"/>
                  <w:marTop w:val="0"/>
                  <w:marBottom w:val="0"/>
                  <w:divBdr>
                    <w:top w:val="none" w:sz="0" w:space="0" w:color="auto"/>
                    <w:left w:val="none" w:sz="0" w:space="0" w:color="auto"/>
                    <w:bottom w:val="none" w:sz="0" w:space="0" w:color="auto"/>
                    <w:right w:val="none" w:sz="0" w:space="0" w:color="auto"/>
                  </w:divBdr>
                  <w:divsChild>
                    <w:div w:id="1083989383">
                      <w:marLeft w:val="0"/>
                      <w:marRight w:val="0"/>
                      <w:marTop w:val="0"/>
                      <w:marBottom w:val="0"/>
                      <w:divBdr>
                        <w:top w:val="none" w:sz="0" w:space="0" w:color="auto"/>
                        <w:left w:val="none" w:sz="0" w:space="0" w:color="auto"/>
                        <w:bottom w:val="none" w:sz="0" w:space="0" w:color="auto"/>
                        <w:right w:val="none" w:sz="0" w:space="0" w:color="auto"/>
                      </w:divBdr>
                    </w:div>
                  </w:divsChild>
                </w:div>
                <w:div w:id="606472946">
                  <w:marLeft w:val="0"/>
                  <w:marRight w:val="0"/>
                  <w:marTop w:val="0"/>
                  <w:marBottom w:val="0"/>
                  <w:divBdr>
                    <w:top w:val="none" w:sz="0" w:space="0" w:color="auto"/>
                    <w:left w:val="none" w:sz="0" w:space="0" w:color="auto"/>
                    <w:bottom w:val="none" w:sz="0" w:space="0" w:color="auto"/>
                    <w:right w:val="none" w:sz="0" w:space="0" w:color="auto"/>
                  </w:divBdr>
                  <w:divsChild>
                    <w:div w:id="610552011">
                      <w:marLeft w:val="0"/>
                      <w:marRight w:val="0"/>
                      <w:marTop w:val="0"/>
                      <w:marBottom w:val="0"/>
                      <w:divBdr>
                        <w:top w:val="none" w:sz="0" w:space="0" w:color="auto"/>
                        <w:left w:val="none" w:sz="0" w:space="0" w:color="auto"/>
                        <w:bottom w:val="none" w:sz="0" w:space="0" w:color="auto"/>
                        <w:right w:val="none" w:sz="0" w:space="0" w:color="auto"/>
                      </w:divBdr>
                    </w:div>
                  </w:divsChild>
                </w:div>
                <w:div w:id="618606076">
                  <w:marLeft w:val="0"/>
                  <w:marRight w:val="0"/>
                  <w:marTop w:val="0"/>
                  <w:marBottom w:val="0"/>
                  <w:divBdr>
                    <w:top w:val="none" w:sz="0" w:space="0" w:color="auto"/>
                    <w:left w:val="none" w:sz="0" w:space="0" w:color="auto"/>
                    <w:bottom w:val="none" w:sz="0" w:space="0" w:color="auto"/>
                    <w:right w:val="none" w:sz="0" w:space="0" w:color="auto"/>
                  </w:divBdr>
                  <w:divsChild>
                    <w:div w:id="1085373563">
                      <w:marLeft w:val="0"/>
                      <w:marRight w:val="0"/>
                      <w:marTop w:val="0"/>
                      <w:marBottom w:val="0"/>
                      <w:divBdr>
                        <w:top w:val="none" w:sz="0" w:space="0" w:color="auto"/>
                        <w:left w:val="none" w:sz="0" w:space="0" w:color="auto"/>
                        <w:bottom w:val="none" w:sz="0" w:space="0" w:color="auto"/>
                        <w:right w:val="none" w:sz="0" w:space="0" w:color="auto"/>
                      </w:divBdr>
                    </w:div>
                  </w:divsChild>
                </w:div>
                <w:div w:id="636490451">
                  <w:marLeft w:val="0"/>
                  <w:marRight w:val="0"/>
                  <w:marTop w:val="0"/>
                  <w:marBottom w:val="0"/>
                  <w:divBdr>
                    <w:top w:val="none" w:sz="0" w:space="0" w:color="auto"/>
                    <w:left w:val="none" w:sz="0" w:space="0" w:color="auto"/>
                    <w:bottom w:val="none" w:sz="0" w:space="0" w:color="auto"/>
                    <w:right w:val="none" w:sz="0" w:space="0" w:color="auto"/>
                  </w:divBdr>
                  <w:divsChild>
                    <w:div w:id="1536700223">
                      <w:marLeft w:val="0"/>
                      <w:marRight w:val="0"/>
                      <w:marTop w:val="0"/>
                      <w:marBottom w:val="0"/>
                      <w:divBdr>
                        <w:top w:val="none" w:sz="0" w:space="0" w:color="auto"/>
                        <w:left w:val="none" w:sz="0" w:space="0" w:color="auto"/>
                        <w:bottom w:val="none" w:sz="0" w:space="0" w:color="auto"/>
                        <w:right w:val="none" w:sz="0" w:space="0" w:color="auto"/>
                      </w:divBdr>
                    </w:div>
                  </w:divsChild>
                </w:div>
                <w:div w:id="643701973">
                  <w:marLeft w:val="0"/>
                  <w:marRight w:val="0"/>
                  <w:marTop w:val="0"/>
                  <w:marBottom w:val="0"/>
                  <w:divBdr>
                    <w:top w:val="none" w:sz="0" w:space="0" w:color="auto"/>
                    <w:left w:val="none" w:sz="0" w:space="0" w:color="auto"/>
                    <w:bottom w:val="none" w:sz="0" w:space="0" w:color="auto"/>
                    <w:right w:val="none" w:sz="0" w:space="0" w:color="auto"/>
                  </w:divBdr>
                  <w:divsChild>
                    <w:div w:id="584194144">
                      <w:marLeft w:val="0"/>
                      <w:marRight w:val="0"/>
                      <w:marTop w:val="0"/>
                      <w:marBottom w:val="0"/>
                      <w:divBdr>
                        <w:top w:val="none" w:sz="0" w:space="0" w:color="auto"/>
                        <w:left w:val="none" w:sz="0" w:space="0" w:color="auto"/>
                        <w:bottom w:val="none" w:sz="0" w:space="0" w:color="auto"/>
                        <w:right w:val="none" w:sz="0" w:space="0" w:color="auto"/>
                      </w:divBdr>
                    </w:div>
                  </w:divsChild>
                </w:div>
                <w:div w:id="654263918">
                  <w:marLeft w:val="0"/>
                  <w:marRight w:val="0"/>
                  <w:marTop w:val="0"/>
                  <w:marBottom w:val="0"/>
                  <w:divBdr>
                    <w:top w:val="none" w:sz="0" w:space="0" w:color="auto"/>
                    <w:left w:val="none" w:sz="0" w:space="0" w:color="auto"/>
                    <w:bottom w:val="none" w:sz="0" w:space="0" w:color="auto"/>
                    <w:right w:val="none" w:sz="0" w:space="0" w:color="auto"/>
                  </w:divBdr>
                  <w:divsChild>
                    <w:div w:id="981231934">
                      <w:marLeft w:val="0"/>
                      <w:marRight w:val="0"/>
                      <w:marTop w:val="0"/>
                      <w:marBottom w:val="0"/>
                      <w:divBdr>
                        <w:top w:val="none" w:sz="0" w:space="0" w:color="auto"/>
                        <w:left w:val="none" w:sz="0" w:space="0" w:color="auto"/>
                        <w:bottom w:val="none" w:sz="0" w:space="0" w:color="auto"/>
                        <w:right w:val="none" w:sz="0" w:space="0" w:color="auto"/>
                      </w:divBdr>
                    </w:div>
                  </w:divsChild>
                </w:div>
                <w:div w:id="658534665">
                  <w:marLeft w:val="0"/>
                  <w:marRight w:val="0"/>
                  <w:marTop w:val="0"/>
                  <w:marBottom w:val="0"/>
                  <w:divBdr>
                    <w:top w:val="none" w:sz="0" w:space="0" w:color="auto"/>
                    <w:left w:val="none" w:sz="0" w:space="0" w:color="auto"/>
                    <w:bottom w:val="none" w:sz="0" w:space="0" w:color="auto"/>
                    <w:right w:val="none" w:sz="0" w:space="0" w:color="auto"/>
                  </w:divBdr>
                  <w:divsChild>
                    <w:div w:id="822549764">
                      <w:marLeft w:val="0"/>
                      <w:marRight w:val="0"/>
                      <w:marTop w:val="0"/>
                      <w:marBottom w:val="0"/>
                      <w:divBdr>
                        <w:top w:val="none" w:sz="0" w:space="0" w:color="auto"/>
                        <w:left w:val="none" w:sz="0" w:space="0" w:color="auto"/>
                        <w:bottom w:val="none" w:sz="0" w:space="0" w:color="auto"/>
                        <w:right w:val="none" w:sz="0" w:space="0" w:color="auto"/>
                      </w:divBdr>
                    </w:div>
                  </w:divsChild>
                </w:div>
                <w:div w:id="671567186">
                  <w:marLeft w:val="0"/>
                  <w:marRight w:val="0"/>
                  <w:marTop w:val="0"/>
                  <w:marBottom w:val="0"/>
                  <w:divBdr>
                    <w:top w:val="none" w:sz="0" w:space="0" w:color="auto"/>
                    <w:left w:val="none" w:sz="0" w:space="0" w:color="auto"/>
                    <w:bottom w:val="none" w:sz="0" w:space="0" w:color="auto"/>
                    <w:right w:val="none" w:sz="0" w:space="0" w:color="auto"/>
                  </w:divBdr>
                  <w:divsChild>
                    <w:div w:id="2020544507">
                      <w:marLeft w:val="0"/>
                      <w:marRight w:val="0"/>
                      <w:marTop w:val="0"/>
                      <w:marBottom w:val="0"/>
                      <w:divBdr>
                        <w:top w:val="none" w:sz="0" w:space="0" w:color="auto"/>
                        <w:left w:val="none" w:sz="0" w:space="0" w:color="auto"/>
                        <w:bottom w:val="none" w:sz="0" w:space="0" w:color="auto"/>
                        <w:right w:val="none" w:sz="0" w:space="0" w:color="auto"/>
                      </w:divBdr>
                    </w:div>
                  </w:divsChild>
                </w:div>
                <w:div w:id="680737983">
                  <w:marLeft w:val="0"/>
                  <w:marRight w:val="0"/>
                  <w:marTop w:val="0"/>
                  <w:marBottom w:val="0"/>
                  <w:divBdr>
                    <w:top w:val="none" w:sz="0" w:space="0" w:color="auto"/>
                    <w:left w:val="none" w:sz="0" w:space="0" w:color="auto"/>
                    <w:bottom w:val="none" w:sz="0" w:space="0" w:color="auto"/>
                    <w:right w:val="none" w:sz="0" w:space="0" w:color="auto"/>
                  </w:divBdr>
                  <w:divsChild>
                    <w:div w:id="391737366">
                      <w:marLeft w:val="0"/>
                      <w:marRight w:val="0"/>
                      <w:marTop w:val="0"/>
                      <w:marBottom w:val="0"/>
                      <w:divBdr>
                        <w:top w:val="none" w:sz="0" w:space="0" w:color="auto"/>
                        <w:left w:val="none" w:sz="0" w:space="0" w:color="auto"/>
                        <w:bottom w:val="none" w:sz="0" w:space="0" w:color="auto"/>
                        <w:right w:val="none" w:sz="0" w:space="0" w:color="auto"/>
                      </w:divBdr>
                    </w:div>
                  </w:divsChild>
                </w:div>
                <w:div w:id="690958135">
                  <w:marLeft w:val="0"/>
                  <w:marRight w:val="0"/>
                  <w:marTop w:val="0"/>
                  <w:marBottom w:val="0"/>
                  <w:divBdr>
                    <w:top w:val="none" w:sz="0" w:space="0" w:color="auto"/>
                    <w:left w:val="none" w:sz="0" w:space="0" w:color="auto"/>
                    <w:bottom w:val="none" w:sz="0" w:space="0" w:color="auto"/>
                    <w:right w:val="none" w:sz="0" w:space="0" w:color="auto"/>
                  </w:divBdr>
                  <w:divsChild>
                    <w:div w:id="566110976">
                      <w:marLeft w:val="0"/>
                      <w:marRight w:val="0"/>
                      <w:marTop w:val="0"/>
                      <w:marBottom w:val="0"/>
                      <w:divBdr>
                        <w:top w:val="none" w:sz="0" w:space="0" w:color="auto"/>
                        <w:left w:val="none" w:sz="0" w:space="0" w:color="auto"/>
                        <w:bottom w:val="none" w:sz="0" w:space="0" w:color="auto"/>
                        <w:right w:val="none" w:sz="0" w:space="0" w:color="auto"/>
                      </w:divBdr>
                    </w:div>
                  </w:divsChild>
                </w:div>
                <w:div w:id="695885946">
                  <w:marLeft w:val="0"/>
                  <w:marRight w:val="0"/>
                  <w:marTop w:val="0"/>
                  <w:marBottom w:val="0"/>
                  <w:divBdr>
                    <w:top w:val="none" w:sz="0" w:space="0" w:color="auto"/>
                    <w:left w:val="none" w:sz="0" w:space="0" w:color="auto"/>
                    <w:bottom w:val="none" w:sz="0" w:space="0" w:color="auto"/>
                    <w:right w:val="none" w:sz="0" w:space="0" w:color="auto"/>
                  </w:divBdr>
                  <w:divsChild>
                    <w:div w:id="1860700585">
                      <w:marLeft w:val="0"/>
                      <w:marRight w:val="0"/>
                      <w:marTop w:val="0"/>
                      <w:marBottom w:val="0"/>
                      <w:divBdr>
                        <w:top w:val="none" w:sz="0" w:space="0" w:color="auto"/>
                        <w:left w:val="none" w:sz="0" w:space="0" w:color="auto"/>
                        <w:bottom w:val="none" w:sz="0" w:space="0" w:color="auto"/>
                        <w:right w:val="none" w:sz="0" w:space="0" w:color="auto"/>
                      </w:divBdr>
                    </w:div>
                  </w:divsChild>
                </w:div>
                <w:div w:id="755445171">
                  <w:marLeft w:val="0"/>
                  <w:marRight w:val="0"/>
                  <w:marTop w:val="0"/>
                  <w:marBottom w:val="0"/>
                  <w:divBdr>
                    <w:top w:val="none" w:sz="0" w:space="0" w:color="auto"/>
                    <w:left w:val="none" w:sz="0" w:space="0" w:color="auto"/>
                    <w:bottom w:val="none" w:sz="0" w:space="0" w:color="auto"/>
                    <w:right w:val="none" w:sz="0" w:space="0" w:color="auto"/>
                  </w:divBdr>
                  <w:divsChild>
                    <w:div w:id="1771781609">
                      <w:marLeft w:val="0"/>
                      <w:marRight w:val="0"/>
                      <w:marTop w:val="0"/>
                      <w:marBottom w:val="0"/>
                      <w:divBdr>
                        <w:top w:val="none" w:sz="0" w:space="0" w:color="auto"/>
                        <w:left w:val="none" w:sz="0" w:space="0" w:color="auto"/>
                        <w:bottom w:val="none" w:sz="0" w:space="0" w:color="auto"/>
                        <w:right w:val="none" w:sz="0" w:space="0" w:color="auto"/>
                      </w:divBdr>
                    </w:div>
                  </w:divsChild>
                </w:div>
                <w:div w:id="777872792">
                  <w:marLeft w:val="0"/>
                  <w:marRight w:val="0"/>
                  <w:marTop w:val="0"/>
                  <w:marBottom w:val="0"/>
                  <w:divBdr>
                    <w:top w:val="none" w:sz="0" w:space="0" w:color="auto"/>
                    <w:left w:val="none" w:sz="0" w:space="0" w:color="auto"/>
                    <w:bottom w:val="none" w:sz="0" w:space="0" w:color="auto"/>
                    <w:right w:val="none" w:sz="0" w:space="0" w:color="auto"/>
                  </w:divBdr>
                  <w:divsChild>
                    <w:div w:id="1717269613">
                      <w:marLeft w:val="0"/>
                      <w:marRight w:val="0"/>
                      <w:marTop w:val="0"/>
                      <w:marBottom w:val="0"/>
                      <w:divBdr>
                        <w:top w:val="none" w:sz="0" w:space="0" w:color="auto"/>
                        <w:left w:val="none" w:sz="0" w:space="0" w:color="auto"/>
                        <w:bottom w:val="none" w:sz="0" w:space="0" w:color="auto"/>
                        <w:right w:val="none" w:sz="0" w:space="0" w:color="auto"/>
                      </w:divBdr>
                    </w:div>
                  </w:divsChild>
                </w:div>
                <w:div w:id="786050683">
                  <w:marLeft w:val="0"/>
                  <w:marRight w:val="0"/>
                  <w:marTop w:val="0"/>
                  <w:marBottom w:val="0"/>
                  <w:divBdr>
                    <w:top w:val="none" w:sz="0" w:space="0" w:color="auto"/>
                    <w:left w:val="none" w:sz="0" w:space="0" w:color="auto"/>
                    <w:bottom w:val="none" w:sz="0" w:space="0" w:color="auto"/>
                    <w:right w:val="none" w:sz="0" w:space="0" w:color="auto"/>
                  </w:divBdr>
                  <w:divsChild>
                    <w:div w:id="794371963">
                      <w:marLeft w:val="0"/>
                      <w:marRight w:val="0"/>
                      <w:marTop w:val="0"/>
                      <w:marBottom w:val="0"/>
                      <w:divBdr>
                        <w:top w:val="none" w:sz="0" w:space="0" w:color="auto"/>
                        <w:left w:val="none" w:sz="0" w:space="0" w:color="auto"/>
                        <w:bottom w:val="none" w:sz="0" w:space="0" w:color="auto"/>
                        <w:right w:val="none" w:sz="0" w:space="0" w:color="auto"/>
                      </w:divBdr>
                    </w:div>
                  </w:divsChild>
                </w:div>
                <w:div w:id="817264397">
                  <w:marLeft w:val="0"/>
                  <w:marRight w:val="0"/>
                  <w:marTop w:val="0"/>
                  <w:marBottom w:val="0"/>
                  <w:divBdr>
                    <w:top w:val="none" w:sz="0" w:space="0" w:color="auto"/>
                    <w:left w:val="none" w:sz="0" w:space="0" w:color="auto"/>
                    <w:bottom w:val="none" w:sz="0" w:space="0" w:color="auto"/>
                    <w:right w:val="none" w:sz="0" w:space="0" w:color="auto"/>
                  </w:divBdr>
                  <w:divsChild>
                    <w:div w:id="1621449242">
                      <w:marLeft w:val="0"/>
                      <w:marRight w:val="0"/>
                      <w:marTop w:val="0"/>
                      <w:marBottom w:val="0"/>
                      <w:divBdr>
                        <w:top w:val="none" w:sz="0" w:space="0" w:color="auto"/>
                        <w:left w:val="none" w:sz="0" w:space="0" w:color="auto"/>
                        <w:bottom w:val="none" w:sz="0" w:space="0" w:color="auto"/>
                        <w:right w:val="none" w:sz="0" w:space="0" w:color="auto"/>
                      </w:divBdr>
                    </w:div>
                  </w:divsChild>
                </w:div>
                <w:div w:id="852652089">
                  <w:marLeft w:val="0"/>
                  <w:marRight w:val="0"/>
                  <w:marTop w:val="0"/>
                  <w:marBottom w:val="0"/>
                  <w:divBdr>
                    <w:top w:val="none" w:sz="0" w:space="0" w:color="auto"/>
                    <w:left w:val="none" w:sz="0" w:space="0" w:color="auto"/>
                    <w:bottom w:val="none" w:sz="0" w:space="0" w:color="auto"/>
                    <w:right w:val="none" w:sz="0" w:space="0" w:color="auto"/>
                  </w:divBdr>
                  <w:divsChild>
                    <w:div w:id="500854086">
                      <w:marLeft w:val="0"/>
                      <w:marRight w:val="0"/>
                      <w:marTop w:val="0"/>
                      <w:marBottom w:val="0"/>
                      <w:divBdr>
                        <w:top w:val="none" w:sz="0" w:space="0" w:color="auto"/>
                        <w:left w:val="none" w:sz="0" w:space="0" w:color="auto"/>
                        <w:bottom w:val="none" w:sz="0" w:space="0" w:color="auto"/>
                        <w:right w:val="none" w:sz="0" w:space="0" w:color="auto"/>
                      </w:divBdr>
                    </w:div>
                  </w:divsChild>
                </w:div>
                <w:div w:id="877551136">
                  <w:marLeft w:val="0"/>
                  <w:marRight w:val="0"/>
                  <w:marTop w:val="0"/>
                  <w:marBottom w:val="0"/>
                  <w:divBdr>
                    <w:top w:val="none" w:sz="0" w:space="0" w:color="auto"/>
                    <w:left w:val="none" w:sz="0" w:space="0" w:color="auto"/>
                    <w:bottom w:val="none" w:sz="0" w:space="0" w:color="auto"/>
                    <w:right w:val="none" w:sz="0" w:space="0" w:color="auto"/>
                  </w:divBdr>
                  <w:divsChild>
                    <w:div w:id="1685933433">
                      <w:marLeft w:val="0"/>
                      <w:marRight w:val="0"/>
                      <w:marTop w:val="0"/>
                      <w:marBottom w:val="0"/>
                      <w:divBdr>
                        <w:top w:val="none" w:sz="0" w:space="0" w:color="auto"/>
                        <w:left w:val="none" w:sz="0" w:space="0" w:color="auto"/>
                        <w:bottom w:val="none" w:sz="0" w:space="0" w:color="auto"/>
                        <w:right w:val="none" w:sz="0" w:space="0" w:color="auto"/>
                      </w:divBdr>
                    </w:div>
                  </w:divsChild>
                </w:div>
                <w:div w:id="894008209">
                  <w:marLeft w:val="0"/>
                  <w:marRight w:val="0"/>
                  <w:marTop w:val="0"/>
                  <w:marBottom w:val="0"/>
                  <w:divBdr>
                    <w:top w:val="none" w:sz="0" w:space="0" w:color="auto"/>
                    <w:left w:val="none" w:sz="0" w:space="0" w:color="auto"/>
                    <w:bottom w:val="none" w:sz="0" w:space="0" w:color="auto"/>
                    <w:right w:val="none" w:sz="0" w:space="0" w:color="auto"/>
                  </w:divBdr>
                  <w:divsChild>
                    <w:div w:id="957758750">
                      <w:marLeft w:val="0"/>
                      <w:marRight w:val="0"/>
                      <w:marTop w:val="0"/>
                      <w:marBottom w:val="0"/>
                      <w:divBdr>
                        <w:top w:val="none" w:sz="0" w:space="0" w:color="auto"/>
                        <w:left w:val="none" w:sz="0" w:space="0" w:color="auto"/>
                        <w:bottom w:val="none" w:sz="0" w:space="0" w:color="auto"/>
                        <w:right w:val="none" w:sz="0" w:space="0" w:color="auto"/>
                      </w:divBdr>
                    </w:div>
                  </w:divsChild>
                </w:div>
                <w:div w:id="925381039">
                  <w:marLeft w:val="0"/>
                  <w:marRight w:val="0"/>
                  <w:marTop w:val="0"/>
                  <w:marBottom w:val="0"/>
                  <w:divBdr>
                    <w:top w:val="none" w:sz="0" w:space="0" w:color="auto"/>
                    <w:left w:val="none" w:sz="0" w:space="0" w:color="auto"/>
                    <w:bottom w:val="none" w:sz="0" w:space="0" w:color="auto"/>
                    <w:right w:val="none" w:sz="0" w:space="0" w:color="auto"/>
                  </w:divBdr>
                  <w:divsChild>
                    <w:div w:id="46031580">
                      <w:marLeft w:val="0"/>
                      <w:marRight w:val="0"/>
                      <w:marTop w:val="0"/>
                      <w:marBottom w:val="0"/>
                      <w:divBdr>
                        <w:top w:val="none" w:sz="0" w:space="0" w:color="auto"/>
                        <w:left w:val="none" w:sz="0" w:space="0" w:color="auto"/>
                        <w:bottom w:val="none" w:sz="0" w:space="0" w:color="auto"/>
                        <w:right w:val="none" w:sz="0" w:space="0" w:color="auto"/>
                      </w:divBdr>
                    </w:div>
                  </w:divsChild>
                </w:div>
                <w:div w:id="959072262">
                  <w:marLeft w:val="0"/>
                  <w:marRight w:val="0"/>
                  <w:marTop w:val="0"/>
                  <w:marBottom w:val="0"/>
                  <w:divBdr>
                    <w:top w:val="none" w:sz="0" w:space="0" w:color="auto"/>
                    <w:left w:val="none" w:sz="0" w:space="0" w:color="auto"/>
                    <w:bottom w:val="none" w:sz="0" w:space="0" w:color="auto"/>
                    <w:right w:val="none" w:sz="0" w:space="0" w:color="auto"/>
                  </w:divBdr>
                  <w:divsChild>
                    <w:div w:id="409932222">
                      <w:marLeft w:val="0"/>
                      <w:marRight w:val="0"/>
                      <w:marTop w:val="0"/>
                      <w:marBottom w:val="0"/>
                      <w:divBdr>
                        <w:top w:val="none" w:sz="0" w:space="0" w:color="auto"/>
                        <w:left w:val="none" w:sz="0" w:space="0" w:color="auto"/>
                        <w:bottom w:val="none" w:sz="0" w:space="0" w:color="auto"/>
                        <w:right w:val="none" w:sz="0" w:space="0" w:color="auto"/>
                      </w:divBdr>
                    </w:div>
                  </w:divsChild>
                </w:div>
                <w:div w:id="976110280">
                  <w:marLeft w:val="0"/>
                  <w:marRight w:val="0"/>
                  <w:marTop w:val="0"/>
                  <w:marBottom w:val="0"/>
                  <w:divBdr>
                    <w:top w:val="none" w:sz="0" w:space="0" w:color="auto"/>
                    <w:left w:val="none" w:sz="0" w:space="0" w:color="auto"/>
                    <w:bottom w:val="none" w:sz="0" w:space="0" w:color="auto"/>
                    <w:right w:val="none" w:sz="0" w:space="0" w:color="auto"/>
                  </w:divBdr>
                  <w:divsChild>
                    <w:div w:id="1583443527">
                      <w:marLeft w:val="0"/>
                      <w:marRight w:val="0"/>
                      <w:marTop w:val="0"/>
                      <w:marBottom w:val="0"/>
                      <w:divBdr>
                        <w:top w:val="none" w:sz="0" w:space="0" w:color="auto"/>
                        <w:left w:val="none" w:sz="0" w:space="0" w:color="auto"/>
                        <w:bottom w:val="none" w:sz="0" w:space="0" w:color="auto"/>
                        <w:right w:val="none" w:sz="0" w:space="0" w:color="auto"/>
                      </w:divBdr>
                    </w:div>
                  </w:divsChild>
                </w:div>
                <w:div w:id="1001859163">
                  <w:marLeft w:val="0"/>
                  <w:marRight w:val="0"/>
                  <w:marTop w:val="0"/>
                  <w:marBottom w:val="0"/>
                  <w:divBdr>
                    <w:top w:val="none" w:sz="0" w:space="0" w:color="auto"/>
                    <w:left w:val="none" w:sz="0" w:space="0" w:color="auto"/>
                    <w:bottom w:val="none" w:sz="0" w:space="0" w:color="auto"/>
                    <w:right w:val="none" w:sz="0" w:space="0" w:color="auto"/>
                  </w:divBdr>
                  <w:divsChild>
                    <w:div w:id="1246763678">
                      <w:marLeft w:val="0"/>
                      <w:marRight w:val="0"/>
                      <w:marTop w:val="0"/>
                      <w:marBottom w:val="0"/>
                      <w:divBdr>
                        <w:top w:val="none" w:sz="0" w:space="0" w:color="auto"/>
                        <w:left w:val="none" w:sz="0" w:space="0" w:color="auto"/>
                        <w:bottom w:val="none" w:sz="0" w:space="0" w:color="auto"/>
                        <w:right w:val="none" w:sz="0" w:space="0" w:color="auto"/>
                      </w:divBdr>
                    </w:div>
                  </w:divsChild>
                </w:div>
                <w:div w:id="1071542678">
                  <w:marLeft w:val="0"/>
                  <w:marRight w:val="0"/>
                  <w:marTop w:val="0"/>
                  <w:marBottom w:val="0"/>
                  <w:divBdr>
                    <w:top w:val="none" w:sz="0" w:space="0" w:color="auto"/>
                    <w:left w:val="none" w:sz="0" w:space="0" w:color="auto"/>
                    <w:bottom w:val="none" w:sz="0" w:space="0" w:color="auto"/>
                    <w:right w:val="none" w:sz="0" w:space="0" w:color="auto"/>
                  </w:divBdr>
                  <w:divsChild>
                    <w:div w:id="687367153">
                      <w:marLeft w:val="0"/>
                      <w:marRight w:val="0"/>
                      <w:marTop w:val="0"/>
                      <w:marBottom w:val="0"/>
                      <w:divBdr>
                        <w:top w:val="none" w:sz="0" w:space="0" w:color="auto"/>
                        <w:left w:val="none" w:sz="0" w:space="0" w:color="auto"/>
                        <w:bottom w:val="none" w:sz="0" w:space="0" w:color="auto"/>
                        <w:right w:val="none" w:sz="0" w:space="0" w:color="auto"/>
                      </w:divBdr>
                    </w:div>
                  </w:divsChild>
                </w:div>
                <w:div w:id="1149712200">
                  <w:marLeft w:val="0"/>
                  <w:marRight w:val="0"/>
                  <w:marTop w:val="0"/>
                  <w:marBottom w:val="0"/>
                  <w:divBdr>
                    <w:top w:val="none" w:sz="0" w:space="0" w:color="auto"/>
                    <w:left w:val="none" w:sz="0" w:space="0" w:color="auto"/>
                    <w:bottom w:val="none" w:sz="0" w:space="0" w:color="auto"/>
                    <w:right w:val="none" w:sz="0" w:space="0" w:color="auto"/>
                  </w:divBdr>
                  <w:divsChild>
                    <w:div w:id="225384248">
                      <w:marLeft w:val="0"/>
                      <w:marRight w:val="0"/>
                      <w:marTop w:val="0"/>
                      <w:marBottom w:val="0"/>
                      <w:divBdr>
                        <w:top w:val="none" w:sz="0" w:space="0" w:color="auto"/>
                        <w:left w:val="none" w:sz="0" w:space="0" w:color="auto"/>
                        <w:bottom w:val="none" w:sz="0" w:space="0" w:color="auto"/>
                        <w:right w:val="none" w:sz="0" w:space="0" w:color="auto"/>
                      </w:divBdr>
                    </w:div>
                  </w:divsChild>
                </w:div>
                <w:div w:id="1150052402">
                  <w:marLeft w:val="0"/>
                  <w:marRight w:val="0"/>
                  <w:marTop w:val="0"/>
                  <w:marBottom w:val="0"/>
                  <w:divBdr>
                    <w:top w:val="none" w:sz="0" w:space="0" w:color="auto"/>
                    <w:left w:val="none" w:sz="0" w:space="0" w:color="auto"/>
                    <w:bottom w:val="none" w:sz="0" w:space="0" w:color="auto"/>
                    <w:right w:val="none" w:sz="0" w:space="0" w:color="auto"/>
                  </w:divBdr>
                  <w:divsChild>
                    <w:div w:id="363991690">
                      <w:marLeft w:val="0"/>
                      <w:marRight w:val="0"/>
                      <w:marTop w:val="0"/>
                      <w:marBottom w:val="0"/>
                      <w:divBdr>
                        <w:top w:val="none" w:sz="0" w:space="0" w:color="auto"/>
                        <w:left w:val="none" w:sz="0" w:space="0" w:color="auto"/>
                        <w:bottom w:val="none" w:sz="0" w:space="0" w:color="auto"/>
                        <w:right w:val="none" w:sz="0" w:space="0" w:color="auto"/>
                      </w:divBdr>
                    </w:div>
                  </w:divsChild>
                </w:div>
                <w:div w:id="1180968962">
                  <w:marLeft w:val="0"/>
                  <w:marRight w:val="0"/>
                  <w:marTop w:val="0"/>
                  <w:marBottom w:val="0"/>
                  <w:divBdr>
                    <w:top w:val="none" w:sz="0" w:space="0" w:color="auto"/>
                    <w:left w:val="none" w:sz="0" w:space="0" w:color="auto"/>
                    <w:bottom w:val="none" w:sz="0" w:space="0" w:color="auto"/>
                    <w:right w:val="none" w:sz="0" w:space="0" w:color="auto"/>
                  </w:divBdr>
                  <w:divsChild>
                    <w:div w:id="252394799">
                      <w:marLeft w:val="0"/>
                      <w:marRight w:val="0"/>
                      <w:marTop w:val="0"/>
                      <w:marBottom w:val="0"/>
                      <w:divBdr>
                        <w:top w:val="none" w:sz="0" w:space="0" w:color="auto"/>
                        <w:left w:val="none" w:sz="0" w:space="0" w:color="auto"/>
                        <w:bottom w:val="none" w:sz="0" w:space="0" w:color="auto"/>
                        <w:right w:val="none" w:sz="0" w:space="0" w:color="auto"/>
                      </w:divBdr>
                    </w:div>
                  </w:divsChild>
                </w:div>
                <w:div w:id="1230843606">
                  <w:marLeft w:val="0"/>
                  <w:marRight w:val="0"/>
                  <w:marTop w:val="0"/>
                  <w:marBottom w:val="0"/>
                  <w:divBdr>
                    <w:top w:val="none" w:sz="0" w:space="0" w:color="auto"/>
                    <w:left w:val="none" w:sz="0" w:space="0" w:color="auto"/>
                    <w:bottom w:val="none" w:sz="0" w:space="0" w:color="auto"/>
                    <w:right w:val="none" w:sz="0" w:space="0" w:color="auto"/>
                  </w:divBdr>
                  <w:divsChild>
                    <w:div w:id="493106428">
                      <w:marLeft w:val="0"/>
                      <w:marRight w:val="0"/>
                      <w:marTop w:val="0"/>
                      <w:marBottom w:val="0"/>
                      <w:divBdr>
                        <w:top w:val="none" w:sz="0" w:space="0" w:color="auto"/>
                        <w:left w:val="none" w:sz="0" w:space="0" w:color="auto"/>
                        <w:bottom w:val="none" w:sz="0" w:space="0" w:color="auto"/>
                        <w:right w:val="none" w:sz="0" w:space="0" w:color="auto"/>
                      </w:divBdr>
                    </w:div>
                  </w:divsChild>
                </w:div>
                <w:div w:id="1234662485">
                  <w:marLeft w:val="0"/>
                  <w:marRight w:val="0"/>
                  <w:marTop w:val="0"/>
                  <w:marBottom w:val="0"/>
                  <w:divBdr>
                    <w:top w:val="none" w:sz="0" w:space="0" w:color="auto"/>
                    <w:left w:val="none" w:sz="0" w:space="0" w:color="auto"/>
                    <w:bottom w:val="none" w:sz="0" w:space="0" w:color="auto"/>
                    <w:right w:val="none" w:sz="0" w:space="0" w:color="auto"/>
                  </w:divBdr>
                  <w:divsChild>
                    <w:div w:id="1763602248">
                      <w:marLeft w:val="0"/>
                      <w:marRight w:val="0"/>
                      <w:marTop w:val="0"/>
                      <w:marBottom w:val="0"/>
                      <w:divBdr>
                        <w:top w:val="none" w:sz="0" w:space="0" w:color="auto"/>
                        <w:left w:val="none" w:sz="0" w:space="0" w:color="auto"/>
                        <w:bottom w:val="none" w:sz="0" w:space="0" w:color="auto"/>
                        <w:right w:val="none" w:sz="0" w:space="0" w:color="auto"/>
                      </w:divBdr>
                    </w:div>
                  </w:divsChild>
                </w:div>
                <w:div w:id="1245607531">
                  <w:marLeft w:val="0"/>
                  <w:marRight w:val="0"/>
                  <w:marTop w:val="0"/>
                  <w:marBottom w:val="0"/>
                  <w:divBdr>
                    <w:top w:val="none" w:sz="0" w:space="0" w:color="auto"/>
                    <w:left w:val="none" w:sz="0" w:space="0" w:color="auto"/>
                    <w:bottom w:val="none" w:sz="0" w:space="0" w:color="auto"/>
                    <w:right w:val="none" w:sz="0" w:space="0" w:color="auto"/>
                  </w:divBdr>
                  <w:divsChild>
                    <w:div w:id="423769794">
                      <w:marLeft w:val="0"/>
                      <w:marRight w:val="0"/>
                      <w:marTop w:val="0"/>
                      <w:marBottom w:val="0"/>
                      <w:divBdr>
                        <w:top w:val="none" w:sz="0" w:space="0" w:color="auto"/>
                        <w:left w:val="none" w:sz="0" w:space="0" w:color="auto"/>
                        <w:bottom w:val="none" w:sz="0" w:space="0" w:color="auto"/>
                        <w:right w:val="none" w:sz="0" w:space="0" w:color="auto"/>
                      </w:divBdr>
                    </w:div>
                  </w:divsChild>
                </w:div>
                <w:div w:id="1628774880">
                  <w:marLeft w:val="0"/>
                  <w:marRight w:val="0"/>
                  <w:marTop w:val="0"/>
                  <w:marBottom w:val="0"/>
                  <w:divBdr>
                    <w:top w:val="none" w:sz="0" w:space="0" w:color="auto"/>
                    <w:left w:val="none" w:sz="0" w:space="0" w:color="auto"/>
                    <w:bottom w:val="none" w:sz="0" w:space="0" w:color="auto"/>
                    <w:right w:val="none" w:sz="0" w:space="0" w:color="auto"/>
                  </w:divBdr>
                  <w:divsChild>
                    <w:div w:id="1663317779">
                      <w:marLeft w:val="0"/>
                      <w:marRight w:val="0"/>
                      <w:marTop w:val="0"/>
                      <w:marBottom w:val="0"/>
                      <w:divBdr>
                        <w:top w:val="none" w:sz="0" w:space="0" w:color="auto"/>
                        <w:left w:val="none" w:sz="0" w:space="0" w:color="auto"/>
                        <w:bottom w:val="none" w:sz="0" w:space="0" w:color="auto"/>
                        <w:right w:val="none" w:sz="0" w:space="0" w:color="auto"/>
                      </w:divBdr>
                    </w:div>
                  </w:divsChild>
                </w:div>
                <w:div w:id="1725252526">
                  <w:marLeft w:val="0"/>
                  <w:marRight w:val="0"/>
                  <w:marTop w:val="0"/>
                  <w:marBottom w:val="0"/>
                  <w:divBdr>
                    <w:top w:val="none" w:sz="0" w:space="0" w:color="auto"/>
                    <w:left w:val="none" w:sz="0" w:space="0" w:color="auto"/>
                    <w:bottom w:val="none" w:sz="0" w:space="0" w:color="auto"/>
                    <w:right w:val="none" w:sz="0" w:space="0" w:color="auto"/>
                  </w:divBdr>
                  <w:divsChild>
                    <w:div w:id="116336976">
                      <w:marLeft w:val="0"/>
                      <w:marRight w:val="0"/>
                      <w:marTop w:val="0"/>
                      <w:marBottom w:val="0"/>
                      <w:divBdr>
                        <w:top w:val="none" w:sz="0" w:space="0" w:color="auto"/>
                        <w:left w:val="none" w:sz="0" w:space="0" w:color="auto"/>
                        <w:bottom w:val="none" w:sz="0" w:space="0" w:color="auto"/>
                        <w:right w:val="none" w:sz="0" w:space="0" w:color="auto"/>
                      </w:divBdr>
                    </w:div>
                  </w:divsChild>
                </w:div>
                <w:div w:id="1763447302">
                  <w:marLeft w:val="0"/>
                  <w:marRight w:val="0"/>
                  <w:marTop w:val="0"/>
                  <w:marBottom w:val="0"/>
                  <w:divBdr>
                    <w:top w:val="none" w:sz="0" w:space="0" w:color="auto"/>
                    <w:left w:val="none" w:sz="0" w:space="0" w:color="auto"/>
                    <w:bottom w:val="none" w:sz="0" w:space="0" w:color="auto"/>
                    <w:right w:val="none" w:sz="0" w:space="0" w:color="auto"/>
                  </w:divBdr>
                  <w:divsChild>
                    <w:div w:id="80108039">
                      <w:marLeft w:val="0"/>
                      <w:marRight w:val="0"/>
                      <w:marTop w:val="0"/>
                      <w:marBottom w:val="0"/>
                      <w:divBdr>
                        <w:top w:val="none" w:sz="0" w:space="0" w:color="auto"/>
                        <w:left w:val="none" w:sz="0" w:space="0" w:color="auto"/>
                        <w:bottom w:val="none" w:sz="0" w:space="0" w:color="auto"/>
                        <w:right w:val="none" w:sz="0" w:space="0" w:color="auto"/>
                      </w:divBdr>
                    </w:div>
                  </w:divsChild>
                </w:div>
                <w:div w:id="1804536303">
                  <w:marLeft w:val="0"/>
                  <w:marRight w:val="0"/>
                  <w:marTop w:val="0"/>
                  <w:marBottom w:val="0"/>
                  <w:divBdr>
                    <w:top w:val="none" w:sz="0" w:space="0" w:color="auto"/>
                    <w:left w:val="none" w:sz="0" w:space="0" w:color="auto"/>
                    <w:bottom w:val="none" w:sz="0" w:space="0" w:color="auto"/>
                    <w:right w:val="none" w:sz="0" w:space="0" w:color="auto"/>
                  </w:divBdr>
                  <w:divsChild>
                    <w:div w:id="847212004">
                      <w:marLeft w:val="0"/>
                      <w:marRight w:val="0"/>
                      <w:marTop w:val="0"/>
                      <w:marBottom w:val="0"/>
                      <w:divBdr>
                        <w:top w:val="none" w:sz="0" w:space="0" w:color="auto"/>
                        <w:left w:val="none" w:sz="0" w:space="0" w:color="auto"/>
                        <w:bottom w:val="none" w:sz="0" w:space="0" w:color="auto"/>
                        <w:right w:val="none" w:sz="0" w:space="0" w:color="auto"/>
                      </w:divBdr>
                    </w:div>
                  </w:divsChild>
                </w:div>
                <w:div w:id="1870874239">
                  <w:marLeft w:val="0"/>
                  <w:marRight w:val="0"/>
                  <w:marTop w:val="0"/>
                  <w:marBottom w:val="0"/>
                  <w:divBdr>
                    <w:top w:val="none" w:sz="0" w:space="0" w:color="auto"/>
                    <w:left w:val="none" w:sz="0" w:space="0" w:color="auto"/>
                    <w:bottom w:val="none" w:sz="0" w:space="0" w:color="auto"/>
                    <w:right w:val="none" w:sz="0" w:space="0" w:color="auto"/>
                  </w:divBdr>
                  <w:divsChild>
                    <w:div w:id="1878737187">
                      <w:marLeft w:val="0"/>
                      <w:marRight w:val="0"/>
                      <w:marTop w:val="0"/>
                      <w:marBottom w:val="0"/>
                      <w:divBdr>
                        <w:top w:val="none" w:sz="0" w:space="0" w:color="auto"/>
                        <w:left w:val="none" w:sz="0" w:space="0" w:color="auto"/>
                        <w:bottom w:val="none" w:sz="0" w:space="0" w:color="auto"/>
                        <w:right w:val="none" w:sz="0" w:space="0" w:color="auto"/>
                      </w:divBdr>
                    </w:div>
                  </w:divsChild>
                </w:div>
                <w:div w:id="1971355530">
                  <w:marLeft w:val="0"/>
                  <w:marRight w:val="0"/>
                  <w:marTop w:val="0"/>
                  <w:marBottom w:val="0"/>
                  <w:divBdr>
                    <w:top w:val="none" w:sz="0" w:space="0" w:color="auto"/>
                    <w:left w:val="none" w:sz="0" w:space="0" w:color="auto"/>
                    <w:bottom w:val="none" w:sz="0" w:space="0" w:color="auto"/>
                    <w:right w:val="none" w:sz="0" w:space="0" w:color="auto"/>
                  </w:divBdr>
                  <w:divsChild>
                    <w:div w:id="1778744849">
                      <w:marLeft w:val="0"/>
                      <w:marRight w:val="0"/>
                      <w:marTop w:val="0"/>
                      <w:marBottom w:val="0"/>
                      <w:divBdr>
                        <w:top w:val="none" w:sz="0" w:space="0" w:color="auto"/>
                        <w:left w:val="none" w:sz="0" w:space="0" w:color="auto"/>
                        <w:bottom w:val="none" w:sz="0" w:space="0" w:color="auto"/>
                        <w:right w:val="none" w:sz="0" w:space="0" w:color="auto"/>
                      </w:divBdr>
                    </w:div>
                  </w:divsChild>
                </w:div>
                <w:div w:id="1994871607">
                  <w:marLeft w:val="0"/>
                  <w:marRight w:val="0"/>
                  <w:marTop w:val="0"/>
                  <w:marBottom w:val="0"/>
                  <w:divBdr>
                    <w:top w:val="none" w:sz="0" w:space="0" w:color="auto"/>
                    <w:left w:val="none" w:sz="0" w:space="0" w:color="auto"/>
                    <w:bottom w:val="none" w:sz="0" w:space="0" w:color="auto"/>
                    <w:right w:val="none" w:sz="0" w:space="0" w:color="auto"/>
                  </w:divBdr>
                  <w:divsChild>
                    <w:div w:id="549532308">
                      <w:marLeft w:val="0"/>
                      <w:marRight w:val="0"/>
                      <w:marTop w:val="0"/>
                      <w:marBottom w:val="0"/>
                      <w:divBdr>
                        <w:top w:val="none" w:sz="0" w:space="0" w:color="auto"/>
                        <w:left w:val="none" w:sz="0" w:space="0" w:color="auto"/>
                        <w:bottom w:val="none" w:sz="0" w:space="0" w:color="auto"/>
                        <w:right w:val="none" w:sz="0" w:space="0" w:color="auto"/>
                      </w:divBdr>
                    </w:div>
                  </w:divsChild>
                </w:div>
                <w:div w:id="2109883235">
                  <w:marLeft w:val="0"/>
                  <w:marRight w:val="0"/>
                  <w:marTop w:val="0"/>
                  <w:marBottom w:val="0"/>
                  <w:divBdr>
                    <w:top w:val="none" w:sz="0" w:space="0" w:color="auto"/>
                    <w:left w:val="none" w:sz="0" w:space="0" w:color="auto"/>
                    <w:bottom w:val="none" w:sz="0" w:space="0" w:color="auto"/>
                    <w:right w:val="none" w:sz="0" w:space="0" w:color="auto"/>
                  </w:divBdr>
                  <w:divsChild>
                    <w:div w:id="20649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7352">
          <w:marLeft w:val="0"/>
          <w:marRight w:val="0"/>
          <w:marTop w:val="0"/>
          <w:marBottom w:val="0"/>
          <w:divBdr>
            <w:top w:val="none" w:sz="0" w:space="0" w:color="auto"/>
            <w:left w:val="none" w:sz="0" w:space="0" w:color="auto"/>
            <w:bottom w:val="none" w:sz="0" w:space="0" w:color="auto"/>
            <w:right w:val="none" w:sz="0" w:space="0" w:color="auto"/>
          </w:divBdr>
        </w:div>
        <w:div w:id="925847428">
          <w:marLeft w:val="0"/>
          <w:marRight w:val="0"/>
          <w:marTop w:val="0"/>
          <w:marBottom w:val="0"/>
          <w:divBdr>
            <w:top w:val="none" w:sz="0" w:space="0" w:color="auto"/>
            <w:left w:val="none" w:sz="0" w:space="0" w:color="auto"/>
            <w:bottom w:val="none" w:sz="0" w:space="0" w:color="auto"/>
            <w:right w:val="none" w:sz="0" w:space="0" w:color="auto"/>
          </w:divBdr>
          <w:divsChild>
            <w:div w:id="1675497324">
              <w:marLeft w:val="-75"/>
              <w:marRight w:val="0"/>
              <w:marTop w:val="30"/>
              <w:marBottom w:val="30"/>
              <w:divBdr>
                <w:top w:val="none" w:sz="0" w:space="0" w:color="auto"/>
                <w:left w:val="none" w:sz="0" w:space="0" w:color="auto"/>
                <w:bottom w:val="none" w:sz="0" w:space="0" w:color="auto"/>
                <w:right w:val="none" w:sz="0" w:space="0" w:color="auto"/>
              </w:divBdr>
              <w:divsChild>
                <w:div w:id="15350543">
                  <w:marLeft w:val="0"/>
                  <w:marRight w:val="0"/>
                  <w:marTop w:val="0"/>
                  <w:marBottom w:val="0"/>
                  <w:divBdr>
                    <w:top w:val="none" w:sz="0" w:space="0" w:color="auto"/>
                    <w:left w:val="none" w:sz="0" w:space="0" w:color="auto"/>
                    <w:bottom w:val="none" w:sz="0" w:space="0" w:color="auto"/>
                    <w:right w:val="none" w:sz="0" w:space="0" w:color="auto"/>
                  </w:divBdr>
                  <w:divsChild>
                    <w:div w:id="1773936308">
                      <w:marLeft w:val="0"/>
                      <w:marRight w:val="0"/>
                      <w:marTop w:val="0"/>
                      <w:marBottom w:val="0"/>
                      <w:divBdr>
                        <w:top w:val="none" w:sz="0" w:space="0" w:color="auto"/>
                        <w:left w:val="none" w:sz="0" w:space="0" w:color="auto"/>
                        <w:bottom w:val="none" w:sz="0" w:space="0" w:color="auto"/>
                        <w:right w:val="none" w:sz="0" w:space="0" w:color="auto"/>
                      </w:divBdr>
                    </w:div>
                  </w:divsChild>
                </w:div>
                <w:div w:id="38894566">
                  <w:marLeft w:val="0"/>
                  <w:marRight w:val="0"/>
                  <w:marTop w:val="0"/>
                  <w:marBottom w:val="0"/>
                  <w:divBdr>
                    <w:top w:val="none" w:sz="0" w:space="0" w:color="auto"/>
                    <w:left w:val="none" w:sz="0" w:space="0" w:color="auto"/>
                    <w:bottom w:val="none" w:sz="0" w:space="0" w:color="auto"/>
                    <w:right w:val="none" w:sz="0" w:space="0" w:color="auto"/>
                  </w:divBdr>
                  <w:divsChild>
                    <w:div w:id="73094977">
                      <w:marLeft w:val="0"/>
                      <w:marRight w:val="0"/>
                      <w:marTop w:val="0"/>
                      <w:marBottom w:val="0"/>
                      <w:divBdr>
                        <w:top w:val="none" w:sz="0" w:space="0" w:color="auto"/>
                        <w:left w:val="none" w:sz="0" w:space="0" w:color="auto"/>
                        <w:bottom w:val="none" w:sz="0" w:space="0" w:color="auto"/>
                        <w:right w:val="none" w:sz="0" w:space="0" w:color="auto"/>
                      </w:divBdr>
                    </w:div>
                  </w:divsChild>
                </w:div>
                <w:div w:id="169443208">
                  <w:marLeft w:val="0"/>
                  <w:marRight w:val="0"/>
                  <w:marTop w:val="0"/>
                  <w:marBottom w:val="0"/>
                  <w:divBdr>
                    <w:top w:val="none" w:sz="0" w:space="0" w:color="auto"/>
                    <w:left w:val="none" w:sz="0" w:space="0" w:color="auto"/>
                    <w:bottom w:val="none" w:sz="0" w:space="0" w:color="auto"/>
                    <w:right w:val="none" w:sz="0" w:space="0" w:color="auto"/>
                  </w:divBdr>
                  <w:divsChild>
                    <w:div w:id="468868203">
                      <w:marLeft w:val="0"/>
                      <w:marRight w:val="0"/>
                      <w:marTop w:val="0"/>
                      <w:marBottom w:val="0"/>
                      <w:divBdr>
                        <w:top w:val="none" w:sz="0" w:space="0" w:color="auto"/>
                        <w:left w:val="none" w:sz="0" w:space="0" w:color="auto"/>
                        <w:bottom w:val="none" w:sz="0" w:space="0" w:color="auto"/>
                        <w:right w:val="none" w:sz="0" w:space="0" w:color="auto"/>
                      </w:divBdr>
                    </w:div>
                  </w:divsChild>
                </w:div>
                <w:div w:id="240215156">
                  <w:marLeft w:val="0"/>
                  <w:marRight w:val="0"/>
                  <w:marTop w:val="0"/>
                  <w:marBottom w:val="0"/>
                  <w:divBdr>
                    <w:top w:val="none" w:sz="0" w:space="0" w:color="auto"/>
                    <w:left w:val="none" w:sz="0" w:space="0" w:color="auto"/>
                    <w:bottom w:val="none" w:sz="0" w:space="0" w:color="auto"/>
                    <w:right w:val="none" w:sz="0" w:space="0" w:color="auto"/>
                  </w:divBdr>
                  <w:divsChild>
                    <w:div w:id="1430396250">
                      <w:marLeft w:val="0"/>
                      <w:marRight w:val="0"/>
                      <w:marTop w:val="0"/>
                      <w:marBottom w:val="0"/>
                      <w:divBdr>
                        <w:top w:val="none" w:sz="0" w:space="0" w:color="auto"/>
                        <w:left w:val="none" w:sz="0" w:space="0" w:color="auto"/>
                        <w:bottom w:val="none" w:sz="0" w:space="0" w:color="auto"/>
                        <w:right w:val="none" w:sz="0" w:space="0" w:color="auto"/>
                      </w:divBdr>
                    </w:div>
                  </w:divsChild>
                </w:div>
                <w:div w:id="244190441">
                  <w:marLeft w:val="0"/>
                  <w:marRight w:val="0"/>
                  <w:marTop w:val="0"/>
                  <w:marBottom w:val="0"/>
                  <w:divBdr>
                    <w:top w:val="none" w:sz="0" w:space="0" w:color="auto"/>
                    <w:left w:val="none" w:sz="0" w:space="0" w:color="auto"/>
                    <w:bottom w:val="none" w:sz="0" w:space="0" w:color="auto"/>
                    <w:right w:val="none" w:sz="0" w:space="0" w:color="auto"/>
                  </w:divBdr>
                  <w:divsChild>
                    <w:div w:id="950010310">
                      <w:marLeft w:val="0"/>
                      <w:marRight w:val="0"/>
                      <w:marTop w:val="0"/>
                      <w:marBottom w:val="0"/>
                      <w:divBdr>
                        <w:top w:val="none" w:sz="0" w:space="0" w:color="auto"/>
                        <w:left w:val="none" w:sz="0" w:space="0" w:color="auto"/>
                        <w:bottom w:val="none" w:sz="0" w:space="0" w:color="auto"/>
                        <w:right w:val="none" w:sz="0" w:space="0" w:color="auto"/>
                      </w:divBdr>
                    </w:div>
                  </w:divsChild>
                </w:div>
                <w:div w:id="304506455">
                  <w:marLeft w:val="0"/>
                  <w:marRight w:val="0"/>
                  <w:marTop w:val="0"/>
                  <w:marBottom w:val="0"/>
                  <w:divBdr>
                    <w:top w:val="none" w:sz="0" w:space="0" w:color="auto"/>
                    <w:left w:val="none" w:sz="0" w:space="0" w:color="auto"/>
                    <w:bottom w:val="none" w:sz="0" w:space="0" w:color="auto"/>
                    <w:right w:val="none" w:sz="0" w:space="0" w:color="auto"/>
                  </w:divBdr>
                  <w:divsChild>
                    <w:div w:id="1131703527">
                      <w:marLeft w:val="0"/>
                      <w:marRight w:val="0"/>
                      <w:marTop w:val="0"/>
                      <w:marBottom w:val="0"/>
                      <w:divBdr>
                        <w:top w:val="none" w:sz="0" w:space="0" w:color="auto"/>
                        <w:left w:val="none" w:sz="0" w:space="0" w:color="auto"/>
                        <w:bottom w:val="none" w:sz="0" w:space="0" w:color="auto"/>
                        <w:right w:val="none" w:sz="0" w:space="0" w:color="auto"/>
                      </w:divBdr>
                    </w:div>
                  </w:divsChild>
                </w:div>
                <w:div w:id="321006288">
                  <w:marLeft w:val="0"/>
                  <w:marRight w:val="0"/>
                  <w:marTop w:val="0"/>
                  <w:marBottom w:val="0"/>
                  <w:divBdr>
                    <w:top w:val="none" w:sz="0" w:space="0" w:color="auto"/>
                    <w:left w:val="none" w:sz="0" w:space="0" w:color="auto"/>
                    <w:bottom w:val="none" w:sz="0" w:space="0" w:color="auto"/>
                    <w:right w:val="none" w:sz="0" w:space="0" w:color="auto"/>
                  </w:divBdr>
                  <w:divsChild>
                    <w:div w:id="246424158">
                      <w:marLeft w:val="0"/>
                      <w:marRight w:val="0"/>
                      <w:marTop w:val="0"/>
                      <w:marBottom w:val="0"/>
                      <w:divBdr>
                        <w:top w:val="none" w:sz="0" w:space="0" w:color="auto"/>
                        <w:left w:val="none" w:sz="0" w:space="0" w:color="auto"/>
                        <w:bottom w:val="none" w:sz="0" w:space="0" w:color="auto"/>
                        <w:right w:val="none" w:sz="0" w:space="0" w:color="auto"/>
                      </w:divBdr>
                    </w:div>
                  </w:divsChild>
                </w:div>
                <w:div w:id="493645967">
                  <w:marLeft w:val="0"/>
                  <w:marRight w:val="0"/>
                  <w:marTop w:val="0"/>
                  <w:marBottom w:val="0"/>
                  <w:divBdr>
                    <w:top w:val="none" w:sz="0" w:space="0" w:color="auto"/>
                    <w:left w:val="none" w:sz="0" w:space="0" w:color="auto"/>
                    <w:bottom w:val="none" w:sz="0" w:space="0" w:color="auto"/>
                    <w:right w:val="none" w:sz="0" w:space="0" w:color="auto"/>
                  </w:divBdr>
                  <w:divsChild>
                    <w:div w:id="202135519">
                      <w:marLeft w:val="0"/>
                      <w:marRight w:val="0"/>
                      <w:marTop w:val="0"/>
                      <w:marBottom w:val="0"/>
                      <w:divBdr>
                        <w:top w:val="none" w:sz="0" w:space="0" w:color="auto"/>
                        <w:left w:val="none" w:sz="0" w:space="0" w:color="auto"/>
                        <w:bottom w:val="none" w:sz="0" w:space="0" w:color="auto"/>
                        <w:right w:val="none" w:sz="0" w:space="0" w:color="auto"/>
                      </w:divBdr>
                    </w:div>
                  </w:divsChild>
                </w:div>
                <w:div w:id="544872146">
                  <w:marLeft w:val="0"/>
                  <w:marRight w:val="0"/>
                  <w:marTop w:val="0"/>
                  <w:marBottom w:val="0"/>
                  <w:divBdr>
                    <w:top w:val="none" w:sz="0" w:space="0" w:color="auto"/>
                    <w:left w:val="none" w:sz="0" w:space="0" w:color="auto"/>
                    <w:bottom w:val="none" w:sz="0" w:space="0" w:color="auto"/>
                    <w:right w:val="none" w:sz="0" w:space="0" w:color="auto"/>
                  </w:divBdr>
                  <w:divsChild>
                    <w:div w:id="899948327">
                      <w:marLeft w:val="0"/>
                      <w:marRight w:val="0"/>
                      <w:marTop w:val="0"/>
                      <w:marBottom w:val="0"/>
                      <w:divBdr>
                        <w:top w:val="none" w:sz="0" w:space="0" w:color="auto"/>
                        <w:left w:val="none" w:sz="0" w:space="0" w:color="auto"/>
                        <w:bottom w:val="none" w:sz="0" w:space="0" w:color="auto"/>
                        <w:right w:val="none" w:sz="0" w:space="0" w:color="auto"/>
                      </w:divBdr>
                    </w:div>
                  </w:divsChild>
                </w:div>
                <w:div w:id="659387794">
                  <w:marLeft w:val="0"/>
                  <w:marRight w:val="0"/>
                  <w:marTop w:val="0"/>
                  <w:marBottom w:val="0"/>
                  <w:divBdr>
                    <w:top w:val="none" w:sz="0" w:space="0" w:color="auto"/>
                    <w:left w:val="none" w:sz="0" w:space="0" w:color="auto"/>
                    <w:bottom w:val="none" w:sz="0" w:space="0" w:color="auto"/>
                    <w:right w:val="none" w:sz="0" w:space="0" w:color="auto"/>
                  </w:divBdr>
                  <w:divsChild>
                    <w:div w:id="1148324455">
                      <w:marLeft w:val="0"/>
                      <w:marRight w:val="0"/>
                      <w:marTop w:val="0"/>
                      <w:marBottom w:val="0"/>
                      <w:divBdr>
                        <w:top w:val="none" w:sz="0" w:space="0" w:color="auto"/>
                        <w:left w:val="none" w:sz="0" w:space="0" w:color="auto"/>
                        <w:bottom w:val="none" w:sz="0" w:space="0" w:color="auto"/>
                        <w:right w:val="none" w:sz="0" w:space="0" w:color="auto"/>
                      </w:divBdr>
                    </w:div>
                  </w:divsChild>
                </w:div>
                <w:div w:id="712660440">
                  <w:marLeft w:val="0"/>
                  <w:marRight w:val="0"/>
                  <w:marTop w:val="0"/>
                  <w:marBottom w:val="0"/>
                  <w:divBdr>
                    <w:top w:val="none" w:sz="0" w:space="0" w:color="auto"/>
                    <w:left w:val="none" w:sz="0" w:space="0" w:color="auto"/>
                    <w:bottom w:val="none" w:sz="0" w:space="0" w:color="auto"/>
                    <w:right w:val="none" w:sz="0" w:space="0" w:color="auto"/>
                  </w:divBdr>
                  <w:divsChild>
                    <w:div w:id="373119844">
                      <w:marLeft w:val="0"/>
                      <w:marRight w:val="0"/>
                      <w:marTop w:val="0"/>
                      <w:marBottom w:val="0"/>
                      <w:divBdr>
                        <w:top w:val="none" w:sz="0" w:space="0" w:color="auto"/>
                        <w:left w:val="none" w:sz="0" w:space="0" w:color="auto"/>
                        <w:bottom w:val="none" w:sz="0" w:space="0" w:color="auto"/>
                        <w:right w:val="none" w:sz="0" w:space="0" w:color="auto"/>
                      </w:divBdr>
                    </w:div>
                  </w:divsChild>
                </w:div>
                <w:div w:id="785930426">
                  <w:marLeft w:val="0"/>
                  <w:marRight w:val="0"/>
                  <w:marTop w:val="0"/>
                  <w:marBottom w:val="0"/>
                  <w:divBdr>
                    <w:top w:val="none" w:sz="0" w:space="0" w:color="auto"/>
                    <w:left w:val="none" w:sz="0" w:space="0" w:color="auto"/>
                    <w:bottom w:val="none" w:sz="0" w:space="0" w:color="auto"/>
                    <w:right w:val="none" w:sz="0" w:space="0" w:color="auto"/>
                  </w:divBdr>
                  <w:divsChild>
                    <w:div w:id="1209730963">
                      <w:marLeft w:val="0"/>
                      <w:marRight w:val="0"/>
                      <w:marTop w:val="0"/>
                      <w:marBottom w:val="0"/>
                      <w:divBdr>
                        <w:top w:val="none" w:sz="0" w:space="0" w:color="auto"/>
                        <w:left w:val="none" w:sz="0" w:space="0" w:color="auto"/>
                        <w:bottom w:val="none" w:sz="0" w:space="0" w:color="auto"/>
                        <w:right w:val="none" w:sz="0" w:space="0" w:color="auto"/>
                      </w:divBdr>
                    </w:div>
                  </w:divsChild>
                </w:div>
                <w:div w:id="846288290">
                  <w:marLeft w:val="0"/>
                  <w:marRight w:val="0"/>
                  <w:marTop w:val="0"/>
                  <w:marBottom w:val="0"/>
                  <w:divBdr>
                    <w:top w:val="none" w:sz="0" w:space="0" w:color="auto"/>
                    <w:left w:val="none" w:sz="0" w:space="0" w:color="auto"/>
                    <w:bottom w:val="none" w:sz="0" w:space="0" w:color="auto"/>
                    <w:right w:val="none" w:sz="0" w:space="0" w:color="auto"/>
                  </w:divBdr>
                  <w:divsChild>
                    <w:div w:id="365253569">
                      <w:marLeft w:val="0"/>
                      <w:marRight w:val="0"/>
                      <w:marTop w:val="0"/>
                      <w:marBottom w:val="0"/>
                      <w:divBdr>
                        <w:top w:val="none" w:sz="0" w:space="0" w:color="auto"/>
                        <w:left w:val="none" w:sz="0" w:space="0" w:color="auto"/>
                        <w:bottom w:val="none" w:sz="0" w:space="0" w:color="auto"/>
                        <w:right w:val="none" w:sz="0" w:space="0" w:color="auto"/>
                      </w:divBdr>
                    </w:div>
                  </w:divsChild>
                </w:div>
                <w:div w:id="993677228">
                  <w:marLeft w:val="0"/>
                  <w:marRight w:val="0"/>
                  <w:marTop w:val="0"/>
                  <w:marBottom w:val="0"/>
                  <w:divBdr>
                    <w:top w:val="none" w:sz="0" w:space="0" w:color="auto"/>
                    <w:left w:val="none" w:sz="0" w:space="0" w:color="auto"/>
                    <w:bottom w:val="none" w:sz="0" w:space="0" w:color="auto"/>
                    <w:right w:val="none" w:sz="0" w:space="0" w:color="auto"/>
                  </w:divBdr>
                  <w:divsChild>
                    <w:div w:id="918176310">
                      <w:marLeft w:val="0"/>
                      <w:marRight w:val="0"/>
                      <w:marTop w:val="0"/>
                      <w:marBottom w:val="0"/>
                      <w:divBdr>
                        <w:top w:val="none" w:sz="0" w:space="0" w:color="auto"/>
                        <w:left w:val="none" w:sz="0" w:space="0" w:color="auto"/>
                        <w:bottom w:val="none" w:sz="0" w:space="0" w:color="auto"/>
                        <w:right w:val="none" w:sz="0" w:space="0" w:color="auto"/>
                      </w:divBdr>
                    </w:div>
                  </w:divsChild>
                </w:div>
                <w:div w:id="1030300500">
                  <w:marLeft w:val="0"/>
                  <w:marRight w:val="0"/>
                  <w:marTop w:val="0"/>
                  <w:marBottom w:val="0"/>
                  <w:divBdr>
                    <w:top w:val="none" w:sz="0" w:space="0" w:color="auto"/>
                    <w:left w:val="none" w:sz="0" w:space="0" w:color="auto"/>
                    <w:bottom w:val="none" w:sz="0" w:space="0" w:color="auto"/>
                    <w:right w:val="none" w:sz="0" w:space="0" w:color="auto"/>
                  </w:divBdr>
                  <w:divsChild>
                    <w:div w:id="2038507811">
                      <w:marLeft w:val="0"/>
                      <w:marRight w:val="0"/>
                      <w:marTop w:val="0"/>
                      <w:marBottom w:val="0"/>
                      <w:divBdr>
                        <w:top w:val="none" w:sz="0" w:space="0" w:color="auto"/>
                        <w:left w:val="none" w:sz="0" w:space="0" w:color="auto"/>
                        <w:bottom w:val="none" w:sz="0" w:space="0" w:color="auto"/>
                        <w:right w:val="none" w:sz="0" w:space="0" w:color="auto"/>
                      </w:divBdr>
                    </w:div>
                  </w:divsChild>
                </w:div>
                <w:div w:id="1141074434">
                  <w:marLeft w:val="0"/>
                  <w:marRight w:val="0"/>
                  <w:marTop w:val="0"/>
                  <w:marBottom w:val="0"/>
                  <w:divBdr>
                    <w:top w:val="none" w:sz="0" w:space="0" w:color="auto"/>
                    <w:left w:val="none" w:sz="0" w:space="0" w:color="auto"/>
                    <w:bottom w:val="none" w:sz="0" w:space="0" w:color="auto"/>
                    <w:right w:val="none" w:sz="0" w:space="0" w:color="auto"/>
                  </w:divBdr>
                  <w:divsChild>
                    <w:div w:id="2048288637">
                      <w:marLeft w:val="0"/>
                      <w:marRight w:val="0"/>
                      <w:marTop w:val="0"/>
                      <w:marBottom w:val="0"/>
                      <w:divBdr>
                        <w:top w:val="none" w:sz="0" w:space="0" w:color="auto"/>
                        <w:left w:val="none" w:sz="0" w:space="0" w:color="auto"/>
                        <w:bottom w:val="none" w:sz="0" w:space="0" w:color="auto"/>
                        <w:right w:val="none" w:sz="0" w:space="0" w:color="auto"/>
                      </w:divBdr>
                    </w:div>
                  </w:divsChild>
                </w:div>
                <w:div w:id="1176651441">
                  <w:marLeft w:val="0"/>
                  <w:marRight w:val="0"/>
                  <w:marTop w:val="0"/>
                  <w:marBottom w:val="0"/>
                  <w:divBdr>
                    <w:top w:val="none" w:sz="0" w:space="0" w:color="auto"/>
                    <w:left w:val="none" w:sz="0" w:space="0" w:color="auto"/>
                    <w:bottom w:val="none" w:sz="0" w:space="0" w:color="auto"/>
                    <w:right w:val="none" w:sz="0" w:space="0" w:color="auto"/>
                  </w:divBdr>
                  <w:divsChild>
                    <w:div w:id="1100952258">
                      <w:marLeft w:val="0"/>
                      <w:marRight w:val="0"/>
                      <w:marTop w:val="0"/>
                      <w:marBottom w:val="0"/>
                      <w:divBdr>
                        <w:top w:val="none" w:sz="0" w:space="0" w:color="auto"/>
                        <w:left w:val="none" w:sz="0" w:space="0" w:color="auto"/>
                        <w:bottom w:val="none" w:sz="0" w:space="0" w:color="auto"/>
                        <w:right w:val="none" w:sz="0" w:space="0" w:color="auto"/>
                      </w:divBdr>
                    </w:div>
                  </w:divsChild>
                </w:div>
                <w:div w:id="1192303915">
                  <w:marLeft w:val="0"/>
                  <w:marRight w:val="0"/>
                  <w:marTop w:val="0"/>
                  <w:marBottom w:val="0"/>
                  <w:divBdr>
                    <w:top w:val="none" w:sz="0" w:space="0" w:color="auto"/>
                    <w:left w:val="none" w:sz="0" w:space="0" w:color="auto"/>
                    <w:bottom w:val="none" w:sz="0" w:space="0" w:color="auto"/>
                    <w:right w:val="none" w:sz="0" w:space="0" w:color="auto"/>
                  </w:divBdr>
                  <w:divsChild>
                    <w:div w:id="1661544643">
                      <w:marLeft w:val="0"/>
                      <w:marRight w:val="0"/>
                      <w:marTop w:val="0"/>
                      <w:marBottom w:val="0"/>
                      <w:divBdr>
                        <w:top w:val="none" w:sz="0" w:space="0" w:color="auto"/>
                        <w:left w:val="none" w:sz="0" w:space="0" w:color="auto"/>
                        <w:bottom w:val="none" w:sz="0" w:space="0" w:color="auto"/>
                        <w:right w:val="none" w:sz="0" w:space="0" w:color="auto"/>
                      </w:divBdr>
                    </w:div>
                  </w:divsChild>
                </w:div>
                <w:div w:id="1274242896">
                  <w:marLeft w:val="0"/>
                  <w:marRight w:val="0"/>
                  <w:marTop w:val="0"/>
                  <w:marBottom w:val="0"/>
                  <w:divBdr>
                    <w:top w:val="none" w:sz="0" w:space="0" w:color="auto"/>
                    <w:left w:val="none" w:sz="0" w:space="0" w:color="auto"/>
                    <w:bottom w:val="none" w:sz="0" w:space="0" w:color="auto"/>
                    <w:right w:val="none" w:sz="0" w:space="0" w:color="auto"/>
                  </w:divBdr>
                  <w:divsChild>
                    <w:div w:id="2084330034">
                      <w:marLeft w:val="0"/>
                      <w:marRight w:val="0"/>
                      <w:marTop w:val="0"/>
                      <w:marBottom w:val="0"/>
                      <w:divBdr>
                        <w:top w:val="none" w:sz="0" w:space="0" w:color="auto"/>
                        <w:left w:val="none" w:sz="0" w:space="0" w:color="auto"/>
                        <w:bottom w:val="none" w:sz="0" w:space="0" w:color="auto"/>
                        <w:right w:val="none" w:sz="0" w:space="0" w:color="auto"/>
                      </w:divBdr>
                    </w:div>
                  </w:divsChild>
                </w:div>
                <w:div w:id="1310405261">
                  <w:marLeft w:val="0"/>
                  <w:marRight w:val="0"/>
                  <w:marTop w:val="0"/>
                  <w:marBottom w:val="0"/>
                  <w:divBdr>
                    <w:top w:val="none" w:sz="0" w:space="0" w:color="auto"/>
                    <w:left w:val="none" w:sz="0" w:space="0" w:color="auto"/>
                    <w:bottom w:val="none" w:sz="0" w:space="0" w:color="auto"/>
                    <w:right w:val="none" w:sz="0" w:space="0" w:color="auto"/>
                  </w:divBdr>
                  <w:divsChild>
                    <w:div w:id="433403930">
                      <w:marLeft w:val="0"/>
                      <w:marRight w:val="0"/>
                      <w:marTop w:val="0"/>
                      <w:marBottom w:val="0"/>
                      <w:divBdr>
                        <w:top w:val="none" w:sz="0" w:space="0" w:color="auto"/>
                        <w:left w:val="none" w:sz="0" w:space="0" w:color="auto"/>
                        <w:bottom w:val="none" w:sz="0" w:space="0" w:color="auto"/>
                        <w:right w:val="none" w:sz="0" w:space="0" w:color="auto"/>
                      </w:divBdr>
                    </w:div>
                  </w:divsChild>
                </w:div>
                <w:div w:id="1480728017">
                  <w:marLeft w:val="0"/>
                  <w:marRight w:val="0"/>
                  <w:marTop w:val="0"/>
                  <w:marBottom w:val="0"/>
                  <w:divBdr>
                    <w:top w:val="none" w:sz="0" w:space="0" w:color="auto"/>
                    <w:left w:val="none" w:sz="0" w:space="0" w:color="auto"/>
                    <w:bottom w:val="none" w:sz="0" w:space="0" w:color="auto"/>
                    <w:right w:val="none" w:sz="0" w:space="0" w:color="auto"/>
                  </w:divBdr>
                  <w:divsChild>
                    <w:div w:id="2124641697">
                      <w:marLeft w:val="0"/>
                      <w:marRight w:val="0"/>
                      <w:marTop w:val="0"/>
                      <w:marBottom w:val="0"/>
                      <w:divBdr>
                        <w:top w:val="none" w:sz="0" w:space="0" w:color="auto"/>
                        <w:left w:val="none" w:sz="0" w:space="0" w:color="auto"/>
                        <w:bottom w:val="none" w:sz="0" w:space="0" w:color="auto"/>
                        <w:right w:val="none" w:sz="0" w:space="0" w:color="auto"/>
                      </w:divBdr>
                    </w:div>
                  </w:divsChild>
                </w:div>
                <w:div w:id="1508208065">
                  <w:marLeft w:val="0"/>
                  <w:marRight w:val="0"/>
                  <w:marTop w:val="0"/>
                  <w:marBottom w:val="0"/>
                  <w:divBdr>
                    <w:top w:val="none" w:sz="0" w:space="0" w:color="auto"/>
                    <w:left w:val="none" w:sz="0" w:space="0" w:color="auto"/>
                    <w:bottom w:val="none" w:sz="0" w:space="0" w:color="auto"/>
                    <w:right w:val="none" w:sz="0" w:space="0" w:color="auto"/>
                  </w:divBdr>
                  <w:divsChild>
                    <w:div w:id="2052606963">
                      <w:marLeft w:val="0"/>
                      <w:marRight w:val="0"/>
                      <w:marTop w:val="0"/>
                      <w:marBottom w:val="0"/>
                      <w:divBdr>
                        <w:top w:val="none" w:sz="0" w:space="0" w:color="auto"/>
                        <w:left w:val="none" w:sz="0" w:space="0" w:color="auto"/>
                        <w:bottom w:val="none" w:sz="0" w:space="0" w:color="auto"/>
                        <w:right w:val="none" w:sz="0" w:space="0" w:color="auto"/>
                      </w:divBdr>
                    </w:div>
                  </w:divsChild>
                </w:div>
                <w:div w:id="1710565699">
                  <w:marLeft w:val="0"/>
                  <w:marRight w:val="0"/>
                  <w:marTop w:val="0"/>
                  <w:marBottom w:val="0"/>
                  <w:divBdr>
                    <w:top w:val="none" w:sz="0" w:space="0" w:color="auto"/>
                    <w:left w:val="none" w:sz="0" w:space="0" w:color="auto"/>
                    <w:bottom w:val="none" w:sz="0" w:space="0" w:color="auto"/>
                    <w:right w:val="none" w:sz="0" w:space="0" w:color="auto"/>
                  </w:divBdr>
                  <w:divsChild>
                    <w:div w:id="716900595">
                      <w:marLeft w:val="0"/>
                      <w:marRight w:val="0"/>
                      <w:marTop w:val="0"/>
                      <w:marBottom w:val="0"/>
                      <w:divBdr>
                        <w:top w:val="none" w:sz="0" w:space="0" w:color="auto"/>
                        <w:left w:val="none" w:sz="0" w:space="0" w:color="auto"/>
                        <w:bottom w:val="none" w:sz="0" w:space="0" w:color="auto"/>
                        <w:right w:val="none" w:sz="0" w:space="0" w:color="auto"/>
                      </w:divBdr>
                    </w:div>
                  </w:divsChild>
                </w:div>
                <w:div w:id="1753891706">
                  <w:marLeft w:val="0"/>
                  <w:marRight w:val="0"/>
                  <w:marTop w:val="0"/>
                  <w:marBottom w:val="0"/>
                  <w:divBdr>
                    <w:top w:val="none" w:sz="0" w:space="0" w:color="auto"/>
                    <w:left w:val="none" w:sz="0" w:space="0" w:color="auto"/>
                    <w:bottom w:val="none" w:sz="0" w:space="0" w:color="auto"/>
                    <w:right w:val="none" w:sz="0" w:space="0" w:color="auto"/>
                  </w:divBdr>
                  <w:divsChild>
                    <w:div w:id="1982032426">
                      <w:marLeft w:val="0"/>
                      <w:marRight w:val="0"/>
                      <w:marTop w:val="0"/>
                      <w:marBottom w:val="0"/>
                      <w:divBdr>
                        <w:top w:val="none" w:sz="0" w:space="0" w:color="auto"/>
                        <w:left w:val="none" w:sz="0" w:space="0" w:color="auto"/>
                        <w:bottom w:val="none" w:sz="0" w:space="0" w:color="auto"/>
                        <w:right w:val="none" w:sz="0" w:space="0" w:color="auto"/>
                      </w:divBdr>
                    </w:div>
                  </w:divsChild>
                </w:div>
                <w:div w:id="1756627968">
                  <w:marLeft w:val="0"/>
                  <w:marRight w:val="0"/>
                  <w:marTop w:val="0"/>
                  <w:marBottom w:val="0"/>
                  <w:divBdr>
                    <w:top w:val="none" w:sz="0" w:space="0" w:color="auto"/>
                    <w:left w:val="none" w:sz="0" w:space="0" w:color="auto"/>
                    <w:bottom w:val="none" w:sz="0" w:space="0" w:color="auto"/>
                    <w:right w:val="none" w:sz="0" w:space="0" w:color="auto"/>
                  </w:divBdr>
                  <w:divsChild>
                    <w:div w:id="451444264">
                      <w:marLeft w:val="0"/>
                      <w:marRight w:val="0"/>
                      <w:marTop w:val="0"/>
                      <w:marBottom w:val="0"/>
                      <w:divBdr>
                        <w:top w:val="none" w:sz="0" w:space="0" w:color="auto"/>
                        <w:left w:val="none" w:sz="0" w:space="0" w:color="auto"/>
                        <w:bottom w:val="none" w:sz="0" w:space="0" w:color="auto"/>
                        <w:right w:val="none" w:sz="0" w:space="0" w:color="auto"/>
                      </w:divBdr>
                    </w:div>
                  </w:divsChild>
                </w:div>
                <w:div w:id="1832134673">
                  <w:marLeft w:val="0"/>
                  <w:marRight w:val="0"/>
                  <w:marTop w:val="0"/>
                  <w:marBottom w:val="0"/>
                  <w:divBdr>
                    <w:top w:val="none" w:sz="0" w:space="0" w:color="auto"/>
                    <w:left w:val="none" w:sz="0" w:space="0" w:color="auto"/>
                    <w:bottom w:val="none" w:sz="0" w:space="0" w:color="auto"/>
                    <w:right w:val="none" w:sz="0" w:space="0" w:color="auto"/>
                  </w:divBdr>
                  <w:divsChild>
                    <w:div w:id="1931742335">
                      <w:marLeft w:val="0"/>
                      <w:marRight w:val="0"/>
                      <w:marTop w:val="0"/>
                      <w:marBottom w:val="0"/>
                      <w:divBdr>
                        <w:top w:val="none" w:sz="0" w:space="0" w:color="auto"/>
                        <w:left w:val="none" w:sz="0" w:space="0" w:color="auto"/>
                        <w:bottom w:val="none" w:sz="0" w:space="0" w:color="auto"/>
                        <w:right w:val="none" w:sz="0" w:space="0" w:color="auto"/>
                      </w:divBdr>
                    </w:div>
                  </w:divsChild>
                </w:div>
                <w:div w:id="1841238698">
                  <w:marLeft w:val="0"/>
                  <w:marRight w:val="0"/>
                  <w:marTop w:val="0"/>
                  <w:marBottom w:val="0"/>
                  <w:divBdr>
                    <w:top w:val="none" w:sz="0" w:space="0" w:color="auto"/>
                    <w:left w:val="none" w:sz="0" w:space="0" w:color="auto"/>
                    <w:bottom w:val="none" w:sz="0" w:space="0" w:color="auto"/>
                    <w:right w:val="none" w:sz="0" w:space="0" w:color="auto"/>
                  </w:divBdr>
                  <w:divsChild>
                    <w:div w:id="2003703282">
                      <w:marLeft w:val="0"/>
                      <w:marRight w:val="0"/>
                      <w:marTop w:val="0"/>
                      <w:marBottom w:val="0"/>
                      <w:divBdr>
                        <w:top w:val="none" w:sz="0" w:space="0" w:color="auto"/>
                        <w:left w:val="none" w:sz="0" w:space="0" w:color="auto"/>
                        <w:bottom w:val="none" w:sz="0" w:space="0" w:color="auto"/>
                        <w:right w:val="none" w:sz="0" w:space="0" w:color="auto"/>
                      </w:divBdr>
                    </w:div>
                  </w:divsChild>
                </w:div>
                <w:div w:id="1944068895">
                  <w:marLeft w:val="0"/>
                  <w:marRight w:val="0"/>
                  <w:marTop w:val="0"/>
                  <w:marBottom w:val="0"/>
                  <w:divBdr>
                    <w:top w:val="none" w:sz="0" w:space="0" w:color="auto"/>
                    <w:left w:val="none" w:sz="0" w:space="0" w:color="auto"/>
                    <w:bottom w:val="none" w:sz="0" w:space="0" w:color="auto"/>
                    <w:right w:val="none" w:sz="0" w:space="0" w:color="auto"/>
                  </w:divBdr>
                  <w:divsChild>
                    <w:div w:id="1884635871">
                      <w:marLeft w:val="0"/>
                      <w:marRight w:val="0"/>
                      <w:marTop w:val="0"/>
                      <w:marBottom w:val="0"/>
                      <w:divBdr>
                        <w:top w:val="none" w:sz="0" w:space="0" w:color="auto"/>
                        <w:left w:val="none" w:sz="0" w:space="0" w:color="auto"/>
                        <w:bottom w:val="none" w:sz="0" w:space="0" w:color="auto"/>
                        <w:right w:val="none" w:sz="0" w:space="0" w:color="auto"/>
                      </w:divBdr>
                    </w:div>
                  </w:divsChild>
                </w:div>
                <w:div w:id="1999652402">
                  <w:marLeft w:val="0"/>
                  <w:marRight w:val="0"/>
                  <w:marTop w:val="0"/>
                  <w:marBottom w:val="0"/>
                  <w:divBdr>
                    <w:top w:val="none" w:sz="0" w:space="0" w:color="auto"/>
                    <w:left w:val="none" w:sz="0" w:space="0" w:color="auto"/>
                    <w:bottom w:val="none" w:sz="0" w:space="0" w:color="auto"/>
                    <w:right w:val="none" w:sz="0" w:space="0" w:color="auto"/>
                  </w:divBdr>
                  <w:divsChild>
                    <w:div w:id="2111316190">
                      <w:marLeft w:val="0"/>
                      <w:marRight w:val="0"/>
                      <w:marTop w:val="0"/>
                      <w:marBottom w:val="0"/>
                      <w:divBdr>
                        <w:top w:val="none" w:sz="0" w:space="0" w:color="auto"/>
                        <w:left w:val="none" w:sz="0" w:space="0" w:color="auto"/>
                        <w:bottom w:val="none" w:sz="0" w:space="0" w:color="auto"/>
                        <w:right w:val="none" w:sz="0" w:space="0" w:color="auto"/>
                      </w:divBdr>
                    </w:div>
                  </w:divsChild>
                </w:div>
                <w:div w:id="2078820015">
                  <w:marLeft w:val="0"/>
                  <w:marRight w:val="0"/>
                  <w:marTop w:val="0"/>
                  <w:marBottom w:val="0"/>
                  <w:divBdr>
                    <w:top w:val="none" w:sz="0" w:space="0" w:color="auto"/>
                    <w:left w:val="none" w:sz="0" w:space="0" w:color="auto"/>
                    <w:bottom w:val="none" w:sz="0" w:space="0" w:color="auto"/>
                    <w:right w:val="none" w:sz="0" w:space="0" w:color="auto"/>
                  </w:divBdr>
                  <w:divsChild>
                    <w:div w:id="14550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3287">
          <w:marLeft w:val="0"/>
          <w:marRight w:val="0"/>
          <w:marTop w:val="0"/>
          <w:marBottom w:val="0"/>
          <w:divBdr>
            <w:top w:val="none" w:sz="0" w:space="0" w:color="auto"/>
            <w:left w:val="none" w:sz="0" w:space="0" w:color="auto"/>
            <w:bottom w:val="none" w:sz="0" w:space="0" w:color="auto"/>
            <w:right w:val="none" w:sz="0" w:space="0" w:color="auto"/>
          </w:divBdr>
        </w:div>
        <w:div w:id="999500139">
          <w:marLeft w:val="0"/>
          <w:marRight w:val="0"/>
          <w:marTop w:val="0"/>
          <w:marBottom w:val="0"/>
          <w:divBdr>
            <w:top w:val="none" w:sz="0" w:space="0" w:color="auto"/>
            <w:left w:val="none" w:sz="0" w:space="0" w:color="auto"/>
            <w:bottom w:val="none" w:sz="0" w:space="0" w:color="auto"/>
            <w:right w:val="none" w:sz="0" w:space="0" w:color="auto"/>
          </w:divBdr>
        </w:div>
        <w:div w:id="1040128257">
          <w:marLeft w:val="0"/>
          <w:marRight w:val="0"/>
          <w:marTop w:val="0"/>
          <w:marBottom w:val="0"/>
          <w:divBdr>
            <w:top w:val="none" w:sz="0" w:space="0" w:color="auto"/>
            <w:left w:val="none" w:sz="0" w:space="0" w:color="auto"/>
            <w:bottom w:val="none" w:sz="0" w:space="0" w:color="auto"/>
            <w:right w:val="none" w:sz="0" w:space="0" w:color="auto"/>
          </w:divBdr>
          <w:divsChild>
            <w:div w:id="1245410460">
              <w:marLeft w:val="-75"/>
              <w:marRight w:val="0"/>
              <w:marTop w:val="30"/>
              <w:marBottom w:val="30"/>
              <w:divBdr>
                <w:top w:val="none" w:sz="0" w:space="0" w:color="auto"/>
                <w:left w:val="none" w:sz="0" w:space="0" w:color="auto"/>
                <w:bottom w:val="none" w:sz="0" w:space="0" w:color="auto"/>
                <w:right w:val="none" w:sz="0" w:space="0" w:color="auto"/>
              </w:divBdr>
              <w:divsChild>
                <w:div w:id="416364036">
                  <w:marLeft w:val="0"/>
                  <w:marRight w:val="0"/>
                  <w:marTop w:val="0"/>
                  <w:marBottom w:val="0"/>
                  <w:divBdr>
                    <w:top w:val="none" w:sz="0" w:space="0" w:color="auto"/>
                    <w:left w:val="none" w:sz="0" w:space="0" w:color="auto"/>
                    <w:bottom w:val="none" w:sz="0" w:space="0" w:color="auto"/>
                    <w:right w:val="none" w:sz="0" w:space="0" w:color="auto"/>
                  </w:divBdr>
                  <w:divsChild>
                    <w:div w:id="1742798952">
                      <w:marLeft w:val="0"/>
                      <w:marRight w:val="0"/>
                      <w:marTop w:val="0"/>
                      <w:marBottom w:val="0"/>
                      <w:divBdr>
                        <w:top w:val="none" w:sz="0" w:space="0" w:color="auto"/>
                        <w:left w:val="none" w:sz="0" w:space="0" w:color="auto"/>
                        <w:bottom w:val="none" w:sz="0" w:space="0" w:color="auto"/>
                        <w:right w:val="none" w:sz="0" w:space="0" w:color="auto"/>
                      </w:divBdr>
                    </w:div>
                  </w:divsChild>
                </w:div>
                <w:div w:id="509099427">
                  <w:marLeft w:val="0"/>
                  <w:marRight w:val="0"/>
                  <w:marTop w:val="0"/>
                  <w:marBottom w:val="0"/>
                  <w:divBdr>
                    <w:top w:val="none" w:sz="0" w:space="0" w:color="auto"/>
                    <w:left w:val="none" w:sz="0" w:space="0" w:color="auto"/>
                    <w:bottom w:val="none" w:sz="0" w:space="0" w:color="auto"/>
                    <w:right w:val="none" w:sz="0" w:space="0" w:color="auto"/>
                  </w:divBdr>
                  <w:divsChild>
                    <w:div w:id="789517324">
                      <w:marLeft w:val="0"/>
                      <w:marRight w:val="0"/>
                      <w:marTop w:val="0"/>
                      <w:marBottom w:val="0"/>
                      <w:divBdr>
                        <w:top w:val="none" w:sz="0" w:space="0" w:color="auto"/>
                        <w:left w:val="none" w:sz="0" w:space="0" w:color="auto"/>
                        <w:bottom w:val="none" w:sz="0" w:space="0" w:color="auto"/>
                        <w:right w:val="none" w:sz="0" w:space="0" w:color="auto"/>
                      </w:divBdr>
                    </w:div>
                  </w:divsChild>
                </w:div>
                <w:div w:id="1058168784">
                  <w:marLeft w:val="0"/>
                  <w:marRight w:val="0"/>
                  <w:marTop w:val="0"/>
                  <w:marBottom w:val="0"/>
                  <w:divBdr>
                    <w:top w:val="none" w:sz="0" w:space="0" w:color="auto"/>
                    <w:left w:val="none" w:sz="0" w:space="0" w:color="auto"/>
                    <w:bottom w:val="none" w:sz="0" w:space="0" w:color="auto"/>
                    <w:right w:val="none" w:sz="0" w:space="0" w:color="auto"/>
                  </w:divBdr>
                  <w:divsChild>
                    <w:div w:id="1554999472">
                      <w:marLeft w:val="0"/>
                      <w:marRight w:val="0"/>
                      <w:marTop w:val="0"/>
                      <w:marBottom w:val="0"/>
                      <w:divBdr>
                        <w:top w:val="none" w:sz="0" w:space="0" w:color="auto"/>
                        <w:left w:val="none" w:sz="0" w:space="0" w:color="auto"/>
                        <w:bottom w:val="none" w:sz="0" w:space="0" w:color="auto"/>
                        <w:right w:val="none" w:sz="0" w:space="0" w:color="auto"/>
                      </w:divBdr>
                    </w:div>
                  </w:divsChild>
                </w:div>
                <w:div w:id="1347905521">
                  <w:marLeft w:val="0"/>
                  <w:marRight w:val="0"/>
                  <w:marTop w:val="0"/>
                  <w:marBottom w:val="0"/>
                  <w:divBdr>
                    <w:top w:val="none" w:sz="0" w:space="0" w:color="auto"/>
                    <w:left w:val="none" w:sz="0" w:space="0" w:color="auto"/>
                    <w:bottom w:val="none" w:sz="0" w:space="0" w:color="auto"/>
                    <w:right w:val="none" w:sz="0" w:space="0" w:color="auto"/>
                  </w:divBdr>
                  <w:divsChild>
                    <w:div w:id="1580287023">
                      <w:marLeft w:val="0"/>
                      <w:marRight w:val="0"/>
                      <w:marTop w:val="0"/>
                      <w:marBottom w:val="0"/>
                      <w:divBdr>
                        <w:top w:val="none" w:sz="0" w:space="0" w:color="auto"/>
                        <w:left w:val="none" w:sz="0" w:space="0" w:color="auto"/>
                        <w:bottom w:val="none" w:sz="0" w:space="0" w:color="auto"/>
                        <w:right w:val="none" w:sz="0" w:space="0" w:color="auto"/>
                      </w:divBdr>
                    </w:div>
                  </w:divsChild>
                </w:div>
                <w:div w:id="1404445495">
                  <w:marLeft w:val="0"/>
                  <w:marRight w:val="0"/>
                  <w:marTop w:val="0"/>
                  <w:marBottom w:val="0"/>
                  <w:divBdr>
                    <w:top w:val="none" w:sz="0" w:space="0" w:color="auto"/>
                    <w:left w:val="none" w:sz="0" w:space="0" w:color="auto"/>
                    <w:bottom w:val="none" w:sz="0" w:space="0" w:color="auto"/>
                    <w:right w:val="none" w:sz="0" w:space="0" w:color="auto"/>
                  </w:divBdr>
                  <w:divsChild>
                    <w:div w:id="1067533559">
                      <w:marLeft w:val="0"/>
                      <w:marRight w:val="0"/>
                      <w:marTop w:val="0"/>
                      <w:marBottom w:val="0"/>
                      <w:divBdr>
                        <w:top w:val="none" w:sz="0" w:space="0" w:color="auto"/>
                        <w:left w:val="none" w:sz="0" w:space="0" w:color="auto"/>
                        <w:bottom w:val="none" w:sz="0" w:space="0" w:color="auto"/>
                        <w:right w:val="none" w:sz="0" w:space="0" w:color="auto"/>
                      </w:divBdr>
                    </w:div>
                  </w:divsChild>
                </w:div>
                <w:div w:id="1601451293">
                  <w:marLeft w:val="0"/>
                  <w:marRight w:val="0"/>
                  <w:marTop w:val="0"/>
                  <w:marBottom w:val="0"/>
                  <w:divBdr>
                    <w:top w:val="none" w:sz="0" w:space="0" w:color="auto"/>
                    <w:left w:val="none" w:sz="0" w:space="0" w:color="auto"/>
                    <w:bottom w:val="none" w:sz="0" w:space="0" w:color="auto"/>
                    <w:right w:val="none" w:sz="0" w:space="0" w:color="auto"/>
                  </w:divBdr>
                  <w:divsChild>
                    <w:div w:id="2587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4305">
          <w:marLeft w:val="0"/>
          <w:marRight w:val="0"/>
          <w:marTop w:val="0"/>
          <w:marBottom w:val="0"/>
          <w:divBdr>
            <w:top w:val="none" w:sz="0" w:space="0" w:color="auto"/>
            <w:left w:val="none" w:sz="0" w:space="0" w:color="auto"/>
            <w:bottom w:val="none" w:sz="0" w:space="0" w:color="auto"/>
            <w:right w:val="none" w:sz="0" w:space="0" w:color="auto"/>
          </w:divBdr>
          <w:divsChild>
            <w:div w:id="1329678259">
              <w:marLeft w:val="-75"/>
              <w:marRight w:val="0"/>
              <w:marTop w:val="30"/>
              <w:marBottom w:val="30"/>
              <w:divBdr>
                <w:top w:val="none" w:sz="0" w:space="0" w:color="auto"/>
                <w:left w:val="none" w:sz="0" w:space="0" w:color="auto"/>
                <w:bottom w:val="none" w:sz="0" w:space="0" w:color="auto"/>
                <w:right w:val="none" w:sz="0" w:space="0" w:color="auto"/>
              </w:divBdr>
              <w:divsChild>
                <w:div w:id="82460574">
                  <w:marLeft w:val="0"/>
                  <w:marRight w:val="0"/>
                  <w:marTop w:val="0"/>
                  <w:marBottom w:val="0"/>
                  <w:divBdr>
                    <w:top w:val="none" w:sz="0" w:space="0" w:color="auto"/>
                    <w:left w:val="none" w:sz="0" w:space="0" w:color="auto"/>
                    <w:bottom w:val="none" w:sz="0" w:space="0" w:color="auto"/>
                    <w:right w:val="none" w:sz="0" w:space="0" w:color="auto"/>
                  </w:divBdr>
                  <w:divsChild>
                    <w:div w:id="1775174933">
                      <w:marLeft w:val="0"/>
                      <w:marRight w:val="0"/>
                      <w:marTop w:val="0"/>
                      <w:marBottom w:val="0"/>
                      <w:divBdr>
                        <w:top w:val="none" w:sz="0" w:space="0" w:color="auto"/>
                        <w:left w:val="none" w:sz="0" w:space="0" w:color="auto"/>
                        <w:bottom w:val="none" w:sz="0" w:space="0" w:color="auto"/>
                        <w:right w:val="none" w:sz="0" w:space="0" w:color="auto"/>
                      </w:divBdr>
                    </w:div>
                  </w:divsChild>
                </w:div>
                <w:div w:id="186452555">
                  <w:marLeft w:val="0"/>
                  <w:marRight w:val="0"/>
                  <w:marTop w:val="0"/>
                  <w:marBottom w:val="0"/>
                  <w:divBdr>
                    <w:top w:val="none" w:sz="0" w:space="0" w:color="auto"/>
                    <w:left w:val="none" w:sz="0" w:space="0" w:color="auto"/>
                    <w:bottom w:val="none" w:sz="0" w:space="0" w:color="auto"/>
                    <w:right w:val="none" w:sz="0" w:space="0" w:color="auto"/>
                  </w:divBdr>
                  <w:divsChild>
                    <w:div w:id="1674913338">
                      <w:marLeft w:val="0"/>
                      <w:marRight w:val="0"/>
                      <w:marTop w:val="0"/>
                      <w:marBottom w:val="0"/>
                      <w:divBdr>
                        <w:top w:val="none" w:sz="0" w:space="0" w:color="auto"/>
                        <w:left w:val="none" w:sz="0" w:space="0" w:color="auto"/>
                        <w:bottom w:val="none" w:sz="0" w:space="0" w:color="auto"/>
                        <w:right w:val="none" w:sz="0" w:space="0" w:color="auto"/>
                      </w:divBdr>
                    </w:div>
                  </w:divsChild>
                </w:div>
                <w:div w:id="778064494">
                  <w:marLeft w:val="0"/>
                  <w:marRight w:val="0"/>
                  <w:marTop w:val="0"/>
                  <w:marBottom w:val="0"/>
                  <w:divBdr>
                    <w:top w:val="none" w:sz="0" w:space="0" w:color="auto"/>
                    <w:left w:val="none" w:sz="0" w:space="0" w:color="auto"/>
                    <w:bottom w:val="none" w:sz="0" w:space="0" w:color="auto"/>
                    <w:right w:val="none" w:sz="0" w:space="0" w:color="auto"/>
                  </w:divBdr>
                  <w:divsChild>
                    <w:div w:id="633022454">
                      <w:marLeft w:val="0"/>
                      <w:marRight w:val="0"/>
                      <w:marTop w:val="0"/>
                      <w:marBottom w:val="0"/>
                      <w:divBdr>
                        <w:top w:val="none" w:sz="0" w:space="0" w:color="auto"/>
                        <w:left w:val="none" w:sz="0" w:space="0" w:color="auto"/>
                        <w:bottom w:val="none" w:sz="0" w:space="0" w:color="auto"/>
                        <w:right w:val="none" w:sz="0" w:space="0" w:color="auto"/>
                      </w:divBdr>
                    </w:div>
                  </w:divsChild>
                </w:div>
                <w:div w:id="957296658">
                  <w:marLeft w:val="0"/>
                  <w:marRight w:val="0"/>
                  <w:marTop w:val="0"/>
                  <w:marBottom w:val="0"/>
                  <w:divBdr>
                    <w:top w:val="none" w:sz="0" w:space="0" w:color="auto"/>
                    <w:left w:val="none" w:sz="0" w:space="0" w:color="auto"/>
                    <w:bottom w:val="none" w:sz="0" w:space="0" w:color="auto"/>
                    <w:right w:val="none" w:sz="0" w:space="0" w:color="auto"/>
                  </w:divBdr>
                  <w:divsChild>
                    <w:div w:id="1416629677">
                      <w:marLeft w:val="0"/>
                      <w:marRight w:val="0"/>
                      <w:marTop w:val="0"/>
                      <w:marBottom w:val="0"/>
                      <w:divBdr>
                        <w:top w:val="none" w:sz="0" w:space="0" w:color="auto"/>
                        <w:left w:val="none" w:sz="0" w:space="0" w:color="auto"/>
                        <w:bottom w:val="none" w:sz="0" w:space="0" w:color="auto"/>
                        <w:right w:val="none" w:sz="0" w:space="0" w:color="auto"/>
                      </w:divBdr>
                    </w:div>
                  </w:divsChild>
                </w:div>
                <w:div w:id="1079015121">
                  <w:marLeft w:val="0"/>
                  <w:marRight w:val="0"/>
                  <w:marTop w:val="0"/>
                  <w:marBottom w:val="0"/>
                  <w:divBdr>
                    <w:top w:val="none" w:sz="0" w:space="0" w:color="auto"/>
                    <w:left w:val="none" w:sz="0" w:space="0" w:color="auto"/>
                    <w:bottom w:val="none" w:sz="0" w:space="0" w:color="auto"/>
                    <w:right w:val="none" w:sz="0" w:space="0" w:color="auto"/>
                  </w:divBdr>
                  <w:divsChild>
                    <w:div w:id="112330961">
                      <w:marLeft w:val="0"/>
                      <w:marRight w:val="0"/>
                      <w:marTop w:val="0"/>
                      <w:marBottom w:val="0"/>
                      <w:divBdr>
                        <w:top w:val="none" w:sz="0" w:space="0" w:color="auto"/>
                        <w:left w:val="none" w:sz="0" w:space="0" w:color="auto"/>
                        <w:bottom w:val="none" w:sz="0" w:space="0" w:color="auto"/>
                        <w:right w:val="none" w:sz="0" w:space="0" w:color="auto"/>
                      </w:divBdr>
                    </w:div>
                  </w:divsChild>
                </w:div>
                <w:div w:id="2029871705">
                  <w:marLeft w:val="0"/>
                  <w:marRight w:val="0"/>
                  <w:marTop w:val="0"/>
                  <w:marBottom w:val="0"/>
                  <w:divBdr>
                    <w:top w:val="none" w:sz="0" w:space="0" w:color="auto"/>
                    <w:left w:val="none" w:sz="0" w:space="0" w:color="auto"/>
                    <w:bottom w:val="none" w:sz="0" w:space="0" w:color="auto"/>
                    <w:right w:val="none" w:sz="0" w:space="0" w:color="auto"/>
                  </w:divBdr>
                  <w:divsChild>
                    <w:div w:id="7727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1891">
          <w:marLeft w:val="0"/>
          <w:marRight w:val="0"/>
          <w:marTop w:val="0"/>
          <w:marBottom w:val="0"/>
          <w:divBdr>
            <w:top w:val="none" w:sz="0" w:space="0" w:color="auto"/>
            <w:left w:val="none" w:sz="0" w:space="0" w:color="auto"/>
            <w:bottom w:val="none" w:sz="0" w:space="0" w:color="auto"/>
            <w:right w:val="none" w:sz="0" w:space="0" w:color="auto"/>
          </w:divBdr>
        </w:div>
        <w:div w:id="1168715579">
          <w:marLeft w:val="0"/>
          <w:marRight w:val="0"/>
          <w:marTop w:val="0"/>
          <w:marBottom w:val="0"/>
          <w:divBdr>
            <w:top w:val="none" w:sz="0" w:space="0" w:color="auto"/>
            <w:left w:val="none" w:sz="0" w:space="0" w:color="auto"/>
            <w:bottom w:val="none" w:sz="0" w:space="0" w:color="auto"/>
            <w:right w:val="none" w:sz="0" w:space="0" w:color="auto"/>
          </w:divBdr>
        </w:div>
        <w:div w:id="1213924046">
          <w:marLeft w:val="0"/>
          <w:marRight w:val="0"/>
          <w:marTop w:val="0"/>
          <w:marBottom w:val="0"/>
          <w:divBdr>
            <w:top w:val="none" w:sz="0" w:space="0" w:color="auto"/>
            <w:left w:val="none" w:sz="0" w:space="0" w:color="auto"/>
            <w:bottom w:val="none" w:sz="0" w:space="0" w:color="auto"/>
            <w:right w:val="none" w:sz="0" w:space="0" w:color="auto"/>
          </w:divBdr>
          <w:divsChild>
            <w:div w:id="1308704244">
              <w:marLeft w:val="-75"/>
              <w:marRight w:val="0"/>
              <w:marTop w:val="30"/>
              <w:marBottom w:val="30"/>
              <w:divBdr>
                <w:top w:val="none" w:sz="0" w:space="0" w:color="auto"/>
                <w:left w:val="none" w:sz="0" w:space="0" w:color="auto"/>
                <w:bottom w:val="none" w:sz="0" w:space="0" w:color="auto"/>
                <w:right w:val="none" w:sz="0" w:space="0" w:color="auto"/>
              </w:divBdr>
              <w:divsChild>
                <w:div w:id="11955786">
                  <w:marLeft w:val="0"/>
                  <w:marRight w:val="0"/>
                  <w:marTop w:val="0"/>
                  <w:marBottom w:val="0"/>
                  <w:divBdr>
                    <w:top w:val="none" w:sz="0" w:space="0" w:color="auto"/>
                    <w:left w:val="none" w:sz="0" w:space="0" w:color="auto"/>
                    <w:bottom w:val="none" w:sz="0" w:space="0" w:color="auto"/>
                    <w:right w:val="none" w:sz="0" w:space="0" w:color="auto"/>
                  </w:divBdr>
                  <w:divsChild>
                    <w:div w:id="1463108326">
                      <w:marLeft w:val="0"/>
                      <w:marRight w:val="0"/>
                      <w:marTop w:val="0"/>
                      <w:marBottom w:val="0"/>
                      <w:divBdr>
                        <w:top w:val="none" w:sz="0" w:space="0" w:color="auto"/>
                        <w:left w:val="none" w:sz="0" w:space="0" w:color="auto"/>
                        <w:bottom w:val="none" w:sz="0" w:space="0" w:color="auto"/>
                        <w:right w:val="none" w:sz="0" w:space="0" w:color="auto"/>
                      </w:divBdr>
                    </w:div>
                  </w:divsChild>
                </w:div>
                <w:div w:id="111366495">
                  <w:marLeft w:val="0"/>
                  <w:marRight w:val="0"/>
                  <w:marTop w:val="0"/>
                  <w:marBottom w:val="0"/>
                  <w:divBdr>
                    <w:top w:val="none" w:sz="0" w:space="0" w:color="auto"/>
                    <w:left w:val="none" w:sz="0" w:space="0" w:color="auto"/>
                    <w:bottom w:val="none" w:sz="0" w:space="0" w:color="auto"/>
                    <w:right w:val="none" w:sz="0" w:space="0" w:color="auto"/>
                  </w:divBdr>
                  <w:divsChild>
                    <w:div w:id="889269465">
                      <w:marLeft w:val="0"/>
                      <w:marRight w:val="0"/>
                      <w:marTop w:val="0"/>
                      <w:marBottom w:val="0"/>
                      <w:divBdr>
                        <w:top w:val="none" w:sz="0" w:space="0" w:color="auto"/>
                        <w:left w:val="none" w:sz="0" w:space="0" w:color="auto"/>
                        <w:bottom w:val="none" w:sz="0" w:space="0" w:color="auto"/>
                        <w:right w:val="none" w:sz="0" w:space="0" w:color="auto"/>
                      </w:divBdr>
                    </w:div>
                  </w:divsChild>
                </w:div>
                <w:div w:id="797919623">
                  <w:marLeft w:val="0"/>
                  <w:marRight w:val="0"/>
                  <w:marTop w:val="0"/>
                  <w:marBottom w:val="0"/>
                  <w:divBdr>
                    <w:top w:val="none" w:sz="0" w:space="0" w:color="auto"/>
                    <w:left w:val="none" w:sz="0" w:space="0" w:color="auto"/>
                    <w:bottom w:val="none" w:sz="0" w:space="0" w:color="auto"/>
                    <w:right w:val="none" w:sz="0" w:space="0" w:color="auto"/>
                  </w:divBdr>
                  <w:divsChild>
                    <w:div w:id="343868000">
                      <w:marLeft w:val="0"/>
                      <w:marRight w:val="0"/>
                      <w:marTop w:val="0"/>
                      <w:marBottom w:val="0"/>
                      <w:divBdr>
                        <w:top w:val="none" w:sz="0" w:space="0" w:color="auto"/>
                        <w:left w:val="none" w:sz="0" w:space="0" w:color="auto"/>
                        <w:bottom w:val="none" w:sz="0" w:space="0" w:color="auto"/>
                        <w:right w:val="none" w:sz="0" w:space="0" w:color="auto"/>
                      </w:divBdr>
                    </w:div>
                  </w:divsChild>
                </w:div>
                <w:div w:id="1024211252">
                  <w:marLeft w:val="0"/>
                  <w:marRight w:val="0"/>
                  <w:marTop w:val="0"/>
                  <w:marBottom w:val="0"/>
                  <w:divBdr>
                    <w:top w:val="none" w:sz="0" w:space="0" w:color="auto"/>
                    <w:left w:val="none" w:sz="0" w:space="0" w:color="auto"/>
                    <w:bottom w:val="none" w:sz="0" w:space="0" w:color="auto"/>
                    <w:right w:val="none" w:sz="0" w:space="0" w:color="auto"/>
                  </w:divBdr>
                  <w:divsChild>
                    <w:div w:id="894050882">
                      <w:marLeft w:val="0"/>
                      <w:marRight w:val="0"/>
                      <w:marTop w:val="0"/>
                      <w:marBottom w:val="0"/>
                      <w:divBdr>
                        <w:top w:val="none" w:sz="0" w:space="0" w:color="auto"/>
                        <w:left w:val="none" w:sz="0" w:space="0" w:color="auto"/>
                        <w:bottom w:val="none" w:sz="0" w:space="0" w:color="auto"/>
                        <w:right w:val="none" w:sz="0" w:space="0" w:color="auto"/>
                      </w:divBdr>
                    </w:div>
                  </w:divsChild>
                </w:div>
                <w:div w:id="1086804473">
                  <w:marLeft w:val="0"/>
                  <w:marRight w:val="0"/>
                  <w:marTop w:val="0"/>
                  <w:marBottom w:val="0"/>
                  <w:divBdr>
                    <w:top w:val="none" w:sz="0" w:space="0" w:color="auto"/>
                    <w:left w:val="none" w:sz="0" w:space="0" w:color="auto"/>
                    <w:bottom w:val="none" w:sz="0" w:space="0" w:color="auto"/>
                    <w:right w:val="none" w:sz="0" w:space="0" w:color="auto"/>
                  </w:divBdr>
                  <w:divsChild>
                    <w:div w:id="1735929377">
                      <w:marLeft w:val="0"/>
                      <w:marRight w:val="0"/>
                      <w:marTop w:val="0"/>
                      <w:marBottom w:val="0"/>
                      <w:divBdr>
                        <w:top w:val="none" w:sz="0" w:space="0" w:color="auto"/>
                        <w:left w:val="none" w:sz="0" w:space="0" w:color="auto"/>
                        <w:bottom w:val="none" w:sz="0" w:space="0" w:color="auto"/>
                        <w:right w:val="none" w:sz="0" w:space="0" w:color="auto"/>
                      </w:divBdr>
                    </w:div>
                  </w:divsChild>
                </w:div>
                <w:div w:id="1140927049">
                  <w:marLeft w:val="0"/>
                  <w:marRight w:val="0"/>
                  <w:marTop w:val="0"/>
                  <w:marBottom w:val="0"/>
                  <w:divBdr>
                    <w:top w:val="none" w:sz="0" w:space="0" w:color="auto"/>
                    <w:left w:val="none" w:sz="0" w:space="0" w:color="auto"/>
                    <w:bottom w:val="none" w:sz="0" w:space="0" w:color="auto"/>
                    <w:right w:val="none" w:sz="0" w:space="0" w:color="auto"/>
                  </w:divBdr>
                  <w:divsChild>
                    <w:div w:id="117262376">
                      <w:marLeft w:val="0"/>
                      <w:marRight w:val="0"/>
                      <w:marTop w:val="0"/>
                      <w:marBottom w:val="0"/>
                      <w:divBdr>
                        <w:top w:val="none" w:sz="0" w:space="0" w:color="auto"/>
                        <w:left w:val="none" w:sz="0" w:space="0" w:color="auto"/>
                        <w:bottom w:val="none" w:sz="0" w:space="0" w:color="auto"/>
                        <w:right w:val="none" w:sz="0" w:space="0" w:color="auto"/>
                      </w:divBdr>
                    </w:div>
                  </w:divsChild>
                </w:div>
                <w:div w:id="1160582633">
                  <w:marLeft w:val="0"/>
                  <w:marRight w:val="0"/>
                  <w:marTop w:val="0"/>
                  <w:marBottom w:val="0"/>
                  <w:divBdr>
                    <w:top w:val="none" w:sz="0" w:space="0" w:color="auto"/>
                    <w:left w:val="none" w:sz="0" w:space="0" w:color="auto"/>
                    <w:bottom w:val="none" w:sz="0" w:space="0" w:color="auto"/>
                    <w:right w:val="none" w:sz="0" w:space="0" w:color="auto"/>
                  </w:divBdr>
                  <w:divsChild>
                    <w:div w:id="171380892">
                      <w:marLeft w:val="0"/>
                      <w:marRight w:val="0"/>
                      <w:marTop w:val="0"/>
                      <w:marBottom w:val="0"/>
                      <w:divBdr>
                        <w:top w:val="none" w:sz="0" w:space="0" w:color="auto"/>
                        <w:left w:val="none" w:sz="0" w:space="0" w:color="auto"/>
                        <w:bottom w:val="none" w:sz="0" w:space="0" w:color="auto"/>
                        <w:right w:val="none" w:sz="0" w:space="0" w:color="auto"/>
                      </w:divBdr>
                    </w:div>
                  </w:divsChild>
                </w:div>
                <w:div w:id="1189027986">
                  <w:marLeft w:val="0"/>
                  <w:marRight w:val="0"/>
                  <w:marTop w:val="0"/>
                  <w:marBottom w:val="0"/>
                  <w:divBdr>
                    <w:top w:val="none" w:sz="0" w:space="0" w:color="auto"/>
                    <w:left w:val="none" w:sz="0" w:space="0" w:color="auto"/>
                    <w:bottom w:val="none" w:sz="0" w:space="0" w:color="auto"/>
                    <w:right w:val="none" w:sz="0" w:space="0" w:color="auto"/>
                  </w:divBdr>
                  <w:divsChild>
                    <w:div w:id="1735468867">
                      <w:marLeft w:val="0"/>
                      <w:marRight w:val="0"/>
                      <w:marTop w:val="0"/>
                      <w:marBottom w:val="0"/>
                      <w:divBdr>
                        <w:top w:val="none" w:sz="0" w:space="0" w:color="auto"/>
                        <w:left w:val="none" w:sz="0" w:space="0" w:color="auto"/>
                        <w:bottom w:val="none" w:sz="0" w:space="0" w:color="auto"/>
                        <w:right w:val="none" w:sz="0" w:space="0" w:color="auto"/>
                      </w:divBdr>
                    </w:div>
                  </w:divsChild>
                </w:div>
                <w:div w:id="1266575127">
                  <w:marLeft w:val="0"/>
                  <w:marRight w:val="0"/>
                  <w:marTop w:val="0"/>
                  <w:marBottom w:val="0"/>
                  <w:divBdr>
                    <w:top w:val="none" w:sz="0" w:space="0" w:color="auto"/>
                    <w:left w:val="none" w:sz="0" w:space="0" w:color="auto"/>
                    <w:bottom w:val="none" w:sz="0" w:space="0" w:color="auto"/>
                    <w:right w:val="none" w:sz="0" w:space="0" w:color="auto"/>
                  </w:divBdr>
                  <w:divsChild>
                    <w:div w:id="220946257">
                      <w:marLeft w:val="0"/>
                      <w:marRight w:val="0"/>
                      <w:marTop w:val="0"/>
                      <w:marBottom w:val="0"/>
                      <w:divBdr>
                        <w:top w:val="none" w:sz="0" w:space="0" w:color="auto"/>
                        <w:left w:val="none" w:sz="0" w:space="0" w:color="auto"/>
                        <w:bottom w:val="none" w:sz="0" w:space="0" w:color="auto"/>
                        <w:right w:val="none" w:sz="0" w:space="0" w:color="auto"/>
                      </w:divBdr>
                    </w:div>
                  </w:divsChild>
                </w:div>
                <w:div w:id="1530027227">
                  <w:marLeft w:val="0"/>
                  <w:marRight w:val="0"/>
                  <w:marTop w:val="0"/>
                  <w:marBottom w:val="0"/>
                  <w:divBdr>
                    <w:top w:val="none" w:sz="0" w:space="0" w:color="auto"/>
                    <w:left w:val="none" w:sz="0" w:space="0" w:color="auto"/>
                    <w:bottom w:val="none" w:sz="0" w:space="0" w:color="auto"/>
                    <w:right w:val="none" w:sz="0" w:space="0" w:color="auto"/>
                  </w:divBdr>
                  <w:divsChild>
                    <w:div w:id="1042092152">
                      <w:marLeft w:val="0"/>
                      <w:marRight w:val="0"/>
                      <w:marTop w:val="0"/>
                      <w:marBottom w:val="0"/>
                      <w:divBdr>
                        <w:top w:val="none" w:sz="0" w:space="0" w:color="auto"/>
                        <w:left w:val="none" w:sz="0" w:space="0" w:color="auto"/>
                        <w:bottom w:val="none" w:sz="0" w:space="0" w:color="auto"/>
                        <w:right w:val="none" w:sz="0" w:space="0" w:color="auto"/>
                      </w:divBdr>
                    </w:div>
                  </w:divsChild>
                </w:div>
                <w:div w:id="1859661292">
                  <w:marLeft w:val="0"/>
                  <w:marRight w:val="0"/>
                  <w:marTop w:val="0"/>
                  <w:marBottom w:val="0"/>
                  <w:divBdr>
                    <w:top w:val="none" w:sz="0" w:space="0" w:color="auto"/>
                    <w:left w:val="none" w:sz="0" w:space="0" w:color="auto"/>
                    <w:bottom w:val="none" w:sz="0" w:space="0" w:color="auto"/>
                    <w:right w:val="none" w:sz="0" w:space="0" w:color="auto"/>
                  </w:divBdr>
                  <w:divsChild>
                    <w:div w:id="1688362387">
                      <w:marLeft w:val="0"/>
                      <w:marRight w:val="0"/>
                      <w:marTop w:val="0"/>
                      <w:marBottom w:val="0"/>
                      <w:divBdr>
                        <w:top w:val="none" w:sz="0" w:space="0" w:color="auto"/>
                        <w:left w:val="none" w:sz="0" w:space="0" w:color="auto"/>
                        <w:bottom w:val="none" w:sz="0" w:space="0" w:color="auto"/>
                        <w:right w:val="none" w:sz="0" w:space="0" w:color="auto"/>
                      </w:divBdr>
                    </w:div>
                  </w:divsChild>
                </w:div>
                <w:div w:id="2087145983">
                  <w:marLeft w:val="0"/>
                  <w:marRight w:val="0"/>
                  <w:marTop w:val="0"/>
                  <w:marBottom w:val="0"/>
                  <w:divBdr>
                    <w:top w:val="none" w:sz="0" w:space="0" w:color="auto"/>
                    <w:left w:val="none" w:sz="0" w:space="0" w:color="auto"/>
                    <w:bottom w:val="none" w:sz="0" w:space="0" w:color="auto"/>
                    <w:right w:val="none" w:sz="0" w:space="0" w:color="auto"/>
                  </w:divBdr>
                  <w:divsChild>
                    <w:div w:id="94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9984">
          <w:marLeft w:val="0"/>
          <w:marRight w:val="0"/>
          <w:marTop w:val="0"/>
          <w:marBottom w:val="0"/>
          <w:divBdr>
            <w:top w:val="none" w:sz="0" w:space="0" w:color="auto"/>
            <w:left w:val="none" w:sz="0" w:space="0" w:color="auto"/>
            <w:bottom w:val="none" w:sz="0" w:space="0" w:color="auto"/>
            <w:right w:val="none" w:sz="0" w:space="0" w:color="auto"/>
          </w:divBdr>
        </w:div>
        <w:div w:id="1290282580">
          <w:marLeft w:val="0"/>
          <w:marRight w:val="0"/>
          <w:marTop w:val="0"/>
          <w:marBottom w:val="0"/>
          <w:divBdr>
            <w:top w:val="none" w:sz="0" w:space="0" w:color="auto"/>
            <w:left w:val="none" w:sz="0" w:space="0" w:color="auto"/>
            <w:bottom w:val="none" w:sz="0" w:space="0" w:color="auto"/>
            <w:right w:val="none" w:sz="0" w:space="0" w:color="auto"/>
          </w:divBdr>
        </w:div>
        <w:div w:id="1292978012">
          <w:marLeft w:val="0"/>
          <w:marRight w:val="0"/>
          <w:marTop w:val="0"/>
          <w:marBottom w:val="0"/>
          <w:divBdr>
            <w:top w:val="none" w:sz="0" w:space="0" w:color="auto"/>
            <w:left w:val="none" w:sz="0" w:space="0" w:color="auto"/>
            <w:bottom w:val="none" w:sz="0" w:space="0" w:color="auto"/>
            <w:right w:val="none" w:sz="0" w:space="0" w:color="auto"/>
          </w:divBdr>
        </w:div>
        <w:div w:id="1293169991">
          <w:marLeft w:val="0"/>
          <w:marRight w:val="0"/>
          <w:marTop w:val="0"/>
          <w:marBottom w:val="0"/>
          <w:divBdr>
            <w:top w:val="none" w:sz="0" w:space="0" w:color="auto"/>
            <w:left w:val="none" w:sz="0" w:space="0" w:color="auto"/>
            <w:bottom w:val="none" w:sz="0" w:space="0" w:color="auto"/>
            <w:right w:val="none" w:sz="0" w:space="0" w:color="auto"/>
          </w:divBdr>
        </w:div>
        <w:div w:id="1315833068">
          <w:marLeft w:val="0"/>
          <w:marRight w:val="0"/>
          <w:marTop w:val="0"/>
          <w:marBottom w:val="0"/>
          <w:divBdr>
            <w:top w:val="none" w:sz="0" w:space="0" w:color="auto"/>
            <w:left w:val="none" w:sz="0" w:space="0" w:color="auto"/>
            <w:bottom w:val="none" w:sz="0" w:space="0" w:color="auto"/>
            <w:right w:val="none" w:sz="0" w:space="0" w:color="auto"/>
          </w:divBdr>
        </w:div>
        <w:div w:id="1424060695">
          <w:marLeft w:val="0"/>
          <w:marRight w:val="0"/>
          <w:marTop w:val="0"/>
          <w:marBottom w:val="0"/>
          <w:divBdr>
            <w:top w:val="none" w:sz="0" w:space="0" w:color="auto"/>
            <w:left w:val="none" w:sz="0" w:space="0" w:color="auto"/>
            <w:bottom w:val="none" w:sz="0" w:space="0" w:color="auto"/>
            <w:right w:val="none" w:sz="0" w:space="0" w:color="auto"/>
          </w:divBdr>
        </w:div>
        <w:div w:id="1442914782">
          <w:marLeft w:val="0"/>
          <w:marRight w:val="0"/>
          <w:marTop w:val="0"/>
          <w:marBottom w:val="0"/>
          <w:divBdr>
            <w:top w:val="none" w:sz="0" w:space="0" w:color="auto"/>
            <w:left w:val="none" w:sz="0" w:space="0" w:color="auto"/>
            <w:bottom w:val="none" w:sz="0" w:space="0" w:color="auto"/>
            <w:right w:val="none" w:sz="0" w:space="0" w:color="auto"/>
          </w:divBdr>
          <w:divsChild>
            <w:div w:id="2137285768">
              <w:marLeft w:val="-75"/>
              <w:marRight w:val="0"/>
              <w:marTop w:val="30"/>
              <w:marBottom w:val="30"/>
              <w:divBdr>
                <w:top w:val="none" w:sz="0" w:space="0" w:color="auto"/>
                <w:left w:val="none" w:sz="0" w:space="0" w:color="auto"/>
                <w:bottom w:val="none" w:sz="0" w:space="0" w:color="auto"/>
                <w:right w:val="none" w:sz="0" w:space="0" w:color="auto"/>
              </w:divBdr>
              <w:divsChild>
                <w:div w:id="55665732">
                  <w:marLeft w:val="0"/>
                  <w:marRight w:val="0"/>
                  <w:marTop w:val="0"/>
                  <w:marBottom w:val="0"/>
                  <w:divBdr>
                    <w:top w:val="none" w:sz="0" w:space="0" w:color="auto"/>
                    <w:left w:val="none" w:sz="0" w:space="0" w:color="auto"/>
                    <w:bottom w:val="none" w:sz="0" w:space="0" w:color="auto"/>
                    <w:right w:val="none" w:sz="0" w:space="0" w:color="auto"/>
                  </w:divBdr>
                  <w:divsChild>
                    <w:div w:id="1767264585">
                      <w:marLeft w:val="0"/>
                      <w:marRight w:val="0"/>
                      <w:marTop w:val="0"/>
                      <w:marBottom w:val="0"/>
                      <w:divBdr>
                        <w:top w:val="none" w:sz="0" w:space="0" w:color="auto"/>
                        <w:left w:val="none" w:sz="0" w:space="0" w:color="auto"/>
                        <w:bottom w:val="none" w:sz="0" w:space="0" w:color="auto"/>
                        <w:right w:val="none" w:sz="0" w:space="0" w:color="auto"/>
                      </w:divBdr>
                    </w:div>
                  </w:divsChild>
                </w:div>
                <w:div w:id="182714848">
                  <w:marLeft w:val="0"/>
                  <w:marRight w:val="0"/>
                  <w:marTop w:val="0"/>
                  <w:marBottom w:val="0"/>
                  <w:divBdr>
                    <w:top w:val="none" w:sz="0" w:space="0" w:color="auto"/>
                    <w:left w:val="none" w:sz="0" w:space="0" w:color="auto"/>
                    <w:bottom w:val="none" w:sz="0" w:space="0" w:color="auto"/>
                    <w:right w:val="none" w:sz="0" w:space="0" w:color="auto"/>
                  </w:divBdr>
                  <w:divsChild>
                    <w:div w:id="1257590353">
                      <w:marLeft w:val="0"/>
                      <w:marRight w:val="0"/>
                      <w:marTop w:val="0"/>
                      <w:marBottom w:val="0"/>
                      <w:divBdr>
                        <w:top w:val="none" w:sz="0" w:space="0" w:color="auto"/>
                        <w:left w:val="none" w:sz="0" w:space="0" w:color="auto"/>
                        <w:bottom w:val="none" w:sz="0" w:space="0" w:color="auto"/>
                        <w:right w:val="none" w:sz="0" w:space="0" w:color="auto"/>
                      </w:divBdr>
                    </w:div>
                  </w:divsChild>
                </w:div>
                <w:div w:id="210776249">
                  <w:marLeft w:val="0"/>
                  <w:marRight w:val="0"/>
                  <w:marTop w:val="0"/>
                  <w:marBottom w:val="0"/>
                  <w:divBdr>
                    <w:top w:val="none" w:sz="0" w:space="0" w:color="auto"/>
                    <w:left w:val="none" w:sz="0" w:space="0" w:color="auto"/>
                    <w:bottom w:val="none" w:sz="0" w:space="0" w:color="auto"/>
                    <w:right w:val="none" w:sz="0" w:space="0" w:color="auto"/>
                  </w:divBdr>
                  <w:divsChild>
                    <w:div w:id="615334620">
                      <w:marLeft w:val="0"/>
                      <w:marRight w:val="0"/>
                      <w:marTop w:val="0"/>
                      <w:marBottom w:val="0"/>
                      <w:divBdr>
                        <w:top w:val="none" w:sz="0" w:space="0" w:color="auto"/>
                        <w:left w:val="none" w:sz="0" w:space="0" w:color="auto"/>
                        <w:bottom w:val="none" w:sz="0" w:space="0" w:color="auto"/>
                        <w:right w:val="none" w:sz="0" w:space="0" w:color="auto"/>
                      </w:divBdr>
                    </w:div>
                  </w:divsChild>
                </w:div>
                <w:div w:id="317148423">
                  <w:marLeft w:val="0"/>
                  <w:marRight w:val="0"/>
                  <w:marTop w:val="0"/>
                  <w:marBottom w:val="0"/>
                  <w:divBdr>
                    <w:top w:val="none" w:sz="0" w:space="0" w:color="auto"/>
                    <w:left w:val="none" w:sz="0" w:space="0" w:color="auto"/>
                    <w:bottom w:val="none" w:sz="0" w:space="0" w:color="auto"/>
                    <w:right w:val="none" w:sz="0" w:space="0" w:color="auto"/>
                  </w:divBdr>
                  <w:divsChild>
                    <w:div w:id="383481131">
                      <w:marLeft w:val="0"/>
                      <w:marRight w:val="0"/>
                      <w:marTop w:val="0"/>
                      <w:marBottom w:val="0"/>
                      <w:divBdr>
                        <w:top w:val="none" w:sz="0" w:space="0" w:color="auto"/>
                        <w:left w:val="none" w:sz="0" w:space="0" w:color="auto"/>
                        <w:bottom w:val="none" w:sz="0" w:space="0" w:color="auto"/>
                        <w:right w:val="none" w:sz="0" w:space="0" w:color="auto"/>
                      </w:divBdr>
                    </w:div>
                  </w:divsChild>
                </w:div>
                <w:div w:id="361783667">
                  <w:marLeft w:val="0"/>
                  <w:marRight w:val="0"/>
                  <w:marTop w:val="0"/>
                  <w:marBottom w:val="0"/>
                  <w:divBdr>
                    <w:top w:val="none" w:sz="0" w:space="0" w:color="auto"/>
                    <w:left w:val="none" w:sz="0" w:space="0" w:color="auto"/>
                    <w:bottom w:val="none" w:sz="0" w:space="0" w:color="auto"/>
                    <w:right w:val="none" w:sz="0" w:space="0" w:color="auto"/>
                  </w:divBdr>
                  <w:divsChild>
                    <w:div w:id="56170978">
                      <w:marLeft w:val="0"/>
                      <w:marRight w:val="0"/>
                      <w:marTop w:val="0"/>
                      <w:marBottom w:val="0"/>
                      <w:divBdr>
                        <w:top w:val="none" w:sz="0" w:space="0" w:color="auto"/>
                        <w:left w:val="none" w:sz="0" w:space="0" w:color="auto"/>
                        <w:bottom w:val="none" w:sz="0" w:space="0" w:color="auto"/>
                        <w:right w:val="none" w:sz="0" w:space="0" w:color="auto"/>
                      </w:divBdr>
                    </w:div>
                  </w:divsChild>
                </w:div>
                <w:div w:id="411004958">
                  <w:marLeft w:val="0"/>
                  <w:marRight w:val="0"/>
                  <w:marTop w:val="0"/>
                  <w:marBottom w:val="0"/>
                  <w:divBdr>
                    <w:top w:val="none" w:sz="0" w:space="0" w:color="auto"/>
                    <w:left w:val="none" w:sz="0" w:space="0" w:color="auto"/>
                    <w:bottom w:val="none" w:sz="0" w:space="0" w:color="auto"/>
                    <w:right w:val="none" w:sz="0" w:space="0" w:color="auto"/>
                  </w:divBdr>
                  <w:divsChild>
                    <w:div w:id="522672285">
                      <w:marLeft w:val="0"/>
                      <w:marRight w:val="0"/>
                      <w:marTop w:val="0"/>
                      <w:marBottom w:val="0"/>
                      <w:divBdr>
                        <w:top w:val="none" w:sz="0" w:space="0" w:color="auto"/>
                        <w:left w:val="none" w:sz="0" w:space="0" w:color="auto"/>
                        <w:bottom w:val="none" w:sz="0" w:space="0" w:color="auto"/>
                        <w:right w:val="none" w:sz="0" w:space="0" w:color="auto"/>
                      </w:divBdr>
                    </w:div>
                  </w:divsChild>
                </w:div>
                <w:div w:id="477377750">
                  <w:marLeft w:val="0"/>
                  <w:marRight w:val="0"/>
                  <w:marTop w:val="0"/>
                  <w:marBottom w:val="0"/>
                  <w:divBdr>
                    <w:top w:val="none" w:sz="0" w:space="0" w:color="auto"/>
                    <w:left w:val="none" w:sz="0" w:space="0" w:color="auto"/>
                    <w:bottom w:val="none" w:sz="0" w:space="0" w:color="auto"/>
                    <w:right w:val="none" w:sz="0" w:space="0" w:color="auto"/>
                  </w:divBdr>
                  <w:divsChild>
                    <w:div w:id="1562641732">
                      <w:marLeft w:val="0"/>
                      <w:marRight w:val="0"/>
                      <w:marTop w:val="0"/>
                      <w:marBottom w:val="0"/>
                      <w:divBdr>
                        <w:top w:val="none" w:sz="0" w:space="0" w:color="auto"/>
                        <w:left w:val="none" w:sz="0" w:space="0" w:color="auto"/>
                        <w:bottom w:val="none" w:sz="0" w:space="0" w:color="auto"/>
                        <w:right w:val="none" w:sz="0" w:space="0" w:color="auto"/>
                      </w:divBdr>
                    </w:div>
                  </w:divsChild>
                </w:div>
                <w:div w:id="541290481">
                  <w:marLeft w:val="0"/>
                  <w:marRight w:val="0"/>
                  <w:marTop w:val="0"/>
                  <w:marBottom w:val="0"/>
                  <w:divBdr>
                    <w:top w:val="none" w:sz="0" w:space="0" w:color="auto"/>
                    <w:left w:val="none" w:sz="0" w:space="0" w:color="auto"/>
                    <w:bottom w:val="none" w:sz="0" w:space="0" w:color="auto"/>
                    <w:right w:val="none" w:sz="0" w:space="0" w:color="auto"/>
                  </w:divBdr>
                  <w:divsChild>
                    <w:div w:id="577831890">
                      <w:marLeft w:val="0"/>
                      <w:marRight w:val="0"/>
                      <w:marTop w:val="0"/>
                      <w:marBottom w:val="0"/>
                      <w:divBdr>
                        <w:top w:val="none" w:sz="0" w:space="0" w:color="auto"/>
                        <w:left w:val="none" w:sz="0" w:space="0" w:color="auto"/>
                        <w:bottom w:val="none" w:sz="0" w:space="0" w:color="auto"/>
                        <w:right w:val="none" w:sz="0" w:space="0" w:color="auto"/>
                      </w:divBdr>
                    </w:div>
                  </w:divsChild>
                </w:div>
                <w:div w:id="596908147">
                  <w:marLeft w:val="0"/>
                  <w:marRight w:val="0"/>
                  <w:marTop w:val="0"/>
                  <w:marBottom w:val="0"/>
                  <w:divBdr>
                    <w:top w:val="none" w:sz="0" w:space="0" w:color="auto"/>
                    <w:left w:val="none" w:sz="0" w:space="0" w:color="auto"/>
                    <w:bottom w:val="none" w:sz="0" w:space="0" w:color="auto"/>
                    <w:right w:val="none" w:sz="0" w:space="0" w:color="auto"/>
                  </w:divBdr>
                  <w:divsChild>
                    <w:div w:id="2117869578">
                      <w:marLeft w:val="0"/>
                      <w:marRight w:val="0"/>
                      <w:marTop w:val="0"/>
                      <w:marBottom w:val="0"/>
                      <w:divBdr>
                        <w:top w:val="none" w:sz="0" w:space="0" w:color="auto"/>
                        <w:left w:val="none" w:sz="0" w:space="0" w:color="auto"/>
                        <w:bottom w:val="none" w:sz="0" w:space="0" w:color="auto"/>
                        <w:right w:val="none" w:sz="0" w:space="0" w:color="auto"/>
                      </w:divBdr>
                    </w:div>
                  </w:divsChild>
                </w:div>
                <w:div w:id="648022507">
                  <w:marLeft w:val="0"/>
                  <w:marRight w:val="0"/>
                  <w:marTop w:val="0"/>
                  <w:marBottom w:val="0"/>
                  <w:divBdr>
                    <w:top w:val="none" w:sz="0" w:space="0" w:color="auto"/>
                    <w:left w:val="none" w:sz="0" w:space="0" w:color="auto"/>
                    <w:bottom w:val="none" w:sz="0" w:space="0" w:color="auto"/>
                    <w:right w:val="none" w:sz="0" w:space="0" w:color="auto"/>
                  </w:divBdr>
                  <w:divsChild>
                    <w:div w:id="70273654">
                      <w:marLeft w:val="0"/>
                      <w:marRight w:val="0"/>
                      <w:marTop w:val="0"/>
                      <w:marBottom w:val="0"/>
                      <w:divBdr>
                        <w:top w:val="none" w:sz="0" w:space="0" w:color="auto"/>
                        <w:left w:val="none" w:sz="0" w:space="0" w:color="auto"/>
                        <w:bottom w:val="none" w:sz="0" w:space="0" w:color="auto"/>
                        <w:right w:val="none" w:sz="0" w:space="0" w:color="auto"/>
                      </w:divBdr>
                    </w:div>
                  </w:divsChild>
                </w:div>
                <w:div w:id="672731746">
                  <w:marLeft w:val="0"/>
                  <w:marRight w:val="0"/>
                  <w:marTop w:val="0"/>
                  <w:marBottom w:val="0"/>
                  <w:divBdr>
                    <w:top w:val="none" w:sz="0" w:space="0" w:color="auto"/>
                    <w:left w:val="none" w:sz="0" w:space="0" w:color="auto"/>
                    <w:bottom w:val="none" w:sz="0" w:space="0" w:color="auto"/>
                    <w:right w:val="none" w:sz="0" w:space="0" w:color="auto"/>
                  </w:divBdr>
                  <w:divsChild>
                    <w:div w:id="1640376831">
                      <w:marLeft w:val="0"/>
                      <w:marRight w:val="0"/>
                      <w:marTop w:val="0"/>
                      <w:marBottom w:val="0"/>
                      <w:divBdr>
                        <w:top w:val="none" w:sz="0" w:space="0" w:color="auto"/>
                        <w:left w:val="none" w:sz="0" w:space="0" w:color="auto"/>
                        <w:bottom w:val="none" w:sz="0" w:space="0" w:color="auto"/>
                        <w:right w:val="none" w:sz="0" w:space="0" w:color="auto"/>
                      </w:divBdr>
                    </w:div>
                  </w:divsChild>
                </w:div>
                <w:div w:id="763188910">
                  <w:marLeft w:val="0"/>
                  <w:marRight w:val="0"/>
                  <w:marTop w:val="0"/>
                  <w:marBottom w:val="0"/>
                  <w:divBdr>
                    <w:top w:val="none" w:sz="0" w:space="0" w:color="auto"/>
                    <w:left w:val="none" w:sz="0" w:space="0" w:color="auto"/>
                    <w:bottom w:val="none" w:sz="0" w:space="0" w:color="auto"/>
                    <w:right w:val="none" w:sz="0" w:space="0" w:color="auto"/>
                  </w:divBdr>
                  <w:divsChild>
                    <w:div w:id="338965198">
                      <w:marLeft w:val="0"/>
                      <w:marRight w:val="0"/>
                      <w:marTop w:val="0"/>
                      <w:marBottom w:val="0"/>
                      <w:divBdr>
                        <w:top w:val="none" w:sz="0" w:space="0" w:color="auto"/>
                        <w:left w:val="none" w:sz="0" w:space="0" w:color="auto"/>
                        <w:bottom w:val="none" w:sz="0" w:space="0" w:color="auto"/>
                        <w:right w:val="none" w:sz="0" w:space="0" w:color="auto"/>
                      </w:divBdr>
                    </w:div>
                  </w:divsChild>
                </w:div>
                <w:div w:id="773592955">
                  <w:marLeft w:val="0"/>
                  <w:marRight w:val="0"/>
                  <w:marTop w:val="0"/>
                  <w:marBottom w:val="0"/>
                  <w:divBdr>
                    <w:top w:val="none" w:sz="0" w:space="0" w:color="auto"/>
                    <w:left w:val="none" w:sz="0" w:space="0" w:color="auto"/>
                    <w:bottom w:val="none" w:sz="0" w:space="0" w:color="auto"/>
                    <w:right w:val="none" w:sz="0" w:space="0" w:color="auto"/>
                  </w:divBdr>
                  <w:divsChild>
                    <w:div w:id="1120685906">
                      <w:marLeft w:val="0"/>
                      <w:marRight w:val="0"/>
                      <w:marTop w:val="0"/>
                      <w:marBottom w:val="0"/>
                      <w:divBdr>
                        <w:top w:val="none" w:sz="0" w:space="0" w:color="auto"/>
                        <w:left w:val="none" w:sz="0" w:space="0" w:color="auto"/>
                        <w:bottom w:val="none" w:sz="0" w:space="0" w:color="auto"/>
                        <w:right w:val="none" w:sz="0" w:space="0" w:color="auto"/>
                      </w:divBdr>
                    </w:div>
                  </w:divsChild>
                </w:div>
                <w:div w:id="826937051">
                  <w:marLeft w:val="0"/>
                  <w:marRight w:val="0"/>
                  <w:marTop w:val="0"/>
                  <w:marBottom w:val="0"/>
                  <w:divBdr>
                    <w:top w:val="none" w:sz="0" w:space="0" w:color="auto"/>
                    <w:left w:val="none" w:sz="0" w:space="0" w:color="auto"/>
                    <w:bottom w:val="none" w:sz="0" w:space="0" w:color="auto"/>
                    <w:right w:val="none" w:sz="0" w:space="0" w:color="auto"/>
                  </w:divBdr>
                  <w:divsChild>
                    <w:div w:id="1765498114">
                      <w:marLeft w:val="0"/>
                      <w:marRight w:val="0"/>
                      <w:marTop w:val="0"/>
                      <w:marBottom w:val="0"/>
                      <w:divBdr>
                        <w:top w:val="none" w:sz="0" w:space="0" w:color="auto"/>
                        <w:left w:val="none" w:sz="0" w:space="0" w:color="auto"/>
                        <w:bottom w:val="none" w:sz="0" w:space="0" w:color="auto"/>
                        <w:right w:val="none" w:sz="0" w:space="0" w:color="auto"/>
                      </w:divBdr>
                    </w:div>
                  </w:divsChild>
                </w:div>
                <w:div w:id="1640063707">
                  <w:marLeft w:val="0"/>
                  <w:marRight w:val="0"/>
                  <w:marTop w:val="0"/>
                  <w:marBottom w:val="0"/>
                  <w:divBdr>
                    <w:top w:val="none" w:sz="0" w:space="0" w:color="auto"/>
                    <w:left w:val="none" w:sz="0" w:space="0" w:color="auto"/>
                    <w:bottom w:val="none" w:sz="0" w:space="0" w:color="auto"/>
                    <w:right w:val="none" w:sz="0" w:space="0" w:color="auto"/>
                  </w:divBdr>
                  <w:divsChild>
                    <w:div w:id="238564855">
                      <w:marLeft w:val="0"/>
                      <w:marRight w:val="0"/>
                      <w:marTop w:val="0"/>
                      <w:marBottom w:val="0"/>
                      <w:divBdr>
                        <w:top w:val="none" w:sz="0" w:space="0" w:color="auto"/>
                        <w:left w:val="none" w:sz="0" w:space="0" w:color="auto"/>
                        <w:bottom w:val="none" w:sz="0" w:space="0" w:color="auto"/>
                        <w:right w:val="none" w:sz="0" w:space="0" w:color="auto"/>
                      </w:divBdr>
                    </w:div>
                  </w:divsChild>
                </w:div>
                <w:div w:id="1661081428">
                  <w:marLeft w:val="0"/>
                  <w:marRight w:val="0"/>
                  <w:marTop w:val="0"/>
                  <w:marBottom w:val="0"/>
                  <w:divBdr>
                    <w:top w:val="none" w:sz="0" w:space="0" w:color="auto"/>
                    <w:left w:val="none" w:sz="0" w:space="0" w:color="auto"/>
                    <w:bottom w:val="none" w:sz="0" w:space="0" w:color="auto"/>
                    <w:right w:val="none" w:sz="0" w:space="0" w:color="auto"/>
                  </w:divBdr>
                  <w:divsChild>
                    <w:div w:id="500236667">
                      <w:marLeft w:val="0"/>
                      <w:marRight w:val="0"/>
                      <w:marTop w:val="0"/>
                      <w:marBottom w:val="0"/>
                      <w:divBdr>
                        <w:top w:val="none" w:sz="0" w:space="0" w:color="auto"/>
                        <w:left w:val="none" w:sz="0" w:space="0" w:color="auto"/>
                        <w:bottom w:val="none" w:sz="0" w:space="0" w:color="auto"/>
                        <w:right w:val="none" w:sz="0" w:space="0" w:color="auto"/>
                      </w:divBdr>
                    </w:div>
                  </w:divsChild>
                </w:div>
                <w:div w:id="1860895081">
                  <w:marLeft w:val="0"/>
                  <w:marRight w:val="0"/>
                  <w:marTop w:val="0"/>
                  <w:marBottom w:val="0"/>
                  <w:divBdr>
                    <w:top w:val="none" w:sz="0" w:space="0" w:color="auto"/>
                    <w:left w:val="none" w:sz="0" w:space="0" w:color="auto"/>
                    <w:bottom w:val="none" w:sz="0" w:space="0" w:color="auto"/>
                    <w:right w:val="none" w:sz="0" w:space="0" w:color="auto"/>
                  </w:divBdr>
                  <w:divsChild>
                    <w:div w:id="1465544915">
                      <w:marLeft w:val="0"/>
                      <w:marRight w:val="0"/>
                      <w:marTop w:val="0"/>
                      <w:marBottom w:val="0"/>
                      <w:divBdr>
                        <w:top w:val="none" w:sz="0" w:space="0" w:color="auto"/>
                        <w:left w:val="none" w:sz="0" w:space="0" w:color="auto"/>
                        <w:bottom w:val="none" w:sz="0" w:space="0" w:color="auto"/>
                        <w:right w:val="none" w:sz="0" w:space="0" w:color="auto"/>
                      </w:divBdr>
                    </w:div>
                  </w:divsChild>
                </w:div>
                <w:div w:id="1874147768">
                  <w:marLeft w:val="0"/>
                  <w:marRight w:val="0"/>
                  <w:marTop w:val="0"/>
                  <w:marBottom w:val="0"/>
                  <w:divBdr>
                    <w:top w:val="none" w:sz="0" w:space="0" w:color="auto"/>
                    <w:left w:val="none" w:sz="0" w:space="0" w:color="auto"/>
                    <w:bottom w:val="none" w:sz="0" w:space="0" w:color="auto"/>
                    <w:right w:val="none" w:sz="0" w:space="0" w:color="auto"/>
                  </w:divBdr>
                  <w:divsChild>
                    <w:div w:id="2053457751">
                      <w:marLeft w:val="0"/>
                      <w:marRight w:val="0"/>
                      <w:marTop w:val="0"/>
                      <w:marBottom w:val="0"/>
                      <w:divBdr>
                        <w:top w:val="none" w:sz="0" w:space="0" w:color="auto"/>
                        <w:left w:val="none" w:sz="0" w:space="0" w:color="auto"/>
                        <w:bottom w:val="none" w:sz="0" w:space="0" w:color="auto"/>
                        <w:right w:val="none" w:sz="0" w:space="0" w:color="auto"/>
                      </w:divBdr>
                    </w:div>
                  </w:divsChild>
                </w:div>
                <w:div w:id="1983581397">
                  <w:marLeft w:val="0"/>
                  <w:marRight w:val="0"/>
                  <w:marTop w:val="0"/>
                  <w:marBottom w:val="0"/>
                  <w:divBdr>
                    <w:top w:val="none" w:sz="0" w:space="0" w:color="auto"/>
                    <w:left w:val="none" w:sz="0" w:space="0" w:color="auto"/>
                    <w:bottom w:val="none" w:sz="0" w:space="0" w:color="auto"/>
                    <w:right w:val="none" w:sz="0" w:space="0" w:color="auto"/>
                  </w:divBdr>
                  <w:divsChild>
                    <w:div w:id="205215199">
                      <w:marLeft w:val="0"/>
                      <w:marRight w:val="0"/>
                      <w:marTop w:val="0"/>
                      <w:marBottom w:val="0"/>
                      <w:divBdr>
                        <w:top w:val="none" w:sz="0" w:space="0" w:color="auto"/>
                        <w:left w:val="none" w:sz="0" w:space="0" w:color="auto"/>
                        <w:bottom w:val="none" w:sz="0" w:space="0" w:color="auto"/>
                        <w:right w:val="none" w:sz="0" w:space="0" w:color="auto"/>
                      </w:divBdr>
                    </w:div>
                  </w:divsChild>
                </w:div>
                <w:div w:id="2060667865">
                  <w:marLeft w:val="0"/>
                  <w:marRight w:val="0"/>
                  <w:marTop w:val="0"/>
                  <w:marBottom w:val="0"/>
                  <w:divBdr>
                    <w:top w:val="none" w:sz="0" w:space="0" w:color="auto"/>
                    <w:left w:val="none" w:sz="0" w:space="0" w:color="auto"/>
                    <w:bottom w:val="none" w:sz="0" w:space="0" w:color="auto"/>
                    <w:right w:val="none" w:sz="0" w:space="0" w:color="auto"/>
                  </w:divBdr>
                  <w:divsChild>
                    <w:div w:id="2101367286">
                      <w:marLeft w:val="0"/>
                      <w:marRight w:val="0"/>
                      <w:marTop w:val="0"/>
                      <w:marBottom w:val="0"/>
                      <w:divBdr>
                        <w:top w:val="none" w:sz="0" w:space="0" w:color="auto"/>
                        <w:left w:val="none" w:sz="0" w:space="0" w:color="auto"/>
                        <w:bottom w:val="none" w:sz="0" w:space="0" w:color="auto"/>
                        <w:right w:val="none" w:sz="0" w:space="0" w:color="auto"/>
                      </w:divBdr>
                    </w:div>
                  </w:divsChild>
                </w:div>
                <w:div w:id="2115902656">
                  <w:marLeft w:val="0"/>
                  <w:marRight w:val="0"/>
                  <w:marTop w:val="0"/>
                  <w:marBottom w:val="0"/>
                  <w:divBdr>
                    <w:top w:val="none" w:sz="0" w:space="0" w:color="auto"/>
                    <w:left w:val="none" w:sz="0" w:space="0" w:color="auto"/>
                    <w:bottom w:val="none" w:sz="0" w:space="0" w:color="auto"/>
                    <w:right w:val="none" w:sz="0" w:space="0" w:color="auto"/>
                  </w:divBdr>
                  <w:divsChild>
                    <w:div w:id="9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4602">
          <w:marLeft w:val="0"/>
          <w:marRight w:val="0"/>
          <w:marTop w:val="0"/>
          <w:marBottom w:val="0"/>
          <w:divBdr>
            <w:top w:val="none" w:sz="0" w:space="0" w:color="auto"/>
            <w:left w:val="none" w:sz="0" w:space="0" w:color="auto"/>
            <w:bottom w:val="none" w:sz="0" w:space="0" w:color="auto"/>
            <w:right w:val="none" w:sz="0" w:space="0" w:color="auto"/>
          </w:divBdr>
        </w:div>
        <w:div w:id="1536962158">
          <w:marLeft w:val="0"/>
          <w:marRight w:val="0"/>
          <w:marTop w:val="0"/>
          <w:marBottom w:val="0"/>
          <w:divBdr>
            <w:top w:val="none" w:sz="0" w:space="0" w:color="auto"/>
            <w:left w:val="none" w:sz="0" w:space="0" w:color="auto"/>
            <w:bottom w:val="none" w:sz="0" w:space="0" w:color="auto"/>
            <w:right w:val="none" w:sz="0" w:space="0" w:color="auto"/>
          </w:divBdr>
        </w:div>
        <w:div w:id="1546991767">
          <w:marLeft w:val="0"/>
          <w:marRight w:val="0"/>
          <w:marTop w:val="0"/>
          <w:marBottom w:val="0"/>
          <w:divBdr>
            <w:top w:val="none" w:sz="0" w:space="0" w:color="auto"/>
            <w:left w:val="none" w:sz="0" w:space="0" w:color="auto"/>
            <w:bottom w:val="none" w:sz="0" w:space="0" w:color="auto"/>
            <w:right w:val="none" w:sz="0" w:space="0" w:color="auto"/>
          </w:divBdr>
        </w:div>
        <w:div w:id="1731004640">
          <w:marLeft w:val="0"/>
          <w:marRight w:val="0"/>
          <w:marTop w:val="0"/>
          <w:marBottom w:val="0"/>
          <w:divBdr>
            <w:top w:val="none" w:sz="0" w:space="0" w:color="auto"/>
            <w:left w:val="none" w:sz="0" w:space="0" w:color="auto"/>
            <w:bottom w:val="none" w:sz="0" w:space="0" w:color="auto"/>
            <w:right w:val="none" w:sz="0" w:space="0" w:color="auto"/>
          </w:divBdr>
        </w:div>
        <w:div w:id="1775200747">
          <w:marLeft w:val="0"/>
          <w:marRight w:val="0"/>
          <w:marTop w:val="0"/>
          <w:marBottom w:val="0"/>
          <w:divBdr>
            <w:top w:val="none" w:sz="0" w:space="0" w:color="auto"/>
            <w:left w:val="none" w:sz="0" w:space="0" w:color="auto"/>
            <w:bottom w:val="none" w:sz="0" w:space="0" w:color="auto"/>
            <w:right w:val="none" w:sz="0" w:space="0" w:color="auto"/>
          </w:divBdr>
        </w:div>
        <w:div w:id="1776170520">
          <w:marLeft w:val="0"/>
          <w:marRight w:val="0"/>
          <w:marTop w:val="0"/>
          <w:marBottom w:val="0"/>
          <w:divBdr>
            <w:top w:val="none" w:sz="0" w:space="0" w:color="auto"/>
            <w:left w:val="none" w:sz="0" w:space="0" w:color="auto"/>
            <w:bottom w:val="none" w:sz="0" w:space="0" w:color="auto"/>
            <w:right w:val="none" w:sz="0" w:space="0" w:color="auto"/>
          </w:divBdr>
          <w:divsChild>
            <w:div w:id="954169345">
              <w:marLeft w:val="-75"/>
              <w:marRight w:val="0"/>
              <w:marTop w:val="30"/>
              <w:marBottom w:val="30"/>
              <w:divBdr>
                <w:top w:val="none" w:sz="0" w:space="0" w:color="auto"/>
                <w:left w:val="none" w:sz="0" w:space="0" w:color="auto"/>
                <w:bottom w:val="none" w:sz="0" w:space="0" w:color="auto"/>
                <w:right w:val="none" w:sz="0" w:space="0" w:color="auto"/>
              </w:divBdr>
              <w:divsChild>
                <w:div w:id="26416587">
                  <w:marLeft w:val="0"/>
                  <w:marRight w:val="0"/>
                  <w:marTop w:val="0"/>
                  <w:marBottom w:val="0"/>
                  <w:divBdr>
                    <w:top w:val="none" w:sz="0" w:space="0" w:color="auto"/>
                    <w:left w:val="none" w:sz="0" w:space="0" w:color="auto"/>
                    <w:bottom w:val="none" w:sz="0" w:space="0" w:color="auto"/>
                    <w:right w:val="none" w:sz="0" w:space="0" w:color="auto"/>
                  </w:divBdr>
                  <w:divsChild>
                    <w:div w:id="1623464081">
                      <w:marLeft w:val="0"/>
                      <w:marRight w:val="0"/>
                      <w:marTop w:val="0"/>
                      <w:marBottom w:val="0"/>
                      <w:divBdr>
                        <w:top w:val="none" w:sz="0" w:space="0" w:color="auto"/>
                        <w:left w:val="none" w:sz="0" w:space="0" w:color="auto"/>
                        <w:bottom w:val="none" w:sz="0" w:space="0" w:color="auto"/>
                        <w:right w:val="none" w:sz="0" w:space="0" w:color="auto"/>
                      </w:divBdr>
                    </w:div>
                  </w:divsChild>
                </w:div>
                <w:div w:id="93600655">
                  <w:marLeft w:val="0"/>
                  <w:marRight w:val="0"/>
                  <w:marTop w:val="0"/>
                  <w:marBottom w:val="0"/>
                  <w:divBdr>
                    <w:top w:val="none" w:sz="0" w:space="0" w:color="auto"/>
                    <w:left w:val="none" w:sz="0" w:space="0" w:color="auto"/>
                    <w:bottom w:val="none" w:sz="0" w:space="0" w:color="auto"/>
                    <w:right w:val="none" w:sz="0" w:space="0" w:color="auto"/>
                  </w:divBdr>
                  <w:divsChild>
                    <w:div w:id="1392343642">
                      <w:marLeft w:val="0"/>
                      <w:marRight w:val="0"/>
                      <w:marTop w:val="0"/>
                      <w:marBottom w:val="0"/>
                      <w:divBdr>
                        <w:top w:val="none" w:sz="0" w:space="0" w:color="auto"/>
                        <w:left w:val="none" w:sz="0" w:space="0" w:color="auto"/>
                        <w:bottom w:val="none" w:sz="0" w:space="0" w:color="auto"/>
                        <w:right w:val="none" w:sz="0" w:space="0" w:color="auto"/>
                      </w:divBdr>
                    </w:div>
                  </w:divsChild>
                </w:div>
                <w:div w:id="155614300">
                  <w:marLeft w:val="0"/>
                  <w:marRight w:val="0"/>
                  <w:marTop w:val="0"/>
                  <w:marBottom w:val="0"/>
                  <w:divBdr>
                    <w:top w:val="none" w:sz="0" w:space="0" w:color="auto"/>
                    <w:left w:val="none" w:sz="0" w:space="0" w:color="auto"/>
                    <w:bottom w:val="none" w:sz="0" w:space="0" w:color="auto"/>
                    <w:right w:val="none" w:sz="0" w:space="0" w:color="auto"/>
                  </w:divBdr>
                  <w:divsChild>
                    <w:div w:id="1228371596">
                      <w:marLeft w:val="0"/>
                      <w:marRight w:val="0"/>
                      <w:marTop w:val="0"/>
                      <w:marBottom w:val="0"/>
                      <w:divBdr>
                        <w:top w:val="none" w:sz="0" w:space="0" w:color="auto"/>
                        <w:left w:val="none" w:sz="0" w:space="0" w:color="auto"/>
                        <w:bottom w:val="none" w:sz="0" w:space="0" w:color="auto"/>
                        <w:right w:val="none" w:sz="0" w:space="0" w:color="auto"/>
                      </w:divBdr>
                    </w:div>
                  </w:divsChild>
                </w:div>
                <w:div w:id="245457483">
                  <w:marLeft w:val="0"/>
                  <w:marRight w:val="0"/>
                  <w:marTop w:val="0"/>
                  <w:marBottom w:val="0"/>
                  <w:divBdr>
                    <w:top w:val="none" w:sz="0" w:space="0" w:color="auto"/>
                    <w:left w:val="none" w:sz="0" w:space="0" w:color="auto"/>
                    <w:bottom w:val="none" w:sz="0" w:space="0" w:color="auto"/>
                    <w:right w:val="none" w:sz="0" w:space="0" w:color="auto"/>
                  </w:divBdr>
                  <w:divsChild>
                    <w:div w:id="233585728">
                      <w:marLeft w:val="0"/>
                      <w:marRight w:val="0"/>
                      <w:marTop w:val="0"/>
                      <w:marBottom w:val="0"/>
                      <w:divBdr>
                        <w:top w:val="none" w:sz="0" w:space="0" w:color="auto"/>
                        <w:left w:val="none" w:sz="0" w:space="0" w:color="auto"/>
                        <w:bottom w:val="none" w:sz="0" w:space="0" w:color="auto"/>
                        <w:right w:val="none" w:sz="0" w:space="0" w:color="auto"/>
                      </w:divBdr>
                    </w:div>
                  </w:divsChild>
                </w:div>
                <w:div w:id="246230893">
                  <w:marLeft w:val="0"/>
                  <w:marRight w:val="0"/>
                  <w:marTop w:val="0"/>
                  <w:marBottom w:val="0"/>
                  <w:divBdr>
                    <w:top w:val="none" w:sz="0" w:space="0" w:color="auto"/>
                    <w:left w:val="none" w:sz="0" w:space="0" w:color="auto"/>
                    <w:bottom w:val="none" w:sz="0" w:space="0" w:color="auto"/>
                    <w:right w:val="none" w:sz="0" w:space="0" w:color="auto"/>
                  </w:divBdr>
                  <w:divsChild>
                    <w:div w:id="164828355">
                      <w:marLeft w:val="0"/>
                      <w:marRight w:val="0"/>
                      <w:marTop w:val="0"/>
                      <w:marBottom w:val="0"/>
                      <w:divBdr>
                        <w:top w:val="none" w:sz="0" w:space="0" w:color="auto"/>
                        <w:left w:val="none" w:sz="0" w:space="0" w:color="auto"/>
                        <w:bottom w:val="none" w:sz="0" w:space="0" w:color="auto"/>
                        <w:right w:val="none" w:sz="0" w:space="0" w:color="auto"/>
                      </w:divBdr>
                    </w:div>
                  </w:divsChild>
                </w:div>
                <w:div w:id="273443527">
                  <w:marLeft w:val="0"/>
                  <w:marRight w:val="0"/>
                  <w:marTop w:val="0"/>
                  <w:marBottom w:val="0"/>
                  <w:divBdr>
                    <w:top w:val="none" w:sz="0" w:space="0" w:color="auto"/>
                    <w:left w:val="none" w:sz="0" w:space="0" w:color="auto"/>
                    <w:bottom w:val="none" w:sz="0" w:space="0" w:color="auto"/>
                    <w:right w:val="none" w:sz="0" w:space="0" w:color="auto"/>
                  </w:divBdr>
                  <w:divsChild>
                    <w:div w:id="35930090">
                      <w:marLeft w:val="0"/>
                      <w:marRight w:val="0"/>
                      <w:marTop w:val="0"/>
                      <w:marBottom w:val="0"/>
                      <w:divBdr>
                        <w:top w:val="none" w:sz="0" w:space="0" w:color="auto"/>
                        <w:left w:val="none" w:sz="0" w:space="0" w:color="auto"/>
                        <w:bottom w:val="none" w:sz="0" w:space="0" w:color="auto"/>
                        <w:right w:val="none" w:sz="0" w:space="0" w:color="auto"/>
                      </w:divBdr>
                    </w:div>
                  </w:divsChild>
                </w:div>
                <w:div w:id="285939892">
                  <w:marLeft w:val="0"/>
                  <w:marRight w:val="0"/>
                  <w:marTop w:val="0"/>
                  <w:marBottom w:val="0"/>
                  <w:divBdr>
                    <w:top w:val="none" w:sz="0" w:space="0" w:color="auto"/>
                    <w:left w:val="none" w:sz="0" w:space="0" w:color="auto"/>
                    <w:bottom w:val="none" w:sz="0" w:space="0" w:color="auto"/>
                    <w:right w:val="none" w:sz="0" w:space="0" w:color="auto"/>
                  </w:divBdr>
                  <w:divsChild>
                    <w:div w:id="79564611">
                      <w:marLeft w:val="0"/>
                      <w:marRight w:val="0"/>
                      <w:marTop w:val="0"/>
                      <w:marBottom w:val="0"/>
                      <w:divBdr>
                        <w:top w:val="none" w:sz="0" w:space="0" w:color="auto"/>
                        <w:left w:val="none" w:sz="0" w:space="0" w:color="auto"/>
                        <w:bottom w:val="none" w:sz="0" w:space="0" w:color="auto"/>
                        <w:right w:val="none" w:sz="0" w:space="0" w:color="auto"/>
                      </w:divBdr>
                    </w:div>
                  </w:divsChild>
                </w:div>
                <w:div w:id="310058984">
                  <w:marLeft w:val="0"/>
                  <w:marRight w:val="0"/>
                  <w:marTop w:val="0"/>
                  <w:marBottom w:val="0"/>
                  <w:divBdr>
                    <w:top w:val="none" w:sz="0" w:space="0" w:color="auto"/>
                    <w:left w:val="none" w:sz="0" w:space="0" w:color="auto"/>
                    <w:bottom w:val="none" w:sz="0" w:space="0" w:color="auto"/>
                    <w:right w:val="none" w:sz="0" w:space="0" w:color="auto"/>
                  </w:divBdr>
                  <w:divsChild>
                    <w:div w:id="202907831">
                      <w:marLeft w:val="0"/>
                      <w:marRight w:val="0"/>
                      <w:marTop w:val="0"/>
                      <w:marBottom w:val="0"/>
                      <w:divBdr>
                        <w:top w:val="none" w:sz="0" w:space="0" w:color="auto"/>
                        <w:left w:val="none" w:sz="0" w:space="0" w:color="auto"/>
                        <w:bottom w:val="none" w:sz="0" w:space="0" w:color="auto"/>
                        <w:right w:val="none" w:sz="0" w:space="0" w:color="auto"/>
                      </w:divBdr>
                    </w:div>
                  </w:divsChild>
                </w:div>
                <w:div w:id="353269354">
                  <w:marLeft w:val="0"/>
                  <w:marRight w:val="0"/>
                  <w:marTop w:val="0"/>
                  <w:marBottom w:val="0"/>
                  <w:divBdr>
                    <w:top w:val="none" w:sz="0" w:space="0" w:color="auto"/>
                    <w:left w:val="none" w:sz="0" w:space="0" w:color="auto"/>
                    <w:bottom w:val="none" w:sz="0" w:space="0" w:color="auto"/>
                    <w:right w:val="none" w:sz="0" w:space="0" w:color="auto"/>
                  </w:divBdr>
                  <w:divsChild>
                    <w:div w:id="85687011">
                      <w:marLeft w:val="0"/>
                      <w:marRight w:val="0"/>
                      <w:marTop w:val="0"/>
                      <w:marBottom w:val="0"/>
                      <w:divBdr>
                        <w:top w:val="none" w:sz="0" w:space="0" w:color="auto"/>
                        <w:left w:val="none" w:sz="0" w:space="0" w:color="auto"/>
                        <w:bottom w:val="none" w:sz="0" w:space="0" w:color="auto"/>
                        <w:right w:val="none" w:sz="0" w:space="0" w:color="auto"/>
                      </w:divBdr>
                    </w:div>
                  </w:divsChild>
                </w:div>
                <w:div w:id="371998631">
                  <w:marLeft w:val="0"/>
                  <w:marRight w:val="0"/>
                  <w:marTop w:val="0"/>
                  <w:marBottom w:val="0"/>
                  <w:divBdr>
                    <w:top w:val="none" w:sz="0" w:space="0" w:color="auto"/>
                    <w:left w:val="none" w:sz="0" w:space="0" w:color="auto"/>
                    <w:bottom w:val="none" w:sz="0" w:space="0" w:color="auto"/>
                    <w:right w:val="none" w:sz="0" w:space="0" w:color="auto"/>
                  </w:divBdr>
                  <w:divsChild>
                    <w:div w:id="676419310">
                      <w:marLeft w:val="0"/>
                      <w:marRight w:val="0"/>
                      <w:marTop w:val="0"/>
                      <w:marBottom w:val="0"/>
                      <w:divBdr>
                        <w:top w:val="none" w:sz="0" w:space="0" w:color="auto"/>
                        <w:left w:val="none" w:sz="0" w:space="0" w:color="auto"/>
                        <w:bottom w:val="none" w:sz="0" w:space="0" w:color="auto"/>
                        <w:right w:val="none" w:sz="0" w:space="0" w:color="auto"/>
                      </w:divBdr>
                    </w:div>
                  </w:divsChild>
                </w:div>
                <w:div w:id="466512165">
                  <w:marLeft w:val="0"/>
                  <w:marRight w:val="0"/>
                  <w:marTop w:val="0"/>
                  <w:marBottom w:val="0"/>
                  <w:divBdr>
                    <w:top w:val="none" w:sz="0" w:space="0" w:color="auto"/>
                    <w:left w:val="none" w:sz="0" w:space="0" w:color="auto"/>
                    <w:bottom w:val="none" w:sz="0" w:space="0" w:color="auto"/>
                    <w:right w:val="none" w:sz="0" w:space="0" w:color="auto"/>
                  </w:divBdr>
                  <w:divsChild>
                    <w:div w:id="1195388532">
                      <w:marLeft w:val="0"/>
                      <w:marRight w:val="0"/>
                      <w:marTop w:val="0"/>
                      <w:marBottom w:val="0"/>
                      <w:divBdr>
                        <w:top w:val="none" w:sz="0" w:space="0" w:color="auto"/>
                        <w:left w:val="none" w:sz="0" w:space="0" w:color="auto"/>
                        <w:bottom w:val="none" w:sz="0" w:space="0" w:color="auto"/>
                        <w:right w:val="none" w:sz="0" w:space="0" w:color="auto"/>
                      </w:divBdr>
                    </w:div>
                  </w:divsChild>
                </w:div>
                <w:div w:id="628821495">
                  <w:marLeft w:val="0"/>
                  <w:marRight w:val="0"/>
                  <w:marTop w:val="0"/>
                  <w:marBottom w:val="0"/>
                  <w:divBdr>
                    <w:top w:val="none" w:sz="0" w:space="0" w:color="auto"/>
                    <w:left w:val="none" w:sz="0" w:space="0" w:color="auto"/>
                    <w:bottom w:val="none" w:sz="0" w:space="0" w:color="auto"/>
                    <w:right w:val="none" w:sz="0" w:space="0" w:color="auto"/>
                  </w:divBdr>
                  <w:divsChild>
                    <w:div w:id="219875820">
                      <w:marLeft w:val="0"/>
                      <w:marRight w:val="0"/>
                      <w:marTop w:val="0"/>
                      <w:marBottom w:val="0"/>
                      <w:divBdr>
                        <w:top w:val="none" w:sz="0" w:space="0" w:color="auto"/>
                        <w:left w:val="none" w:sz="0" w:space="0" w:color="auto"/>
                        <w:bottom w:val="none" w:sz="0" w:space="0" w:color="auto"/>
                        <w:right w:val="none" w:sz="0" w:space="0" w:color="auto"/>
                      </w:divBdr>
                    </w:div>
                  </w:divsChild>
                </w:div>
                <w:div w:id="821970015">
                  <w:marLeft w:val="0"/>
                  <w:marRight w:val="0"/>
                  <w:marTop w:val="0"/>
                  <w:marBottom w:val="0"/>
                  <w:divBdr>
                    <w:top w:val="none" w:sz="0" w:space="0" w:color="auto"/>
                    <w:left w:val="none" w:sz="0" w:space="0" w:color="auto"/>
                    <w:bottom w:val="none" w:sz="0" w:space="0" w:color="auto"/>
                    <w:right w:val="none" w:sz="0" w:space="0" w:color="auto"/>
                  </w:divBdr>
                  <w:divsChild>
                    <w:div w:id="1874882002">
                      <w:marLeft w:val="0"/>
                      <w:marRight w:val="0"/>
                      <w:marTop w:val="0"/>
                      <w:marBottom w:val="0"/>
                      <w:divBdr>
                        <w:top w:val="none" w:sz="0" w:space="0" w:color="auto"/>
                        <w:left w:val="none" w:sz="0" w:space="0" w:color="auto"/>
                        <w:bottom w:val="none" w:sz="0" w:space="0" w:color="auto"/>
                        <w:right w:val="none" w:sz="0" w:space="0" w:color="auto"/>
                      </w:divBdr>
                    </w:div>
                  </w:divsChild>
                </w:div>
                <w:div w:id="897479689">
                  <w:marLeft w:val="0"/>
                  <w:marRight w:val="0"/>
                  <w:marTop w:val="0"/>
                  <w:marBottom w:val="0"/>
                  <w:divBdr>
                    <w:top w:val="none" w:sz="0" w:space="0" w:color="auto"/>
                    <w:left w:val="none" w:sz="0" w:space="0" w:color="auto"/>
                    <w:bottom w:val="none" w:sz="0" w:space="0" w:color="auto"/>
                    <w:right w:val="none" w:sz="0" w:space="0" w:color="auto"/>
                  </w:divBdr>
                  <w:divsChild>
                    <w:div w:id="1474256220">
                      <w:marLeft w:val="0"/>
                      <w:marRight w:val="0"/>
                      <w:marTop w:val="0"/>
                      <w:marBottom w:val="0"/>
                      <w:divBdr>
                        <w:top w:val="none" w:sz="0" w:space="0" w:color="auto"/>
                        <w:left w:val="none" w:sz="0" w:space="0" w:color="auto"/>
                        <w:bottom w:val="none" w:sz="0" w:space="0" w:color="auto"/>
                        <w:right w:val="none" w:sz="0" w:space="0" w:color="auto"/>
                      </w:divBdr>
                    </w:div>
                  </w:divsChild>
                </w:div>
                <w:div w:id="931162358">
                  <w:marLeft w:val="0"/>
                  <w:marRight w:val="0"/>
                  <w:marTop w:val="0"/>
                  <w:marBottom w:val="0"/>
                  <w:divBdr>
                    <w:top w:val="none" w:sz="0" w:space="0" w:color="auto"/>
                    <w:left w:val="none" w:sz="0" w:space="0" w:color="auto"/>
                    <w:bottom w:val="none" w:sz="0" w:space="0" w:color="auto"/>
                    <w:right w:val="none" w:sz="0" w:space="0" w:color="auto"/>
                  </w:divBdr>
                  <w:divsChild>
                    <w:div w:id="2066635770">
                      <w:marLeft w:val="0"/>
                      <w:marRight w:val="0"/>
                      <w:marTop w:val="0"/>
                      <w:marBottom w:val="0"/>
                      <w:divBdr>
                        <w:top w:val="none" w:sz="0" w:space="0" w:color="auto"/>
                        <w:left w:val="none" w:sz="0" w:space="0" w:color="auto"/>
                        <w:bottom w:val="none" w:sz="0" w:space="0" w:color="auto"/>
                        <w:right w:val="none" w:sz="0" w:space="0" w:color="auto"/>
                      </w:divBdr>
                    </w:div>
                  </w:divsChild>
                </w:div>
                <w:div w:id="1008823916">
                  <w:marLeft w:val="0"/>
                  <w:marRight w:val="0"/>
                  <w:marTop w:val="0"/>
                  <w:marBottom w:val="0"/>
                  <w:divBdr>
                    <w:top w:val="none" w:sz="0" w:space="0" w:color="auto"/>
                    <w:left w:val="none" w:sz="0" w:space="0" w:color="auto"/>
                    <w:bottom w:val="none" w:sz="0" w:space="0" w:color="auto"/>
                    <w:right w:val="none" w:sz="0" w:space="0" w:color="auto"/>
                  </w:divBdr>
                  <w:divsChild>
                    <w:div w:id="861283959">
                      <w:marLeft w:val="0"/>
                      <w:marRight w:val="0"/>
                      <w:marTop w:val="0"/>
                      <w:marBottom w:val="0"/>
                      <w:divBdr>
                        <w:top w:val="none" w:sz="0" w:space="0" w:color="auto"/>
                        <w:left w:val="none" w:sz="0" w:space="0" w:color="auto"/>
                        <w:bottom w:val="none" w:sz="0" w:space="0" w:color="auto"/>
                        <w:right w:val="none" w:sz="0" w:space="0" w:color="auto"/>
                      </w:divBdr>
                    </w:div>
                  </w:divsChild>
                </w:div>
                <w:div w:id="1125006585">
                  <w:marLeft w:val="0"/>
                  <w:marRight w:val="0"/>
                  <w:marTop w:val="0"/>
                  <w:marBottom w:val="0"/>
                  <w:divBdr>
                    <w:top w:val="none" w:sz="0" w:space="0" w:color="auto"/>
                    <w:left w:val="none" w:sz="0" w:space="0" w:color="auto"/>
                    <w:bottom w:val="none" w:sz="0" w:space="0" w:color="auto"/>
                    <w:right w:val="none" w:sz="0" w:space="0" w:color="auto"/>
                  </w:divBdr>
                  <w:divsChild>
                    <w:div w:id="173422698">
                      <w:marLeft w:val="0"/>
                      <w:marRight w:val="0"/>
                      <w:marTop w:val="0"/>
                      <w:marBottom w:val="0"/>
                      <w:divBdr>
                        <w:top w:val="none" w:sz="0" w:space="0" w:color="auto"/>
                        <w:left w:val="none" w:sz="0" w:space="0" w:color="auto"/>
                        <w:bottom w:val="none" w:sz="0" w:space="0" w:color="auto"/>
                        <w:right w:val="none" w:sz="0" w:space="0" w:color="auto"/>
                      </w:divBdr>
                    </w:div>
                  </w:divsChild>
                </w:div>
                <w:div w:id="1145196043">
                  <w:marLeft w:val="0"/>
                  <w:marRight w:val="0"/>
                  <w:marTop w:val="0"/>
                  <w:marBottom w:val="0"/>
                  <w:divBdr>
                    <w:top w:val="none" w:sz="0" w:space="0" w:color="auto"/>
                    <w:left w:val="none" w:sz="0" w:space="0" w:color="auto"/>
                    <w:bottom w:val="none" w:sz="0" w:space="0" w:color="auto"/>
                    <w:right w:val="none" w:sz="0" w:space="0" w:color="auto"/>
                  </w:divBdr>
                  <w:divsChild>
                    <w:div w:id="1271082903">
                      <w:marLeft w:val="0"/>
                      <w:marRight w:val="0"/>
                      <w:marTop w:val="0"/>
                      <w:marBottom w:val="0"/>
                      <w:divBdr>
                        <w:top w:val="none" w:sz="0" w:space="0" w:color="auto"/>
                        <w:left w:val="none" w:sz="0" w:space="0" w:color="auto"/>
                        <w:bottom w:val="none" w:sz="0" w:space="0" w:color="auto"/>
                        <w:right w:val="none" w:sz="0" w:space="0" w:color="auto"/>
                      </w:divBdr>
                    </w:div>
                  </w:divsChild>
                </w:div>
                <w:div w:id="1172257064">
                  <w:marLeft w:val="0"/>
                  <w:marRight w:val="0"/>
                  <w:marTop w:val="0"/>
                  <w:marBottom w:val="0"/>
                  <w:divBdr>
                    <w:top w:val="none" w:sz="0" w:space="0" w:color="auto"/>
                    <w:left w:val="none" w:sz="0" w:space="0" w:color="auto"/>
                    <w:bottom w:val="none" w:sz="0" w:space="0" w:color="auto"/>
                    <w:right w:val="none" w:sz="0" w:space="0" w:color="auto"/>
                  </w:divBdr>
                  <w:divsChild>
                    <w:div w:id="1201163535">
                      <w:marLeft w:val="0"/>
                      <w:marRight w:val="0"/>
                      <w:marTop w:val="0"/>
                      <w:marBottom w:val="0"/>
                      <w:divBdr>
                        <w:top w:val="none" w:sz="0" w:space="0" w:color="auto"/>
                        <w:left w:val="none" w:sz="0" w:space="0" w:color="auto"/>
                        <w:bottom w:val="none" w:sz="0" w:space="0" w:color="auto"/>
                        <w:right w:val="none" w:sz="0" w:space="0" w:color="auto"/>
                      </w:divBdr>
                    </w:div>
                  </w:divsChild>
                </w:div>
                <w:div w:id="1202355395">
                  <w:marLeft w:val="0"/>
                  <w:marRight w:val="0"/>
                  <w:marTop w:val="0"/>
                  <w:marBottom w:val="0"/>
                  <w:divBdr>
                    <w:top w:val="none" w:sz="0" w:space="0" w:color="auto"/>
                    <w:left w:val="none" w:sz="0" w:space="0" w:color="auto"/>
                    <w:bottom w:val="none" w:sz="0" w:space="0" w:color="auto"/>
                    <w:right w:val="none" w:sz="0" w:space="0" w:color="auto"/>
                  </w:divBdr>
                  <w:divsChild>
                    <w:div w:id="2020694805">
                      <w:marLeft w:val="0"/>
                      <w:marRight w:val="0"/>
                      <w:marTop w:val="0"/>
                      <w:marBottom w:val="0"/>
                      <w:divBdr>
                        <w:top w:val="none" w:sz="0" w:space="0" w:color="auto"/>
                        <w:left w:val="none" w:sz="0" w:space="0" w:color="auto"/>
                        <w:bottom w:val="none" w:sz="0" w:space="0" w:color="auto"/>
                        <w:right w:val="none" w:sz="0" w:space="0" w:color="auto"/>
                      </w:divBdr>
                    </w:div>
                  </w:divsChild>
                </w:div>
                <w:div w:id="1312713148">
                  <w:marLeft w:val="0"/>
                  <w:marRight w:val="0"/>
                  <w:marTop w:val="0"/>
                  <w:marBottom w:val="0"/>
                  <w:divBdr>
                    <w:top w:val="none" w:sz="0" w:space="0" w:color="auto"/>
                    <w:left w:val="none" w:sz="0" w:space="0" w:color="auto"/>
                    <w:bottom w:val="none" w:sz="0" w:space="0" w:color="auto"/>
                    <w:right w:val="none" w:sz="0" w:space="0" w:color="auto"/>
                  </w:divBdr>
                  <w:divsChild>
                    <w:div w:id="385494645">
                      <w:marLeft w:val="0"/>
                      <w:marRight w:val="0"/>
                      <w:marTop w:val="0"/>
                      <w:marBottom w:val="0"/>
                      <w:divBdr>
                        <w:top w:val="none" w:sz="0" w:space="0" w:color="auto"/>
                        <w:left w:val="none" w:sz="0" w:space="0" w:color="auto"/>
                        <w:bottom w:val="none" w:sz="0" w:space="0" w:color="auto"/>
                        <w:right w:val="none" w:sz="0" w:space="0" w:color="auto"/>
                      </w:divBdr>
                    </w:div>
                  </w:divsChild>
                </w:div>
                <w:div w:id="1403136276">
                  <w:marLeft w:val="0"/>
                  <w:marRight w:val="0"/>
                  <w:marTop w:val="0"/>
                  <w:marBottom w:val="0"/>
                  <w:divBdr>
                    <w:top w:val="none" w:sz="0" w:space="0" w:color="auto"/>
                    <w:left w:val="none" w:sz="0" w:space="0" w:color="auto"/>
                    <w:bottom w:val="none" w:sz="0" w:space="0" w:color="auto"/>
                    <w:right w:val="none" w:sz="0" w:space="0" w:color="auto"/>
                  </w:divBdr>
                  <w:divsChild>
                    <w:div w:id="701130141">
                      <w:marLeft w:val="0"/>
                      <w:marRight w:val="0"/>
                      <w:marTop w:val="0"/>
                      <w:marBottom w:val="0"/>
                      <w:divBdr>
                        <w:top w:val="none" w:sz="0" w:space="0" w:color="auto"/>
                        <w:left w:val="none" w:sz="0" w:space="0" w:color="auto"/>
                        <w:bottom w:val="none" w:sz="0" w:space="0" w:color="auto"/>
                        <w:right w:val="none" w:sz="0" w:space="0" w:color="auto"/>
                      </w:divBdr>
                    </w:div>
                  </w:divsChild>
                </w:div>
                <w:div w:id="1446346426">
                  <w:marLeft w:val="0"/>
                  <w:marRight w:val="0"/>
                  <w:marTop w:val="0"/>
                  <w:marBottom w:val="0"/>
                  <w:divBdr>
                    <w:top w:val="none" w:sz="0" w:space="0" w:color="auto"/>
                    <w:left w:val="none" w:sz="0" w:space="0" w:color="auto"/>
                    <w:bottom w:val="none" w:sz="0" w:space="0" w:color="auto"/>
                    <w:right w:val="none" w:sz="0" w:space="0" w:color="auto"/>
                  </w:divBdr>
                  <w:divsChild>
                    <w:div w:id="1126318016">
                      <w:marLeft w:val="0"/>
                      <w:marRight w:val="0"/>
                      <w:marTop w:val="0"/>
                      <w:marBottom w:val="0"/>
                      <w:divBdr>
                        <w:top w:val="none" w:sz="0" w:space="0" w:color="auto"/>
                        <w:left w:val="none" w:sz="0" w:space="0" w:color="auto"/>
                        <w:bottom w:val="none" w:sz="0" w:space="0" w:color="auto"/>
                        <w:right w:val="none" w:sz="0" w:space="0" w:color="auto"/>
                      </w:divBdr>
                    </w:div>
                  </w:divsChild>
                </w:div>
                <w:div w:id="1535848014">
                  <w:marLeft w:val="0"/>
                  <w:marRight w:val="0"/>
                  <w:marTop w:val="0"/>
                  <w:marBottom w:val="0"/>
                  <w:divBdr>
                    <w:top w:val="none" w:sz="0" w:space="0" w:color="auto"/>
                    <w:left w:val="none" w:sz="0" w:space="0" w:color="auto"/>
                    <w:bottom w:val="none" w:sz="0" w:space="0" w:color="auto"/>
                    <w:right w:val="none" w:sz="0" w:space="0" w:color="auto"/>
                  </w:divBdr>
                  <w:divsChild>
                    <w:div w:id="2125806271">
                      <w:marLeft w:val="0"/>
                      <w:marRight w:val="0"/>
                      <w:marTop w:val="0"/>
                      <w:marBottom w:val="0"/>
                      <w:divBdr>
                        <w:top w:val="none" w:sz="0" w:space="0" w:color="auto"/>
                        <w:left w:val="none" w:sz="0" w:space="0" w:color="auto"/>
                        <w:bottom w:val="none" w:sz="0" w:space="0" w:color="auto"/>
                        <w:right w:val="none" w:sz="0" w:space="0" w:color="auto"/>
                      </w:divBdr>
                    </w:div>
                  </w:divsChild>
                </w:div>
                <w:div w:id="1537349588">
                  <w:marLeft w:val="0"/>
                  <w:marRight w:val="0"/>
                  <w:marTop w:val="0"/>
                  <w:marBottom w:val="0"/>
                  <w:divBdr>
                    <w:top w:val="none" w:sz="0" w:space="0" w:color="auto"/>
                    <w:left w:val="none" w:sz="0" w:space="0" w:color="auto"/>
                    <w:bottom w:val="none" w:sz="0" w:space="0" w:color="auto"/>
                    <w:right w:val="none" w:sz="0" w:space="0" w:color="auto"/>
                  </w:divBdr>
                  <w:divsChild>
                    <w:div w:id="262223131">
                      <w:marLeft w:val="0"/>
                      <w:marRight w:val="0"/>
                      <w:marTop w:val="0"/>
                      <w:marBottom w:val="0"/>
                      <w:divBdr>
                        <w:top w:val="none" w:sz="0" w:space="0" w:color="auto"/>
                        <w:left w:val="none" w:sz="0" w:space="0" w:color="auto"/>
                        <w:bottom w:val="none" w:sz="0" w:space="0" w:color="auto"/>
                        <w:right w:val="none" w:sz="0" w:space="0" w:color="auto"/>
                      </w:divBdr>
                    </w:div>
                  </w:divsChild>
                </w:div>
                <w:div w:id="1649044320">
                  <w:marLeft w:val="0"/>
                  <w:marRight w:val="0"/>
                  <w:marTop w:val="0"/>
                  <w:marBottom w:val="0"/>
                  <w:divBdr>
                    <w:top w:val="none" w:sz="0" w:space="0" w:color="auto"/>
                    <w:left w:val="none" w:sz="0" w:space="0" w:color="auto"/>
                    <w:bottom w:val="none" w:sz="0" w:space="0" w:color="auto"/>
                    <w:right w:val="none" w:sz="0" w:space="0" w:color="auto"/>
                  </w:divBdr>
                  <w:divsChild>
                    <w:div w:id="1056510923">
                      <w:marLeft w:val="0"/>
                      <w:marRight w:val="0"/>
                      <w:marTop w:val="0"/>
                      <w:marBottom w:val="0"/>
                      <w:divBdr>
                        <w:top w:val="none" w:sz="0" w:space="0" w:color="auto"/>
                        <w:left w:val="none" w:sz="0" w:space="0" w:color="auto"/>
                        <w:bottom w:val="none" w:sz="0" w:space="0" w:color="auto"/>
                        <w:right w:val="none" w:sz="0" w:space="0" w:color="auto"/>
                      </w:divBdr>
                    </w:div>
                  </w:divsChild>
                </w:div>
                <w:div w:id="1691881376">
                  <w:marLeft w:val="0"/>
                  <w:marRight w:val="0"/>
                  <w:marTop w:val="0"/>
                  <w:marBottom w:val="0"/>
                  <w:divBdr>
                    <w:top w:val="none" w:sz="0" w:space="0" w:color="auto"/>
                    <w:left w:val="none" w:sz="0" w:space="0" w:color="auto"/>
                    <w:bottom w:val="none" w:sz="0" w:space="0" w:color="auto"/>
                    <w:right w:val="none" w:sz="0" w:space="0" w:color="auto"/>
                  </w:divBdr>
                  <w:divsChild>
                    <w:div w:id="1642612063">
                      <w:marLeft w:val="0"/>
                      <w:marRight w:val="0"/>
                      <w:marTop w:val="0"/>
                      <w:marBottom w:val="0"/>
                      <w:divBdr>
                        <w:top w:val="none" w:sz="0" w:space="0" w:color="auto"/>
                        <w:left w:val="none" w:sz="0" w:space="0" w:color="auto"/>
                        <w:bottom w:val="none" w:sz="0" w:space="0" w:color="auto"/>
                        <w:right w:val="none" w:sz="0" w:space="0" w:color="auto"/>
                      </w:divBdr>
                    </w:div>
                  </w:divsChild>
                </w:div>
                <w:div w:id="1808669870">
                  <w:marLeft w:val="0"/>
                  <w:marRight w:val="0"/>
                  <w:marTop w:val="0"/>
                  <w:marBottom w:val="0"/>
                  <w:divBdr>
                    <w:top w:val="none" w:sz="0" w:space="0" w:color="auto"/>
                    <w:left w:val="none" w:sz="0" w:space="0" w:color="auto"/>
                    <w:bottom w:val="none" w:sz="0" w:space="0" w:color="auto"/>
                    <w:right w:val="none" w:sz="0" w:space="0" w:color="auto"/>
                  </w:divBdr>
                  <w:divsChild>
                    <w:div w:id="2022470817">
                      <w:marLeft w:val="0"/>
                      <w:marRight w:val="0"/>
                      <w:marTop w:val="0"/>
                      <w:marBottom w:val="0"/>
                      <w:divBdr>
                        <w:top w:val="none" w:sz="0" w:space="0" w:color="auto"/>
                        <w:left w:val="none" w:sz="0" w:space="0" w:color="auto"/>
                        <w:bottom w:val="none" w:sz="0" w:space="0" w:color="auto"/>
                        <w:right w:val="none" w:sz="0" w:space="0" w:color="auto"/>
                      </w:divBdr>
                    </w:div>
                  </w:divsChild>
                </w:div>
                <w:div w:id="1818373653">
                  <w:marLeft w:val="0"/>
                  <w:marRight w:val="0"/>
                  <w:marTop w:val="0"/>
                  <w:marBottom w:val="0"/>
                  <w:divBdr>
                    <w:top w:val="none" w:sz="0" w:space="0" w:color="auto"/>
                    <w:left w:val="none" w:sz="0" w:space="0" w:color="auto"/>
                    <w:bottom w:val="none" w:sz="0" w:space="0" w:color="auto"/>
                    <w:right w:val="none" w:sz="0" w:space="0" w:color="auto"/>
                  </w:divBdr>
                  <w:divsChild>
                    <w:div w:id="306253020">
                      <w:marLeft w:val="0"/>
                      <w:marRight w:val="0"/>
                      <w:marTop w:val="0"/>
                      <w:marBottom w:val="0"/>
                      <w:divBdr>
                        <w:top w:val="none" w:sz="0" w:space="0" w:color="auto"/>
                        <w:left w:val="none" w:sz="0" w:space="0" w:color="auto"/>
                        <w:bottom w:val="none" w:sz="0" w:space="0" w:color="auto"/>
                        <w:right w:val="none" w:sz="0" w:space="0" w:color="auto"/>
                      </w:divBdr>
                    </w:div>
                  </w:divsChild>
                </w:div>
                <w:div w:id="1818835175">
                  <w:marLeft w:val="0"/>
                  <w:marRight w:val="0"/>
                  <w:marTop w:val="0"/>
                  <w:marBottom w:val="0"/>
                  <w:divBdr>
                    <w:top w:val="none" w:sz="0" w:space="0" w:color="auto"/>
                    <w:left w:val="none" w:sz="0" w:space="0" w:color="auto"/>
                    <w:bottom w:val="none" w:sz="0" w:space="0" w:color="auto"/>
                    <w:right w:val="none" w:sz="0" w:space="0" w:color="auto"/>
                  </w:divBdr>
                  <w:divsChild>
                    <w:div w:id="763498650">
                      <w:marLeft w:val="0"/>
                      <w:marRight w:val="0"/>
                      <w:marTop w:val="0"/>
                      <w:marBottom w:val="0"/>
                      <w:divBdr>
                        <w:top w:val="none" w:sz="0" w:space="0" w:color="auto"/>
                        <w:left w:val="none" w:sz="0" w:space="0" w:color="auto"/>
                        <w:bottom w:val="none" w:sz="0" w:space="0" w:color="auto"/>
                        <w:right w:val="none" w:sz="0" w:space="0" w:color="auto"/>
                      </w:divBdr>
                    </w:div>
                  </w:divsChild>
                </w:div>
                <w:div w:id="1869371552">
                  <w:marLeft w:val="0"/>
                  <w:marRight w:val="0"/>
                  <w:marTop w:val="0"/>
                  <w:marBottom w:val="0"/>
                  <w:divBdr>
                    <w:top w:val="none" w:sz="0" w:space="0" w:color="auto"/>
                    <w:left w:val="none" w:sz="0" w:space="0" w:color="auto"/>
                    <w:bottom w:val="none" w:sz="0" w:space="0" w:color="auto"/>
                    <w:right w:val="none" w:sz="0" w:space="0" w:color="auto"/>
                  </w:divBdr>
                  <w:divsChild>
                    <w:div w:id="1424229859">
                      <w:marLeft w:val="0"/>
                      <w:marRight w:val="0"/>
                      <w:marTop w:val="0"/>
                      <w:marBottom w:val="0"/>
                      <w:divBdr>
                        <w:top w:val="none" w:sz="0" w:space="0" w:color="auto"/>
                        <w:left w:val="none" w:sz="0" w:space="0" w:color="auto"/>
                        <w:bottom w:val="none" w:sz="0" w:space="0" w:color="auto"/>
                        <w:right w:val="none" w:sz="0" w:space="0" w:color="auto"/>
                      </w:divBdr>
                    </w:div>
                  </w:divsChild>
                </w:div>
                <w:div w:id="1939288995">
                  <w:marLeft w:val="0"/>
                  <w:marRight w:val="0"/>
                  <w:marTop w:val="0"/>
                  <w:marBottom w:val="0"/>
                  <w:divBdr>
                    <w:top w:val="none" w:sz="0" w:space="0" w:color="auto"/>
                    <w:left w:val="none" w:sz="0" w:space="0" w:color="auto"/>
                    <w:bottom w:val="none" w:sz="0" w:space="0" w:color="auto"/>
                    <w:right w:val="none" w:sz="0" w:space="0" w:color="auto"/>
                  </w:divBdr>
                  <w:divsChild>
                    <w:div w:id="109321468">
                      <w:marLeft w:val="0"/>
                      <w:marRight w:val="0"/>
                      <w:marTop w:val="0"/>
                      <w:marBottom w:val="0"/>
                      <w:divBdr>
                        <w:top w:val="none" w:sz="0" w:space="0" w:color="auto"/>
                        <w:left w:val="none" w:sz="0" w:space="0" w:color="auto"/>
                        <w:bottom w:val="none" w:sz="0" w:space="0" w:color="auto"/>
                        <w:right w:val="none" w:sz="0" w:space="0" w:color="auto"/>
                      </w:divBdr>
                    </w:div>
                  </w:divsChild>
                </w:div>
                <w:div w:id="2019429987">
                  <w:marLeft w:val="0"/>
                  <w:marRight w:val="0"/>
                  <w:marTop w:val="0"/>
                  <w:marBottom w:val="0"/>
                  <w:divBdr>
                    <w:top w:val="none" w:sz="0" w:space="0" w:color="auto"/>
                    <w:left w:val="none" w:sz="0" w:space="0" w:color="auto"/>
                    <w:bottom w:val="none" w:sz="0" w:space="0" w:color="auto"/>
                    <w:right w:val="none" w:sz="0" w:space="0" w:color="auto"/>
                  </w:divBdr>
                  <w:divsChild>
                    <w:div w:id="2013797971">
                      <w:marLeft w:val="0"/>
                      <w:marRight w:val="0"/>
                      <w:marTop w:val="0"/>
                      <w:marBottom w:val="0"/>
                      <w:divBdr>
                        <w:top w:val="none" w:sz="0" w:space="0" w:color="auto"/>
                        <w:left w:val="none" w:sz="0" w:space="0" w:color="auto"/>
                        <w:bottom w:val="none" w:sz="0" w:space="0" w:color="auto"/>
                        <w:right w:val="none" w:sz="0" w:space="0" w:color="auto"/>
                      </w:divBdr>
                    </w:div>
                  </w:divsChild>
                </w:div>
                <w:div w:id="2109042396">
                  <w:marLeft w:val="0"/>
                  <w:marRight w:val="0"/>
                  <w:marTop w:val="0"/>
                  <w:marBottom w:val="0"/>
                  <w:divBdr>
                    <w:top w:val="none" w:sz="0" w:space="0" w:color="auto"/>
                    <w:left w:val="none" w:sz="0" w:space="0" w:color="auto"/>
                    <w:bottom w:val="none" w:sz="0" w:space="0" w:color="auto"/>
                    <w:right w:val="none" w:sz="0" w:space="0" w:color="auto"/>
                  </w:divBdr>
                  <w:divsChild>
                    <w:div w:id="1399089900">
                      <w:marLeft w:val="0"/>
                      <w:marRight w:val="0"/>
                      <w:marTop w:val="0"/>
                      <w:marBottom w:val="0"/>
                      <w:divBdr>
                        <w:top w:val="none" w:sz="0" w:space="0" w:color="auto"/>
                        <w:left w:val="none" w:sz="0" w:space="0" w:color="auto"/>
                        <w:bottom w:val="none" w:sz="0" w:space="0" w:color="auto"/>
                        <w:right w:val="none" w:sz="0" w:space="0" w:color="auto"/>
                      </w:divBdr>
                    </w:div>
                  </w:divsChild>
                </w:div>
                <w:div w:id="2138836532">
                  <w:marLeft w:val="0"/>
                  <w:marRight w:val="0"/>
                  <w:marTop w:val="0"/>
                  <w:marBottom w:val="0"/>
                  <w:divBdr>
                    <w:top w:val="none" w:sz="0" w:space="0" w:color="auto"/>
                    <w:left w:val="none" w:sz="0" w:space="0" w:color="auto"/>
                    <w:bottom w:val="none" w:sz="0" w:space="0" w:color="auto"/>
                    <w:right w:val="none" w:sz="0" w:space="0" w:color="auto"/>
                  </w:divBdr>
                  <w:divsChild>
                    <w:div w:id="17877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94646">
          <w:marLeft w:val="0"/>
          <w:marRight w:val="0"/>
          <w:marTop w:val="0"/>
          <w:marBottom w:val="0"/>
          <w:divBdr>
            <w:top w:val="none" w:sz="0" w:space="0" w:color="auto"/>
            <w:left w:val="none" w:sz="0" w:space="0" w:color="auto"/>
            <w:bottom w:val="none" w:sz="0" w:space="0" w:color="auto"/>
            <w:right w:val="none" w:sz="0" w:space="0" w:color="auto"/>
          </w:divBdr>
        </w:div>
        <w:div w:id="1799447376">
          <w:marLeft w:val="0"/>
          <w:marRight w:val="0"/>
          <w:marTop w:val="0"/>
          <w:marBottom w:val="0"/>
          <w:divBdr>
            <w:top w:val="none" w:sz="0" w:space="0" w:color="auto"/>
            <w:left w:val="none" w:sz="0" w:space="0" w:color="auto"/>
            <w:bottom w:val="none" w:sz="0" w:space="0" w:color="auto"/>
            <w:right w:val="none" w:sz="0" w:space="0" w:color="auto"/>
          </w:divBdr>
        </w:div>
        <w:div w:id="1842620199">
          <w:marLeft w:val="0"/>
          <w:marRight w:val="0"/>
          <w:marTop w:val="0"/>
          <w:marBottom w:val="0"/>
          <w:divBdr>
            <w:top w:val="none" w:sz="0" w:space="0" w:color="auto"/>
            <w:left w:val="none" w:sz="0" w:space="0" w:color="auto"/>
            <w:bottom w:val="none" w:sz="0" w:space="0" w:color="auto"/>
            <w:right w:val="none" w:sz="0" w:space="0" w:color="auto"/>
          </w:divBdr>
        </w:div>
        <w:div w:id="1864855569">
          <w:marLeft w:val="0"/>
          <w:marRight w:val="0"/>
          <w:marTop w:val="0"/>
          <w:marBottom w:val="0"/>
          <w:divBdr>
            <w:top w:val="none" w:sz="0" w:space="0" w:color="auto"/>
            <w:left w:val="none" w:sz="0" w:space="0" w:color="auto"/>
            <w:bottom w:val="none" w:sz="0" w:space="0" w:color="auto"/>
            <w:right w:val="none" w:sz="0" w:space="0" w:color="auto"/>
          </w:divBdr>
        </w:div>
        <w:div w:id="1932621639">
          <w:marLeft w:val="0"/>
          <w:marRight w:val="0"/>
          <w:marTop w:val="0"/>
          <w:marBottom w:val="0"/>
          <w:divBdr>
            <w:top w:val="none" w:sz="0" w:space="0" w:color="auto"/>
            <w:left w:val="none" w:sz="0" w:space="0" w:color="auto"/>
            <w:bottom w:val="none" w:sz="0" w:space="0" w:color="auto"/>
            <w:right w:val="none" w:sz="0" w:space="0" w:color="auto"/>
          </w:divBdr>
        </w:div>
        <w:div w:id="1954900137">
          <w:marLeft w:val="0"/>
          <w:marRight w:val="0"/>
          <w:marTop w:val="0"/>
          <w:marBottom w:val="0"/>
          <w:divBdr>
            <w:top w:val="none" w:sz="0" w:space="0" w:color="auto"/>
            <w:left w:val="none" w:sz="0" w:space="0" w:color="auto"/>
            <w:bottom w:val="none" w:sz="0" w:space="0" w:color="auto"/>
            <w:right w:val="none" w:sz="0" w:space="0" w:color="auto"/>
          </w:divBdr>
          <w:divsChild>
            <w:div w:id="154034032">
              <w:marLeft w:val="-75"/>
              <w:marRight w:val="0"/>
              <w:marTop w:val="30"/>
              <w:marBottom w:val="3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388457499">
                      <w:marLeft w:val="0"/>
                      <w:marRight w:val="0"/>
                      <w:marTop w:val="0"/>
                      <w:marBottom w:val="0"/>
                      <w:divBdr>
                        <w:top w:val="none" w:sz="0" w:space="0" w:color="auto"/>
                        <w:left w:val="none" w:sz="0" w:space="0" w:color="auto"/>
                        <w:bottom w:val="none" w:sz="0" w:space="0" w:color="auto"/>
                        <w:right w:val="none" w:sz="0" w:space="0" w:color="auto"/>
                      </w:divBdr>
                    </w:div>
                  </w:divsChild>
                </w:div>
                <w:div w:id="92939767">
                  <w:marLeft w:val="0"/>
                  <w:marRight w:val="0"/>
                  <w:marTop w:val="0"/>
                  <w:marBottom w:val="0"/>
                  <w:divBdr>
                    <w:top w:val="none" w:sz="0" w:space="0" w:color="auto"/>
                    <w:left w:val="none" w:sz="0" w:space="0" w:color="auto"/>
                    <w:bottom w:val="none" w:sz="0" w:space="0" w:color="auto"/>
                    <w:right w:val="none" w:sz="0" w:space="0" w:color="auto"/>
                  </w:divBdr>
                  <w:divsChild>
                    <w:div w:id="1327512383">
                      <w:marLeft w:val="0"/>
                      <w:marRight w:val="0"/>
                      <w:marTop w:val="0"/>
                      <w:marBottom w:val="0"/>
                      <w:divBdr>
                        <w:top w:val="none" w:sz="0" w:space="0" w:color="auto"/>
                        <w:left w:val="none" w:sz="0" w:space="0" w:color="auto"/>
                        <w:bottom w:val="none" w:sz="0" w:space="0" w:color="auto"/>
                        <w:right w:val="none" w:sz="0" w:space="0" w:color="auto"/>
                      </w:divBdr>
                    </w:div>
                  </w:divsChild>
                </w:div>
                <w:div w:id="102308689">
                  <w:marLeft w:val="0"/>
                  <w:marRight w:val="0"/>
                  <w:marTop w:val="0"/>
                  <w:marBottom w:val="0"/>
                  <w:divBdr>
                    <w:top w:val="none" w:sz="0" w:space="0" w:color="auto"/>
                    <w:left w:val="none" w:sz="0" w:space="0" w:color="auto"/>
                    <w:bottom w:val="none" w:sz="0" w:space="0" w:color="auto"/>
                    <w:right w:val="none" w:sz="0" w:space="0" w:color="auto"/>
                  </w:divBdr>
                  <w:divsChild>
                    <w:div w:id="957494766">
                      <w:marLeft w:val="0"/>
                      <w:marRight w:val="0"/>
                      <w:marTop w:val="0"/>
                      <w:marBottom w:val="0"/>
                      <w:divBdr>
                        <w:top w:val="none" w:sz="0" w:space="0" w:color="auto"/>
                        <w:left w:val="none" w:sz="0" w:space="0" w:color="auto"/>
                        <w:bottom w:val="none" w:sz="0" w:space="0" w:color="auto"/>
                        <w:right w:val="none" w:sz="0" w:space="0" w:color="auto"/>
                      </w:divBdr>
                    </w:div>
                  </w:divsChild>
                </w:div>
                <w:div w:id="288782419">
                  <w:marLeft w:val="0"/>
                  <w:marRight w:val="0"/>
                  <w:marTop w:val="0"/>
                  <w:marBottom w:val="0"/>
                  <w:divBdr>
                    <w:top w:val="none" w:sz="0" w:space="0" w:color="auto"/>
                    <w:left w:val="none" w:sz="0" w:space="0" w:color="auto"/>
                    <w:bottom w:val="none" w:sz="0" w:space="0" w:color="auto"/>
                    <w:right w:val="none" w:sz="0" w:space="0" w:color="auto"/>
                  </w:divBdr>
                  <w:divsChild>
                    <w:div w:id="490171767">
                      <w:marLeft w:val="0"/>
                      <w:marRight w:val="0"/>
                      <w:marTop w:val="0"/>
                      <w:marBottom w:val="0"/>
                      <w:divBdr>
                        <w:top w:val="none" w:sz="0" w:space="0" w:color="auto"/>
                        <w:left w:val="none" w:sz="0" w:space="0" w:color="auto"/>
                        <w:bottom w:val="none" w:sz="0" w:space="0" w:color="auto"/>
                        <w:right w:val="none" w:sz="0" w:space="0" w:color="auto"/>
                      </w:divBdr>
                    </w:div>
                  </w:divsChild>
                </w:div>
                <w:div w:id="317001045">
                  <w:marLeft w:val="0"/>
                  <w:marRight w:val="0"/>
                  <w:marTop w:val="0"/>
                  <w:marBottom w:val="0"/>
                  <w:divBdr>
                    <w:top w:val="none" w:sz="0" w:space="0" w:color="auto"/>
                    <w:left w:val="none" w:sz="0" w:space="0" w:color="auto"/>
                    <w:bottom w:val="none" w:sz="0" w:space="0" w:color="auto"/>
                    <w:right w:val="none" w:sz="0" w:space="0" w:color="auto"/>
                  </w:divBdr>
                  <w:divsChild>
                    <w:div w:id="1306206024">
                      <w:marLeft w:val="0"/>
                      <w:marRight w:val="0"/>
                      <w:marTop w:val="0"/>
                      <w:marBottom w:val="0"/>
                      <w:divBdr>
                        <w:top w:val="none" w:sz="0" w:space="0" w:color="auto"/>
                        <w:left w:val="none" w:sz="0" w:space="0" w:color="auto"/>
                        <w:bottom w:val="none" w:sz="0" w:space="0" w:color="auto"/>
                        <w:right w:val="none" w:sz="0" w:space="0" w:color="auto"/>
                      </w:divBdr>
                    </w:div>
                  </w:divsChild>
                </w:div>
                <w:div w:id="387414723">
                  <w:marLeft w:val="0"/>
                  <w:marRight w:val="0"/>
                  <w:marTop w:val="0"/>
                  <w:marBottom w:val="0"/>
                  <w:divBdr>
                    <w:top w:val="none" w:sz="0" w:space="0" w:color="auto"/>
                    <w:left w:val="none" w:sz="0" w:space="0" w:color="auto"/>
                    <w:bottom w:val="none" w:sz="0" w:space="0" w:color="auto"/>
                    <w:right w:val="none" w:sz="0" w:space="0" w:color="auto"/>
                  </w:divBdr>
                  <w:divsChild>
                    <w:div w:id="1166092662">
                      <w:marLeft w:val="0"/>
                      <w:marRight w:val="0"/>
                      <w:marTop w:val="0"/>
                      <w:marBottom w:val="0"/>
                      <w:divBdr>
                        <w:top w:val="none" w:sz="0" w:space="0" w:color="auto"/>
                        <w:left w:val="none" w:sz="0" w:space="0" w:color="auto"/>
                        <w:bottom w:val="none" w:sz="0" w:space="0" w:color="auto"/>
                        <w:right w:val="none" w:sz="0" w:space="0" w:color="auto"/>
                      </w:divBdr>
                    </w:div>
                  </w:divsChild>
                </w:div>
                <w:div w:id="514157187">
                  <w:marLeft w:val="0"/>
                  <w:marRight w:val="0"/>
                  <w:marTop w:val="0"/>
                  <w:marBottom w:val="0"/>
                  <w:divBdr>
                    <w:top w:val="none" w:sz="0" w:space="0" w:color="auto"/>
                    <w:left w:val="none" w:sz="0" w:space="0" w:color="auto"/>
                    <w:bottom w:val="none" w:sz="0" w:space="0" w:color="auto"/>
                    <w:right w:val="none" w:sz="0" w:space="0" w:color="auto"/>
                  </w:divBdr>
                  <w:divsChild>
                    <w:div w:id="1997295272">
                      <w:marLeft w:val="0"/>
                      <w:marRight w:val="0"/>
                      <w:marTop w:val="0"/>
                      <w:marBottom w:val="0"/>
                      <w:divBdr>
                        <w:top w:val="none" w:sz="0" w:space="0" w:color="auto"/>
                        <w:left w:val="none" w:sz="0" w:space="0" w:color="auto"/>
                        <w:bottom w:val="none" w:sz="0" w:space="0" w:color="auto"/>
                        <w:right w:val="none" w:sz="0" w:space="0" w:color="auto"/>
                      </w:divBdr>
                    </w:div>
                  </w:divsChild>
                </w:div>
                <w:div w:id="576676146">
                  <w:marLeft w:val="0"/>
                  <w:marRight w:val="0"/>
                  <w:marTop w:val="0"/>
                  <w:marBottom w:val="0"/>
                  <w:divBdr>
                    <w:top w:val="none" w:sz="0" w:space="0" w:color="auto"/>
                    <w:left w:val="none" w:sz="0" w:space="0" w:color="auto"/>
                    <w:bottom w:val="none" w:sz="0" w:space="0" w:color="auto"/>
                    <w:right w:val="none" w:sz="0" w:space="0" w:color="auto"/>
                  </w:divBdr>
                  <w:divsChild>
                    <w:div w:id="705518886">
                      <w:marLeft w:val="0"/>
                      <w:marRight w:val="0"/>
                      <w:marTop w:val="0"/>
                      <w:marBottom w:val="0"/>
                      <w:divBdr>
                        <w:top w:val="none" w:sz="0" w:space="0" w:color="auto"/>
                        <w:left w:val="none" w:sz="0" w:space="0" w:color="auto"/>
                        <w:bottom w:val="none" w:sz="0" w:space="0" w:color="auto"/>
                        <w:right w:val="none" w:sz="0" w:space="0" w:color="auto"/>
                      </w:divBdr>
                    </w:div>
                  </w:divsChild>
                </w:div>
                <w:div w:id="854149471">
                  <w:marLeft w:val="0"/>
                  <w:marRight w:val="0"/>
                  <w:marTop w:val="0"/>
                  <w:marBottom w:val="0"/>
                  <w:divBdr>
                    <w:top w:val="none" w:sz="0" w:space="0" w:color="auto"/>
                    <w:left w:val="none" w:sz="0" w:space="0" w:color="auto"/>
                    <w:bottom w:val="none" w:sz="0" w:space="0" w:color="auto"/>
                    <w:right w:val="none" w:sz="0" w:space="0" w:color="auto"/>
                  </w:divBdr>
                  <w:divsChild>
                    <w:div w:id="2016035122">
                      <w:marLeft w:val="0"/>
                      <w:marRight w:val="0"/>
                      <w:marTop w:val="0"/>
                      <w:marBottom w:val="0"/>
                      <w:divBdr>
                        <w:top w:val="none" w:sz="0" w:space="0" w:color="auto"/>
                        <w:left w:val="none" w:sz="0" w:space="0" w:color="auto"/>
                        <w:bottom w:val="none" w:sz="0" w:space="0" w:color="auto"/>
                        <w:right w:val="none" w:sz="0" w:space="0" w:color="auto"/>
                      </w:divBdr>
                    </w:div>
                  </w:divsChild>
                </w:div>
                <w:div w:id="910887656">
                  <w:marLeft w:val="0"/>
                  <w:marRight w:val="0"/>
                  <w:marTop w:val="0"/>
                  <w:marBottom w:val="0"/>
                  <w:divBdr>
                    <w:top w:val="none" w:sz="0" w:space="0" w:color="auto"/>
                    <w:left w:val="none" w:sz="0" w:space="0" w:color="auto"/>
                    <w:bottom w:val="none" w:sz="0" w:space="0" w:color="auto"/>
                    <w:right w:val="none" w:sz="0" w:space="0" w:color="auto"/>
                  </w:divBdr>
                  <w:divsChild>
                    <w:div w:id="794982907">
                      <w:marLeft w:val="0"/>
                      <w:marRight w:val="0"/>
                      <w:marTop w:val="0"/>
                      <w:marBottom w:val="0"/>
                      <w:divBdr>
                        <w:top w:val="none" w:sz="0" w:space="0" w:color="auto"/>
                        <w:left w:val="none" w:sz="0" w:space="0" w:color="auto"/>
                        <w:bottom w:val="none" w:sz="0" w:space="0" w:color="auto"/>
                        <w:right w:val="none" w:sz="0" w:space="0" w:color="auto"/>
                      </w:divBdr>
                    </w:div>
                  </w:divsChild>
                </w:div>
                <w:div w:id="1064179077">
                  <w:marLeft w:val="0"/>
                  <w:marRight w:val="0"/>
                  <w:marTop w:val="0"/>
                  <w:marBottom w:val="0"/>
                  <w:divBdr>
                    <w:top w:val="none" w:sz="0" w:space="0" w:color="auto"/>
                    <w:left w:val="none" w:sz="0" w:space="0" w:color="auto"/>
                    <w:bottom w:val="none" w:sz="0" w:space="0" w:color="auto"/>
                    <w:right w:val="none" w:sz="0" w:space="0" w:color="auto"/>
                  </w:divBdr>
                  <w:divsChild>
                    <w:div w:id="1950627342">
                      <w:marLeft w:val="0"/>
                      <w:marRight w:val="0"/>
                      <w:marTop w:val="0"/>
                      <w:marBottom w:val="0"/>
                      <w:divBdr>
                        <w:top w:val="none" w:sz="0" w:space="0" w:color="auto"/>
                        <w:left w:val="none" w:sz="0" w:space="0" w:color="auto"/>
                        <w:bottom w:val="none" w:sz="0" w:space="0" w:color="auto"/>
                        <w:right w:val="none" w:sz="0" w:space="0" w:color="auto"/>
                      </w:divBdr>
                    </w:div>
                  </w:divsChild>
                </w:div>
                <w:div w:id="1134324850">
                  <w:marLeft w:val="0"/>
                  <w:marRight w:val="0"/>
                  <w:marTop w:val="0"/>
                  <w:marBottom w:val="0"/>
                  <w:divBdr>
                    <w:top w:val="none" w:sz="0" w:space="0" w:color="auto"/>
                    <w:left w:val="none" w:sz="0" w:space="0" w:color="auto"/>
                    <w:bottom w:val="none" w:sz="0" w:space="0" w:color="auto"/>
                    <w:right w:val="none" w:sz="0" w:space="0" w:color="auto"/>
                  </w:divBdr>
                  <w:divsChild>
                    <w:div w:id="1450129267">
                      <w:marLeft w:val="0"/>
                      <w:marRight w:val="0"/>
                      <w:marTop w:val="0"/>
                      <w:marBottom w:val="0"/>
                      <w:divBdr>
                        <w:top w:val="none" w:sz="0" w:space="0" w:color="auto"/>
                        <w:left w:val="none" w:sz="0" w:space="0" w:color="auto"/>
                        <w:bottom w:val="none" w:sz="0" w:space="0" w:color="auto"/>
                        <w:right w:val="none" w:sz="0" w:space="0" w:color="auto"/>
                      </w:divBdr>
                    </w:div>
                  </w:divsChild>
                </w:div>
                <w:div w:id="1313634048">
                  <w:marLeft w:val="0"/>
                  <w:marRight w:val="0"/>
                  <w:marTop w:val="0"/>
                  <w:marBottom w:val="0"/>
                  <w:divBdr>
                    <w:top w:val="none" w:sz="0" w:space="0" w:color="auto"/>
                    <w:left w:val="none" w:sz="0" w:space="0" w:color="auto"/>
                    <w:bottom w:val="none" w:sz="0" w:space="0" w:color="auto"/>
                    <w:right w:val="none" w:sz="0" w:space="0" w:color="auto"/>
                  </w:divBdr>
                  <w:divsChild>
                    <w:div w:id="740756259">
                      <w:marLeft w:val="0"/>
                      <w:marRight w:val="0"/>
                      <w:marTop w:val="0"/>
                      <w:marBottom w:val="0"/>
                      <w:divBdr>
                        <w:top w:val="none" w:sz="0" w:space="0" w:color="auto"/>
                        <w:left w:val="none" w:sz="0" w:space="0" w:color="auto"/>
                        <w:bottom w:val="none" w:sz="0" w:space="0" w:color="auto"/>
                        <w:right w:val="none" w:sz="0" w:space="0" w:color="auto"/>
                      </w:divBdr>
                    </w:div>
                  </w:divsChild>
                </w:div>
                <w:div w:id="1314139981">
                  <w:marLeft w:val="0"/>
                  <w:marRight w:val="0"/>
                  <w:marTop w:val="0"/>
                  <w:marBottom w:val="0"/>
                  <w:divBdr>
                    <w:top w:val="none" w:sz="0" w:space="0" w:color="auto"/>
                    <w:left w:val="none" w:sz="0" w:space="0" w:color="auto"/>
                    <w:bottom w:val="none" w:sz="0" w:space="0" w:color="auto"/>
                    <w:right w:val="none" w:sz="0" w:space="0" w:color="auto"/>
                  </w:divBdr>
                  <w:divsChild>
                    <w:div w:id="1434277509">
                      <w:marLeft w:val="0"/>
                      <w:marRight w:val="0"/>
                      <w:marTop w:val="0"/>
                      <w:marBottom w:val="0"/>
                      <w:divBdr>
                        <w:top w:val="none" w:sz="0" w:space="0" w:color="auto"/>
                        <w:left w:val="none" w:sz="0" w:space="0" w:color="auto"/>
                        <w:bottom w:val="none" w:sz="0" w:space="0" w:color="auto"/>
                        <w:right w:val="none" w:sz="0" w:space="0" w:color="auto"/>
                      </w:divBdr>
                    </w:div>
                  </w:divsChild>
                </w:div>
                <w:div w:id="1362783874">
                  <w:marLeft w:val="0"/>
                  <w:marRight w:val="0"/>
                  <w:marTop w:val="0"/>
                  <w:marBottom w:val="0"/>
                  <w:divBdr>
                    <w:top w:val="none" w:sz="0" w:space="0" w:color="auto"/>
                    <w:left w:val="none" w:sz="0" w:space="0" w:color="auto"/>
                    <w:bottom w:val="none" w:sz="0" w:space="0" w:color="auto"/>
                    <w:right w:val="none" w:sz="0" w:space="0" w:color="auto"/>
                  </w:divBdr>
                  <w:divsChild>
                    <w:div w:id="413745842">
                      <w:marLeft w:val="0"/>
                      <w:marRight w:val="0"/>
                      <w:marTop w:val="0"/>
                      <w:marBottom w:val="0"/>
                      <w:divBdr>
                        <w:top w:val="none" w:sz="0" w:space="0" w:color="auto"/>
                        <w:left w:val="none" w:sz="0" w:space="0" w:color="auto"/>
                        <w:bottom w:val="none" w:sz="0" w:space="0" w:color="auto"/>
                        <w:right w:val="none" w:sz="0" w:space="0" w:color="auto"/>
                      </w:divBdr>
                    </w:div>
                  </w:divsChild>
                </w:div>
                <w:div w:id="1539275432">
                  <w:marLeft w:val="0"/>
                  <w:marRight w:val="0"/>
                  <w:marTop w:val="0"/>
                  <w:marBottom w:val="0"/>
                  <w:divBdr>
                    <w:top w:val="none" w:sz="0" w:space="0" w:color="auto"/>
                    <w:left w:val="none" w:sz="0" w:space="0" w:color="auto"/>
                    <w:bottom w:val="none" w:sz="0" w:space="0" w:color="auto"/>
                    <w:right w:val="none" w:sz="0" w:space="0" w:color="auto"/>
                  </w:divBdr>
                  <w:divsChild>
                    <w:div w:id="496385868">
                      <w:marLeft w:val="0"/>
                      <w:marRight w:val="0"/>
                      <w:marTop w:val="0"/>
                      <w:marBottom w:val="0"/>
                      <w:divBdr>
                        <w:top w:val="none" w:sz="0" w:space="0" w:color="auto"/>
                        <w:left w:val="none" w:sz="0" w:space="0" w:color="auto"/>
                        <w:bottom w:val="none" w:sz="0" w:space="0" w:color="auto"/>
                        <w:right w:val="none" w:sz="0" w:space="0" w:color="auto"/>
                      </w:divBdr>
                    </w:div>
                  </w:divsChild>
                </w:div>
                <w:div w:id="1586449861">
                  <w:marLeft w:val="0"/>
                  <w:marRight w:val="0"/>
                  <w:marTop w:val="0"/>
                  <w:marBottom w:val="0"/>
                  <w:divBdr>
                    <w:top w:val="none" w:sz="0" w:space="0" w:color="auto"/>
                    <w:left w:val="none" w:sz="0" w:space="0" w:color="auto"/>
                    <w:bottom w:val="none" w:sz="0" w:space="0" w:color="auto"/>
                    <w:right w:val="none" w:sz="0" w:space="0" w:color="auto"/>
                  </w:divBdr>
                  <w:divsChild>
                    <w:div w:id="2022972634">
                      <w:marLeft w:val="0"/>
                      <w:marRight w:val="0"/>
                      <w:marTop w:val="0"/>
                      <w:marBottom w:val="0"/>
                      <w:divBdr>
                        <w:top w:val="none" w:sz="0" w:space="0" w:color="auto"/>
                        <w:left w:val="none" w:sz="0" w:space="0" w:color="auto"/>
                        <w:bottom w:val="none" w:sz="0" w:space="0" w:color="auto"/>
                        <w:right w:val="none" w:sz="0" w:space="0" w:color="auto"/>
                      </w:divBdr>
                    </w:div>
                  </w:divsChild>
                </w:div>
                <w:div w:id="1828281586">
                  <w:marLeft w:val="0"/>
                  <w:marRight w:val="0"/>
                  <w:marTop w:val="0"/>
                  <w:marBottom w:val="0"/>
                  <w:divBdr>
                    <w:top w:val="none" w:sz="0" w:space="0" w:color="auto"/>
                    <w:left w:val="none" w:sz="0" w:space="0" w:color="auto"/>
                    <w:bottom w:val="none" w:sz="0" w:space="0" w:color="auto"/>
                    <w:right w:val="none" w:sz="0" w:space="0" w:color="auto"/>
                  </w:divBdr>
                  <w:divsChild>
                    <w:div w:id="7873067">
                      <w:marLeft w:val="0"/>
                      <w:marRight w:val="0"/>
                      <w:marTop w:val="0"/>
                      <w:marBottom w:val="0"/>
                      <w:divBdr>
                        <w:top w:val="none" w:sz="0" w:space="0" w:color="auto"/>
                        <w:left w:val="none" w:sz="0" w:space="0" w:color="auto"/>
                        <w:bottom w:val="none" w:sz="0" w:space="0" w:color="auto"/>
                        <w:right w:val="none" w:sz="0" w:space="0" w:color="auto"/>
                      </w:divBdr>
                    </w:div>
                  </w:divsChild>
                </w:div>
                <w:div w:id="2010986105">
                  <w:marLeft w:val="0"/>
                  <w:marRight w:val="0"/>
                  <w:marTop w:val="0"/>
                  <w:marBottom w:val="0"/>
                  <w:divBdr>
                    <w:top w:val="none" w:sz="0" w:space="0" w:color="auto"/>
                    <w:left w:val="none" w:sz="0" w:space="0" w:color="auto"/>
                    <w:bottom w:val="none" w:sz="0" w:space="0" w:color="auto"/>
                    <w:right w:val="none" w:sz="0" w:space="0" w:color="auto"/>
                  </w:divBdr>
                  <w:divsChild>
                    <w:div w:id="587352806">
                      <w:marLeft w:val="0"/>
                      <w:marRight w:val="0"/>
                      <w:marTop w:val="0"/>
                      <w:marBottom w:val="0"/>
                      <w:divBdr>
                        <w:top w:val="none" w:sz="0" w:space="0" w:color="auto"/>
                        <w:left w:val="none" w:sz="0" w:space="0" w:color="auto"/>
                        <w:bottom w:val="none" w:sz="0" w:space="0" w:color="auto"/>
                        <w:right w:val="none" w:sz="0" w:space="0" w:color="auto"/>
                      </w:divBdr>
                    </w:div>
                  </w:divsChild>
                </w:div>
                <w:div w:id="2018533995">
                  <w:marLeft w:val="0"/>
                  <w:marRight w:val="0"/>
                  <w:marTop w:val="0"/>
                  <w:marBottom w:val="0"/>
                  <w:divBdr>
                    <w:top w:val="none" w:sz="0" w:space="0" w:color="auto"/>
                    <w:left w:val="none" w:sz="0" w:space="0" w:color="auto"/>
                    <w:bottom w:val="none" w:sz="0" w:space="0" w:color="auto"/>
                    <w:right w:val="none" w:sz="0" w:space="0" w:color="auto"/>
                  </w:divBdr>
                  <w:divsChild>
                    <w:div w:id="16426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2328">
          <w:marLeft w:val="0"/>
          <w:marRight w:val="0"/>
          <w:marTop w:val="0"/>
          <w:marBottom w:val="0"/>
          <w:divBdr>
            <w:top w:val="none" w:sz="0" w:space="0" w:color="auto"/>
            <w:left w:val="none" w:sz="0" w:space="0" w:color="auto"/>
            <w:bottom w:val="none" w:sz="0" w:space="0" w:color="auto"/>
            <w:right w:val="none" w:sz="0" w:space="0" w:color="auto"/>
          </w:divBdr>
        </w:div>
        <w:div w:id="2021153460">
          <w:marLeft w:val="0"/>
          <w:marRight w:val="0"/>
          <w:marTop w:val="0"/>
          <w:marBottom w:val="0"/>
          <w:divBdr>
            <w:top w:val="none" w:sz="0" w:space="0" w:color="auto"/>
            <w:left w:val="none" w:sz="0" w:space="0" w:color="auto"/>
            <w:bottom w:val="none" w:sz="0" w:space="0" w:color="auto"/>
            <w:right w:val="none" w:sz="0" w:space="0" w:color="auto"/>
          </w:divBdr>
        </w:div>
        <w:div w:id="2055615337">
          <w:marLeft w:val="0"/>
          <w:marRight w:val="0"/>
          <w:marTop w:val="0"/>
          <w:marBottom w:val="0"/>
          <w:divBdr>
            <w:top w:val="none" w:sz="0" w:space="0" w:color="auto"/>
            <w:left w:val="none" w:sz="0" w:space="0" w:color="auto"/>
            <w:bottom w:val="none" w:sz="0" w:space="0" w:color="auto"/>
            <w:right w:val="none" w:sz="0" w:space="0" w:color="auto"/>
          </w:divBdr>
        </w:div>
        <w:div w:id="2096514430">
          <w:marLeft w:val="0"/>
          <w:marRight w:val="0"/>
          <w:marTop w:val="0"/>
          <w:marBottom w:val="0"/>
          <w:divBdr>
            <w:top w:val="none" w:sz="0" w:space="0" w:color="auto"/>
            <w:left w:val="none" w:sz="0" w:space="0" w:color="auto"/>
            <w:bottom w:val="none" w:sz="0" w:space="0" w:color="auto"/>
            <w:right w:val="none" w:sz="0" w:space="0" w:color="auto"/>
          </w:divBdr>
        </w:div>
      </w:divsChild>
    </w:div>
    <w:div w:id="1989506500">
      <w:bodyDiv w:val="1"/>
      <w:marLeft w:val="0"/>
      <w:marRight w:val="0"/>
      <w:marTop w:val="0"/>
      <w:marBottom w:val="0"/>
      <w:divBdr>
        <w:top w:val="none" w:sz="0" w:space="0" w:color="auto"/>
        <w:left w:val="none" w:sz="0" w:space="0" w:color="auto"/>
        <w:bottom w:val="none" w:sz="0" w:space="0" w:color="auto"/>
        <w:right w:val="none" w:sz="0" w:space="0" w:color="auto"/>
      </w:divBdr>
      <w:divsChild>
        <w:div w:id="415828158">
          <w:marLeft w:val="0"/>
          <w:marRight w:val="0"/>
          <w:marTop w:val="0"/>
          <w:marBottom w:val="0"/>
          <w:divBdr>
            <w:top w:val="none" w:sz="0" w:space="0" w:color="242424"/>
            <w:left w:val="none" w:sz="0" w:space="0" w:color="242424"/>
            <w:bottom w:val="none" w:sz="0" w:space="0" w:color="242424"/>
            <w:right w:val="none" w:sz="0" w:space="0" w:color="242424"/>
          </w:divBdr>
          <w:divsChild>
            <w:div w:id="76731145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2023386014">
      <w:bodyDiv w:val="1"/>
      <w:marLeft w:val="0"/>
      <w:marRight w:val="0"/>
      <w:marTop w:val="0"/>
      <w:marBottom w:val="0"/>
      <w:divBdr>
        <w:top w:val="none" w:sz="0" w:space="0" w:color="auto"/>
        <w:left w:val="none" w:sz="0" w:space="0" w:color="auto"/>
        <w:bottom w:val="none" w:sz="0" w:space="0" w:color="auto"/>
        <w:right w:val="none" w:sz="0" w:space="0" w:color="auto"/>
      </w:divBdr>
      <w:divsChild>
        <w:div w:id="851727849">
          <w:marLeft w:val="480"/>
          <w:marRight w:val="0"/>
          <w:marTop w:val="0"/>
          <w:marBottom w:val="0"/>
          <w:divBdr>
            <w:top w:val="none" w:sz="0" w:space="0" w:color="auto"/>
            <w:left w:val="none" w:sz="0" w:space="0" w:color="auto"/>
            <w:bottom w:val="none" w:sz="0" w:space="0" w:color="auto"/>
            <w:right w:val="none" w:sz="0" w:space="0" w:color="auto"/>
          </w:divBdr>
          <w:divsChild>
            <w:div w:id="6191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4945">
      <w:bodyDiv w:val="1"/>
      <w:marLeft w:val="0"/>
      <w:marRight w:val="0"/>
      <w:marTop w:val="0"/>
      <w:marBottom w:val="0"/>
      <w:divBdr>
        <w:top w:val="none" w:sz="0" w:space="0" w:color="auto"/>
        <w:left w:val="none" w:sz="0" w:space="0" w:color="auto"/>
        <w:bottom w:val="none" w:sz="0" w:space="0" w:color="auto"/>
        <w:right w:val="none" w:sz="0" w:space="0" w:color="auto"/>
      </w:divBdr>
    </w:div>
    <w:div w:id="2036153469">
      <w:bodyDiv w:val="1"/>
      <w:marLeft w:val="0"/>
      <w:marRight w:val="0"/>
      <w:marTop w:val="0"/>
      <w:marBottom w:val="0"/>
      <w:divBdr>
        <w:top w:val="none" w:sz="0" w:space="0" w:color="auto"/>
        <w:left w:val="none" w:sz="0" w:space="0" w:color="auto"/>
        <w:bottom w:val="none" w:sz="0" w:space="0" w:color="auto"/>
        <w:right w:val="none" w:sz="0" w:space="0" w:color="auto"/>
      </w:divBdr>
      <w:divsChild>
        <w:div w:id="1315717428">
          <w:marLeft w:val="480"/>
          <w:marRight w:val="0"/>
          <w:marTop w:val="0"/>
          <w:marBottom w:val="0"/>
          <w:divBdr>
            <w:top w:val="none" w:sz="0" w:space="0" w:color="auto"/>
            <w:left w:val="none" w:sz="0" w:space="0" w:color="auto"/>
            <w:bottom w:val="none" w:sz="0" w:space="0" w:color="auto"/>
            <w:right w:val="none" w:sz="0" w:space="0" w:color="auto"/>
          </w:divBdr>
          <w:divsChild>
            <w:div w:id="16194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3385">
      <w:bodyDiv w:val="1"/>
      <w:marLeft w:val="0"/>
      <w:marRight w:val="0"/>
      <w:marTop w:val="0"/>
      <w:marBottom w:val="0"/>
      <w:divBdr>
        <w:top w:val="none" w:sz="0" w:space="0" w:color="auto"/>
        <w:left w:val="none" w:sz="0" w:space="0" w:color="auto"/>
        <w:bottom w:val="none" w:sz="0" w:space="0" w:color="auto"/>
        <w:right w:val="none" w:sz="0" w:space="0" w:color="auto"/>
      </w:divBdr>
      <w:divsChild>
        <w:div w:id="225142401">
          <w:marLeft w:val="480"/>
          <w:marRight w:val="0"/>
          <w:marTop w:val="0"/>
          <w:marBottom w:val="0"/>
          <w:divBdr>
            <w:top w:val="none" w:sz="0" w:space="0" w:color="auto"/>
            <w:left w:val="none" w:sz="0" w:space="0" w:color="auto"/>
            <w:bottom w:val="none" w:sz="0" w:space="0" w:color="auto"/>
            <w:right w:val="none" w:sz="0" w:space="0" w:color="auto"/>
          </w:divBdr>
          <w:divsChild>
            <w:div w:id="18327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8116">
      <w:bodyDiv w:val="1"/>
      <w:marLeft w:val="0"/>
      <w:marRight w:val="0"/>
      <w:marTop w:val="0"/>
      <w:marBottom w:val="0"/>
      <w:divBdr>
        <w:top w:val="none" w:sz="0" w:space="0" w:color="auto"/>
        <w:left w:val="none" w:sz="0" w:space="0" w:color="auto"/>
        <w:bottom w:val="none" w:sz="0" w:space="0" w:color="auto"/>
        <w:right w:val="none" w:sz="0" w:space="0" w:color="auto"/>
      </w:divBdr>
    </w:div>
    <w:div w:id="2088531367">
      <w:bodyDiv w:val="1"/>
      <w:marLeft w:val="0"/>
      <w:marRight w:val="0"/>
      <w:marTop w:val="0"/>
      <w:marBottom w:val="0"/>
      <w:divBdr>
        <w:top w:val="none" w:sz="0" w:space="0" w:color="auto"/>
        <w:left w:val="none" w:sz="0" w:space="0" w:color="auto"/>
        <w:bottom w:val="none" w:sz="0" w:space="0" w:color="auto"/>
        <w:right w:val="none" w:sz="0" w:space="0" w:color="auto"/>
      </w:divBdr>
      <w:divsChild>
        <w:div w:id="667245998">
          <w:marLeft w:val="480"/>
          <w:marRight w:val="0"/>
          <w:marTop w:val="0"/>
          <w:marBottom w:val="0"/>
          <w:divBdr>
            <w:top w:val="none" w:sz="0" w:space="0" w:color="auto"/>
            <w:left w:val="none" w:sz="0" w:space="0" w:color="auto"/>
            <w:bottom w:val="none" w:sz="0" w:space="0" w:color="auto"/>
            <w:right w:val="none" w:sz="0" w:space="0" w:color="auto"/>
          </w:divBdr>
          <w:divsChild>
            <w:div w:id="16916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4773">
      <w:bodyDiv w:val="1"/>
      <w:marLeft w:val="0"/>
      <w:marRight w:val="0"/>
      <w:marTop w:val="0"/>
      <w:marBottom w:val="0"/>
      <w:divBdr>
        <w:top w:val="none" w:sz="0" w:space="0" w:color="auto"/>
        <w:left w:val="none" w:sz="0" w:space="0" w:color="auto"/>
        <w:bottom w:val="none" w:sz="0" w:space="0" w:color="auto"/>
        <w:right w:val="none" w:sz="0" w:space="0" w:color="auto"/>
      </w:divBdr>
    </w:div>
    <w:div w:id="2116896582">
      <w:bodyDiv w:val="1"/>
      <w:marLeft w:val="0"/>
      <w:marRight w:val="0"/>
      <w:marTop w:val="0"/>
      <w:marBottom w:val="0"/>
      <w:divBdr>
        <w:top w:val="none" w:sz="0" w:space="0" w:color="auto"/>
        <w:left w:val="none" w:sz="0" w:space="0" w:color="auto"/>
        <w:bottom w:val="none" w:sz="0" w:space="0" w:color="auto"/>
        <w:right w:val="none" w:sz="0" w:space="0" w:color="auto"/>
      </w:divBdr>
      <w:divsChild>
        <w:div w:id="877547569">
          <w:marLeft w:val="480"/>
          <w:marRight w:val="0"/>
          <w:marTop w:val="0"/>
          <w:marBottom w:val="0"/>
          <w:divBdr>
            <w:top w:val="none" w:sz="0" w:space="0" w:color="auto"/>
            <w:left w:val="none" w:sz="0" w:space="0" w:color="auto"/>
            <w:bottom w:val="none" w:sz="0" w:space="0" w:color="auto"/>
            <w:right w:val="none" w:sz="0" w:space="0" w:color="auto"/>
          </w:divBdr>
          <w:divsChild>
            <w:div w:id="1818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3566">
      <w:bodyDiv w:val="1"/>
      <w:marLeft w:val="0"/>
      <w:marRight w:val="0"/>
      <w:marTop w:val="0"/>
      <w:marBottom w:val="0"/>
      <w:divBdr>
        <w:top w:val="none" w:sz="0" w:space="0" w:color="auto"/>
        <w:left w:val="none" w:sz="0" w:space="0" w:color="auto"/>
        <w:bottom w:val="none" w:sz="0" w:space="0" w:color="auto"/>
        <w:right w:val="none" w:sz="0" w:space="0" w:color="auto"/>
      </w:divBdr>
      <w:divsChild>
        <w:div w:id="1946226902">
          <w:marLeft w:val="480"/>
          <w:marRight w:val="0"/>
          <w:marTop w:val="0"/>
          <w:marBottom w:val="0"/>
          <w:divBdr>
            <w:top w:val="none" w:sz="0" w:space="0" w:color="auto"/>
            <w:left w:val="none" w:sz="0" w:space="0" w:color="auto"/>
            <w:bottom w:val="none" w:sz="0" w:space="0" w:color="auto"/>
            <w:right w:val="none" w:sz="0" w:space="0" w:color="auto"/>
          </w:divBdr>
          <w:divsChild>
            <w:div w:id="7505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3483">
      <w:bodyDiv w:val="1"/>
      <w:marLeft w:val="0"/>
      <w:marRight w:val="0"/>
      <w:marTop w:val="0"/>
      <w:marBottom w:val="0"/>
      <w:divBdr>
        <w:top w:val="none" w:sz="0" w:space="0" w:color="auto"/>
        <w:left w:val="none" w:sz="0" w:space="0" w:color="auto"/>
        <w:bottom w:val="none" w:sz="0" w:space="0" w:color="auto"/>
        <w:right w:val="none" w:sz="0" w:space="0" w:color="auto"/>
      </w:divBdr>
      <w:divsChild>
        <w:div w:id="2024428016">
          <w:marLeft w:val="480"/>
          <w:marRight w:val="0"/>
          <w:marTop w:val="0"/>
          <w:marBottom w:val="0"/>
          <w:divBdr>
            <w:top w:val="none" w:sz="0" w:space="0" w:color="auto"/>
            <w:left w:val="none" w:sz="0" w:space="0" w:color="auto"/>
            <w:bottom w:val="none" w:sz="0" w:space="0" w:color="auto"/>
            <w:right w:val="none" w:sz="0" w:space="0" w:color="auto"/>
          </w:divBdr>
          <w:divsChild>
            <w:div w:id="1512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qb.state.mn.us/sites/eqb/files/2024_eaw_climate_guidance_2.pdf" TargetMode="External"/><Relationship Id="rId21" Type="http://schemas.openxmlformats.org/officeDocument/2006/relationships/hyperlink" Target="https://www.glassmagazine.com/article/world-glass-2022-report" TargetMode="External"/><Relationship Id="rId42" Type="http://schemas.openxmlformats.org/officeDocument/2006/relationships/hyperlink" Target="http://www.fhwa.dot.gov/environment/climate_change/mitigation/publications_" TargetMode="External"/><Relationship Id="rId63" Type="http://schemas.openxmlformats.org/officeDocument/2006/relationships/hyperlink" Target="https://www.cityofsantacruz.com/government/city-departments/city-manager/climate-action-program/climate-action-plan" TargetMode="External"/><Relationship Id="rId84" Type="http://schemas.openxmlformats.org/officeDocument/2006/relationships/hyperlink" Target="https://www.nrmca.org/wp-content/uploads/2022/02/NRMCA_LCAReportV3-2_20220224.pdf" TargetMode="External"/><Relationship Id="rId138" Type="http://schemas.openxmlformats.org/officeDocument/2006/relationships/image" Target="media/image3.png"/><Relationship Id="rId159" Type="http://schemas.openxmlformats.org/officeDocument/2006/relationships/footer" Target="footer7.xml"/><Relationship Id="rId170" Type="http://schemas.openxmlformats.org/officeDocument/2006/relationships/hyperlink" Target="https://www.epa.gov/energy/greenhouse-gas-equivalencies-calculator-calculations-and-references" TargetMode="External"/><Relationship Id="rId107" Type="http://schemas.openxmlformats.org/officeDocument/2006/relationships/hyperlink" Target="https://www.iea.org/reports/curtailing-methane-emissions-from-fossil-fuel-operations" TargetMode="External"/><Relationship Id="rId11" Type="http://schemas.openxmlformats.org/officeDocument/2006/relationships/image" Target="media/image1.png"/><Relationship Id="rId32" Type="http://schemas.openxmlformats.org/officeDocument/2006/relationships/hyperlink" Target="https://coolfarm.org/" TargetMode="External"/><Relationship Id="rId53" Type="http://schemas.openxmlformats.org/officeDocument/2006/relationships/hyperlink" Target="https://heatactionplatform.onebillionresilient.org/?utm_source=Landing&amp;utm_medium=Social&amp;utm_campaign=HAP2&amp;utm_id=hap_2023" TargetMode="External"/><Relationship Id="rId74" Type="http://schemas.openxmlformats.org/officeDocument/2006/relationships/hyperlink" Target="https://www.agproud.com/articles/57803-development-of-heat-tolerant-breeds-in-the-us" TargetMode="External"/><Relationship Id="rId128" Type="http://schemas.openxmlformats.org/officeDocument/2006/relationships/hyperlink" Target="https://oec.world/en/visualize/tree_map/hs92/import/usa/show/136901/2022" TargetMode="External"/><Relationship Id="rId149" Type="http://schemas.openxmlformats.org/officeDocument/2006/relationships/image" Target="media/image9.png"/><Relationship Id="rId5" Type="http://schemas.openxmlformats.org/officeDocument/2006/relationships/numbering" Target="numbering.xml"/><Relationship Id="rId95" Type="http://schemas.openxmlformats.org/officeDocument/2006/relationships/hyperlink" Target="https://www.eia.gov/totalenergy/data/monthly/index.php" TargetMode="External"/><Relationship Id="rId160" Type="http://schemas.openxmlformats.org/officeDocument/2006/relationships/image" Target="media/image18.png"/><Relationship Id="rId22" Type="http://schemas.openxmlformats.org/officeDocument/2006/relationships/hyperlink" Target="https://www.travelmath.com/" TargetMode="External"/><Relationship Id="rId43" Type="http://schemas.openxmlformats.org/officeDocument/2006/relationships/hyperlink" Target="https://www.itreetools.org/" TargetMode="External"/><Relationship Id="rId64" Type="http://schemas.openxmlformats.org/officeDocument/2006/relationships/hyperlink" Target="https://climateresilience.ca.gov/" TargetMode="External"/><Relationship Id="rId118" Type="http://schemas.openxmlformats.org/officeDocument/2006/relationships/hyperlink" Target="https://www.dot.state.mn.us/project-development/subject-guidance/greenhouse-gas-analysis/process.html" TargetMode="External"/><Relationship Id="rId139" Type="http://schemas.openxmlformats.org/officeDocument/2006/relationships/image" Target="media/image4.png"/><Relationship Id="rId85" Type="http://schemas.openxmlformats.org/officeDocument/2006/relationships/hyperlink" Target="https://buildingtransparency.org/ec3" TargetMode="External"/><Relationship Id="rId150" Type="http://schemas.openxmlformats.org/officeDocument/2006/relationships/image" Target="media/image10.png"/><Relationship Id="rId171" Type="http://schemas.openxmlformats.org/officeDocument/2006/relationships/hyperlink" Target="https://www.epa.gov/statelocalenergy/state-inventory-and-projection-tool" TargetMode="External"/><Relationship Id="rId12" Type="http://schemas.openxmlformats.org/officeDocument/2006/relationships/footer" Target="footer1.xml"/><Relationship Id="rId33" Type="http://schemas.openxmlformats.org/officeDocument/2006/relationships/hyperlink" Target="https://web.ornl.gov/sci/buildings/tools/cool-roof/" TargetMode="External"/><Relationship Id="rId108" Type="http://schemas.openxmlformats.org/officeDocument/2006/relationships/hyperlink" Target="https://codes.iccsafe.org/content/IECC2024P1/index" TargetMode="External"/><Relationship Id="rId129" Type="http://schemas.openxmlformats.org/officeDocument/2006/relationships/hyperlink" Target="https://www.nrmca.org/wp-content/uploads/2022/02/NRMCA_LCAReportV3-2_20220224.pdf" TargetMode="External"/><Relationship Id="rId54" Type="http://schemas.openxmlformats.org/officeDocument/2006/relationships/hyperlink" Target="https://actions-database-demo.fernleafinteractive.com/action-hazard-asset" TargetMode="External"/><Relationship Id="rId75" Type="http://schemas.openxmlformats.org/officeDocument/2006/relationships/hyperlink" Target="https://www.epa.gov/arc-x/climate-impacts-water-utilities" TargetMode="External"/><Relationship Id="rId96" Type="http://schemas.openxmlformats.org/officeDocument/2006/relationships/hyperlink" Target="https://www.epa.gov/sites/default/files/2015-09/documents/hfc_emissions_accounting_tool_supporting_documentation.pdf" TargetMode="External"/><Relationship Id="rId140" Type="http://schemas.openxmlformats.org/officeDocument/2006/relationships/image" Target="media/image5.png"/><Relationship Id="rId161" Type="http://schemas.openxmlformats.org/officeDocument/2006/relationships/image" Target="media/image19.png"/><Relationship Id="rId6" Type="http://schemas.openxmlformats.org/officeDocument/2006/relationships/styles" Target="styles.xml"/><Relationship Id="rId23" Type="http://schemas.openxmlformats.org/officeDocument/2006/relationships/hyperlink" Target="https://www.eia.gov/consumption/residential/data/2020/" TargetMode="External"/><Relationship Id="rId28" Type="http://schemas.openxmlformats.org/officeDocument/2006/relationships/hyperlink" Target="https://ww2.arb.ca.gov/resources/documents/california-climate-investments-quantification-benefits-and-reporting-materials?keywords=2025" TargetMode="External"/><Relationship Id="rId49" Type="http://schemas.openxmlformats.org/officeDocument/2006/relationships/hyperlink" Target="https://www.transit.dot.gov/sites/fta.dot.gov/files/2021-04/FTA-GHG-Emissions-Estimator-v2-User-Guide.pdf" TargetMode="External"/><Relationship Id="rId114" Type="http://schemas.openxmlformats.org/officeDocument/2006/relationships/hyperlink" Target="https://carbon2018.globalchange.gov/chapter/13/" TargetMode="External"/><Relationship Id="rId119" Type="http://schemas.openxmlformats.org/officeDocument/2006/relationships/hyperlink" Target="https://www.pca.state.mn.us/business-with-us/environmental-review" TargetMode="External"/><Relationship Id="rId44" Type="http://schemas.openxmlformats.org/officeDocument/2006/relationships/hyperlink" Target="https://www.fhwa.dot.gov/pavement/lcatool/" TargetMode="External"/><Relationship Id="rId60" Type="http://schemas.openxmlformats.org/officeDocument/2006/relationships/hyperlink" Target="https://www.h-gac.com/getmedia/4a9d1f74-a43c-4279-8f82-f11da502e1e8/H-GAC-Resiliency-Pilot-Program-Final-Report.pdf" TargetMode="External"/><Relationship Id="rId65" Type="http://schemas.openxmlformats.org/officeDocument/2006/relationships/hyperlink" Target="https://www.wpb.org/files/assets/city/v/1/sustainability/documents/draft-rethink-paradise-plan-2023.pdf" TargetMode="External"/><Relationship Id="rId81" Type="http://schemas.openxmlformats.org/officeDocument/2006/relationships/hyperlink" Target="https://files.dnr.state.mn.us/aboutdnr/reports/carbon2008.pdf" TargetMode="External"/><Relationship Id="rId86" Type="http://schemas.openxmlformats.org/officeDocument/2006/relationships/hyperlink" Target="https://www.caleemod.com/" TargetMode="External"/><Relationship Id="rId130" Type="http://schemas.openxmlformats.org/officeDocument/2006/relationships/hyperlink" Target="https://www.usitc.gov/research_and_analysis/trade_shifts_2017/forestry.htm" TargetMode="External"/><Relationship Id="rId135" Type="http://schemas.openxmlformats.org/officeDocument/2006/relationships/hyperlink" Target="https://www.usda.gov/about-usda/general-information/staff-offices/office-chief-economist/office-energy-and-environmental-policy/climate-change/greenhouse-gas-inventory-and-assessment-program/quantifying-greenhouse-gas-fluxes-methods-entity-scale-inventory" TargetMode="External"/><Relationship Id="rId151" Type="http://schemas.openxmlformats.org/officeDocument/2006/relationships/image" Target="media/image11.png"/><Relationship Id="rId156" Type="http://schemas.openxmlformats.org/officeDocument/2006/relationships/image" Target="media/image16.png"/><Relationship Id="rId177" Type="http://schemas.openxmlformats.org/officeDocument/2006/relationships/hyperlink" Target="https://www.epa.gov/ghgemissions/inventory-us-greenhouse-gas-emissions-and-sinks." TargetMode="External"/><Relationship Id="rId172" Type="http://schemas.openxmlformats.org/officeDocument/2006/relationships/hyperlink" Target="https://www.epa.gov/statelocalenergy/local-greenhouse-gas-inventory-tool"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rosap.ntl.bts.gov/view/dot/50823" TargetMode="External"/><Relationship Id="rId109" Type="http://schemas.openxmlformats.org/officeDocument/2006/relationships/hyperlink" Target="https://www.trade.gov/data-visualization/us-steel-executive-summary" TargetMode="External"/><Relationship Id="rId34" Type="http://schemas.openxmlformats.org/officeDocument/2006/relationships/hyperlink" Target="https://carbonleadershipforum.org/ec3-tool/" TargetMode="External"/><Relationship Id="rId50" Type="http://schemas.openxmlformats.org/officeDocument/2006/relationships/hyperlink" Target="https://www.epa.gov/land-research/us-environmentally-extended-input-output-useeio-models" TargetMode="External"/><Relationship Id="rId55" Type="http://schemas.openxmlformats.org/officeDocument/2006/relationships/hyperlink" Target="https://www.nibs.org/files/pdfs/NIBS_MMC_MitigationSaves_2019.pdf" TargetMode="External"/><Relationship Id="rId76" Type="http://schemas.openxmlformats.org/officeDocument/2006/relationships/hyperlink" Target="https://www.epa.gov/system/files/documents/2023-07/SWM_Climate-Final.pdf" TargetMode="External"/><Relationship Id="rId97" Type="http://schemas.openxmlformats.org/officeDocument/2006/relationships/hyperlink" Target="https://www.epa.gov/sites/default/files/2018-09/documents/construction_and_demolition_debris_generation_in_the_united_states_2015_final.pdf" TargetMode="External"/><Relationship Id="rId104" Type="http://schemas.openxmlformats.org/officeDocument/2006/relationships/hyperlink" Target="https://digitalcommons.unl.edu/usgsnpwrc/92" TargetMode="External"/><Relationship Id="rId120" Type="http://schemas.openxmlformats.org/officeDocument/2006/relationships/hyperlink" Target="https://www.pca.state.mn.us/sites/default/files/w-sw5-55.pdf" TargetMode="External"/><Relationship Id="rId125" Type="http://schemas.openxmlformats.org/officeDocument/2006/relationships/hyperlink" Target="https://www.glassmagazine.com/article/world-glass-2022-report" TargetMode="External"/><Relationship Id="rId141" Type="http://schemas.openxmlformats.org/officeDocument/2006/relationships/diagramData" Target="diagrams/data1.xml"/><Relationship Id="rId146" Type="http://schemas.openxmlformats.org/officeDocument/2006/relationships/image" Target="media/image6.png"/><Relationship Id="rId167" Type="http://schemas.openxmlformats.org/officeDocument/2006/relationships/hyperlink" Target="https://carbonleadershipforum.org/ec3-tool/" TargetMode="External"/><Relationship Id="rId7" Type="http://schemas.openxmlformats.org/officeDocument/2006/relationships/settings" Target="settings.xml"/><Relationship Id="rId71" Type="http://schemas.openxmlformats.org/officeDocument/2006/relationships/hyperlink" Target="https://www.boston.gov/sites/default/files/imce-uploads/2017-01/crb_-_focus_area_ri.pdf" TargetMode="External"/><Relationship Id="rId92" Type="http://schemas.openxmlformats.org/officeDocument/2006/relationships/hyperlink" Target="https://www.eia.gov/consumption/commercial/data/2018/" TargetMode="External"/><Relationship Id="rId16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ndcpartnership.org/knowledge-portal/climate-toolbox/clean-energy-emission-reduction-cleer-tool" TargetMode="External"/><Relationship Id="rId24" Type="http://schemas.openxmlformats.org/officeDocument/2006/relationships/hyperlink" Target="https://www.eia.gov/consumption/commercial/data/2018/" TargetMode="External"/><Relationship Id="rId40" Type="http://schemas.openxmlformats.org/officeDocument/2006/relationships/hyperlink" Target="https://www.ccacoalition.org/projects/hfcville-interactive-application" TargetMode="External"/><Relationship Id="rId45" Type="http://schemas.openxmlformats.org/officeDocument/2006/relationships/hyperlink" Target="https://www.dot.state.mn.us/sustainability/ghg-analysis.html" TargetMode="External"/><Relationship Id="rId66" Type="http://schemas.openxmlformats.org/officeDocument/2006/relationships/hyperlink" Target="https://www.seattle.gov/documents/Departments/Environment/ClimateChange/SEAClimatePreparedness_August2017.pdf" TargetMode="External"/><Relationship Id="rId87" Type="http://schemas.openxmlformats.org/officeDocument/2006/relationships/hyperlink" Target="https://www.caleemod.com/user-guide" TargetMode="External"/><Relationship Id="rId110" Type="http://schemas.openxmlformats.org/officeDocument/2006/relationships/hyperlink" Target="https://www.ipcc.ch/site/assets/uploads/2018/03/Wetlands_Supplement_Entire_Report.pdf" TargetMode="External"/><Relationship Id="rId115" Type="http://schemas.openxmlformats.org/officeDocument/2006/relationships/hyperlink" Target="https://lutonmachinery.com/how-far-can-asphalt-be-transported/" TargetMode="External"/><Relationship Id="rId131" Type="http://schemas.openxmlformats.org/officeDocument/2006/relationships/hyperlink" Target="https://doi.org/10.1007/s00267-012-9967-6" TargetMode="External"/><Relationship Id="rId136" Type="http://schemas.openxmlformats.org/officeDocument/2006/relationships/hyperlink" Target="https://www.nrcs.usda.gov/resources/data-and-reports/gridded-soil-survey-geographic-gssurgo-database" TargetMode="External"/><Relationship Id="rId157" Type="http://schemas.openxmlformats.org/officeDocument/2006/relationships/image" Target="media/image17.svg"/><Relationship Id="rId178" Type="http://schemas.openxmlformats.org/officeDocument/2006/relationships/fontTable" Target="fontTable.xml"/><Relationship Id="rId61" Type="http://schemas.openxmlformats.org/officeDocument/2006/relationships/hyperlink" Target="https://www.boston.gov/sites/default/files/file/2022/04/04212022_Boston%20Heat%20Resilience%20Plan_highres-with%20Appendix%20%281%29.pdf" TargetMode="External"/><Relationship Id="rId82" Type="http://schemas.openxmlformats.org/officeDocument/2006/relationships/hyperlink" Target="https://www.achrnews.com/articles/163729-equipment-prices-keep-rising-as-r-410a-inventory-decreases" TargetMode="External"/><Relationship Id="rId152" Type="http://schemas.openxmlformats.org/officeDocument/2006/relationships/image" Target="media/image12.png"/><Relationship Id="rId173" Type="http://schemas.openxmlformats.org/officeDocument/2006/relationships/hyperlink" Target="https://www.eia.gov/consumption/residential/data/2020/"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s://www.comet-farm.com/home" TargetMode="External"/><Relationship Id="rId35" Type="http://schemas.openxmlformats.org/officeDocument/2006/relationships/hyperlink" Target="https://depts.washington.edu/fft/" TargetMode="External"/><Relationship Id="rId56" Type="http://schemas.openxmlformats.org/officeDocument/2006/relationships/hyperlink" Target="https://www.21stcenturydevelopment.org/development-matrix/" TargetMode="External"/><Relationship Id="rId77" Type="http://schemas.openxmlformats.org/officeDocument/2006/relationships/hyperlink" Target="https://www.resilientmdotmta.com/" TargetMode="External"/><Relationship Id="rId100" Type="http://schemas.openxmlformats.org/officeDocument/2006/relationships/hyperlink" Target="https://www.epa.gov/ghgemissions/inventory-us-greenhouse-gas-emissions-and-sinks" TargetMode="External"/><Relationship Id="rId105" Type="http://schemas.openxmlformats.org/officeDocument/2006/relationships/hyperlink" Target="https://www.freedoniagroup.com/industry-study/insulation-4304.htm" TargetMode="External"/><Relationship Id="rId126" Type="http://schemas.openxmlformats.org/officeDocument/2006/relationships/hyperlink" Target="https://smartepd.com/epd-library/64133a6cceeabedac05df74d" TargetMode="External"/><Relationship Id="rId147" Type="http://schemas.openxmlformats.org/officeDocument/2006/relationships/image" Target="media/image7.png"/><Relationship Id="rId168" Type="http://schemas.openxmlformats.org/officeDocument/2006/relationships/hyperlink" Target="https://www.epa.gov/egrid" TargetMode="External"/><Relationship Id="rId8" Type="http://schemas.openxmlformats.org/officeDocument/2006/relationships/webSettings" Target="webSettings.xml"/><Relationship Id="rId51" Type="http://schemas.openxmlformats.org/officeDocument/2006/relationships/hyperlink" Target="https://www.epa.gov/warm" TargetMode="External"/><Relationship Id="rId72" Type="http://schemas.openxmlformats.org/officeDocument/2006/relationships/hyperlink" Target="https://yaleclimateconnections.org/2024/08/high-temperatures-can-cause-train-tracks-to-buckle-and-" TargetMode="External"/><Relationship Id="rId93" Type="http://schemas.openxmlformats.org/officeDocument/2006/relationships/hyperlink" Target="https://www.eia.gov/dnav/ng/ng_cons_heat_a_EPG0_VGTH_btucf_a.htm" TargetMode="External"/><Relationship Id="rId98" Type="http://schemas.openxmlformats.org/officeDocument/2006/relationships/hyperlink" Target="https://www.epa.gov/energy/greenhouse-gas-equivalencies-calculator-calculations-and-references" TargetMode="External"/><Relationship Id="rId121" Type="http://schemas.openxmlformats.org/officeDocument/2006/relationships/hyperlink" Target="https://data.pca.state.mn.us/views/SCOREreport2022/2022SCOREreport?%3Aembed=y&amp;%3AisGuestRedirectFromVizportal=y" TargetMode="External"/><Relationship Id="rId142" Type="http://schemas.openxmlformats.org/officeDocument/2006/relationships/diagramLayout" Target="diagrams/layout1.xml"/><Relationship Id="rId163" Type="http://schemas.openxmlformats.org/officeDocument/2006/relationships/image" Target="media/image21.png"/><Relationship Id="rId3" Type="http://schemas.openxmlformats.org/officeDocument/2006/relationships/customXml" Target="../customXml/item3.xml"/><Relationship Id="rId25" Type="http://schemas.openxmlformats.org/officeDocument/2006/relationships/hyperlink" Target="https://www.eia.gov/consumption/manufacturing/data/2018/" TargetMode="External"/><Relationship Id="rId46" Type="http://schemas.openxmlformats.org/officeDocument/2006/relationships/hyperlink" Target="https://oneclicklca.com/en-us/?hsCtaAttrib=206339519696" TargetMode="External"/><Relationship Id="rId67" Type="http://schemas.openxmlformats.org/officeDocument/2006/relationships/hyperlink" Target="https://www.rebuild.nc.gov/resiliency/resilient-communities/rise/portfolio" TargetMode="External"/><Relationship Id="rId116" Type="http://schemas.openxmlformats.org/officeDocument/2006/relationships/hyperlink" Target="https://www.dnr.state.mn.us/climate/climate_change_info/climate-trends.html" TargetMode="External"/><Relationship Id="rId137" Type="http://schemas.openxmlformats.org/officeDocument/2006/relationships/hyperlink" Target="https://www.ipcc-nggip.iges.or.jp/public/2006gl/pdf/4_Volume4/V4_06_Ch6_Grassland.pdf" TargetMode="External"/><Relationship Id="rId158" Type="http://schemas.openxmlformats.org/officeDocument/2006/relationships/header" Target="header1.xml"/><Relationship Id="rId20" Type="http://schemas.openxmlformats.org/officeDocument/2006/relationships/hyperlink" Target="https://www.asphaltpavement.org/uploads/documents/Buy_America_Impacts_on_Asphalt.pdf" TargetMode="External"/><Relationship Id="rId41" Type="http://schemas.openxmlformats.org/officeDocument/2006/relationships/hyperlink" Target="https://calculatelca.com/software/impact-estimator/" TargetMode="External"/><Relationship Id="rId62" Type="http://schemas.openxmlformats.org/officeDocument/2006/relationships/hyperlink" Target="https://www.dutchessny.gov/Departments/Planning/Docs/eNews-JulySept2023-FromFloodingToDroughtBackAgain.pdf" TargetMode="External"/><Relationship Id="rId83" Type="http://schemas.openxmlformats.org/officeDocument/2006/relationships/hyperlink" Target="https://greet.anl.gov/greet_excel_model.models" TargetMode="External"/><Relationship Id="rId88" Type="http://schemas.openxmlformats.org/officeDocument/2006/relationships/hyperlink" Target="https://www2.calrecycle.ca.gov/wastecharacterization/general/rates" TargetMode="External"/><Relationship Id="rId111" Type="http://schemas.openxmlformats.org/officeDocument/2006/relationships/hyperlink" Target="https://www.ipcc-nggip.iges.or.jp/public/2019rf/pdf/4_Volume4/19R_V4_Ch05_Cropland.pdf" TargetMode="External"/><Relationship Id="rId132" Type="http://schemas.openxmlformats.org/officeDocument/2006/relationships/hyperlink" Target="https://www.statista.com/statistics/259096/us-imports-as-a-percentage-of-gdp/" TargetMode="External"/><Relationship Id="rId153" Type="http://schemas.openxmlformats.org/officeDocument/2006/relationships/image" Target="media/image13.png"/><Relationship Id="rId174" Type="http://schemas.openxmlformats.org/officeDocument/2006/relationships/hyperlink" Target="https://www.eia.gov/consumption/commercial/data/2018/" TargetMode="External"/><Relationship Id="rId179" Type="http://schemas.openxmlformats.org/officeDocument/2006/relationships/glossaryDocument" Target="glossary/document.xml"/><Relationship Id="rId15" Type="http://schemas.openxmlformats.org/officeDocument/2006/relationships/hyperlink" Target="https://www.revisor.mn.gov/rules/4410.4300/" TargetMode="External"/><Relationship Id="rId36" Type="http://schemas.openxmlformats.org/officeDocument/2006/relationships/hyperlink" Target="https://www.epa.gov/climateleadership/ghg-emission-factors-hub" TargetMode="External"/><Relationship Id="rId57" Type="http://schemas.openxmlformats.org/officeDocument/2006/relationships/hyperlink" Target="https://www.eqb.state.mn.us/sites/eqb/files/2024_eaw_climate_guidance_2.pdf" TargetMode="External"/><Relationship Id="rId106" Type="http://schemas.openxmlformats.org/officeDocument/2006/relationships/hyperlink" Target="https://www.carbonvoyagetool.com/" TargetMode="External"/><Relationship Id="rId127" Type="http://schemas.openxmlformats.org/officeDocument/2006/relationships/hyperlink" Target="https://oec.world/en/profile/bilateral-product/float-glass/reporter/usa" TargetMode="External"/><Relationship Id="rId10" Type="http://schemas.openxmlformats.org/officeDocument/2006/relationships/endnotes" Target="endnotes.xml"/><Relationship Id="rId31" Type="http://schemas.openxmlformats.org/officeDocument/2006/relationships/hyperlink" Target="http://comet-planner.com/" TargetMode="External"/><Relationship Id="rId52" Type="http://schemas.openxmlformats.org/officeDocument/2006/relationships/hyperlink" Target="https://www.epa.gov/arc-x/strategies-climate-change-adaptation" TargetMode="External"/><Relationship Id="rId73" Type="http://schemas.openxmlformats.org/officeDocument/2006/relationships/hyperlink" Target="https://highways.dot.gov/public-roads/autumn-2018/boosting-pavement-resilience" TargetMode="External"/><Relationship Id="rId78" Type="http://schemas.openxmlformats.org/officeDocument/2006/relationships/footer" Target="footer6.xml"/><Relationship Id="rId94" Type="http://schemas.openxmlformats.org/officeDocument/2006/relationships/hyperlink" Target="https://www.eia.gov/consumption/manufacturing/data/2018/" TargetMode="External"/><Relationship Id="rId99" Type="http://schemas.openxmlformats.org/officeDocument/2006/relationships/hyperlink" Target="https://www.epa.gov/climateleadership/ghg-emission-factors-hub" TargetMode="External"/><Relationship Id="rId101" Type="http://schemas.openxmlformats.org/officeDocument/2006/relationships/hyperlink" Target="https://www.epa.gov/statelocalenergy/local-greenhouse-gas-inventory-tool" TargetMode="External"/><Relationship Id="rId122" Type="http://schemas.openxmlformats.org/officeDocument/2006/relationships/hyperlink" Target="https://lims.minneapolismn.gov/Download/RCAV2/30166/Minneapolis%202022%20Final%20Sort%20Report.pdf" TargetMode="External"/><Relationship Id="rId143" Type="http://schemas.openxmlformats.org/officeDocument/2006/relationships/diagramQuickStyle" Target="diagrams/quickStyle1.xml"/><Relationship Id="rId148" Type="http://schemas.openxmlformats.org/officeDocument/2006/relationships/image" Target="media/image8.png"/><Relationship Id="rId164" Type="http://schemas.openxmlformats.org/officeDocument/2006/relationships/image" Target="media/image22.png"/><Relationship Id="rId169" Type="http://schemas.openxmlformats.org/officeDocument/2006/relationships/hyperlink" Target="https://www.epa.gov/climateleadership/ghg-emission-factors-hub"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www.epa.gov/avert" TargetMode="External"/><Relationship Id="rId47" Type="http://schemas.openxmlformats.org/officeDocument/2006/relationships/hyperlink" Target="https://www.openlca.org/" TargetMode="External"/><Relationship Id="rId68" Type="http://schemas.openxmlformats.org/officeDocument/2006/relationships/hyperlink" Target="https://drive.google.com/file/d/1X_Gr4eUCmkXPOzAcvyxCe-uZPkX84Byz/view" TargetMode="External"/><Relationship Id="rId89" Type="http://schemas.openxmlformats.org/officeDocument/2006/relationships/hyperlink" Target="https://www2.calrecycle.ca.gov/Publications/Details/1184" TargetMode="External"/><Relationship Id="rId112" Type="http://schemas.openxmlformats.org/officeDocument/2006/relationships/hyperlink" Target="https://www.ipcc-nggip.iges.or.jp/public/2019rf/pdf/4_Volume4/19R_V4_Ch10_Livestock.pdf" TargetMode="External"/><Relationship Id="rId133" Type="http://schemas.openxmlformats.org/officeDocument/2006/relationships/hyperlink" Target="https://www.travelmath.com/" TargetMode="External"/><Relationship Id="rId154" Type="http://schemas.openxmlformats.org/officeDocument/2006/relationships/image" Target="media/image14.png"/><Relationship Id="rId175" Type="http://schemas.openxmlformats.org/officeDocument/2006/relationships/hyperlink" Target="https://www.eia.gov/consumption/manufacturing/data/2018/" TargetMode="External"/><Relationship Id="rId16" Type="http://schemas.openxmlformats.org/officeDocument/2006/relationships/hyperlink" Target="https://www.revisor.mn.gov/rules/4410.4300/" TargetMode="External"/><Relationship Id="rId37" Type="http://schemas.openxmlformats.org/officeDocument/2006/relationships/hyperlink" Target="https://greet.anl.gov/" TargetMode="External"/><Relationship Id="rId58" Type="http://schemas.openxmlformats.org/officeDocument/2006/relationships/hyperlink" Target="https://www.pca.state.mn.us/sites/default/files/p-gen4-17.pdf" TargetMode="External"/><Relationship Id="rId79" Type="http://schemas.openxmlformats.org/officeDocument/2006/relationships/hyperlink" Target="https://www.aluminum.org/sites/default/files/2021-11/FactSheet2018.pdf" TargetMode="External"/><Relationship Id="rId102" Type="http://schemas.openxmlformats.org/officeDocument/2006/relationships/hyperlink" Target="https://www.epa.gov/moves/latest-version-motor-vehicle-emission-simulator-moves" TargetMode="External"/><Relationship Id="rId123" Type="http://schemas.openxmlformats.org/officeDocument/2006/relationships/hyperlink" Target="https://mtcopeland.com/blog/wood-density-explained-plus-wood-density-chart/" TargetMode="External"/><Relationship Id="rId144" Type="http://schemas.openxmlformats.org/officeDocument/2006/relationships/diagramColors" Target="diagrams/colors1.xml"/><Relationship Id="rId90" Type="http://schemas.openxmlformats.org/officeDocument/2006/relationships/hyperlink" Target="https://www.betterhomesbc.ca/products/what-is-r-or-rsi-value/" TargetMode="External"/><Relationship Id="rId165" Type="http://schemas.openxmlformats.org/officeDocument/2006/relationships/image" Target="media/image23.png"/><Relationship Id="rId27" Type="http://schemas.openxmlformats.org/officeDocument/2006/relationships/hyperlink" Target="https://www.caleemod.com/" TargetMode="External"/><Relationship Id="rId48" Type="http://schemas.openxmlformats.org/officeDocument/2006/relationships/hyperlink" Target="https://www.apta.com/wp-content/uploads/Standards_Documents/APTA-SUDS-CC-RP-001-09_Rev-1.pdf" TargetMode="External"/><Relationship Id="rId69" Type="http://schemas.openxmlformats.org/officeDocument/2006/relationships/hyperlink" Target="https://www.flagstaff.az.gov/1732/Climate" TargetMode="External"/><Relationship Id="rId113" Type="http://schemas.openxmlformats.org/officeDocument/2006/relationships/hyperlink" Target="https://www.ipcc-nggip.iges.or.jp/public/2019rf/pdf/4_Volume4/19R_V4_Ch11_Soils_N2O_CO2.pdf" TargetMode="External"/><Relationship Id="rId134" Type="http://schemas.openxmlformats.org/officeDocument/2006/relationships/hyperlink" Target="https://www.census.gov/data/datasets/2017/econ/cfs/historical-datasets.html" TargetMode="External"/><Relationship Id="rId80" Type="http://schemas.openxmlformats.org/officeDocument/2006/relationships/hyperlink" Target="https://www.aluminum.org/sites/default/files/2024-06/North-American-Decarbonization-Roadmap_6.11.24.pdf" TargetMode="External"/><Relationship Id="rId155" Type="http://schemas.openxmlformats.org/officeDocument/2006/relationships/image" Target="media/image15.png"/><Relationship Id="rId176" Type="http://schemas.openxmlformats.org/officeDocument/2006/relationships/hyperlink" Target="https://www.dot.state.mn.us/sustainability/ghg-analysis.html" TargetMode="External"/><Relationship Id="rId17" Type="http://schemas.openxmlformats.org/officeDocument/2006/relationships/image" Target="media/image2.png"/><Relationship Id="rId38" Type="http://schemas.openxmlformats.org/officeDocument/2006/relationships/hyperlink" Target="https://www.airquality.org/ClimateChange/Documents/2024%20Handbook%20Update_AB434.pdf" TargetMode="External"/><Relationship Id="rId59" Type="http://schemas.openxmlformats.org/officeDocument/2006/relationships/hyperlink" Target="https://design.umn.edu/center-sustainable-building-research/projects" TargetMode="External"/><Relationship Id="rId103" Type="http://schemas.openxmlformats.org/officeDocument/2006/relationships/hyperlink" Target="https://www.epa.gov/statelocalenergy/state-inventory-and-projection-tool" TargetMode="External"/><Relationship Id="rId124" Type="http://schemas.openxmlformats.org/officeDocument/2006/relationships/hyperlink" Target="https://www.asphaltpavement.org/uploads/documents/Buy_America_Impacts_on_Asphalt.pdf" TargetMode="External"/><Relationship Id="rId70" Type="http://schemas.openxmlformats.org/officeDocument/2006/relationships/hyperlink" Target="https://www.charleston-sc.gov/1975/All-Hazards-Vulnerability-Risk-Assessmen" TargetMode="External"/><Relationship Id="rId91" Type="http://schemas.openxmlformats.org/officeDocument/2006/relationships/hyperlink" Target="https://www.eia.gov/consumption/residential/data/2020/" TargetMode="External"/><Relationship Id="rId145" Type="http://schemas.microsoft.com/office/2007/relationships/diagramDrawing" Target="diagrams/drawing1.xml"/><Relationship Id="rId166" Type="http://schemas.openxmlformats.org/officeDocument/2006/relationships/hyperlink" Target="https://greet.anl.gov/"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17" Type="http://schemas.openxmlformats.org/officeDocument/2006/relationships/hyperlink" Target="https://www.ipcc-nggip.iges.or.jp/public/2019rf/pdf/4_Volume4/19R_V4_Ch11_Soils_N2O_CO2.pdf" TargetMode="External"/><Relationship Id="rId21" Type="http://schemas.openxmlformats.org/officeDocument/2006/relationships/hyperlink" Target="https://greet.anl.gov/greet_excel_model.models" TargetMode="External"/><Relationship Id="rId42" Type="http://schemas.openxmlformats.org/officeDocument/2006/relationships/hyperlink" Target="https://www.ipcc-nggip.iges.or.jp/public/2006gl/pdf/4_Volume4/V4_06_Ch6_Grassland.pdf" TargetMode="External"/><Relationship Id="rId63" Type="http://schemas.openxmlformats.org/officeDocument/2006/relationships/hyperlink" Target="https://www.eia.gov/totalenergy/data/monthly/index.php" TargetMode="External"/><Relationship Id="rId84" Type="http://schemas.openxmlformats.org/officeDocument/2006/relationships/hyperlink" Target="https://greet.anl.gov/greet_excel_model.models" TargetMode="External"/><Relationship Id="rId16" Type="http://schemas.openxmlformats.org/officeDocument/2006/relationships/hyperlink" Target="https://www.glassmagazine.com/article/world-glass-2022-report" TargetMode="External"/><Relationship Id="rId107" Type="http://schemas.openxmlformats.org/officeDocument/2006/relationships/hyperlink" Target="https://www.epa.gov/ghgemissions/inventory-us-greenhouse-gas-emissions-and-sinks" TargetMode="External"/><Relationship Id="rId11" Type="http://schemas.openxmlformats.org/officeDocument/2006/relationships/hyperlink" Target="https://www.betterhomesbc.ca/products/what-is-r-or-rsi-value/" TargetMode="External"/><Relationship Id="rId32" Type="http://schemas.openxmlformats.org/officeDocument/2006/relationships/hyperlink" Target="https://www.caleemod.com/" TargetMode="External"/><Relationship Id="rId37" Type="http://schemas.openxmlformats.org/officeDocument/2006/relationships/hyperlink" Target="https://www.epa.gov/climateleadership/ghg-emission-factors-hub" TargetMode="External"/><Relationship Id="rId53" Type="http://schemas.openxmlformats.org/officeDocument/2006/relationships/hyperlink" Target="https://www.ipcc.ch/site/assets/uploads/2018/03/Wetlands_Supplement_Entire_Report.pdf" TargetMode="External"/><Relationship Id="rId58" Type="http://schemas.openxmlformats.org/officeDocument/2006/relationships/hyperlink" Target="https://www.eia.gov/consumption/residential/data/2020/" TargetMode="External"/><Relationship Id="rId74" Type="http://schemas.openxmlformats.org/officeDocument/2006/relationships/hyperlink" Target="https://www.epa.gov/climateleadership/ghg-emission-factors-hub" TargetMode="External"/><Relationship Id="rId79" Type="http://schemas.openxmlformats.org/officeDocument/2006/relationships/hyperlink" Target="https://www.epa.gov/climateleadership/ghg-emission-factors-hub" TargetMode="External"/><Relationship Id="rId102" Type="http://schemas.openxmlformats.org/officeDocument/2006/relationships/hyperlink" Target="https://www.revisor.mn.gov/rules/7020.0300/" TargetMode="External"/><Relationship Id="rId123" Type="http://schemas.openxmlformats.org/officeDocument/2006/relationships/hyperlink" Target="https://www.epa.gov/egrid" TargetMode="External"/><Relationship Id="rId128" Type="http://schemas.openxmlformats.org/officeDocument/2006/relationships/hyperlink" Target="https://greet.anl.gov/greet_excel_model.models" TargetMode="External"/><Relationship Id="rId5" Type="http://schemas.openxmlformats.org/officeDocument/2006/relationships/hyperlink" Target="https://www.freedoniagroup.com/industry-study/insulation-4304.htm" TargetMode="External"/><Relationship Id="rId90" Type="http://schemas.openxmlformats.org/officeDocument/2006/relationships/hyperlink" Target="https://www.epa.gov/sites/default/files/2015-09/documents/hfc_emissions_accounting_tool_supporting_documentation.pdf" TargetMode="External"/><Relationship Id="rId95" Type="http://schemas.openxmlformats.org/officeDocument/2006/relationships/hyperlink" Target="https://www.ipcc-nggip.iges.or.jp/public/2019rf/pdf/5_Volume5/19R_V5_6_Ch06_Wastewater.pdf" TargetMode="External"/><Relationship Id="rId22" Type="http://schemas.openxmlformats.org/officeDocument/2006/relationships/hyperlink" Target="https://www.caleemod.com/" TargetMode="External"/><Relationship Id="rId27" Type="http://schemas.openxmlformats.org/officeDocument/2006/relationships/hyperlink" Target="https://www.epa.gov/statelocalenergy/local-greenhouse-gas-inventory-tool" TargetMode="External"/><Relationship Id="rId43" Type="http://schemas.openxmlformats.org/officeDocument/2006/relationships/hyperlink" Target="https://www.usda.gov/about-usda/general-information/staff-offices/office-chief-economist/office-energy-and-environmental-policy/climate-change/greenhouse-gas-inventory-and-assessment-program/quantifying-greenhouse-gas-fluxes-methods-entity-scale-inventory" TargetMode="External"/><Relationship Id="rId48" Type="http://schemas.openxmlformats.org/officeDocument/2006/relationships/hyperlink" Target="https://www.nrcs.usda.gov/resources/data-and-reports/gridded-soil-survey-geographic-gssurgo-database" TargetMode="External"/><Relationship Id="rId64" Type="http://schemas.openxmlformats.org/officeDocument/2006/relationships/hyperlink" Target="https://www.eia.gov/consumption/commercial/data/2018/" TargetMode="External"/><Relationship Id="rId69" Type="http://schemas.openxmlformats.org/officeDocument/2006/relationships/hyperlink" Target="https://www.epa.gov/climateleadership/ghg-emission-factors-hub" TargetMode="External"/><Relationship Id="rId113" Type="http://schemas.openxmlformats.org/officeDocument/2006/relationships/hyperlink" Target="https://www.ipcc-nggip.iges.or.jp/public/2019rf/pdf/4_Volume4/19R_V4_Ch11_Soils_N2O_CO2.pdf" TargetMode="External"/><Relationship Id="rId118" Type="http://schemas.openxmlformats.org/officeDocument/2006/relationships/hyperlink" Target="https://www.pca.state.mn.us/business-with-us/environmental-review" TargetMode="External"/><Relationship Id="rId134" Type="http://schemas.openxmlformats.org/officeDocument/2006/relationships/hyperlink" Target="https://www.otpsustainability.com/media/edfeocny/2023-esg-report.pdf" TargetMode="External"/><Relationship Id="rId80" Type="http://schemas.openxmlformats.org/officeDocument/2006/relationships/hyperlink" Target="https://greet.anl.gov/greet_excel_model.models" TargetMode="External"/><Relationship Id="rId85" Type="http://schemas.openxmlformats.org/officeDocument/2006/relationships/hyperlink" Target="https://greet.anl.gov/greet_excel_model.models" TargetMode="External"/><Relationship Id="rId12" Type="http://schemas.openxmlformats.org/officeDocument/2006/relationships/hyperlink" Target="https://smartepd.com/epd-library/64133a6cceeabedac05df74d" TargetMode="External"/><Relationship Id="rId17" Type="http://schemas.openxmlformats.org/officeDocument/2006/relationships/hyperlink" Target="https://www.trade.gov/data-visualization/us-steel-executive-summary" TargetMode="External"/><Relationship Id="rId33" Type="http://schemas.openxmlformats.org/officeDocument/2006/relationships/hyperlink" Target="https://www.caleemod.com/user-guide" TargetMode="External"/><Relationship Id="rId38" Type="http://schemas.openxmlformats.org/officeDocument/2006/relationships/hyperlink" Target="https://www.epa.gov/climateleadership/ghg-emission-factors-hub" TargetMode="External"/><Relationship Id="rId59" Type="http://schemas.openxmlformats.org/officeDocument/2006/relationships/hyperlink" Target="https://www.eia.gov/consumption/residential/data/2020/" TargetMode="External"/><Relationship Id="rId103" Type="http://schemas.openxmlformats.org/officeDocument/2006/relationships/hyperlink" Target="https://www.epa.gov/ghgemissions/inventory-us-greenhouse-gas-emissions-and-sinks" TargetMode="External"/><Relationship Id="rId108" Type="http://schemas.openxmlformats.org/officeDocument/2006/relationships/hyperlink" Target="https://www.epa.gov/ghgemissions/inventory-us-greenhouse-gas-emissions-and-sinks" TargetMode="External"/><Relationship Id="rId124" Type="http://schemas.openxmlformats.org/officeDocument/2006/relationships/hyperlink" Target="https://greet.anl.gov/greet_excel_model.models" TargetMode="External"/><Relationship Id="rId129" Type="http://schemas.openxmlformats.org/officeDocument/2006/relationships/hyperlink" Target="https://www.edockets.state.mn.us/documents/%7BA0446195-0000-C339-B88F-8CE00FEBADAA%7D/download" TargetMode="External"/><Relationship Id="rId54" Type="http://schemas.openxmlformats.org/officeDocument/2006/relationships/hyperlink" Target="https://www.epa.gov/energy/greenhouse-gas-equivalencies-calculator-calculations-and-references" TargetMode="External"/><Relationship Id="rId70" Type="http://schemas.openxmlformats.org/officeDocument/2006/relationships/hyperlink" Target="https://greet.anl.gov/greet_excel_model.models" TargetMode="External"/><Relationship Id="rId75" Type="http://schemas.openxmlformats.org/officeDocument/2006/relationships/hyperlink" Target="https://www.epa.gov/climateleadership/ghg-emission-factors-hub" TargetMode="External"/><Relationship Id="rId91" Type="http://schemas.openxmlformats.org/officeDocument/2006/relationships/hyperlink" Target="https://www.dot.state.mn.us/project-development/subject-guidance/greenhouse-gas-analysis/process.html" TargetMode="External"/><Relationship Id="rId96" Type="http://schemas.openxmlformats.org/officeDocument/2006/relationships/hyperlink" Target="https://www.epa.gov/statelocalenergy/state-inventory-and-projection-tool" TargetMode="External"/><Relationship Id="rId1" Type="http://schemas.openxmlformats.org/officeDocument/2006/relationships/hyperlink" Target="https://www.buildingtransparency.org" TargetMode="External"/><Relationship Id="rId6" Type="http://schemas.openxmlformats.org/officeDocument/2006/relationships/hyperlink" Target="https://www.trade.gov/data-visualization/us-steel-executive-summary" TargetMode="External"/><Relationship Id="rId23" Type="http://schemas.openxmlformats.org/officeDocument/2006/relationships/hyperlink" Target="https://www.caleemod.com/user-guide" TargetMode="External"/><Relationship Id="rId28" Type="http://schemas.openxmlformats.org/officeDocument/2006/relationships/hyperlink" Target="https://www.epa.gov/climateleadership/ghg-emission-factors-hub" TargetMode="External"/><Relationship Id="rId49" Type="http://schemas.openxmlformats.org/officeDocument/2006/relationships/hyperlink" Target="https://doi.org/10.1007/s00267-012-9967-6" TargetMode="External"/><Relationship Id="rId114" Type="http://schemas.openxmlformats.org/officeDocument/2006/relationships/hyperlink" Target="https://www.epa.gov/ghgemissions/inventory-us-greenhouse-gas-emissions-and-sinks" TargetMode="External"/><Relationship Id="rId119" Type="http://schemas.openxmlformats.org/officeDocument/2006/relationships/hyperlink" Target="https://www.dnr.state.mn.us/climate/climate_change_info/climate-trends.html" TargetMode="External"/><Relationship Id="rId44" Type="http://schemas.openxmlformats.org/officeDocument/2006/relationships/hyperlink" Target="https://www.nrcs.usda.gov/resources/data-and-reports/gridded-soil-survey-geographic-gssurgo-database" TargetMode="External"/><Relationship Id="rId60" Type="http://schemas.openxmlformats.org/officeDocument/2006/relationships/hyperlink" Target="https://www.eia.gov/consumption/commercial/data/2018/" TargetMode="External"/><Relationship Id="rId65" Type="http://schemas.openxmlformats.org/officeDocument/2006/relationships/hyperlink" Target="https://www.eia.gov/consumption/manufacturing/data/2018/" TargetMode="External"/><Relationship Id="rId81" Type="http://schemas.openxmlformats.org/officeDocument/2006/relationships/hyperlink" Target="https://www.epa.gov/climateleadership/ghg-emission-factors-hub" TargetMode="External"/><Relationship Id="rId86" Type="http://schemas.openxmlformats.org/officeDocument/2006/relationships/hyperlink" Target="https://www.aluminum.org/sites/default/files/2024-06/North-American-Decarbonization-Roadmap_6.11.24.pdf" TargetMode="External"/><Relationship Id="rId130" Type="http://schemas.openxmlformats.org/officeDocument/2006/relationships/hyperlink" Target="https://greet.anl.gov/greet_excel_model.models" TargetMode="External"/><Relationship Id="rId135" Type="http://schemas.openxmlformats.org/officeDocument/2006/relationships/hyperlink" Target="https://greet.anl.gov/greet_excel_model.models" TargetMode="External"/><Relationship Id="rId13" Type="http://schemas.openxmlformats.org/officeDocument/2006/relationships/hyperlink" Target="https://www.statista.com/statistics/259096/us-imports-as-a-percentage-of-gdp/" TargetMode="External"/><Relationship Id="rId18" Type="http://schemas.openxmlformats.org/officeDocument/2006/relationships/hyperlink" Target="https://www.census.gov/data/datasets/2017/econ/cfs/historical-datasets.html" TargetMode="External"/><Relationship Id="rId39" Type="http://schemas.openxmlformats.org/officeDocument/2006/relationships/hyperlink" Target="https://greet.anl.gov/greet_excel_model.models" TargetMode="External"/><Relationship Id="rId109" Type="http://schemas.openxmlformats.org/officeDocument/2006/relationships/hyperlink" Target="https://www.ipcc-nggip.iges.or.jp/public/2019rf/pdf/4_Volume4/19R_V4_Ch10_Livestock.pdf" TargetMode="External"/><Relationship Id="rId34" Type="http://schemas.openxmlformats.org/officeDocument/2006/relationships/hyperlink" Target="https://www.caleemod.com/user-guide" TargetMode="External"/><Relationship Id="rId50" Type="http://schemas.openxmlformats.org/officeDocument/2006/relationships/hyperlink" Target="https://doi.org/10.1016/j.scitotenv.2013.12.012" TargetMode="External"/><Relationship Id="rId55" Type="http://schemas.openxmlformats.org/officeDocument/2006/relationships/hyperlink" Target="https://www.epa.gov/sites/default/files/2018-09/documents/construction_and_demolition_debris_generation_in_the_united_states_2015_final.pdf" TargetMode="External"/><Relationship Id="rId76" Type="http://schemas.openxmlformats.org/officeDocument/2006/relationships/hyperlink" Target="https://greet.anl.gov/greet_excel_model.models" TargetMode="External"/><Relationship Id="rId97" Type="http://schemas.openxmlformats.org/officeDocument/2006/relationships/hyperlink" Target="https://lims.minneapolismn.gov/Download/RCAV2/30166/Minneapolis%202022%20Final%20Sort%20Report.pdf" TargetMode="External"/><Relationship Id="rId104" Type="http://schemas.openxmlformats.org/officeDocument/2006/relationships/hyperlink" Target="https://www.revisor.mn.gov/rules/7020.0300/" TargetMode="External"/><Relationship Id="rId120" Type="http://schemas.openxmlformats.org/officeDocument/2006/relationships/hyperlink" Target="https://www.eqb.state.mn.us/sites/eqb/files/2024_eaw_climate_guidance_2.pdf" TargetMode="External"/><Relationship Id="rId125" Type="http://schemas.openxmlformats.org/officeDocument/2006/relationships/hyperlink" Target="https://greet.anl.gov/greet_excel_model.models" TargetMode="External"/><Relationship Id="rId7" Type="http://schemas.openxmlformats.org/officeDocument/2006/relationships/hyperlink" Target="https://www.usitc.gov/research_and_analysis/trade_shifts_2017/forestry.htm" TargetMode="External"/><Relationship Id="rId71" Type="http://schemas.openxmlformats.org/officeDocument/2006/relationships/hyperlink" Target="https://www.epa.gov/climateleadership/ghg-emission-factors-hub" TargetMode="External"/><Relationship Id="rId92" Type="http://schemas.openxmlformats.org/officeDocument/2006/relationships/hyperlink" Target="https://www.epa.gov/climateleadership/ghg-emission-factors-hub" TargetMode="External"/><Relationship Id="rId2" Type="http://schemas.openxmlformats.org/officeDocument/2006/relationships/hyperlink" Target="https://www.carbonvoyagetool.com/" TargetMode="External"/><Relationship Id="rId29" Type="http://schemas.openxmlformats.org/officeDocument/2006/relationships/hyperlink" Target="https://www.epa.gov/statelocalenergy/local-greenhouse-gas-inventory-tool" TargetMode="External"/><Relationship Id="rId24" Type="http://schemas.openxmlformats.org/officeDocument/2006/relationships/hyperlink" Target="https://www.epa.gov/statelocalenergy/local-greenhouse-gas-inventory-tool" TargetMode="External"/><Relationship Id="rId40" Type="http://schemas.openxmlformats.org/officeDocument/2006/relationships/hyperlink" Target="https://greet.anl.gov/greet_excel_model.models" TargetMode="External"/><Relationship Id="rId45" Type="http://schemas.openxmlformats.org/officeDocument/2006/relationships/hyperlink" Target="https://www.usda.gov/about-usda/general-information/staff-offices/office-chief-economist/office-energy-and-environmental-policy/climate-change/greenhouse-gas-inventory-and-assessment-program/quantifying-greenhouse-gas-fluxes-methods-entity-scale-inventory" TargetMode="External"/><Relationship Id="rId66" Type="http://schemas.openxmlformats.org/officeDocument/2006/relationships/hyperlink" Target="https://www.eia.gov/consumption/manufacturing/data/2018/" TargetMode="External"/><Relationship Id="rId87" Type="http://schemas.openxmlformats.org/officeDocument/2006/relationships/hyperlink" Target="https://buildingtransparency.org/ec3" TargetMode="External"/><Relationship Id="rId110" Type="http://schemas.openxmlformats.org/officeDocument/2006/relationships/hyperlink" Target="https://www.epa.gov/ghgemissions/inventory-us-greenhouse-gas-emissions-and-sinks" TargetMode="External"/><Relationship Id="rId115" Type="http://schemas.openxmlformats.org/officeDocument/2006/relationships/hyperlink" Target="https://www.ipcc-nggip.iges.or.jp/public/2019rf/pdf/4_Volume4/19R_V4_Ch11_Soils_N2O_CO2.pdf" TargetMode="External"/><Relationship Id="rId131" Type="http://schemas.openxmlformats.org/officeDocument/2006/relationships/hyperlink" Target="https://greatriverenergy.com/electricity-sources/" TargetMode="External"/><Relationship Id="rId136" Type="http://schemas.openxmlformats.org/officeDocument/2006/relationships/hyperlink" Target="https://www.epa.gov/energy/greenhouse-gas-equivalencies-calculator-calculations-and-references" TargetMode="External"/><Relationship Id="rId61" Type="http://schemas.openxmlformats.org/officeDocument/2006/relationships/hyperlink" Target="https://www.eia.gov/dnav/ng/ng_cons_heat_a_EPG0_VGTH_btucf_a.htm" TargetMode="External"/><Relationship Id="rId82" Type="http://schemas.openxmlformats.org/officeDocument/2006/relationships/hyperlink" Target="https://www.epa.gov/climateleadership/ghg-emission-factors-hub" TargetMode="External"/><Relationship Id="rId19" Type="http://schemas.openxmlformats.org/officeDocument/2006/relationships/hyperlink" Target="https://lutonmachinery.com/how-far-can-asphalt-be-transported/" TargetMode="External"/><Relationship Id="rId14" Type="http://schemas.openxmlformats.org/officeDocument/2006/relationships/hyperlink" Target="https://www.aluminum.org/sites/default/files/2021-11/FactSheet2018.pdf" TargetMode="External"/><Relationship Id="rId30" Type="http://schemas.openxmlformats.org/officeDocument/2006/relationships/hyperlink" Target="https://greet.anl.gov/greet_excel_model.models" TargetMode="External"/><Relationship Id="rId35" Type="http://schemas.openxmlformats.org/officeDocument/2006/relationships/hyperlink" Target="https://www.caleemod.com/user-guide" TargetMode="External"/><Relationship Id="rId56" Type="http://schemas.openxmlformats.org/officeDocument/2006/relationships/hyperlink" Target="https://www.pca.state.mn.us/sites/default/files/w-sw5-55.pdf" TargetMode="External"/><Relationship Id="rId77" Type="http://schemas.openxmlformats.org/officeDocument/2006/relationships/hyperlink" Target="https://www.iea.org/reports/curtailing-methane-emissions-from-fossil-fuel-operations" TargetMode="External"/><Relationship Id="rId100" Type="http://schemas.openxmlformats.org/officeDocument/2006/relationships/hyperlink" Target="https://data.pca.state.mn.us/views/SCOREreport2022/2022SCOREreport?%3Aembed=y&amp;%3AisGuestRedirectFromVizportal=y" TargetMode="External"/><Relationship Id="rId105" Type="http://schemas.openxmlformats.org/officeDocument/2006/relationships/hyperlink" Target="https://www.epa.gov/ghgemissions/inventory-us-greenhouse-gas-emissions-and-sinks" TargetMode="External"/><Relationship Id="rId126" Type="http://schemas.openxmlformats.org/officeDocument/2006/relationships/hyperlink" Target="https://www.revisor.mn.gov/statutes/cite/216b.1691" TargetMode="External"/><Relationship Id="rId8" Type="http://schemas.openxmlformats.org/officeDocument/2006/relationships/hyperlink" Target="https://mtcopeland.com/blog/wood-density-explained-plus-wood-density-chart/" TargetMode="External"/><Relationship Id="rId51" Type="http://schemas.openxmlformats.org/officeDocument/2006/relationships/hyperlink" Target="https://www.nawm.org/pdf_lib/north_american_prairie.pdf" TargetMode="External"/><Relationship Id="rId72" Type="http://schemas.openxmlformats.org/officeDocument/2006/relationships/hyperlink" Target="https://www.epa.gov/climateleadership/ghg-emission-factors-hub" TargetMode="External"/><Relationship Id="rId93" Type="http://schemas.openxmlformats.org/officeDocument/2006/relationships/hyperlink" Target="https://www.epa.gov/statelocalenergy/state-inventory-and-projection-tool" TargetMode="External"/><Relationship Id="rId98" Type="http://schemas.openxmlformats.org/officeDocument/2006/relationships/hyperlink" Target="https://www2.calrecycle.ca.gov/wastecharacterization/general/rates" TargetMode="External"/><Relationship Id="rId121" Type="http://schemas.openxmlformats.org/officeDocument/2006/relationships/hyperlink" Target="https://www.dot.state.mn.us/project-development/subject-guidance/greenhouse-gas-analysis/process.html" TargetMode="External"/><Relationship Id="rId3" Type="http://schemas.openxmlformats.org/officeDocument/2006/relationships/hyperlink" Target="https://oec.world/en/visualize/tree_map/hs92/import/usa/show/136901/2022" TargetMode="External"/><Relationship Id="rId25" Type="http://schemas.openxmlformats.org/officeDocument/2006/relationships/hyperlink" Target="https://www.epa.gov/statelocalenergy/local-greenhouse-gas-inventory-tool" TargetMode="External"/><Relationship Id="rId46" Type="http://schemas.openxmlformats.org/officeDocument/2006/relationships/hyperlink" Target="https://www.ipcc-nggip.iges.or.jp/public/2019rf/pdf/4_Volume4/19R_V4_Ch05_Cropland.pdf" TargetMode="External"/><Relationship Id="rId67" Type="http://schemas.openxmlformats.org/officeDocument/2006/relationships/hyperlink" Target="https://www.eia.gov/totalenergy/data/monthly/index.php" TargetMode="External"/><Relationship Id="rId116" Type="http://schemas.openxmlformats.org/officeDocument/2006/relationships/hyperlink" Target="https://www.epa.gov/ghgemissions/inventory-us-greenhouse-gas-emissions-and-sinks" TargetMode="External"/><Relationship Id="rId20" Type="http://schemas.openxmlformats.org/officeDocument/2006/relationships/hyperlink" Target="https://www.travelmath.com/" TargetMode="External"/><Relationship Id="rId41" Type="http://schemas.openxmlformats.org/officeDocument/2006/relationships/hyperlink" Target="https://files.dnr.state.mn.us/aboutdnr/reports/carbon2008.pdf" TargetMode="External"/><Relationship Id="rId62" Type="http://schemas.openxmlformats.org/officeDocument/2006/relationships/hyperlink" Target="https://www.eia.gov/consumption/commercial/data/2018/" TargetMode="External"/><Relationship Id="rId83" Type="http://schemas.openxmlformats.org/officeDocument/2006/relationships/hyperlink" Target="https://greet.anl.gov/greet_excel_model.models" TargetMode="External"/><Relationship Id="rId88" Type="http://schemas.openxmlformats.org/officeDocument/2006/relationships/hyperlink" Target="https://www.epa.gov/sites/default/files/2015-09/documents/hfc_emissions_accounting_tool_supporting_documentation.pdf" TargetMode="External"/><Relationship Id="rId111" Type="http://schemas.openxmlformats.org/officeDocument/2006/relationships/hyperlink" Target="https://www.epa.gov/ghgemissions/inventory-us-greenhouse-gas-emissions-and-sinks" TargetMode="External"/><Relationship Id="rId132" Type="http://schemas.openxmlformats.org/officeDocument/2006/relationships/hyperlink" Target="https://greatriverenergy.com/wp-content/uploads/2023/04/2023-37-IRP-One-pager-FINAL.pdf" TargetMode="External"/><Relationship Id="rId15" Type="http://schemas.openxmlformats.org/officeDocument/2006/relationships/hyperlink" Target="https://www.asphaltpavement.org/uploads/documents/Buy_America_Impacts_on_Asphalt.pdf" TargetMode="External"/><Relationship Id="rId36" Type="http://schemas.openxmlformats.org/officeDocument/2006/relationships/hyperlink" Target="https://www.epa.gov/climateleadership/ghg-emission-factors-hub" TargetMode="External"/><Relationship Id="rId57" Type="http://schemas.openxmlformats.org/officeDocument/2006/relationships/hyperlink" Target="https://www.epa.gov/climateleadership/ghg-emission-factors-hub" TargetMode="External"/><Relationship Id="rId106" Type="http://schemas.openxmlformats.org/officeDocument/2006/relationships/hyperlink" Target="https://www.epa.gov/ghgemissions/inventory-us-greenhouse-gas-emissions-and-sinks" TargetMode="External"/><Relationship Id="rId127" Type="http://schemas.openxmlformats.org/officeDocument/2006/relationships/hyperlink" Target="https://mn.gov/puc/activities/economic-analysis/planning/xcel-energy-irp/" TargetMode="External"/><Relationship Id="rId10" Type="http://schemas.openxmlformats.org/officeDocument/2006/relationships/hyperlink" Target="https://codes.iccsafe.org/content/IECC2024P1/index" TargetMode="External"/><Relationship Id="rId31" Type="http://schemas.openxmlformats.org/officeDocument/2006/relationships/hyperlink" Target="https://www.epa.gov/climateleadership/ghg-emission-factors-hub" TargetMode="External"/><Relationship Id="rId52" Type="http://schemas.openxmlformats.org/officeDocument/2006/relationships/hyperlink" Target="https://digitalcommons.unl.edu/usgsnpwrc/92" TargetMode="External"/><Relationship Id="rId73" Type="http://schemas.openxmlformats.org/officeDocument/2006/relationships/hyperlink" Target="https://greet.anl.gov/greet_excel_model.models" TargetMode="External"/><Relationship Id="rId78" Type="http://schemas.openxmlformats.org/officeDocument/2006/relationships/hyperlink" Target="https://www.epa.gov/climateleadership/ghg-emission-factors-hub" TargetMode="External"/><Relationship Id="rId94" Type="http://schemas.openxmlformats.org/officeDocument/2006/relationships/hyperlink" Target="https://www.epa.gov/ghgemissions/inventory-us-greenhouse-gas-emissions-and-sinks" TargetMode="External"/><Relationship Id="rId99" Type="http://schemas.openxmlformats.org/officeDocument/2006/relationships/hyperlink" Target="https://www2.calrecycle.ca.gov/Publications/Details/1184" TargetMode="External"/><Relationship Id="rId101" Type="http://schemas.openxmlformats.org/officeDocument/2006/relationships/hyperlink" Target="https://www.epa.gov/climateleadership/ghg-emission-factors-hub" TargetMode="External"/><Relationship Id="rId122" Type="http://schemas.openxmlformats.org/officeDocument/2006/relationships/hyperlink" Target="https://www.pca.state.mn.us/business-with-us/environmental-review" TargetMode="External"/><Relationship Id="rId4" Type="http://schemas.openxmlformats.org/officeDocument/2006/relationships/hyperlink" Target="https://oec.world/en/profile/bilateral-product/float-glass/reporter/usa" TargetMode="External"/><Relationship Id="rId9" Type="http://schemas.openxmlformats.org/officeDocument/2006/relationships/hyperlink" Target="https://www.nrmca.org/wp-content/uploads/2022/02/NRMCA_LCAReportV3-2_20220224.pdf" TargetMode="External"/><Relationship Id="rId26" Type="http://schemas.openxmlformats.org/officeDocument/2006/relationships/hyperlink" Target="https://greet.anl.gov/greet_excel_model.models" TargetMode="External"/><Relationship Id="rId47" Type="http://schemas.openxmlformats.org/officeDocument/2006/relationships/hyperlink" Target="https://www.usda.gov/about-usda/general-information/staff-offices/office-chief-economist/office-energy-and-environmental-policy/climate-change/greenhouse-gas-inventory-and-assessment-program/quantifying-greenhouse-gas-fluxes-methods-entity-scale-inventory" TargetMode="External"/><Relationship Id="rId68" Type="http://schemas.openxmlformats.org/officeDocument/2006/relationships/hyperlink" Target="https://www.eia.gov/consumption/commercial/data/2018/" TargetMode="External"/><Relationship Id="rId89" Type="http://schemas.openxmlformats.org/officeDocument/2006/relationships/hyperlink" Target="https://www.achrnews.com/articles/163729-equipment-prices-keep-rising-as-r-410a-inventory-decreases" TargetMode="External"/><Relationship Id="rId112" Type="http://schemas.openxmlformats.org/officeDocument/2006/relationships/hyperlink" Target="https://www.epa.gov/ghgemissions/inventory-us-greenhouse-gas-emissions-and-sinks" TargetMode="External"/><Relationship Id="rId133" Type="http://schemas.openxmlformats.org/officeDocument/2006/relationships/hyperlink" Target="https://greet.anl.gov/greet_excel_model.model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C7AA2-14EC-4F49-8D79-92843C10256A}" type="doc">
      <dgm:prSet loTypeId="urn:microsoft.com/office/officeart/2005/8/layout/process5" loCatId="process" qsTypeId="urn:microsoft.com/office/officeart/2005/8/quickstyle/simple1" qsCatId="simple" csTypeId="urn:microsoft.com/office/officeart/2005/8/colors/accent1_2" csCatId="accent1" phldr="1"/>
      <dgm:spPr/>
    </dgm:pt>
    <dgm:pt modelId="{363E85C0-FA23-4431-BE70-688B4854AAF4}">
      <dgm:prSet phldrT="[Text]" custT="1"/>
      <dgm:spPr>
        <a:solidFill>
          <a:srgbClr val="F5E1A4"/>
        </a:solidFill>
      </dgm:spPr>
      <dgm:t>
        <a:bodyPr/>
        <a:lstStyle/>
        <a:p>
          <a:r>
            <a:rPr lang="en-US" sz="1400" b="1">
              <a:solidFill>
                <a:schemeClr val="tx1"/>
              </a:solidFill>
            </a:rPr>
            <a:t>1</a:t>
          </a:r>
          <a:r>
            <a:rPr lang="en-US" sz="1000">
              <a:solidFill>
                <a:schemeClr val="tx1"/>
              </a:solidFill>
            </a:rPr>
            <a:t>. Fill out </a:t>
          </a:r>
          <a:r>
            <a:rPr lang="en-US" sz="1000" b="1">
              <a:solidFill>
                <a:schemeClr val="tx1"/>
              </a:solidFill>
            </a:rPr>
            <a:t>project background</a:t>
          </a:r>
          <a:r>
            <a:rPr lang="en-US" sz="1000">
              <a:solidFill>
                <a:schemeClr val="tx1"/>
              </a:solidFill>
            </a:rPr>
            <a:t> information and select applicable emission sources.</a:t>
          </a:r>
        </a:p>
      </dgm:t>
    </dgm:pt>
    <dgm:pt modelId="{BBF7885F-BFDE-49D8-9491-126A73CA9CF2}" type="parTrans" cxnId="{B6086AB7-0C8E-4254-B1B7-35B61FCF4BB2}">
      <dgm:prSet/>
      <dgm:spPr/>
      <dgm:t>
        <a:bodyPr/>
        <a:lstStyle/>
        <a:p>
          <a:endParaRPr lang="en-US" sz="2800"/>
        </a:p>
      </dgm:t>
    </dgm:pt>
    <dgm:pt modelId="{0439B286-A25B-47D2-8D53-5A791BD3AD8A}" type="sibTrans" cxnId="{B6086AB7-0C8E-4254-B1B7-35B61FCF4BB2}">
      <dgm:prSet custT="1"/>
      <dgm:spPr>
        <a:solidFill>
          <a:srgbClr val="003865"/>
        </a:solidFill>
      </dgm:spPr>
      <dgm:t>
        <a:bodyPr/>
        <a:lstStyle/>
        <a:p>
          <a:endParaRPr lang="en-US" sz="900"/>
        </a:p>
      </dgm:t>
    </dgm:pt>
    <dgm:pt modelId="{33925081-6874-4D43-B3D5-64C193FE6876}">
      <dgm:prSet phldrT="[Text]" custT="1"/>
      <dgm:spPr>
        <a:solidFill>
          <a:schemeClr val="accent3"/>
        </a:solidFill>
      </dgm:spPr>
      <dgm:t>
        <a:bodyPr/>
        <a:lstStyle/>
        <a:p>
          <a:r>
            <a:rPr lang="en-US" sz="1400" b="1"/>
            <a:t>5</a:t>
          </a:r>
          <a:r>
            <a:rPr lang="en-US" sz="1000"/>
            <a:t>. Identify and quantify potential </a:t>
          </a:r>
          <a:r>
            <a:rPr lang="en-US" sz="1000" b="1"/>
            <a:t>mitigation measures </a:t>
          </a:r>
          <a:r>
            <a:rPr lang="en-US" sz="1000"/>
            <a:t>to reduce GHG emissions from the proposed project.</a:t>
          </a:r>
        </a:p>
      </dgm:t>
    </dgm:pt>
    <dgm:pt modelId="{14CEFE28-A0C3-4889-A955-6242E216BAB9}" type="parTrans" cxnId="{5218160A-46B4-4494-9ED3-36A657B4D357}">
      <dgm:prSet/>
      <dgm:spPr/>
      <dgm:t>
        <a:bodyPr/>
        <a:lstStyle/>
        <a:p>
          <a:endParaRPr lang="en-US" sz="2800"/>
        </a:p>
      </dgm:t>
    </dgm:pt>
    <dgm:pt modelId="{41F2F424-B411-46AA-A54E-33FF2E0EFF2A}" type="sibTrans" cxnId="{5218160A-46B4-4494-9ED3-36A657B4D357}">
      <dgm:prSet custT="1"/>
      <dgm:spPr>
        <a:solidFill>
          <a:schemeClr val="accent1"/>
        </a:solidFill>
      </dgm:spPr>
      <dgm:t>
        <a:bodyPr/>
        <a:lstStyle/>
        <a:p>
          <a:endParaRPr lang="en-US" sz="900"/>
        </a:p>
      </dgm:t>
    </dgm:pt>
    <dgm:pt modelId="{7F241D71-D224-4B3C-910A-1A03DEB0C5E5}">
      <dgm:prSet phldrT="[Text]" custT="1"/>
      <dgm:spPr>
        <a:solidFill>
          <a:schemeClr val="accent3"/>
        </a:solidFill>
      </dgm:spPr>
      <dgm:t>
        <a:bodyPr/>
        <a:lstStyle/>
        <a:p>
          <a:r>
            <a:rPr lang="en-US" sz="1400" b="1"/>
            <a:t>6</a:t>
          </a:r>
          <a:r>
            <a:rPr lang="en-US" sz="1000"/>
            <a:t>. Select </a:t>
          </a:r>
          <a:r>
            <a:rPr lang="en-US" sz="1000" b="1"/>
            <a:t>adaptation strategies </a:t>
          </a:r>
          <a:r>
            <a:rPr lang="en-US" sz="1000"/>
            <a:t>that are relevant to applicable climate trends and project characteristics.</a:t>
          </a:r>
        </a:p>
      </dgm:t>
    </dgm:pt>
    <dgm:pt modelId="{85CE7812-4750-4C68-ADEA-7BCFF3746090}" type="parTrans" cxnId="{D6253602-7503-472F-965C-4FA0A24A937B}">
      <dgm:prSet/>
      <dgm:spPr/>
      <dgm:t>
        <a:bodyPr/>
        <a:lstStyle/>
        <a:p>
          <a:endParaRPr lang="en-US" sz="2800"/>
        </a:p>
      </dgm:t>
    </dgm:pt>
    <dgm:pt modelId="{61E61ED2-3166-4EC2-B88F-9D185AC367AF}" type="sibTrans" cxnId="{D6253602-7503-472F-965C-4FA0A24A937B}">
      <dgm:prSet/>
      <dgm:spPr/>
      <dgm:t>
        <a:bodyPr/>
        <a:lstStyle/>
        <a:p>
          <a:endParaRPr lang="en-US" sz="2800"/>
        </a:p>
      </dgm:t>
    </dgm:pt>
    <dgm:pt modelId="{BB373DA9-5B89-4FCE-A20B-9C24319EC972}">
      <dgm:prSet custT="1"/>
      <dgm:spPr>
        <a:solidFill>
          <a:srgbClr val="F5E1A4"/>
        </a:solidFill>
      </dgm:spPr>
      <dgm:t>
        <a:bodyPr/>
        <a:lstStyle/>
        <a:p>
          <a:r>
            <a:rPr lang="en-US" sz="1400" b="1">
              <a:solidFill>
                <a:schemeClr val="tx1"/>
              </a:solidFill>
            </a:rPr>
            <a:t>3</a:t>
          </a:r>
          <a:r>
            <a:rPr lang="en-US" sz="1000">
              <a:solidFill>
                <a:schemeClr val="tx1"/>
              </a:solidFill>
            </a:rPr>
            <a:t>. </a:t>
          </a:r>
          <a:r>
            <a:rPr lang="en-US" sz="1000" b="1">
              <a:solidFill>
                <a:schemeClr val="tx1"/>
              </a:solidFill>
            </a:rPr>
            <a:t>Document assumptions </a:t>
          </a:r>
          <a:r>
            <a:rPr lang="en-US" sz="1000">
              <a:solidFill>
                <a:schemeClr val="tx1"/>
              </a:solidFill>
            </a:rPr>
            <a:t>and notes that are specific to the project and user inputs.</a:t>
          </a:r>
        </a:p>
      </dgm:t>
    </dgm:pt>
    <dgm:pt modelId="{7056D8E1-7FD7-4572-A103-E68571E939BD}" type="parTrans" cxnId="{3A3E7EE4-D44E-4D16-91ED-0D5661C6B0C4}">
      <dgm:prSet/>
      <dgm:spPr/>
      <dgm:t>
        <a:bodyPr/>
        <a:lstStyle/>
        <a:p>
          <a:endParaRPr lang="en-US" sz="2800"/>
        </a:p>
      </dgm:t>
    </dgm:pt>
    <dgm:pt modelId="{3B73C3D2-5B85-460A-8C11-39340C5776B3}" type="sibTrans" cxnId="{3A3E7EE4-D44E-4D16-91ED-0D5661C6B0C4}">
      <dgm:prSet custT="1"/>
      <dgm:spPr>
        <a:solidFill>
          <a:schemeClr val="accent1"/>
        </a:solidFill>
      </dgm:spPr>
      <dgm:t>
        <a:bodyPr/>
        <a:lstStyle/>
        <a:p>
          <a:endParaRPr lang="en-US" sz="900"/>
        </a:p>
      </dgm:t>
    </dgm:pt>
    <dgm:pt modelId="{6D8DFC47-672A-4209-B052-C25870B0D5A4}">
      <dgm:prSet custT="1"/>
      <dgm:spPr>
        <a:solidFill>
          <a:srgbClr val="78BE21"/>
        </a:solidFill>
      </dgm:spPr>
      <dgm:t>
        <a:bodyPr/>
        <a:lstStyle/>
        <a:p>
          <a:r>
            <a:rPr lang="en-US" sz="1400" b="1"/>
            <a:t>4</a:t>
          </a:r>
          <a:r>
            <a:rPr lang="en-US" sz="1000"/>
            <a:t>. Review the </a:t>
          </a:r>
          <a:r>
            <a:rPr lang="en-US" sz="1000" b="1"/>
            <a:t>calculations and results</a:t>
          </a:r>
          <a:r>
            <a:rPr lang="en-US" sz="1000"/>
            <a:t>. If desired, generate a PDF summary report.</a:t>
          </a:r>
        </a:p>
      </dgm:t>
    </dgm:pt>
    <dgm:pt modelId="{FDA38848-603B-4F60-9C52-F9F9D9993B75}" type="parTrans" cxnId="{F3F105EF-C20C-4AFE-BE59-7847499A6E46}">
      <dgm:prSet/>
      <dgm:spPr/>
      <dgm:t>
        <a:bodyPr/>
        <a:lstStyle/>
        <a:p>
          <a:endParaRPr lang="en-US" sz="2800"/>
        </a:p>
      </dgm:t>
    </dgm:pt>
    <dgm:pt modelId="{ECB03944-BAA3-48AD-85E1-A43C61915EBB}" type="sibTrans" cxnId="{F3F105EF-C20C-4AFE-BE59-7847499A6E46}">
      <dgm:prSet custT="1"/>
      <dgm:spPr>
        <a:solidFill>
          <a:schemeClr val="accent1"/>
        </a:solidFill>
      </dgm:spPr>
      <dgm:t>
        <a:bodyPr/>
        <a:lstStyle/>
        <a:p>
          <a:endParaRPr lang="en-US" sz="900"/>
        </a:p>
      </dgm:t>
    </dgm:pt>
    <dgm:pt modelId="{994FE780-23C4-4E14-8515-0359FFB10F25}">
      <dgm:prSet custT="1"/>
      <dgm:spPr>
        <a:solidFill>
          <a:srgbClr val="F5E1A4"/>
        </a:solidFill>
      </dgm:spPr>
      <dgm:t>
        <a:bodyPr/>
        <a:lstStyle/>
        <a:p>
          <a:r>
            <a:rPr lang="en-US" sz="1400" b="1">
              <a:solidFill>
                <a:schemeClr val="tx1"/>
              </a:solidFill>
            </a:rPr>
            <a:t>2</a:t>
          </a:r>
          <a:r>
            <a:rPr lang="en-US" sz="1000">
              <a:solidFill>
                <a:schemeClr val="tx1"/>
              </a:solidFill>
            </a:rPr>
            <a:t>. </a:t>
          </a:r>
          <a:r>
            <a:rPr lang="en-US" sz="1000" b="1">
              <a:solidFill>
                <a:schemeClr val="tx1"/>
              </a:solidFill>
            </a:rPr>
            <a:t>Enter data </a:t>
          </a:r>
          <a:r>
            <a:rPr lang="en-US" sz="1000">
              <a:solidFill>
                <a:schemeClr val="tx1"/>
              </a:solidFill>
            </a:rPr>
            <a:t>or select defaults for emission sources applicable to their project</a:t>
          </a:r>
        </a:p>
      </dgm:t>
    </dgm:pt>
    <dgm:pt modelId="{103CA18F-F54E-4EC7-8353-D17BD23C2F76}" type="parTrans" cxnId="{05B372BF-0869-484F-92C7-17AA984A3EE6}">
      <dgm:prSet/>
      <dgm:spPr/>
      <dgm:t>
        <a:bodyPr/>
        <a:lstStyle/>
        <a:p>
          <a:endParaRPr lang="en-US" sz="2800"/>
        </a:p>
      </dgm:t>
    </dgm:pt>
    <dgm:pt modelId="{C208819D-654B-4F7D-B490-D13BF7264193}" type="sibTrans" cxnId="{05B372BF-0869-484F-92C7-17AA984A3EE6}">
      <dgm:prSet custT="1"/>
      <dgm:spPr>
        <a:solidFill>
          <a:schemeClr val="accent1"/>
        </a:solidFill>
      </dgm:spPr>
      <dgm:t>
        <a:bodyPr/>
        <a:lstStyle/>
        <a:p>
          <a:endParaRPr lang="en-US" sz="900"/>
        </a:p>
      </dgm:t>
    </dgm:pt>
    <dgm:pt modelId="{148E8223-3F4B-4937-A148-6331020A34CB}" type="pres">
      <dgm:prSet presAssocID="{957C7AA2-14EC-4F49-8D79-92843C10256A}" presName="diagram" presStyleCnt="0">
        <dgm:presLayoutVars>
          <dgm:dir/>
          <dgm:resizeHandles val="exact"/>
        </dgm:presLayoutVars>
      </dgm:prSet>
      <dgm:spPr/>
    </dgm:pt>
    <dgm:pt modelId="{7885804D-5E84-4C12-8F64-C1CBA2F7FC5B}" type="pres">
      <dgm:prSet presAssocID="{363E85C0-FA23-4431-BE70-688B4854AAF4}" presName="node" presStyleLbl="node1" presStyleIdx="0" presStyleCnt="6">
        <dgm:presLayoutVars>
          <dgm:bulletEnabled val="1"/>
        </dgm:presLayoutVars>
      </dgm:prSet>
      <dgm:spPr/>
    </dgm:pt>
    <dgm:pt modelId="{E295D984-DD58-44C0-B9F0-E29B707C7AC6}" type="pres">
      <dgm:prSet presAssocID="{0439B286-A25B-47D2-8D53-5A791BD3AD8A}" presName="sibTrans" presStyleLbl="sibTrans2D1" presStyleIdx="0" presStyleCnt="5"/>
      <dgm:spPr/>
    </dgm:pt>
    <dgm:pt modelId="{6F56E8A3-89A1-4430-A823-C4E46B8E2E85}" type="pres">
      <dgm:prSet presAssocID="{0439B286-A25B-47D2-8D53-5A791BD3AD8A}" presName="connectorText" presStyleLbl="sibTrans2D1" presStyleIdx="0" presStyleCnt="5"/>
      <dgm:spPr/>
    </dgm:pt>
    <dgm:pt modelId="{55795BD4-A531-4CCD-B62D-EDC0326E9AAC}" type="pres">
      <dgm:prSet presAssocID="{994FE780-23C4-4E14-8515-0359FFB10F25}" presName="node" presStyleLbl="node1" presStyleIdx="1" presStyleCnt="6">
        <dgm:presLayoutVars>
          <dgm:bulletEnabled val="1"/>
        </dgm:presLayoutVars>
      </dgm:prSet>
      <dgm:spPr/>
    </dgm:pt>
    <dgm:pt modelId="{178FB5C0-FEE9-4F88-8535-28410B0AC46F}" type="pres">
      <dgm:prSet presAssocID="{C208819D-654B-4F7D-B490-D13BF7264193}" presName="sibTrans" presStyleLbl="sibTrans2D1" presStyleIdx="1" presStyleCnt="5"/>
      <dgm:spPr/>
    </dgm:pt>
    <dgm:pt modelId="{7CDD080B-5BE8-4778-8CB9-6F7244CB82A4}" type="pres">
      <dgm:prSet presAssocID="{C208819D-654B-4F7D-B490-D13BF7264193}" presName="connectorText" presStyleLbl="sibTrans2D1" presStyleIdx="1" presStyleCnt="5"/>
      <dgm:spPr/>
    </dgm:pt>
    <dgm:pt modelId="{6D7191A4-3F40-45DA-B99A-26C158112B7F}" type="pres">
      <dgm:prSet presAssocID="{BB373DA9-5B89-4FCE-A20B-9C24319EC972}" presName="node" presStyleLbl="node1" presStyleIdx="2" presStyleCnt="6">
        <dgm:presLayoutVars>
          <dgm:bulletEnabled val="1"/>
        </dgm:presLayoutVars>
      </dgm:prSet>
      <dgm:spPr/>
    </dgm:pt>
    <dgm:pt modelId="{0252B284-9655-47DF-B85C-C440F1EC410C}" type="pres">
      <dgm:prSet presAssocID="{3B73C3D2-5B85-460A-8C11-39340C5776B3}" presName="sibTrans" presStyleLbl="sibTrans2D1" presStyleIdx="2" presStyleCnt="5"/>
      <dgm:spPr/>
    </dgm:pt>
    <dgm:pt modelId="{05410256-DD12-4469-B15F-DB8502F20DA5}" type="pres">
      <dgm:prSet presAssocID="{3B73C3D2-5B85-460A-8C11-39340C5776B3}" presName="connectorText" presStyleLbl="sibTrans2D1" presStyleIdx="2" presStyleCnt="5"/>
      <dgm:spPr/>
    </dgm:pt>
    <dgm:pt modelId="{C0149043-7D17-4040-AEAF-A623DE629AE2}" type="pres">
      <dgm:prSet presAssocID="{6D8DFC47-672A-4209-B052-C25870B0D5A4}" presName="node" presStyleLbl="node1" presStyleIdx="3" presStyleCnt="6">
        <dgm:presLayoutVars>
          <dgm:bulletEnabled val="1"/>
        </dgm:presLayoutVars>
      </dgm:prSet>
      <dgm:spPr/>
    </dgm:pt>
    <dgm:pt modelId="{9FD0E52F-8709-4D38-9DC7-052ECE97CB16}" type="pres">
      <dgm:prSet presAssocID="{ECB03944-BAA3-48AD-85E1-A43C61915EBB}" presName="sibTrans" presStyleLbl="sibTrans2D1" presStyleIdx="3" presStyleCnt="5"/>
      <dgm:spPr/>
    </dgm:pt>
    <dgm:pt modelId="{EA514677-C848-4811-B483-06B18BBB3742}" type="pres">
      <dgm:prSet presAssocID="{ECB03944-BAA3-48AD-85E1-A43C61915EBB}" presName="connectorText" presStyleLbl="sibTrans2D1" presStyleIdx="3" presStyleCnt="5"/>
      <dgm:spPr/>
    </dgm:pt>
    <dgm:pt modelId="{85E5ABAD-B5FC-4C0E-861B-72AF93A1E2BB}" type="pres">
      <dgm:prSet presAssocID="{33925081-6874-4D43-B3D5-64C193FE6876}" presName="node" presStyleLbl="node1" presStyleIdx="4" presStyleCnt="6">
        <dgm:presLayoutVars>
          <dgm:bulletEnabled val="1"/>
        </dgm:presLayoutVars>
      </dgm:prSet>
      <dgm:spPr/>
    </dgm:pt>
    <dgm:pt modelId="{5ECC8DAE-D0BF-4273-97A1-0449BF95A5D3}" type="pres">
      <dgm:prSet presAssocID="{41F2F424-B411-46AA-A54E-33FF2E0EFF2A}" presName="sibTrans" presStyleLbl="sibTrans2D1" presStyleIdx="4" presStyleCnt="5"/>
      <dgm:spPr/>
    </dgm:pt>
    <dgm:pt modelId="{57281FD4-9792-4765-9754-5A6C395BAA19}" type="pres">
      <dgm:prSet presAssocID="{41F2F424-B411-46AA-A54E-33FF2E0EFF2A}" presName="connectorText" presStyleLbl="sibTrans2D1" presStyleIdx="4" presStyleCnt="5"/>
      <dgm:spPr/>
    </dgm:pt>
    <dgm:pt modelId="{AF16FC23-BA38-4E78-9643-C1B3DFE31DAD}" type="pres">
      <dgm:prSet presAssocID="{7F241D71-D224-4B3C-910A-1A03DEB0C5E5}" presName="node" presStyleLbl="node1" presStyleIdx="5" presStyleCnt="6">
        <dgm:presLayoutVars>
          <dgm:bulletEnabled val="1"/>
        </dgm:presLayoutVars>
      </dgm:prSet>
      <dgm:spPr/>
    </dgm:pt>
  </dgm:ptLst>
  <dgm:cxnLst>
    <dgm:cxn modelId="{D6253602-7503-472F-965C-4FA0A24A937B}" srcId="{957C7AA2-14EC-4F49-8D79-92843C10256A}" destId="{7F241D71-D224-4B3C-910A-1A03DEB0C5E5}" srcOrd="5" destOrd="0" parTransId="{85CE7812-4750-4C68-ADEA-7BCFF3746090}" sibTransId="{61E61ED2-3166-4EC2-B88F-9D185AC367AF}"/>
    <dgm:cxn modelId="{5218160A-46B4-4494-9ED3-36A657B4D357}" srcId="{957C7AA2-14EC-4F49-8D79-92843C10256A}" destId="{33925081-6874-4D43-B3D5-64C193FE6876}" srcOrd="4" destOrd="0" parTransId="{14CEFE28-A0C3-4889-A955-6242E216BAB9}" sibTransId="{41F2F424-B411-46AA-A54E-33FF2E0EFF2A}"/>
    <dgm:cxn modelId="{5249FE11-9FC7-4661-AC2C-68E61B0B8BD8}" type="presOf" srcId="{C208819D-654B-4F7D-B490-D13BF7264193}" destId="{7CDD080B-5BE8-4778-8CB9-6F7244CB82A4}" srcOrd="1" destOrd="0" presId="urn:microsoft.com/office/officeart/2005/8/layout/process5"/>
    <dgm:cxn modelId="{D677231B-09B0-4133-8297-945E9D8F6EB5}" type="presOf" srcId="{ECB03944-BAA3-48AD-85E1-A43C61915EBB}" destId="{EA514677-C848-4811-B483-06B18BBB3742}" srcOrd="1" destOrd="0" presId="urn:microsoft.com/office/officeart/2005/8/layout/process5"/>
    <dgm:cxn modelId="{FE7D4D2F-7F04-4047-8F00-905038220447}" type="presOf" srcId="{957C7AA2-14EC-4F49-8D79-92843C10256A}" destId="{148E8223-3F4B-4937-A148-6331020A34CB}" srcOrd="0" destOrd="0" presId="urn:microsoft.com/office/officeart/2005/8/layout/process5"/>
    <dgm:cxn modelId="{0FC75937-2DB3-4A23-8321-298879615527}" type="presOf" srcId="{363E85C0-FA23-4431-BE70-688B4854AAF4}" destId="{7885804D-5E84-4C12-8F64-C1CBA2F7FC5B}" srcOrd="0" destOrd="0" presId="urn:microsoft.com/office/officeart/2005/8/layout/process5"/>
    <dgm:cxn modelId="{01505F40-AAAE-489A-8921-30D09FE39AD6}" type="presOf" srcId="{ECB03944-BAA3-48AD-85E1-A43C61915EBB}" destId="{9FD0E52F-8709-4D38-9DC7-052ECE97CB16}" srcOrd="0" destOrd="0" presId="urn:microsoft.com/office/officeart/2005/8/layout/process5"/>
    <dgm:cxn modelId="{19740544-29E6-4928-9BB7-154279D205BE}" type="presOf" srcId="{6D8DFC47-672A-4209-B052-C25870B0D5A4}" destId="{C0149043-7D17-4040-AEAF-A623DE629AE2}" srcOrd="0" destOrd="0" presId="urn:microsoft.com/office/officeart/2005/8/layout/process5"/>
    <dgm:cxn modelId="{252E7B65-8376-478C-BA1D-BB09C3333CBE}" type="presOf" srcId="{33925081-6874-4D43-B3D5-64C193FE6876}" destId="{85E5ABAD-B5FC-4C0E-861B-72AF93A1E2BB}" srcOrd="0" destOrd="0" presId="urn:microsoft.com/office/officeart/2005/8/layout/process5"/>
    <dgm:cxn modelId="{4F5F124A-A503-49AF-BA4C-A979939BAFDE}" type="presOf" srcId="{3B73C3D2-5B85-460A-8C11-39340C5776B3}" destId="{05410256-DD12-4469-B15F-DB8502F20DA5}" srcOrd="1" destOrd="0" presId="urn:microsoft.com/office/officeart/2005/8/layout/process5"/>
    <dgm:cxn modelId="{0AFF649A-70B5-4CDA-943A-D69FA7B5FB22}" type="presOf" srcId="{0439B286-A25B-47D2-8D53-5A791BD3AD8A}" destId="{6F56E8A3-89A1-4430-A823-C4E46B8E2E85}" srcOrd="1" destOrd="0" presId="urn:microsoft.com/office/officeart/2005/8/layout/process5"/>
    <dgm:cxn modelId="{C4A3D8A5-B8C0-4443-9EAA-DB386D20C1AD}" type="presOf" srcId="{3B73C3D2-5B85-460A-8C11-39340C5776B3}" destId="{0252B284-9655-47DF-B85C-C440F1EC410C}" srcOrd="0" destOrd="0" presId="urn:microsoft.com/office/officeart/2005/8/layout/process5"/>
    <dgm:cxn modelId="{2F84B3AE-BFC3-4006-B701-E754D6179C58}" type="presOf" srcId="{BB373DA9-5B89-4FCE-A20B-9C24319EC972}" destId="{6D7191A4-3F40-45DA-B99A-26C158112B7F}" srcOrd="0" destOrd="0" presId="urn:microsoft.com/office/officeart/2005/8/layout/process5"/>
    <dgm:cxn modelId="{B6086AB7-0C8E-4254-B1B7-35B61FCF4BB2}" srcId="{957C7AA2-14EC-4F49-8D79-92843C10256A}" destId="{363E85C0-FA23-4431-BE70-688B4854AAF4}" srcOrd="0" destOrd="0" parTransId="{BBF7885F-BFDE-49D8-9491-126A73CA9CF2}" sibTransId="{0439B286-A25B-47D2-8D53-5A791BD3AD8A}"/>
    <dgm:cxn modelId="{05B372BF-0869-484F-92C7-17AA984A3EE6}" srcId="{957C7AA2-14EC-4F49-8D79-92843C10256A}" destId="{994FE780-23C4-4E14-8515-0359FFB10F25}" srcOrd="1" destOrd="0" parTransId="{103CA18F-F54E-4EC7-8353-D17BD23C2F76}" sibTransId="{C208819D-654B-4F7D-B490-D13BF7264193}"/>
    <dgm:cxn modelId="{AF50B5C9-7B76-4372-8E83-15DA3CEB38C4}" type="presOf" srcId="{0439B286-A25B-47D2-8D53-5A791BD3AD8A}" destId="{E295D984-DD58-44C0-B9F0-E29B707C7AC6}" srcOrd="0" destOrd="0" presId="urn:microsoft.com/office/officeart/2005/8/layout/process5"/>
    <dgm:cxn modelId="{EB76A1DC-D96C-4BB5-8733-4AD5161E7C59}" type="presOf" srcId="{7F241D71-D224-4B3C-910A-1A03DEB0C5E5}" destId="{AF16FC23-BA38-4E78-9643-C1B3DFE31DAD}" srcOrd="0" destOrd="0" presId="urn:microsoft.com/office/officeart/2005/8/layout/process5"/>
    <dgm:cxn modelId="{3A3E7EE4-D44E-4D16-91ED-0D5661C6B0C4}" srcId="{957C7AA2-14EC-4F49-8D79-92843C10256A}" destId="{BB373DA9-5B89-4FCE-A20B-9C24319EC972}" srcOrd="2" destOrd="0" parTransId="{7056D8E1-7FD7-4572-A103-E68571E939BD}" sibTransId="{3B73C3D2-5B85-460A-8C11-39340C5776B3}"/>
    <dgm:cxn modelId="{782516EA-9C48-42DA-96D5-5909261F6686}" type="presOf" srcId="{C208819D-654B-4F7D-B490-D13BF7264193}" destId="{178FB5C0-FEE9-4F88-8535-28410B0AC46F}" srcOrd="0" destOrd="0" presId="urn:microsoft.com/office/officeart/2005/8/layout/process5"/>
    <dgm:cxn modelId="{D969D5ED-BC93-475D-91E0-1441918D0804}" type="presOf" srcId="{41F2F424-B411-46AA-A54E-33FF2E0EFF2A}" destId="{5ECC8DAE-D0BF-4273-97A1-0449BF95A5D3}" srcOrd="0" destOrd="0" presId="urn:microsoft.com/office/officeart/2005/8/layout/process5"/>
    <dgm:cxn modelId="{F3F105EF-C20C-4AFE-BE59-7847499A6E46}" srcId="{957C7AA2-14EC-4F49-8D79-92843C10256A}" destId="{6D8DFC47-672A-4209-B052-C25870B0D5A4}" srcOrd="3" destOrd="0" parTransId="{FDA38848-603B-4F60-9C52-F9F9D9993B75}" sibTransId="{ECB03944-BAA3-48AD-85E1-A43C61915EBB}"/>
    <dgm:cxn modelId="{58E70AF4-B809-467F-89E9-63587C28FDF6}" type="presOf" srcId="{994FE780-23C4-4E14-8515-0359FFB10F25}" destId="{55795BD4-A531-4CCD-B62D-EDC0326E9AAC}" srcOrd="0" destOrd="0" presId="urn:microsoft.com/office/officeart/2005/8/layout/process5"/>
    <dgm:cxn modelId="{6D5F98FD-8322-42C3-A968-8FEBD461651D}" type="presOf" srcId="{41F2F424-B411-46AA-A54E-33FF2E0EFF2A}" destId="{57281FD4-9792-4765-9754-5A6C395BAA19}" srcOrd="1" destOrd="0" presId="urn:microsoft.com/office/officeart/2005/8/layout/process5"/>
    <dgm:cxn modelId="{1863578C-1BA0-44B9-AFEA-6A9879801E55}" type="presParOf" srcId="{148E8223-3F4B-4937-A148-6331020A34CB}" destId="{7885804D-5E84-4C12-8F64-C1CBA2F7FC5B}" srcOrd="0" destOrd="0" presId="urn:microsoft.com/office/officeart/2005/8/layout/process5"/>
    <dgm:cxn modelId="{5C4E4CDA-7C62-429E-9F3D-0EA75E0160AA}" type="presParOf" srcId="{148E8223-3F4B-4937-A148-6331020A34CB}" destId="{E295D984-DD58-44C0-B9F0-E29B707C7AC6}" srcOrd="1" destOrd="0" presId="urn:microsoft.com/office/officeart/2005/8/layout/process5"/>
    <dgm:cxn modelId="{3A25E1C0-5760-4479-98AB-7A6523233674}" type="presParOf" srcId="{E295D984-DD58-44C0-B9F0-E29B707C7AC6}" destId="{6F56E8A3-89A1-4430-A823-C4E46B8E2E85}" srcOrd="0" destOrd="0" presId="urn:microsoft.com/office/officeart/2005/8/layout/process5"/>
    <dgm:cxn modelId="{C2C0622D-EE64-4811-8AFA-89476CF41AB5}" type="presParOf" srcId="{148E8223-3F4B-4937-A148-6331020A34CB}" destId="{55795BD4-A531-4CCD-B62D-EDC0326E9AAC}" srcOrd="2" destOrd="0" presId="urn:microsoft.com/office/officeart/2005/8/layout/process5"/>
    <dgm:cxn modelId="{E9B7A2E9-57DB-4579-9749-9F5D6A02DA25}" type="presParOf" srcId="{148E8223-3F4B-4937-A148-6331020A34CB}" destId="{178FB5C0-FEE9-4F88-8535-28410B0AC46F}" srcOrd="3" destOrd="0" presId="urn:microsoft.com/office/officeart/2005/8/layout/process5"/>
    <dgm:cxn modelId="{8BD3DFB1-9359-41F2-A3C2-FD8C716FDF7E}" type="presParOf" srcId="{178FB5C0-FEE9-4F88-8535-28410B0AC46F}" destId="{7CDD080B-5BE8-4778-8CB9-6F7244CB82A4}" srcOrd="0" destOrd="0" presId="urn:microsoft.com/office/officeart/2005/8/layout/process5"/>
    <dgm:cxn modelId="{82A88B96-6D57-4D82-97DD-C774253F1281}" type="presParOf" srcId="{148E8223-3F4B-4937-A148-6331020A34CB}" destId="{6D7191A4-3F40-45DA-B99A-26C158112B7F}" srcOrd="4" destOrd="0" presId="urn:microsoft.com/office/officeart/2005/8/layout/process5"/>
    <dgm:cxn modelId="{20BE55FA-2BF6-4F53-9868-AD0133CC8CB3}" type="presParOf" srcId="{148E8223-3F4B-4937-A148-6331020A34CB}" destId="{0252B284-9655-47DF-B85C-C440F1EC410C}" srcOrd="5" destOrd="0" presId="urn:microsoft.com/office/officeart/2005/8/layout/process5"/>
    <dgm:cxn modelId="{33538B52-CFB9-488E-AC60-915DCE41D5EB}" type="presParOf" srcId="{0252B284-9655-47DF-B85C-C440F1EC410C}" destId="{05410256-DD12-4469-B15F-DB8502F20DA5}" srcOrd="0" destOrd="0" presId="urn:microsoft.com/office/officeart/2005/8/layout/process5"/>
    <dgm:cxn modelId="{CF6D9F15-9530-432A-949F-BE7DD0F913E4}" type="presParOf" srcId="{148E8223-3F4B-4937-A148-6331020A34CB}" destId="{C0149043-7D17-4040-AEAF-A623DE629AE2}" srcOrd="6" destOrd="0" presId="urn:microsoft.com/office/officeart/2005/8/layout/process5"/>
    <dgm:cxn modelId="{DCCAA9AA-0697-4940-89B9-FDC74FD0E954}" type="presParOf" srcId="{148E8223-3F4B-4937-A148-6331020A34CB}" destId="{9FD0E52F-8709-4D38-9DC7-052ECE97CB16}" srcOrd="7" destOrd="0" presId="urn:microsoft.com/office/officeart/2005/8/layout/process5"/>
    <dgm:cxn modelId="{AE2C6F70-EFA3-4640-A074-E6AD3073B220}" type="presParOf" srcId="{9FD0E52F-8709-4D38-9DC7-052ECE97CB16}" destId="{EA514677-C848-4811-B483-06B18BBB3742}" srcOrd="0" destOrd="0" presId="urn:microsoft.com/office/officeart/2005/8/layout/process5"/>
    <dgm:cxn modelId="{677C297E-C01E-442E-8D73-92C41296E51C}" type="presParOf" srcId="{148E8223-3F4B-4937-A148-6331020A34CB}" destId="{85E5ABAD-B5FC-4C0E-861B-72AF93A1E2BB}" srcOrd="8" destOrd="0" presId="urn:microsoft.com/office/officeart/2005/8/layout/process5"/>
    <dgm:cxn modelId="{7FB4C987-4192-433A-AA7D-6EEE6C996C98}" type="presParOf" srcId="{148E8223-3F4B-4937-A148-6331020A34CB}" destId="{5ECC8DAE-D0BF-4273-97A1-0449BF95A5D3}" srcOrd="9" destOrd="0" presId="urn:microsoft.com/office/officeart/2005/8/layout/process5"/>
    <dgm:cxn modelId="{310B2247-DF48-4341-800F-3F15B1BFFD12}" type="presParOf" srcId="{5ECC8DAE-D0BF-4273-97A1-0449BF95A5D3}" destId="{57281FD4-9792-4765-9754-5A6C395BAA19}" srcOrd="0" destOrd="0" presId="urn:microsoft.com/office/officeart/2005/8/layout/process5"/>
    <dgm:cxn modelId="{4FD9788F-99DC-40A7-A129-354EAFD08CF5}" type="presParOf" srcId="{148E8223-3F4B-4937-A148-6331020A34CB}" destId="{AF16FC23-BA38-4E78-9643-C1B3DFE31DAD}" srcOrd="10" destOrd="0" presId="urn:microsoft.com/office/officeart/2005/8/layout/process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5804D-5E84-4C12-8F64-C1CBA2F7FC5B}">
      <dsp:nvSpPr>
        <dsp:cNvPr id="0" name=""/>
        <dsp:cNvSpPr/>
      </dsp:nvSpPr>
      <dsp:spPr>
        <a:xfrm>
          <a:off x="258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1</a:t>
          </a:r>
          <a:r>
            <a:rPr lang="en-US" sz="1000" kern="1200">
              <a:solidFill>
                <a:schemeClr val="tx1"/>
              </a:solidFill>
            </a:rPr>
            <a:t>. Fill out </a:t>
          </a:r>
          <a:r>
            <a:rPr lang="en-US" sz="1000" b="1" kern="1200">
              <a:solidFill>
                <a:schemeClr val="tx1"/>
              </a:solidFill>
            </a:rPr>
            <a:t>project background</a:t>
          </a:r>
          <a:r>
            <a:rPr lang="en-US" sz="1000" kern="1200">
              <a:solidFill>
                <a:schemeClr val="tx1"/>
              </a:solidFill>
            </a:rPr>
            <a:t> information and select applicable emission sources.</a:t>
          </a:r>
        </a:p>
      </dsp:txBody>
      <dsp:txXfrm>
        <a:off x="283963" y="25806"/>
        <a:ext cx="1377673" cy="806530"/>
      </dsp:txXfrm>
    </dsp:sp>
    <dsp:sp modelId="{E295D984-DD58-44C0-B9F0-E29B707C7AC6}">
      <dsp:nvSpPr>
        <dsp:cNvPr id="0" name=""/>
        <dsp:cNvSpPr/>
      </dsp:nvSpPr>
      <dsp:spPr>
        <a:xfrm>
          <a:off x="1812380" y="252017"/>
          <a:ext cx="302705" cy="354108"/>
        </a:xfrm>
        <a:prstGeom prst="rightArrow">
          <a:avLst>
            <a:gd name="adj1" fmla="val 60000"/>
            <a:gd name="adj2" fmla="val 50000"/>
          </a:avLst>
        </a:prstGeom>
        <a:solidFill>
          <a:srgbClr val="00386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812380" y="322839"/>
        <a:ext cx="211894" cy="212464"/>
      </dsp:txXfrm>
    </dsp:sp>
    <dsp:sp modelId="{55795BD4-A531-4CCD-B62D-EDC0326E9AAC}">
      <dsp:nvSpPr>
        <dsp:cNvPr id="0" name=""/>
        <dsp:cNvSpPr/>
      </dsp:nvSpPr>
      <dsp:spPr>
        <a:xfrm>
          <a:off x="2257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2</a:t>
          </a:r>
          <a:r>
            <a:rPr lang="en-US" sz="1000" kern="1200">
              <a:solidFill>
                <a:schemeClr val="tx1"/>
              </a:solidFill>
            </a:rPr>
            <a:t>. </a:t>
          </a:r>
          <a:r>
            <a:rPr lang="en-US" sz="1000" b="1" kern="1200">
              <a:solidFill>
                <a:schemeClr val="tx1"/>
              </a:solidFill>
            </a:rPr>
            <a:t>Enter data </a:t>
          </a:r>
          <a:r>
            <a:rPr lang="en-US" sz="1000" kern="1200">
              <a:solidFill>
                <a:schemeClr val="tx1"/>
              </a:solidFill>
            </a:rPr>
            <a:t>or select defaults for emission sources applicable to their project</a:t>
          </a:r>
        </a:p>
      </dsp:txBody>
      <dsp:txXfrm>
        <a:off x="2282963" y="25806"/>
        <a:ext cx="1377673" cy="806530"/>
      </dsp:txXfrm>
    </dsp:sp>
    <dsp:sp modelId="{178FB5C0-FEE9-4F88-8535-28410B0AC46F}">
      <dsp:nvSpPr>
        <dsp:cNvPr id="0" name=""/>
        <dsp:cNvSpPr/>
      </dsp:nvSpPr>
      <dsp:spPr>
        <a:xfrm>
          <a:off x="3811379" y="252017"/>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11379" y="322839"/>
        <a:ext cx="211894" cy="212464"/>
      </dsp:txXfrm>
    </dsp:sp>
    <dsp:sp modelId="{6D7191A4-3F40-45DA-B99A-26C158112B7F}">
      <dsp:nvSpPr>
        <dsp:cNvPr id="0" name=""/>
        <dsp:cNvSpPr/>
      </dsp:nvSpPr>
      <dsp:spPr>
        <a:xfrm>
          <a:off x="4256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3</a:t>
          </a:r>
          <a:r>
            <a:rPr lang="en-US" sz="1000" kern="1200">
              <a:solidFill>
                <a:schemeClr val="tx1"/>
              </a:solidFill>
            </a:rPr>
            <a:t>. </a:t>
          </a:r>
          <a:r>
            <a:rPr lang="en-US" sz="1000" b="1" kern="1200">
              <a:solidFill>
                <a:schemeClr val="tx1"/>
              </a:solidFill>
            </a:rPr>
            <a:t>Document assumptions </a:t>
          </a:r>
          <a:r>
            <a:rPr lang="en-US" sz="1000" kern="1200">
              <a:solidFill>
                <a:schemeClr val="tx1"/>
              </a:solidFill>
            </a:rPr>
            <a:t>and notes that are specific to the project and user inputs.</a:t>
          </a:r>
        </a:p>
      </dsp:txBody>
      <dsp:txXfrm>
        <a:off x="4281963" y="25806"/>
        <a:ext cx="1377673" cy="806530"/>
      </dsp:txXfrm>
    </dsp:sp>
    <dsp:sp modelId="{0252B284-9655-47DF-B85C-C440F1EC410C}">
      <dsp:nvSpPr>
        <dsp:cNvPr id="0" name=""/>
        <dsp:cNvSpPr/>
      </dsp:nvSpPr>
      <dsp:spPr>
        <a:xfrm rot="5400000">
          <a:off x="4819446" y="957378"/>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4864567" y="983080"/>
        <a:ext cx="212464" cy="211894"/>
      </dsp:txXfrm>
    </dsp:sp>
    <dsp:sp modelId="{C0149043-7D17-4040-AEAF-A623DE629AE2}">
      <dsp:nvSpPr>
        <dsp:cNvPr id="0" name=""/>
        <dsp:cNvSpPr/>
      </dsp:nvSpPr>
      <dsp:spPr>
        <a:xfrm>
          <a:off x="4256871" y="1428571"/>
          <a:ext cx="1427857" cy="856714"/>
        </a:xfrm>
        <a:prstGeom prst="roundRect">
          <a:avLst>
            <a:gd name="adj" fmla="val 10000"/>
          </a:avLst>
        </a:prstGeom>
        <a:solidFill>
          <a:srgbClr val="78BE21"/>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4</a:t>
          </a:r>
          <a:r>
            <a:rPr lang="en-US" sz="1000" kern="1200"/>
            <a:t>. Review the </a:t>
          </a:r>
          <a:r>
            <a:rPr lang="en-US" sz="1000" b="1" kern="1200"/>
            <a:t>calculations and results</a:t>
          </a:r>
          <a:r>
            <a:rPr lang="en-US" sz="1000" kern="1200"/>
            <a:t>. If desired, generate a PDF summary report.</a:t>
          </a:r>
        </a:p>
      </dsp:txBody>
      <dsp:txXfrm>
        <a:off x="4281963" y="1453663"/>
        <a:ext cx="1377673" cy="806530"/>
      </dsp:txXfrm>
    </dsp:sp>
    <dsp:sp modelId="{9FD0E52F-8709-4D38-9DC7-052ECE97CB16}">
      <dsp:nvSpPr>
        <dsp:cNvPr id="0" name=""/>
        <dsp:cNvSpPr/>
      </dsp:nvSpPr>
      <dsp:spPr>
        <a:xfrm rot="10800000">
          <a:off x="3828514" y="1679874"/>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3919325" y="1750696"/>
        <a:ext cx="211894" cy="212464"/>
      </dsp:txXfrm>
    </dsp:sp>
    <dsp:sp modelId="{85E5ABAD-B5FC-4C0E-861B-72AF93A1E2BB}">
      <dsp:nvSpPr>
        <dsp:cNvPr id="0" name=""/>
        <dsp:cNvSpPr/>
      </dsp:nvSpPr>
      <dsp:spPr>
        <a:xfrm>
          <a:off x="2257871" y="1428571"/>
          <a:ext cx="1427857" cy="856714"/>
        </a:xfrm>
        <a:prstGeom prst="roundRect">
          <a:avLst>
            <a:gd name="adj" fmla="val 10000"/>
          </a:avLst>
        </a:prstGeom>
        <a:solidFill>
          <a:schemeClr val="accent3"/>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5</a:t>
          </a:r>
          <a:r>
            <a:rPr lang="en-US" sz="1000" kern="1200"/>
            <a:t>. Identify and quantify potential </a:t>
          </a:r>
          <a:r>
            <a:rPr lang="en-US" sz="1000" b="1" kern="1200"/>
            <a:t>mitigation measures </a:t>
          </a:r>
          <a:r>
            <a:rPr lang="en-US" sz="1000" kern="1200"/>
            <a:t>to reduce GHG emissions from the proposed project.</a:t>
          </a:r>
        </a:p>
      </dsp:txBody>
      <dsp:txXfrm>
        <a:off x="2282963" y="1453663"/>
        <a:ext cx="1377673" cy="806530"/>
      </dsp:txXfrm>
    </dsp:sp>
    <dsp:sp modelId="{5ECC8DAE-D0BF-4273-97A1-0449BF95A5D3}">
      <dsp:nvSpPr>
        <dsp:cNvPr id="0" name=""/>
        <dsp:cNvSpPr/>
      </dsp:nvSpPr>
      <dsp:spPr>
        <a:xfrm rot="10800000">
          <a:off x="1829514" y="1679874"/>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920325" y="1750696"/>
        <a:ext cx="211894" cy="212464"/>
      </dsp:txXfrm>
    </dsp:sp>
    <dsp:sp modelId="{AF16FC23-BA38-4E78-9643-C1B3DFE31DAD}">
      <dsp:nvSpPr>
        <dsp:cNvPr id="0" name=""/>
        <dsp:cNvSpPr/>
      </dsp:nvSpPr>
      <dsp:spPr>
        <a:xfrm>
          <a:off x="258871" y="1428571"/>
          <a:ext cx="1427857" cy="856714"/>
        </a:xfrm>
        <a:prstGeom prst="roundRect">
          <a:avLst>
            <a:gd name="adj" fmla="val 10000"/>
          </a:avLst>
        </a:prstGeom>
        <a:solidFill>
          <a:schemeClr val="accent3"/>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6</a:t>
          </a:r>
          <a:r>
            <a:rPr lang="en-US" sz="1000" kern="1200"/>
            <a:t>. Select </a:t>
          </a:r>
          <a:r>
            <a:rPr lang="en-US" sz="1000" b="1" kern="1200"/>
            <a:t>adaptation strategies </a:t>
          </a:r>
          <a:r>
            <a:rPr lang="en-US" sz="1000" kern="1200"/>
            <a:t>that are relevant to applicable climate trends and project characteristics.</a:t>
          </a:r>
        </a:p>
      </dsp:txBody>
      <dsp:txXfrm>
        <a:off x="283963" y="1453663"/>
        <a:ext cx="1377673" cy="8065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E486957C2742148E0E20238416EB14"/>
        <w:category>
          <w:name w:val="General"/>
          <w:gallery w:val="placeholder"/>
        </w:category>
        <w:types>
          <w:type w:val="bbPlcHdr"/>
        </w:types>
        <w:behaviors>
          <w:behavior w:val="content"/>
        </w:behaviors>
        <w:guid w:val="{D5F18D94-5EB5-405E-BA8A-156BD0D81F34}"/>
      </w:docPartPr>
      <w:docPartBody>
        <w:p w:rsidR="00AC5042" w:rsidRDefault="00D025DE">
          <w:pPr>
            <w:pStyle w:val="F5E486957C2742148E0E20238416EB14"/>
          </w:pPr>
          <w:r w:rsidRPr="00FC350E">
            <w:rPr>
              <w:rStyle w:val="PlaceholderText"/>
            </w:rPr>
            <w:t>[Title]</w:t>
          </w:r>
        </w:p>
      </w:docPartBody>
    </w:docPart>
    <w:docPart>
      <w:docPartPr>
        <w:name w:val="B90FC4E7326E43ED8B9D6B2C0C4922BF"/>
        <w:category>
          <w:name w:val="General"/>
          <w:gallery w:val="placeholder"/>
        </w:category>
        <w:types>
          <w:type w:val="bbPlcHdr"/>
        </w:types>
        <w:behaviors>
          <w:behavior w:val="content"/>
        </w:behaviors>
        <w:guid w:val="{8A52E12E-6CA9-4C80-8E2B-85D947D04644}"/>
      </w:docPartPr>
      <w:docPartBody>
        <w:p w:rsidR="00566746" w:rsidRDefault="00B70365" w:rsidP="00B70365">
          <w:pPr>
            <w:pStyle w:val="B90FC4E7326E43ED8B9D6B2C0C4922BF"/>
          </w:pPr>
          <w:r w:rsidRPr="00FC350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DM Sans">
    <w:panose1 w:val="00000000000000000000"/>
    <w:charset w:val="00"/>
    <w:family w:val="auto"/>
    <w:pitch w:val="variable"/>
    <w:sig w:usb0="8000002F" w:usb1="4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42"/>
    <w:rsid w:val="00030403"/>
    <w:rsid w:val="000D521F"/>
    <w:rsid w:val="000E2102"/>
    <w:rsid w:val="000E4025"/>
    <w:rsid w:val="000F69F1"/>
    <w:rsid w:val="0015178F"/>
    <w:rsid w:val="0015227F"/>
    <w:rsid w:val="00194F26"/>
    <w:rsid w:val="0019674C"/>
    <w:rsid w:val="0021181E"/>
    <w:rsid w:val="002164F4"/>
    <w:rsid w:val="0022412E"/>
    <w:rsid w:val="00286E1E"/>
    <w:rsid w:val="002B4F4C"/>
    <w:rsid w:val="002B70FE"/>
    <w:rsid w:val="002C0760"/>
    <w:rsid w:val="00300BA2"/>
    <w:rsid w:val="00312D9B"/>
    <w:rsid w:val="00375EB5"/>
    <w:rsid w:val="004021EE"/>
    <w:rsid w:val="00410D41"/>
    <w:rsid w:val="00432B5B"/>
    <w:rsid w:val="00444D2C"/>
    <w:rsid w:val="0047258A"/>
    <w:rsid w:val="0047408D"/>
    <w:rsid w:val="004A7FF3"/>
    <w:rsid w:val="004C447A"/>
    <w:rsid w:val="004C4C95"/>
    <w:rsid w:val="004D4704"/>
    <w:rsid w:val="004D5362"/>
    <w:rsid w:val="004E6390"/>
    <w:rsid w:val="004F1C1E"/>
    <w:rsid w:val="004F3300"/>
    <w:rsid w:val="00526D66"/>
    <w:rsid w:val="00550EBF"/>
    <w:rsid w:val="00566746"/>
    <w:rsid w:val="00574F65"/>
    <w:rsid w:val="005B3DE4"/>
    <w:rsid w:val="005C682D"/>
    <w:rsid w:val="005D15B7"/>
    <w:rsid w:val="006028CD"/>
    <w:rsid w:val="006206AD"/>
    <w:rsid w:val="00633852"/>
    <w:rsid w:val="00666EE4"/>
    <w:rsid w:val="0068095B"/>
    <w:rsid w:val="00694DC7"/>
    <w:rsid w:val="0069581C"/>
    <w:rsid w:val="006A1BB2"/>
    <w:rsid w:val="006A4458"/>
    <w:rsid w:val="006D09DD"/>
    <w:rsid w:val="00716BE7"/>
    <w:rsid w:val="0076360E"/>
    <w:rsid w:val="007732F3"/>
    <w:rsid w:val="007A14A8"/>
    <w:rsid w:val="007E4D5A"/>
    <w:rsid w:val="007F3979"/>
    <w:rsid w:val="00833858"/>
    <w:rsid w:val="00881F73"/>
    <w:rsid w:val="00890BD7"/>
    <w:rsid w:val="008A0CA0"/>
    <w:rsid w:val="008A3DAA"/>
    <w:rsid w:val="008B728C"/>
    <w:rsid w:val="008C7F03"/>
    <w:rsid w:val="008D424D"/>
    <w:rsid w:val="008D79BC"/>
    <w:rsid w:val="008F51E1"/>
    <w:rsid w:val="00923659"/>
    <w:rsid w:val="009262FC"/>
    <w:rsid w:val="00953E91"/>
    <w:rsid w:val="00955EC5"/>
    <w:rsid w:val="009A72E9"/>
    <w:rsid w:val="009B094F"/>
    <w:rsid w:val="009F4CDF"/>
    <w:rsid w:val="00A114C1"/>
    <w:rsid w:val="00A639DD"/>
    <w:rsid w:val="00A7406A"/>
    <w:rsid w:val="00A75C62"/>
    <w:rsid w:val="00A96144"/>
    <w:rsid w:val="00AB1FBE"/>
    <w:rsid w:val="00AC5042"/>
    <w:rsid w:val="00AD0EA1"/>
    <w:rsid w:val="00B01045"/>
    <w:rsid w:val="00B118C3"/>
    <w:rsid w:val="00B13D38"/>
    <w:rsid w:val="00B167CA"/>
    <w:rsid w:val="00B6074C"/>
    <w:rsid w:val="00B70365"/>
    <w:rsid w:val="00B83B3C"/>
    <w:rsid w:val="00BB3DF2"/>
    <w:rsid w:val="00BB705D"/>
    <w:rsid w:val="00C023D4"/>
    <w:rsid w:val="00C34B4A"/>
    <w:rsid w:val="00C45E81"/>
    <w:rsid w:val="00CA46F4"/>
    <w:rsid w:val="00D025DE"/>
    <w:rsid w:val="00D04062"/>
    <w:rsid w:val="00D16606"/>
    <w:rsid w:val="00D228C1"/>
    <w:rsid w:val="00D235CD"/>
    <w:rsid w:val="00D25570"/>
    <w:rsid w:val="00D51C34"/>
    <w:rsid w:val="00D73365"/>
    <w:rsid w:val="00D74FA3"/>
    <w:rsid w:val="00DA4D32"/>
    <w:rsid w:val="00DB6F7C"/>
    <w:rsid w:val="00DC2D72"/>
    <w:rsid w:val="00DF6907"/>
    <w:rsid w:val="00E43A3E"/>
    <w:rsid w:val="00E61E26"/>
    <w:rsid w:val="00E665C8"/>
    <w:rsid w:val="00EA4E49"/>
    <w:rsid w:val="00EE7356"/>
    <w:rsid w:val="00F272A7"/>
    <w:rsid w:val="00F42ABC"/>
    <w:rsid w:val="00F52791"/>
    <w:rsid w:val="00FD5856"/>
    <w:rsid w:val="00FD6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365"/>
    <w:rPr>
      <w:color w:val="808080"/>
    </w:rPr>
  </w:style>
  <w:style w:type="paragraph" w:customStyle="1" w:styleId="F5E486957C2742148E0E20238416EB14">
    <w:name w:val="F5E486957C2742148E0E20238416EB14"/>
  </w:style>
  <w:style w:type="paragraph" w:customStyle="1" w:styleId="B90FC4E7326E43ED8B9D6B2C0C4922BF">
    <w:name w:val="B90FC4E7326E43ED8B9D6B2C0C4922BF"/>
    <w:rsid w:val="00B7036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B17B8890CBF3468E001E673C91A8C9" ma:contentTypeVersion="13" ma:contentTypeDescription="Create a new document." ma:contentTypeScope="" ma:versionID="dcc8b8ad25898fd62ee797a7c87e5853">
  <xsd:schema xmlns:xsd="http://www.w3.org/2001/XMLSchema" xmlns:xs="http://www.w3.org/2001/XMLSchema" xmlns:p="http://schemas.microsoft.com/office/2006/metadata/properties" xmlns:ns2="5d1573b4-ce0e-4605-8698-c9521dedb568" xmlns:ns3="b4b5c709-79c4-41c4-9b6a-48b43c7167fe" targetNamespace="http://schemas.microsoft.com/office/2006/metadata/properties" ma:root="true" ma:fieldsID="34fb0e38db3299caaa77a9fb91c830ef" ns2:_="" ns3:_="">
    <xsd:import namespace="5d1573b4-ce0e-4605-8698-c9521dedb568"/>
    <xsd:import namespace="b4b5c709-79c4-41c4-9b6a-48b43c7167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573b4-ce0e-4605-8698-c9521dedb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5c709-79c4-41c4-9b6a-48b43c7167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65933b-156e-40fa-8607-10115cedf0de}" ma:internalName="TaxCatchAll" ma:showField="CatchAllData" ma:web="b4b5c709-79c4-41c4-9b6a-48b43c716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4b5c709-79c4-41c4-9b6a-48b43c7167fe" xsi:nil="true"/>
    <lcf76f155ced4ddcb4097134ff3c332f xmlns="5d1573b4-ce0e-4605-8698-c9521dedb5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customXml/itemProps2.xml><?xml version="1.0" encoding="utf-8"?>
<ds:datastoreItem xmlns:ds="http://schemas.openxmlformats.org/officeDocument/2006/customXml" ds:itemID="{E71A01E6-4291-4B5B-85E5-56AF9DCA5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573b4-ce0e-4605-8698-c9521dedb568"/>
    <ds:schemaRef ds:uri="b4b5c709-79c4-41c4-9b6a-48b43c716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BE6265-BEA3-490F-A70C-0949DF8F3083}">
  <ds:schemaRefs>
    <ds:schemaRef ds:uri="http://schemas.microsoft.com/sharepoint/v3/contenttype/forms"/>
  </ds:schemaRefs>
</ds:datastoreItem>
</file>

<file path=customXml/itemProps4.xml><?xml version="1.0" encoding="utf-8"?>
<ds:datastoreItem xmlns:ds="http://schemas.openxmlformats.org/officeDocument/2006/customXml" ds:itemID="{07BBA52C-E2E9-47BB-A30A-6C1C7966E5CC}">
  <ds:schemaRefs>
    <ds:schemaRef ds:uri="http://schemas.microsoft.com/office/2006/metadata/properties"/>
    <ds:schemaRef ds:uri="http://schemas.microsoft.com/office/infopath/2007/PartnerControls"/>
    <ds:schemaRef ds:uri="b4b5c709-79c4-41c4-9b6a-48b43c7167fe"/>
    <ds:schemaRef ds:uri="5d1573b4-ce0e-4605-8698-c9521dedb568"/>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147</Pages>
  <Words>42536</Words>
  <Characters>247562</Characters>
  <Application>Microsoft Office Word</Application>
  <DocSecurity>0</DocSecurity>
  <Lines>8841</Lines>
  <Paragraphs>6907</Paragraphs>
  <ScaleCrop>false</ScaleCrop>
  <HeadingPairs>
    <vt:vector size="2" baseType="variant">
      <vt:variant>
        <vt:lpstr>Title</vt:lpstr>
      </vt:variant>
      <vt:variant>
        <vt:i4>1</vt:i4>
      </vt:variant>
    </vt:vector>
  </HeadingPairs>
  <TitlesOfParts>
    <vt:vector size="1" baseType="lpstr">
      <vt:lpstr>Climate Calculator, Version 1.2</vt:lpstr>
    </vt:vector>
  </TitlesOfParts>
  <Manager/>
  <Company>State of Minnesota</Company>
  <LinksUpToDate>false</LinksUpToDate>
  <CharactersWithSpaces>283191</CharactersWithSpaces>
  <SharedDoc>false</SharedDoc>
  <HLinks>
    <vt:vector size="1830" baseType="variant">
      <vt:variant>
        <vt:i4>1114196</vt:i4>
      </vt:variant>
      <vt:variant>
        <vt:i4>2219</vt:i4>
      </vt:variant>
      <vt:variant>
        <vt:i4>0</vt:i4>
      </vt:variant>
      <vt:variant>
        <vt:i4>5</vt:i4>
      </vt:variant>
      <vt:variant>
        <vt:lpwstr>https://www.epa.gov/ghgemissions/inventory-us-greenhouse-gas-emissions-and-sinks.</vt:lpwstr>
      </vt:variant>
      <vt:variant>
        <vt:lpwstr/>
      </vt:variant>
      <vt:variant>
        <vt:i4>4521999</vt:i4>
      </vt:variant>
      <vt:variant>
        <vt:i4>2216</vt:i4>
      </vt:variant>
      <vt:variant>
        <vt:i4>0</vt:i4>
      </vt:variant>
      <vt:variant>
        <vt:i4>5</vt:i4>
      </vt:variant>
      <vt:variant>
        <vt:lpwstr>https://www.dot.state.mn.us/sustainability/ghg-analysis.html</vt:lpwstr>
      </vt:variant>
      <vt:variant>
        <vt:lpwstr/>
      </vt:variant>
      <vt:variant>
        <vt:i4>1310736</vt:i4>
      </vt:variant>
      <vt:variant>
        <vt:i4>2213</vt:i4>
      </vt:variant>
      <vt:variant>
        <vt:i4>0</vt:i4>
      </vt:variant>
      <vt:variant>
        <vt:i4>5</vt:i4>
      </vt:variant>
      <vt:variant>
        <vt:lpwstr>https://www.eia.gov/consumption/manufacturing/data/2018/</vt:lpwstr>
      </vt:variant>
      <vt:variant>
        <vt:lpwstr/>
      </vt:variant>
      <vt:variant>
        <vt:i4>4718623</vt:i4>
      </vt:variant>
      <vt:variant>
        <vt:i4>2210</vt:i4>
      </vt:variant>
      <vt:variant>
        <vt:i4>0</vt:i4>
      </vt:variant>
      <vt:variant>
        <vt:i4>5</vt:i4>
      </vt:variant>
      <vt:variant>
        <vt:lpwstr>https://www.eia.gov/consumption/commercial/data/2018/</vt:lpwstr>
      </vt:variant>
      <vt:variant>
        <vt:lpwstr/>
      </vt:variant>
      <vt:variant>
        <vt:i4>7733355</vt:i4>
      </vt:variant>
      <vt:variant>
        <vt:i4>2207</vt:i4>
      </vt:variant>
      <vt:variant>
        <vt:i4>0</vt:i4>
      </vt:variant>
      <vt:variant>
        <vt:i4>5</vt:i4>
      </vt:variant>
      <vt:variant>
        <vt:lpwstr>https://www.eia.gov/consumption/residential/data/2020/</vt:lpwstr>
      </vt:variant>
      <vt:variant>
        <vt:lpwstr/>
      </vt:variant>
      <vt:variant>
        <vt:i4>65600</vt:i4>
      </vt:variant>
      <vt:variant>
        <vt:i4>2204</vt:i4>
      </vt:variant>
      <vt:variant>
        <vt:i4>0</vt:i4>
      </vt:variant>
      <vt:variant>
        <vt:i4>5</vt:i4>
      </vt:variant>
      <vt:variant>
        <vt:lpwstr>https://www.epa.gov/statelocalenergy/local-greenhouse-gas-inventory-tool</vt:lpwstr>
      </vt:variant>
      <vt:variant>
        <vt:lpwstr/>
      </vt:variant>
      <vt:variant>
        <vt:i4>655437</vt:i4>
      </vt:variant>
      <vt:variant>
        <vt:i4>2201</vt:i4>
      </vt:variant>
      <vt:variant>
        <vt:i4>0</vt:i4>
      </vt:variant>
      <vt:variant>
        <vt:i4>5</vt:i4>
      </vt:variant>
      <vt:variant>
        <vt:lpwstr>https://www.epa.gov/statelocalenergy/state-inventory-and-projection-tool</vt:lpwstr>
      </vt:variant>
      <vt:variant>
        <vt:lpwstr/>
      </vt:variant>
      <vt:variant>
        <vt:i4>7995439</vt:i4>
      </vt:variant>
      <vt:variant>
        <vt:i4>2198</vt:i4>
      </vt:variant>
      <vt:variant>
        <vt:i4>0</vt:i4>
      </vt:variant>
      <vt:variant>
        <vt:i4>5</vt:i4>
      </vt:variant>
      <vt:variant>
        <vt:lpwstr>https://www.epa.gov/energy/greenhouse-gas-equivalencies-calculator-calculations-and-references</vt:lpwstr>
      </vt:variant>
      <vt:variant>
        <vt:lpwstr/>
      </vt:variant>
      <vt:variant>
        <vt:i4>3211314</vt:i4>
      </vt:variant>
      <vt:variant>
        <vt:i4>2195</vt:i4>
      </vt:variant>
      <vt:variant>
        <vt:i4>0</vt:i4>
      </vt:variant>
      <vt:variant>
        <vt:i4>5</vt:i4>
      </vt:variant>
      <vt:variant>
        <vt:lpwstr>https://www.epa.gov/climateleadership/ghg-emission-factors-hub</vt:lpwstr>
      </vt:variant>
      <vt:variant>
        <vt:lpwstr/>
      </vt:variant>
      <vt:variant>
        <vt:i4>5767234</vt:i4>
      </vt:variant>
      <vt:variant>
        <vt:i4>2192</vt:i4>
      </vt:variant>
      <vt:variant>
        <vt:i4>0</vt:i4>
      </vt:variant>
      <vt:variant>
        <vt:i4>5</vt:i4>
      </vt:variant>
      <vt:variant>
        <vt:lpwstr>https://www.epa.gov/egrid</vt:lpwstr>
      </vt:variant>
      <vt:variant>
        <vt:lpwstr/>
      </vt:variant>
      <vt:variant>
        <vt:i4>3342448</vt:i4>
      </vt:variant>
      <vt:variant>
        <vt:i4>2189</vt:i4>
      </vt:variant>
      <vt:variant>
        <vt:i4>0</vt:i4>
      </vt:variant>
      <vt:variant>
        <vt:i4>5</vt:i4>
      </vt:variant>
      <vt:variant>
        <vt:lpwstr>https://carbonleadershipforum.org/ec3-tool/</vt:lpwstr>
      </vt:variant>
      <vt:variant>
        <vt:lpwstr/>
      </vt:variant>
      <vt:variant>
        <vt:i4>2621482</vt:i4>
      </vt:variant>
      <vt:variant>
        <vt:i4>2186</vt:i4>
      </vt:variant>
      <vt:variant>
        <vt:i4>0</vt:i4>
      </vt:variant>
      <vt:variant>
        <vt:i4>5</vt:i4>
      </vt:variant>
      <vt:variant>
        <vt:lpwstr>https://greet.anl.gov/</vt:lpwstr>
      </vt:variant>
      <vt:variant>
        <vt:lpwstr/>
      </vt:variant>
      <vt:variant>
        <vt:i4>6684791</vt:i4>
      </vt:variant>
      <vt:variant>
        <vt:i4>1860</vt:i4>
      </vt:variant>
      <vt:variant>
        <vt:i4>0</vt:i4>
      </vt:variant>
      <vt:variant>
        <vt:i4>5</vt:i4>
      </vt:variant>
      <vt:variant>
        <vt:lpwstr>https://www.ipcc-nggip.iges.or.jp/public/2006gl/pdf/4_Volume4/V4_06_Ch6_Grassland.pdf</vt:lpwstr>
      </vt:variant>
      <vt:variant>
        <vt:lpwstr/>
      </vt:variant>
      <vt:variant>
        <vt:i4>4653151</vt:i4>
      </vt:variant>
      <vt:variant>
        <vt:i4>1857</vt:i4>
      </vt:variant>
      <vt:variant>
        <vt:i4>0</vt:i4>
      </vt:variant>
      <vt:variant>
        <vt:i4>5</vt:i4>
      </vt:variant>
      <vt:variant>
        <vt:lpwstr>https://www.nrcs.usda.gov/resources/data-and-reports/gridded-soil-survey-geographic-gssurgo-database</vt:lpwstr>
      </vt:variant>
      <vt:variant>
        <vt:lpwstr/>
      </vt:variant>
      <vt:variant>
        <vt:i4>4128868</vt:i4>
      </vt:variant>
      <vt:variant>
        <vt:i4>1854</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6684712</vt:i4>
      </vt:variant>
      <vt:variant>
        <vt:i4>1851</vt:i4>
      </vt:variant>
      <vt:variant>
        <vt:i4>0</vt:i4>
      </vt:variant>
      <vt:variant>
        <vt:i4>5</vt:i4>
      </vt:variant>
      <vt:variant>
        <vt:lpwstr>https://www.census.gov/data/datasets/2017/econ/cfs/historical-datasets.html</vt:lpwstr>
      </vt:variant>
      <vt:variant>
        <vt:lpwstr/>
      </vt:variant>
      <vt:variant>
        <vt:i4>2556008</vt:i4>
      </vt:variant>
      <vt:variant>
        <vt:i4>1848</vt:i4>
      </vt:variant>
      <vt:variant>
        <vt:i4>0</vt:i4>
      </vt:variant>
      <vt:variant>
        <vt:i4>5</vt:i4>
      </vt:variant>
      <vt:variant>
        <vt:lpwstr>https://www.travelmath.com/</vt:lpwstr>
      </vt:variant>
      <vt:variant>
        <vt:lpwstr/>
      </vt:variant>
      <vt:variant>
        <vt:i4>1900565</vt:i4>
      </vt:variant>
      <vt:variant>
        <vt:i4>1845</vt:i4>
      </vt:variant>
      <vt:variant>
        <vt:i4>0</vt:i4>
      </vt:variant>
      <vt:variant>
        <vt:i4>5</vt:i4>
      </vt:variant>
      <vt:variant>
        <vt:lpwstr>https://www.statista.com/statistics/259096/us-imports-as-a-percentage-of-gdp/</vt:lpwstr>
      </vt:variant>
      <vt:variant>
        <vt:lpwstr/>
      </vt:variant>
      <vt:variant>
        <vt:i4>393239</vt:i4>
      </vt:variant>
      <vt:variant>
        <vt:i4>1842</vt:i4>
      </vt:variant>
      <vt:variant>
        <vt:i4>0</vt:i4>
      </vt:variant>
      <vt:variant>
        <vt:i4>5</vt:i4>
      </vt:variant>
      <vt:variant>
        <vt:lpwstr>https://doi.org/10.1007/s00267-012-9967-6</vt:lpwstr>
      </vt:variant>
      <vt:variant>
        <vt:lpwstr/>
      </vt:variant>
      <vt:variant>
        <vt:i4>1769544</vt:i4>
      </vt:variant>
      <vt:variant>
        <vt:i4>1839</vt:i4>
      </vt:variant>
      <vt:variant>
        <vt:i4>0</vt:i4>
      </vt:variant>
      <vt:variant>
        <vt:i4>5</vt:i4>
      </vt:variant>
      <vt:variant>
        <vt:lpwstr>https://www.usitc.gov/research_and_analysis/trade_shifts_2017/forestry.htm</vt:lpwstr>
      </vt:variant>
      <vt:variant>
        <vt:lpwstr/>
      </vt:variant>
      <vt:variant>
        <vt:i4>524366</vt:i4>
      </vt:variant>
      <vt:variant>
        <vt:i4>1836</vt:i4>
      </vt:variant>
      <vt:variant>
        <vt:i4>0</vt:i4>
      </vt:variant>
      <vt:variant>
        <vt:i4>5</vt:i4>
      </vt:variant>
      <vt:variant>
        <vt:lpwstr>https://www.nrmca.org/wp-content/uploads/2022/02/NRMCA_LCAReportV3-2_20220224.pdf</vt:lpwstr>
      </vt:variant>
      <vt:variant>
        <vt:lpwstr/>
      </vt:variant>
      <vt:variant>
        <vt:i4>2883676</vt:i4>
      </vt:variant>
      <vt:variant>
        <vt:i4>1833</vt:i4>
      </vt:variant>
      <vt:variant>
        <vt:i4>0</vt:i4>
      </vt:variant>
      <vt:variant>
        <vt:i4>5</vt:i4>
      </vt:variant>
      <vt:variant>
        <vt:lpwstr>https://oec.world/en/visualize/tree_map/hs92/import/usa/show/136901/2022</vt:lpwstr>
      </vt:variant>
      <vt:variant>
        <vt:lpwstr/>
      </vt:variant>
      <vt:variant>
        <vt:i4>3145762</vt:i4>
      </vt:variant>
      <vt:variant>
        <vt:i4>1830</vt:i4>
      </vt:variant>
      <vt:variant>
        <vt:i4>0</vt:i4>
      </vt:variant>
      <vt:variant>
        <vt:i4>5</vt:i4>
      </vt:variant>
      <vt:variant>
        <vt:lpwstr>https://oec.world/en/profile/bilateral-product/float-glass/reporter/usa</vt:lpwstr>
      </vt:variant>
      <vt:variant>
        <vt:lpwstr/>
      </vt:variant>
      <vt:variant>
        <vt:i4>1048645</vt:i4>
      </vt:variant>
      <vt:variant>
        <vt:i4>1827</vt:i4>
      </vt:variant>
      <vt:variant>
        <vt:i4>0</vt:i4>
      </vt:variant>
      <vt:variant>
        <vt:i4>5</vt:i4>
      </vt:variant>
      <vt:variant>
        <vt:lpwstr>https://smartepd.com/epd-library/64133a6cceeabedac05df74d</vt:lpwstr>
      </vt:variant>
      <vt:variant>
        <vt:lpwstr/>
      </vt:variant>
      <vt:variant>
        <vt:i4>1114135</vt:i4>
      </vt:variant>
      <vt:variant>
        <vt:i4>1824</vt:i4>
      </vt:variant>
      <vt:variant>
        <vt:i4>0</vt:i4>
      </vt:variant>
      <vt:variant>
        <vt:i4>5</vt:i4>
      </vt:variant>
      <vt:variant>
        <vt:lpwstr>https://www.glassmagazine.com/article/world-glass-2022-report</vt:lpwstr>
      </vt:variant>
      <vt:variant>
        <vt:lpwstr/>
      </vt:variant>
      <vt:variant>
        <vt:i4>7012406</vt:i4>
      </vt:variant>
      <vt:variant>
        <vt:i4>1821</vt:i4>
      </vt:variant>
      <vt:variant>
        <vt:i4>0</vt:i4>
      </vt:variant>
      <vt:variant>
        <vt:i4>5</vt:i4>
      </vt:variant>
      <vt:variant>
        <vt:lpwstr>https://www.asphaltpavement.org/uploads/documents/Buy_America_Impacts_on_Asphalt.pdf</vt:lpwstr>
      </vt:variant>
      <vt:variant>
        <vt:lpwstr/>
      </vt:variant>
      <vt:variant>
        <vt:i4>6684777</vt:i4>
      </vt:variant>
      <vt:variant>
        <vt:i4>1818</vt:i4>
      </vt:variant>
      <vt:variant>
        <vt:i4>0</vt:i4>
      </vt:variant>
      <vt:variant>
        <vt:i4>5</vt:i4>
      </vt:variant>
      <vt:variant>
        <vt:lpwstr>https://mtcopeland.com/blog/wood-density-explained-plus-wood-density-chart/</vt:lpwstr>
      </vt:variant>
      <vt:variant>
        <vt:lpwstr/>
      </vt:variant>
      <vt:variant>
        <vt:i4>3145779</vt:i4>
      </vt:variant>
      <vt:variant>
        <vt:i4>1815</vt:i4>
      </vt:variant>
      <vt:variant>
        <vt:i4>0</vt:i4>
      </vt:variant>
      <vt:variant>
        <vt:i4>5</vt:i4>
      </vt:variant>
      <vt:variant>
        <vt:lpwstr>https://lims.minneapolismn.gov/Download/RCAV2/30166/Minneapolis 2022 Final Sort Report.pdf</vt:lpwstr>
      </vt:variant>
      <vt:variant>
        <vt:lpwstr/>
      </vt:variant>
      <vt:variant>
        <vt:i4>7012455</vt:i4>
      </vt:variant>
      <vt:variant>
        <vt:i4>1812</vt:i4>
      </vt:variant>
      <vt:variant>
        <vt:i4>0</vt:i4>
      </vt:variant>
      <vt:variant>
        <vt:i4>5</vt:i4>
      </vt:variant>
      <vt:variant>
        <vt:lpwstr>https://data.pca.state.mn.us/views/SCOREreport2022/2022SCOREreport?%3Aembed=y&amp;%3AisGuestRedirectFromVizportal=y</vt:lpwstr>
      </vt:variant>
      <vt:variant>
        <vt:lpwstr/>
      </vt:variant>
      <vt:variant>
        <vt:i4>786518</vt:i4>
      </vt:variant>
      <vt:variant>
        <vt:i4>1809</vt:i4>
      </vt:variant>
      <vt:variant>
        <vt:i4>0</vt:i4>
      </vt:variant>
      <vt:variant>
        <vt:i4>5</vt:i4>
      </vt:variant>
      <vt:variant>
        <vt:lpwstr>https://www.pca.state.mn.us/sites/default/files/w-sw5-55.pdf</vt:lpwstr>
      </vt:variant>
      <vt:variant>
        <vt:lpwstr/>
      </vt:variant>
      <vt:variant>
        <vt:i4>5963847</vt:i4>
      </vt:variant>
      <vt:variant>
        <vt:i4>1806</vt:i4>
      </vt:variant>
      <vt:variant>
        <vt:i4>0</vt:i4>
      </vt:variant>
      <vt:variant>
        <vt:i4>5</vt:i4>
      </vt:variant>
      <vt:variant>
        <vt:lpwstr>https://www.pca.state.mn.us/business-with-us/environmental-review</vt:lpwstr>
      </vt:variant>
      <vt:variant>
        <vt:lpwstr/>
      </vt:variant>
      <vt:variant>
        <vt:i4>5374041</vt:i4>
      </vt:variant>
      <vt:variant>
        <vt:i4>1803</vt:i4>
      </vt:variant>
      <vt:variant>
        <vt:i4>0</vt:i4>
      </vt:variant>
      <vt:variant>
        <vt:i4>5</vt:i4>
      </vt:variant>
      <vt:variant>
        <vt:lpwstr>https://www.dot.state.mn.us/project-development/subject-guidance/greenhouse-gas-analysis/process.html</vt:lpwstr>
      </vt:variant>
      <vt:variant>
        <vt:lpwstr/>
      </vt:variant>
      <vt:variant>
        <vt:i4>5373977</vt:i4>
      </vt:variant>
      <vt:variant>
        <vt:i4>1800</vt:i4>
      </vt:variant>
      <vt:variant>
        <vt:i4>0</vt:i4>
      </vt:variant>
      <vt:variant>
        <vt:i4>5</vt:i4>
      </vt:variant>
      <vt:variant>
        <vt:lpwstr>https://www.eqb.state.mn.us/sites/eqb/files/2024_eaw_climate_guidance_2.pdf</vt:lpwstr>
      </vt:variant>
      <vt:variant>
        <vt:lpwstr/>
      </vt:variant>
      <vt:variant>
        <vt:i4>1245195</vt:i4>
      </vt:variant>
      <vt:variant>
        <vt:i4>1797</vt:i4>
      </vt:variant>
      <vt:variant>
        <vt:i4>0</vt:i4>
      </vt:variant>
      <vt:variant>
        <vt:i4>5</vt:i4>
      </vt:variant>
      <vt:variant>
        <vt:lpwstr>https://www.dnr.state.mn.us/climate/climate_change_info/climate-trends.html</vt:lpwstr>
      </vt:variant>
      <vt:variant>
        <vt:lpwstr/>
      </vt:variant>
      <vt:variant>
        <vt:i4>6750249</vt:i4>
      </vt:variant>
      <vt:variant>
        <vt:i4>1794</vt:i4>
      </vt:variant>
      <vt:variant>
        <vt:i4>0</vt:i4>
      </vt:variant>
      <vt:variant>
        <vt:i4>5</vt:i4>
      </vt:variant>
      <vt:variant>
        <vt:lpwstr>https://lutonmachinery.com/how-far-can-asphalt-be-transported/</vt:lpwstr>
      </vt:variant>
      <vt:variant>
        <vt:lpwstr/>
      </vt:variant>
      <vt:variant>
        <vt:i4>7798838</vt:i4>
      </vt:variant>
      <vt:variant>
        <vt:i4>1791</vt:i4>
      </vt:variant>
      <vt:variant>
        <vt:i4>0</vt:i4>
      </vt:variant>
      <vt:variant>
        <vt:i4>5</vt:i4>
      </vt:variant>
      <vt:variant>
        <vt:lpwstr>https://carbon2018.globalchange.gov/chapter/13/</vt:lpwstr>
      </vt:variant>
      <vt:variant>
        <vt:lpwstr/>
      </vt:variant>
      <vt:variant>
        <vt:i4>1835074</vt:i4>
      </vt:variant>
      <vt:variant>
        <vt:i4>1788</vt:i4>
      </vt:variant>
      <vt:variant>
        <vt:i4>0</vt:i4>
      </vt:variant>
      <vt:variant>
        <vt:i4>5</vt:i4>
      </vt:variant>
      <vt:variant>
        <vt:lpwstr>https://www.ipcc-nggip.iges.or.jp/public/2019rf/pdf/4_Volume4/19R_V4_Ch11_Soils_N2O_CO2.pdf</vt:lpwstr>
      </vt:variant>
      <vt:variant>
        <vt:lpwstr/>
      </vt:variant>
      <vt:variant>
        <vt:i4>5832727</vt:i4>
      </vt:variant>
      <vt:variant>
        <vt:i4>1785</vt:i4>
      </vt:variant>
      <vt:variant>
        <vt:i4>0</vt:i4>
      </vt:variant>
      <vt:variant>
        <vt:i4>5</vt:i4>
      </vt:variant>
      <vt:variant>
        <vt:lpwstr>https://www.ipcc-nggip.iges.or.jp/public/2019rf/pdf/4_Volume4/19R_V4_Ch10_Livestock.pdf</vt:lpwstr>
      </vt:variant>
      <vt:variant>
        <vt:lpwstr/>
      </vt:variant>
      <vt:variant>
        <vt:i4>1572939</vt:i4>
      </vt:variant>
      <vt:variant>
        <vt:i4>1782</vt:i4>
      </vt:variant>
      <vt:variant>
        <vt:i4>0</vt:i4>
      </vt:variant>
      <vt:variant>
        <vt:i4>5</vt:i4>
      </vt:variant>
      <vt:variant>
        <vt:lpwstr>https://www.ipcc-nggip.iges.or.jp/public/2019rf/pdf/4_Volume4/19R_V4_Ch05_Cropland.pdf</vt:lpwstr>
      </vt:variant>
      <vt:variant>
        <vt:lpwstr/>
      </vt:variant>
      <vt:variant>
        <vt:i4>7209039</vt:i4>
      </vt:variant>
      <vt:variant>
        <vt:i4>1779</vt:i4>
      </vt:variant>
      <vt:variant>
        <vt:i4>0</vt:i4>
      </vt:variant>
      <vt:variant>
        <vt:i4>5</vt:i4>
      </vt:variant>
      <vt:variant>
        <vt:lpwstr>https://www.ipcc.ch/site/assets/uploads/2018/03/Wetlands_Supplement_Entire_Report.pdf</vt:lpwstr>
      </vt:variant>
      <vt:variant>
        <vt:lpwstr/>
      </vt:variant>
      <vt:variant>
        <vt:i4>6357037</vt:i4>
      </vt:variant>
      <vt:variant>
        <vt:i4>1776</vt:i4>
      </vt:variant>
      <vt:variant>
        <vt:i4>0</vt:i4>
      </vt:variant>
      <vt:variant>
        <vt:i4>5</vt:i4>
      </vt:variant>
      <vt:variant>
        <vt:lpwstr>https://www.trade.gov/data-visualization/us-steel-executive-summary</vt:lpwstr>
      </vt:variant>
      <vt:variant>
        <vt:lpwstr/>
      </vt:variant>
      <vt:variant>
        <vt:i4>2883696</vt:i4>
      </vt:variant>
      <vt:variant>
        <vt:i4>1773</vt:i4>
      </vt:variant>
      <vt:variant>
        <vt:i4>0</vt:i4>
      </vt:variant>
      <vt:variant>
        <vt:i4>5</vt:i4>
      </vt:variant>
      <vt:variant>
        <vt:lpwstr>https://codes.iccsafe.org/content/IECC2024P1/index</vt:lpwstr>
      </vt:variant>
      <vt:variant>
        <vt:lpwstr/>
      </vt:variant>
      <vt:variant>
        <vt:i4>458845</vt:i4>
      </vt:variant>
      <vt:variant>
        <vt:i4>1770</vt:i4>
      </vt:variant>
      <vt:variant>
        <vt:i4>0</vt:i4>
      </vt:variant>
      <vt:variant>
        <vt:i4>5</vt:i4>
      </vt:variant>
      <vt:variant>
        <vt:lpwstr>https://www.iea.org/reports/curtailing-methane-emissions-from-fossil-fuel-operations</vt:lpwstr>
      </vt:variant>
      <vt:variant>
        <vt:lpwstr/>
      </vt:variant>
      <vt:variant>
        <vt:i4>4390924</vt:i4>
      </vt:variant>
      <vt:variant>
        <vt:i4>1767</vt:i4>
      </vt:variant>
      <vt:variant>
        <vt:i4>0</vt:i4>
      </vt:variant>
      <vt:variant>
        <vt:i4>5</vt:i4>
      </vt:variant>
      <vt:variant>
        <vt:lpwstr>https://www.carbonvoyagetool.com/</vt:lpwstr>
      </vt:variant>
      <vt:variant>
        <vt:lpwstr/>
      </vt:variant>
      <vt:variant>
        <vt:i4>1179655</vt:i4>
      </vt:variant>
      <vt:variant>
        <vt:i4>1764</vt:i4>
      </vt:variant>
      <vt:variant>
        <vt:i4>0</vt:i4>
      </vt:variant>
      <vt:variant>
        <vt:i4>5</vt:i4>
      </vt:variant>
      <vt:variant>
        <vt:lpwstr>https://www.freedoniagroup.com/industry-study/insulation-4304.htm</vt:lpwstr>
      </vt:variant>
      <vt:variant>
        <vt:lpwstr/>
      </vt:variant>
      <vt:variant>
        <vt:i4>3801151</vt:i4>
      </vt:variant>
      <vt:variant>
        <vt:i4>1761</vt:i4>
      </vt:variant>
      <vt:variant>
        <vt:i4>0</vt:i4>
      </vt:variant>
      <vt:variant>
        <vt:i4>5</vt:i4>
      </vt:variant>
      <vt:variant>
        <vt:lpwstr>https://digitalcommons.unl.edu/usgsnpwrc/92</vt:lpwstr>
      </vt:variant>
      <vt:variant>
        <vt:lpwstr/>
      </vt:variant>
      <vt:variant>
        <vt:i4>655437</vt:i4>
      </vt:variant>
      <vt:variant>
        <vt:i4>1758</vt:i4>
      </vt:variant>
      <vt:variant>
        <vt:i4>0</vt:i4>
      </vt:variant>
      <vt:variant>
        <vt:i4>5</vt:i4>
      </vt:variant>
      <vt:variant>
        <vt:lpwstr>https://www.epa.gov/statelocalenergy/state-inventory-and-projection-tool</vt:lpwstr>
      </vt:variant>
      <vt:variant>
        <vt:lpwstr/>
      </vt:variant>
      <vt:variant>
        <vt:i4>8060985</vt:i4>
      </vt:variant>
      <vt:variant>
        <vt:i4>1755</vt:i4>
      </vt:variant>
      <vt:variant>
        <vt:i4>0</vt:i4>
      </vt:variant>
      <vt:variant>
        <vt:i4>5</vt:i4>
      </vt:variant>
      <vt:variant>
        <vt:lpwstr>https://www.epa.gov/moves/latest-version-motor-vehicle-emission-simulator-moves</vt:lpwstr>
      </vt:variant>
      <vt:variant>
        <vt:lpwstr/>
      </vt:variant>
      <vt:variant>
        <vt:i4>65600</vt:i4>
      </vt:variant>
      <vt:variant>
        <vt:i4>1752</vt:i4>
      </vt:variant>
      <vt:variant>
        <vt:i4>0</vt:i4>
      </vt:variant>
      <vt:variant>
        <vt:i4>5</vt:i4>
      </vt:variant>
      <vt:variant>
        <vt:lpwstr>https://www.epa.gov/statelocalenergy/local-greenhouse-gas-inventory-tool</vt:lpwstr>
      </vt:variant>
      <vt:variant>
        <vt:lpwstr/>
      </vt:variant>
      <vt:variant>
        <vt:i4>1114196</vt:i4>
      </vt:variant>
      <vt:variant>
        <vt:i4>1749</vt:i4>
      </vt:variant>
      <vt:variant>
        <vt:i4>0</vt:i4>
      </vt:variant>
      <vt:variant>
        <vt:i4>5</vt:i4>
      </vt:variant>
      <vt:variant>
        <vt:lpwstr>https://www.epa.gov/ghgemissions/inventory-us-greenhouse-gas-emissions-and-sinks</vt:lpwstr>
      </vt:variant>
      <vt:variant>
        <vt:lpwstr/>
      </vt:variant>
      <vt:variant>
        <vt:i4>3211314</vt:i4>
      </vt:variant>
      <vt:variant>
        <vt:i4>1746</vt:i4>
      </vt:variant>
      <vt:variant>
        <vt:i4>0</vt:i4>
      </vt:variant>
      <vt:variant>
        <vt:i4>5</vt:i4>
      </vt:variant>
      <vt:variant>
        <vt:lpwstr>https://www.epa.gov/climateleadership/ghg-emission-factors-hub</vt:lpwstr>
      </vt:variant>
      <vt:variant>
        <vt:lpwstr/>
      </vt:variant>
      <vt:variant>
        <vt:i4>7995439</vt:i4>
      </vt:variant>
      <vt:variant>
        <vt:i4>1743</vt:i4>
      </vt:variant>
      <vt:variant>
        <vt:i4>0</vt:i4>
      </vt:variant>
      <vt:variant>
        <vt:i4>5</vt:i4>
      </vt:variant>
      <vt:variant>
        <vt:lpwstr>https://www.epa.gov/energy/greenhouse-gas-equivalencies-calculator-calculations-and-references</vt:lpwstr>
      </vt:variant>
      <vt:variant>
        <vt:lpwstr/>
      </vt:variant>
      <vt:variant>
        <vt:i4>6488118</vt:i4>
      </vt:variant>
      <vt:variant>
        <vt:i4>1740</vt:i4>
      </vt:variant>
      <vt:variant>
        <vt:i4>0</vt:i4>
      </vt:variant>
      <vt:variant>
        <vt:i4>5</vt:i4>
      </vt:variant>
      <vt:variant>
        <vt:lpwstr>https://www.epa.gov/sites/default/files/2018-09/documents/construction_and_demolition_debris_generation_in_the_united_states_2015_final.pdf</vt:lpwstr>
      </vt:variant>
      <vt:variant>
        <vt:lpwstr/>
      </vt:variant>
      <vt:variant>
        <vt:i4>7667729</vt:i4>
      </vt:variant>
      <vt:variant>
        <vt:i4>1737</vt:i4>
      </vt:variant>
      <vt:variant>
        <vt:i4>0</vt:i4>
      </vt:variant>
      <vt:variant>
        <vt:i4>5</vt:i4>
      </vt:variant>
      <vt:variant>
        <vt:lpwstr>https://www.epa.gov/sites/default/files/2015-09/documents/hfc_emissions_accounting_tool_supporting_documentation.pdf</vt:lpwstr>
      </vt:variant>
      <vt:variant>
        <vt:lpwstr/>
      </vt:variant>
      <vt:variant>
        <vt:i4>983045</vt:i4>
      </vt:variant>
      <vt:variant>
        <vt:i4>1734</vt:i4>
      </vt:variant>
      <vt:variant>
        <vt:i4>0</vt:i4>
      </vt:variant>
      <vt:variant>
        <vt:i4>5</vt:i4>
      </vt:variant>
      <vt:variant>
        <vt:lpwstr>https://www.eia.gov/totalenergy/data/monthly/index.php</vt:lpwstr>
      </vt:variant>
      <vt:variant>
        <vt:lpwstr>appendices</vt:lpwstr>
      </vt:variant>
      <vt:variant>
        <vt:i4>1310736</vt:i4>
      </vt:variant>
      <vt:variant>
        <vt:i4>1731</vt:i4>
      </vt:variant>
      <vt:variant>
        <vt:i4>0</vt:i4>
      </vt:variant>
      <vt:variant>
        <vt:i4>5</vt:i4>
      </vt:variant>
      <vt:variant>
        <vt:lpwstr>https://www.eia.gov/consumption/manufacturing/data/2018/</vt:lpwstr>
      </vt:variant>
      <vt:variant>
        <vt:lpwstr/>
      </vt:variant>
      <vt:variant>
        <vt:i4>1310771</vt:i4>
      </vt:variant>
      <vt:variant>
        <vt:i4>1728</vt:i4>
      </vt:variant>
      <vt:variant>
        <vt:i4>0</vt:i4>
      </vt:variant>
      <vt:variant>
        <vt:i4>5</vt:i4>
      </vt:variant>
      <vt:variant>
        <vt:lpwstr>https://www.eia.gov/dnav/ng/ng_cons_heat_a_EPG0_VGTH_btucf_a.htm</vt:lpwstr>
      </vt:variant>
      <vt:variant>
        <vt:lpwstr/>
      </vt:variant>
      <vt:variant>
        <vt:i4>4718623</vt:i4>
      </vt:variant>
      <vt:variant>
        <vt:i4>1725</vt:i4>
      </vt:variant>
      <vt:variant>
        <vt:i4>0</vt:i4>
      </vt:variant>
      <vt:variant>
        <vt:i4>5</vt:i4>
      </vt:variant>
      <vt:variant>
        <vt:lpwstr>https://www.eia.gov/consumption/commercial/data/2018/</vt:lpwstr>
      </vt:variant>
      <vt:variant>
        <vt:lpwstr/>
      </vt:variant>
      <vt:variant>
        <vt:i4>7733355</vt:i4>
      </vt:variant>
      <vt:variant>
        <vt:i4>1722</vt:i4>
      </vt:variant>
      <vt:variant>
        <vt:i4>0</vt:i4>
      </vt:variant>
      <vt:variant>
        <vt:i4>5</vt:i4>
      </vt:variant>
      <vt:variant>
        <vt:lpwstr>https://www.eia.gov/consumption/residential/data/2020/</vt:lpwstr>
      </vt:variant>
      <vt:variant>
        <vt:lpwstr/>
      </vt:variant>
      <vt:variant>
        <vt:i4>6160478</vt:i4>
      </vt:variant>
      <vt:variant>
        <vt:i4>1719</vt:i4>
      </vt:variant>
      <vt:variant>
        <vt:i4>0</vt:i4>
      </vt:variant>
      <vt:variant>
        <vt:i4>5</vt:i4>
      </vt:variant>
      <vt:variant>
        <vt:lpwstr>https://www.betterhomesbc.ca/products/what-is-r-or-rsi-value/</vt:lpwstr>
      </vt:variant>
      <vt:variant>
        <vt:lpwstr/>
      </vt:variant>
      <vt:variant>
        <vt:i4>327684</vt:i4>
      </vt:variant>
      <vt:variant>
        <vt:i4>1716</vt:i4>
      </vt:variant>
      <vt:variant>
        <vt:i4>0</vt:i4>
      </vt:variant>
      <vt:variant>
        <vt:i4>5</vt:i4>
      </vt:variant>
      <vt:variant>
        <vt:lpwstr>https://www2.calrecycle.ca.gov/Publications/Details/1184</vt:lpwstr>
      </vt:variant>
      <vt:variant>
        <vt:lpwstr/>
      </vt:variant>
      <vt:variant>
        <vt:i4>6619233</vt:i4>
      </vt:variant>
      <vt:variant>
        <vt:i4>1713</vt:i4>
      </vt:variant>
      <vt:variant>
        <vt:i4>0</vt:i4>
      </vt:variant>
      <vt:variant>
        <vt:i4>5</vt:i4>
      </vt:variant>
      <vt:variant>
        <vt:lpwstr>https://www2.calrecycle.ca.gov/wastecharacterization/general/rates</vt:lpwstr>
      </vt:variant>
      <vt:variant>
        <vt:lpwstr/>
      </vt:variant>
      <vt:variant>
        <vt:i4>6750244</vt:i4>
      </vt:variant>
      <vt:variant>
        <vt:i4>1710</vt:i4>
      </vt:variant>
      <vt:variant>
        <vt:i4>0</vt:i4>
      </vt:variant>
      <vt:variant>
        <vt:i4>5</vt:i4>
      </vt:variant>
      <vt:variant>
        <vt:lpwstr>https://www.caleemod.com/user-guide</vt:lpwstr>
      </vt:variant>
      <vt:variant>
        <vt:lpwstr/>
      </vt:variant>
      <vt:variant>
        <vt:i4>4915204</vt:i4>
      </vt:variant>
      <vt:variant>
        <vt:i4>1707</vt:i4>
      </vt:variant>
      <vt:variant>
        <vt:i4>0</vt:i4>
      </vt:variant>
      <vt:variant>
        <vt:i4>5</vt:i4>
      </vt:variant>
      <vt:variant>
        <vt:lpwstr>https://www.caleemod.com/</vt:lpwstr>
      </vt:variant>
      <vt:variant>
        <vt:lpwstr/>
      </vt:variant>
      <vt:variant>
        <vt:i4>5308496</vt:i4>
      </vt:variant>
      <vt:variant>
        <vt:i4>1704</vt:i4>
      </vt:variant>
      <vt:variant>
        <vt:i4>0</vt:i4>
      </vt:variant>
      <vt:variant>
        <vt:i4>5</vt:i4>
      </vt:variant>
      <vt:variant>
        <vt:lpwstr>https://buildingtransparency.org/ec3</vt:lpwstr>
      </vt:variant>
      <vt:variant>
        <vt:lpwstr/>
      </vt:variant>
      <vt:variant>
        <vt:i4>524366</vt:i4>
      </vt:variant>
      <vt:variant>
        <vt:i4>1701</vt:i4>
      </vt:variant>
      <vt:variant>
        <vt:i4>0</vt:i4>
      </vt:variant>
      <vt:variant>
        <vt:i4>5</vt:i4>
      </vt:variant>
      <vt:variant>
        <vt:lpwstr>https://www.nrmca.org/wp-content/uploads/2022/02/NRMCA_LCAReportV3-2_20220224.pdf</vt:lpwstr>
      </vt:variant>
      <vt:variant>
        <vt:lpwstr/>
      </vt:variant>
      <vt:variant>
        <vt:i4>8323126</vt:i4>
      </vt:variant>
      <vt:variant>
        <vt:i4>1698</vt:i4>
      </vt:variant>
      <vt:variant>
        <vt:i4>0</vt:i4>
      </vt:variant>
      <vt:variant>
        <vt:i4>5</vt:i4>
      </vt:variant>
      <vt:variant>
        <vt:lpwstr>https://greet.anl.gov/greet_excel_model.models</vt:lpwstr>
      </vt:variant>
      <vt:variant>
        <vt:lpwstr/>
      </vt:variant>
      <vt:variant>
        <vt:i4>6094871</vt:i4>
      </vt:variant>
      <vt:variant>
        <vt:i4>1695</vt:i4>
      </vt:variant>
      <vt:variant>
        <vt:i4>0</vt:i4>
      </vt:variant>
      <vt:variant>
        <vt:i4>5</vt:i4>
      </vt:variant>
      <vt:variant>
        <vt:lpwstr>https://files.dnr.state.mn.us/aboutdnr/reports/carbon2008.pdf</vt:lpwstr>
      </vt:variant>
      <vt:variant>
        <vt:lpwstr/>
      </vt:variant>
      <vt:variant>
        <vt:i4>1310773</vt:i4>
      </vt:variant>
      <vt:variant>
        <vt:i4>1692</vt:i4>
      </vt:variant>
      <vt:variant>
        <vt:i4>0</vt:i4>
      </vt:variant>
      <vt:variant>
        <vt:i4>5</vt:i4>
      </vt:variant>
      <vt:variant>
        <vt:lpwstr>https://www.aluminum.org/sites/default/files/2024-06/North-American-Decarbonization-Roadmap_6.11.24.pdf</vt:lpwstr>
      </vt:variant>
      <vt:variant>
        <vt:lpwstr/>
      </vt:variant>
      <vt:variant>
        <vt:i4>2687026</vt:i4>
      </vt:variant>
      <vt:variant>
        <vt:i4>1689</vt:i4>
      </vt:variant>
      <vt:variant>
        <vt:i4>0</vt:i4>
      </vt:variant>
      <vt:variant>
        <vt:i4>5</vt:i4>
      </vt:variant>
      <vt:variant>
        <vt:lpwstr>https://www.aluminum.org/sites/default/files/2021-11/FactSheet2018.pdf</vt:lpwstr>
      </vt:variant>
      <vt:variant>
        <vt:lpwstr/>
      </vt:variant>
      <vt:variant>
        <vt:i4>4390937</vt:i4>
      </vt:variant>
      <vt:variant>
        <vt:i4>1665</vt:i4>
      </vt:variant>
      <vt:variant>
        <vt:i4>0</vt:i4>
      </vt:variant>
      <vt:variant>
        <vt:i4>5</vt:i4>
      </vt:variant>
      <vt:variant>
        <vt:lpwstr>https://www.resilientmdotmta.com/</vt:lpwstr>
      </vt:variant>
      <vt:variant>
        <vt:lpwstr/>
      </vt:variant>
      <vt:variant>
        <vt:i4>4194358</vt:i4>
      </vt:variant>
      <vt:variant>
        <vt:i4>1662</vt:i4>
      </vt:variant>
      <vt:variant>
        <vt:i4>0</vt:i4>
      </vt:variant>
      <vt:variant>
        <vt:i4>5</vt:i4>
      </vt:variant>
      <vt:variant>
        <vt:lpwstr>https://www.epa.gov/system/files/documents/2023-07/SWM_Climate-Final.pdf</vt:lpwstr>
      </vt:variant>
      <vt:variant>
        <vt:lpwstr/>
      </vt:variant>
      <vt:variant>
        <vt:i4>4653139</vt:i4>
      </vt:variant>
      <vt:variant>
        <vt:i4>1659</vt:i4>
      </vt:variant>
      <vt:variant>
        <vt:i4>0</vt:i4>
      </vt:variant>
      <vt:variant>
        <vt:i4>5</vt:i4>
      </vt:variant>
      <vt:variant>
        <vt:lpwstr>https://www.epa.gov/arc-x/climate-impacts-water-utilities</vt:lpwstr>
      </vt:variant>
      <vt:variant>
        <vt:lpwstr>tab-1</vt:lpwstr>
      </vt:variant>
      <vt:variant>
        <vt:i4>983066</vt:i4>
      </vt:variant>
      <vt:variant>
        <vt:i4>1656</vt:i4>
      </vt:variant>
      <vt:variant>
        <vt:i4>0</vt:i4>
      </vt:variant>
      <vt:variant>
        <vt:i4>5</vt:i4>
      </vt:variant>
      <vt:variant>
        <vt:lpwstr>https://www.agproud.com/articles/57803-development-of-heat-tolerant-breeds-in-the-us</vt:lpwstr>
      </vt:variant>
      <vt:variant>
        <vt:lpwstr/>
      </vt:variant>
      <vt:variant>
        <vt:i4>6750317</vt:i4>
      </vt:variant>
      <vt:variant>
        <vt:i4>1653</vt:i4>
      </vt:variant>
      <vt:variant>
        <vt:i4>0</vt:i4>
      </vt:variant>
      <vt:variant>
        <vt:i4>5</vt:i4>
      </vt:variant>
      <vt:variant>
        <vt:lpwstr>https://highways.dot.gov/public-roads/autumn-2018/boosting-pavement-resilience</vt:lpwstr>
      </vt:variant>
      <vt:variant>
        <vt:lpwstr/>
      </vt:variant>
      <vt:variant>
        <vt:i4>7667831</vt:i4>
      </vt:variant>
      <vt:variant>
        <vt:i4>1650</vt:i4>
      </vt:variant>
      <vt:variant>
        <vt:i4>0</vt:i4>
      </vt:variant>
      <vt:variant>
        <vt:i4>5</vt:i4>
      </vt:variant>
      <vt:variant>
        <vt:lpwstr>https://yaleclimateconnections.org/2024/08/high-temperatures-can-cause-train-tracks-to-buckle-and-</vt:lpwstr>
      </vt:variant>
      <vt:variant>
        <vt:lpwstr/>
      </vt:variant>
      <vt:variant>
        <vt:i4>5570579</vt:i4>
      </vt:variant>
      <vt:variant>
        <vt:i4>1647</vt:i4>
      </vt:variant>
      <vt:variant>
        <vt:i4>0</vt:i4>
      </vt:variant>
      <vt:variant>
        <vt:i4>5</vt:i4>
      </vt:variant>
      <vt:variant>
        <vt:lpwstr>https://www.boston.gov/sites/default/files/imce-uploads/2017-01/crb_-_focus_area_ri.pdf</vt:lpwstr>
      </vt:variant>
      <vt:variant>
        <vt:lpwstr/>
      </vt:variant>
      <vt:variant>
        <vt:i4>6881404</vt:i4>
      </vt:variant>
      <vt:variant>
        <vt:i4>1644</vt:i4>
      </vt:variant>
      <vt:variant>
        <vt:i4>0</vt:i4>
      </vt:variant>
      <vt:variant>
        <vt:i4>5</vt:i4>
      </vt:variant>
      <vt:variant>
        <vt:lpwstr>https://www.charleston-sc.gov/1975/All-Hazards-Vulnerability-Risk-Assessmen</vt:lpwstr>
      </vt:variant>
      <vt:variant>
        <vt:lpwstr/>
      </vt:variant>
      <vt:variant>
        <vt:i4>4980818</vt:i4>
      </vt:variant>
      <vt:variant>
        <vt:i4>1641</vt:i4>
      </vt:variant>
      <vt:variant>
        <vt:i4>0</vt:i4>
      </vt:variant>
      <vt:variant>
        <vt:i4>5</vt:i4>
      </vt:variant>
      <vt:variant>
        <vt:lpwstr>https://www.flagstaff.az.gov/1732/Climate</vt:lpwstr>
      </vt:variant>
      <vt:variant>
        <vt:lpwstr/>
      </vt:variant>
      <vt:variant>
        <vt:i4>8192071</vt:i4>
      </vt:variant>
      <vt:variant>
        <vt:i4>1638</vt:i4>
      </vt:variant>
      <vt:variant>
        <vt:i4>0</vt:i4>
      </vt:variant>
      <vt:variant>
        <vt:i4>5</vt:i4>
      </vt:variant>
      <vt:variant>
        <vt:lpwstr>https://drive.google.com/file/d/1X_Gr4eUCmkXPOzAcvyxCe-uZPkX84Byz/view</vt:lpwstr>
      </vt:variant>
      <vt:variant>
        <vt:lpwstr/>
      </vt:variant>
      <vt:variant>
        <vt:i4>3342440</vt:i4>
      </vt:variant>
      <vt:variant>
        <vt:i4>1635</vt:i4>
      </vt:variant>
      <vt:variant>
        <vt:i4>0</vt:i4>
      </vt:variant>
      <vt:variant>
        <vt:i4>5</vt:i4>
      </vt:variant>
      <vt:variant>
        <vt:lpwstr>https://www.rebuild.nc.gov/resiliency/resilient-communities/rise/portfolio</vt:lpwstr>
      </vt:variant>
      <vt:variant>
        <vt:lpwstr/>
      </vt:variant>
      <vt:variant>
        <vt:i4>2031735</vt:i4>
      </vt:variant>
      <vt:variant>
        <vt:i4>1632</vt:i4>
      </vt:variant>
      <vt:variant>
        <vt:i4>0</vt:i4>
      </vt:variant>
      <vt:variant>
        <vt:i4>5</vt:i4>
      </vt:variant>
      <vt:variant>
        <vt:lpwstr>https://www.seattle.gov/documents/Departments/Environment/ClimateChange/SEAClimatePreparedness_August2017.pdf</vt:lpwstr>
      </vt:variant>
      <vt:variant>
        <vt:lpwstr/>
      </vt:variant>
      <vt:variant>
        <vt:i4>3604592</vt:i4>
      </vt:variant>
      <vt:variant>
        <vt:i4>1629</vt:i4>
      </vt:variant>
      <vt:variant>
        <vt:i4>0</vt:i4>
      </vt:variant>
      <vt:variant>
        <vt:i4>5</vt:i4>
      </vt:variant>
      <vt:variant>
        <vt:lpwstr>https://www.wpb.org/files/assets/city/v/1/sustainability/documents/draft-rethink-paradise-plan-2023.pdf</vt:lpwstr>
      </vt:variant>
      <vt:variant>
        <vt:lpwstr/>
      </vt:variant>
      <vt:variant>
        <vt:i4>5308418</vt:i4>
      </vt:variant>
      <vt:variant>
        <vt:i4>1626</vt:i4>
      </vt:variant>
      <vt:variant>
        <vt:i4>0</vt:i4>
      </vt:variant>
      <vt:variant>
        <vt:i4>5</vt:i4>
      </vt:variant>
      <vt:variant>
        <vt:lpwstr>https://climateresilience.ca.gov/</vt:lpwstr>
      </vt:variant>
      <vt:variant>
        <vt:lpwstr/>
      </vt:variant>
      <vt:variant>
        <vt:i4>8061042</vt:i4>
      </vt:variant>
      <vt:variant>
        <vt:i4>1623</vt:i4>
      </vt:variant>
      <vt:variant>
        <vt:i4>0</vt:i4>
      </vt:variant>
      <vt:variant>
        <vt:i4>5</vt:i4>
      </vt:variant>
      <vt:variant>
        <vt:lpwstr>https://www.cityofsantacruz.com/government/city-departments/city-manager/climate-action-program/climate-action-plan</vt:lpwstr>
      </vt:variant>
      <vt:variant>
        <vt:lpwstr/>
      </vt:variant>
      <vt:variant>
        <vt:i4>2359331</vt:i4>
      </vt:variant>
      <vt:variant>
        <vt:i4>1620</vt:i4>
      </vt:variant>
      <vt:variant>
        <vt:i4>0</vt:i4>
      </vt:variant>
      <vt:variant>
        <vt:i4>5</vt:i4>
      </vt:variant>
      <vt:variant>
        <vt:lpwstr>https://www.dutchessny.gov/Departments/Planning/Docs/eNews-JulySept2023-FromFloodingToDroughtBackAgain.pdf</vt:lpwstr>
      </vt:variant>
      <vt:variant>
        <vt:lpwstr/>
      </vt:variant>
      <vt:variant>
        <vt:i4>1638414</vt:i4>
      </vt:variant>
      <vt:variant>
        <vt:i4>1617</vt:i4>
      </vt:variant>
      <vt:variant>
        <vt:i4>0</vt:i4>
      </vt:variant>
      <vt:variant>
        <vt:i4>5</vt:i4>
      </vt:variant>
      <vt:variant>
        <vt:lpwstr>https://www.boston.gov/sites/default/files/file/2022/04/04212022_Boston Heat Resilience Plan_highres-with Appendix %281%29.pdf</vt:lpwstr>
      </vt:variant>
      <vt:variant>
        <vt:lpwstr>page=58</vt:lpwstr>
      </vt:variant>
      <vt:variant>
        <vt:i4>6291508</vt:i4>
      </vt:variant>
      <vt:variant>
        <vt:i4>1614</vt:i4>
      </vt:variant>
      <vt:variant>
        <vt:i4>0</vt:i4>
      </vt:variant>
      <vt:variant>
        <vt:i4>5</vt:i4>
      </vt:variant>
      <vt:variant>
        <vt:lpwstr>https://www.h-gac.com/getmedia/4a9d1f74-a43c-4279-8f82-f11da502e1e8/H-GAC-Resiliency-Pilot-Program-Final-Report.pdf</vt:lpwstr>
      </vt:variant>
      <vt:variant>
        <vt:lpwstr/>
      </vt:variant>
      <vt:variant>
        <vt:i4>4587589</vt:i4>
      </vt:variant>
      <vt:variant>
        <vt:i4>1611</vt:i4>
      </vt:variant>
      <vt:variant>
        <vt:i4>0</vt:i4>
      </vt:variant>
      <vt:variant>
        <vt:i4>5</vt:i4>
      </vt:variant>
      <vt:variant>
        <vt:lpwstr>https://design.umn.edu/center-sustainable-building-research/projects</vt:lpwstr>
      </vt:variant>
      <vt:variant>
        <vt:lpwstr/>
      </vt:variant>
      <vt:variant>
        <vt:i4>6225931</vt:i4>
      </vt:variant>
      <vt:variant>
        <vt:i4>1608</vt:i4>
      </vt:variant>
      <vt:variant>
        <vt:i4>0</vt:i4>
      </vt:variant>
      <vt:variant>
        <vt:i4>5</vt:i4>
      </vt:variant>
      <vt:variant>
        <vt:lpwstr>https://www.pca.state.mn.us/sites/default/files/p-gen4-17.pdf</vt:lpwstr>
      </vt:variant>
      <vt:variant>
        <vt:lpwstr/>
      </vt:variant>
      <vt:variant>
        <vt:i4>5373977</vt:i4>
      </vt:variant>
      <vt:variant>
        <vt:i4>1605</vt:i4>
      </vt:variant>
      <vt:variant>
        <vt:i4>0</vt:i4>
      </vt:variant>
      <vt:variant>
        <vt:i4>5</vt:i4>
      </vt:variant>
      <vt:variant>
        <vt:lpwstr>https://www.eqb.state.mn.us/sites/eqb/files/2024_eaw_climate_guidance_2.pdf</vt:lpwstr>
      </vt:variant>
      <vt:variant>
        <vt:lpwstr/>
      </vt:variant>
      <vt:variant>
        <vt:i4>3735605</vt:i4>
      </vt:variant>
      <vt:variant>
        <vt:i4>1602</vt:i4>
      </vt:variant>
      <vt:variant>
        <vt:i4>0</vt:i4>
      </vt:variant>
      <vt:variant>
        <vt:i4>5</vt:i4>
      </vt:variant>
      <vt:variant>
        <vt:lpwstr>https://www.21stcenturydevelopment.org/development-matrix/</vt:lpwstr>
      </vt:variant>
      <vt:variant>
        <vt:lpwstr/>
      </vt:variant>
      <vt:variant>
        <vt:i4>5505070</vt:i4>
      </vt:variant>
      <vt:variant>
        <vt:i4>1599</vt:i4>
      </vt:variant>
      <vt:variant>
        <vt:i4>0</vt:i4>
      </vt:variant>
      <vt:variant>
        <vt:i4>5</vt:i4>
      </vt:variant>
      <vt:variant>
        <vt:lpwstr>https://www.nibs.org/files/pdfs/NIBS_MMC_MitigationSaves_2019.pdf</vt:lpwstr>
      </vt:variant>
      <vt:variant>
        <vt:lpwstr/>
      </vt:variant>
      <vt:variant>
        <vt:i4>4849753</vt:i4>
      </vt:variant>
      <vt:variant>
        <vt:i4>1596</vt:i4>
      </vt:variant>
      <vt:variant>
        <vt:i4>0</vt:i4>
      </vt:variant>
      <vt:variant>
        <vt:i4>5</vt:i4>
      </vt:variant>
      <vt:variant>
        <vt:lpwstr>https://actions-database-demo.fernleafinteractive.com/action-hazard-asset</vt:lpwstr>
      </vt:variant>
      <vt:variant>
        <vt:lpwstr/>
      </vt:variant>
      <vt:variant>
        <vt:i4>3539011</vt:i4>
      </vt:variant>
      <vt:variant>
        <vt:i4>1593</vt:i4>
      </vt:variant>
      <vt:variant>
        <vt:i4>0</vt:i4>
      </vt:variant>
      <vt:variant>
        <vt:i4>5</vt:i4>
      </vt:variant>
      <vt:variant>
        <vt:lpwstr>https://heatactionplatform.onebillionresilient.org/?utm_source=Landing&amp;utm_medium=Social&amp;utm_campaign=HAP2&amp;utm_id=hap_2023</vt:lpwstr>
      </vt:variant>
      <vt:variant>
        <vt:lpwstr/>
      </vt:variant>
      <vt:variant>
        <vt:i4>1310784</vt:i4>
      </vt:variant>
      <vt:variant>
        <vt:i4>1590</vt:i4>
      </vt:variant>
      <vt:variant>
        <vt:i4>0</vt:i4>
      </vt:variant>
      <vt:variant>
        <vt:i4>5</vt:i4>
      </vt:variant>
      <vt:variant>
        <vt:lpwstr>https://www.epa.gov/arc-x/strategies-climate-change-adaptation</vt:lpwstr>
      </vt:variant>
      <vt:variant>
        <vt:lpwstr>all</vt:lpwstr>
      </vt:variant>
      <vt:variant>
        <vt:i4>8060966</vt:i4>
      </vt:variant>
      <vt:variant>
        <vt:i4>1560</vt:i4>
      </vt:variant>
      <vt:variant>
        <vt:i4>0</vt:i4>
      </vt:variant>
      <vt:variant>
        <vt:i4>5</vt:i4>
      </vt:variant>
      <vt:variant>
        <vt:lpwstr>https://www.epa.gov/warm</vt:lpwstr>
      </vt:variant>
      <vt:variant>
        <vt:lpwstr>:~:text=Waste%20Reduction%20Model%20%28WARM%29%20EPA%20created%20the%20Waste,economic%20impacts%20from%20several%20different%20waste%20management%20practices.</vt:lpwstr>
      </vt:variant>
      <vt:variant>
        <vt:i4>5898332</vt:i4>
      </vt:variant>
      <vt:variant>
        <vt:i4>1557</vt:i4>
      </vt:variant>
      <vt:variant>
        <vt:i4>0</vt:i4>
      </vt:variant>
      <vt:variant>
        <vt:i4>5</vt:i4>
      </vt:variant>
      <vt:variant>
        <vt:lpwstr>https://www.epa.gov/land-research/us-environmentally-extended-input-output-useeio-models</vt:lpwstr>
      </vt:variant>
      <vt:variant>
        <vt:lpwstr/>
      </vt:variant>
      <vt:variant>
        <vt:i4>1179678</vt:i4>
      </vt:variant>
      <vt:variant>
        <vt:i4>1554</vt:i4>
      </vt:variant>
      <vt:variant>
        <vt:i4>0</vt:i4>
      </vt:variant>
      <vt:variant>
        <vt:i4>5</vt:i4>
      </vt:variant>
      <vt:variant>
        <vt:lpwstr>https://www.transit.dot.gov/sites/fta.dot.gov/files/2021-04/FTA-GHG-Emissions-Estimator-v2-User-Guide.pdf</vt:lpwstr>
      </vt:variant>
      <vt:variant>
        <vt:lpwstr/>
      </vt:variant>
      <vt:variant>
        <vt:i4>7798832</vt:i4>
      </vt:variant>
      <vt:variant>
        <vt:i4>1551</vt:i4>
      </vt:variant>
      <vt:variant>
        <vt:i4>0</vt:i4>
      </vt:variant>
      <vt:variant>
        <vt:i4>5</vt:i4>
      </vt:variant>
      <vt:variant>
        <vt:lpwstr>https://www.apta.com/wp-content/uploads/Standards_Documents/APTA-SUDS-CC-RP-001-09_Rev-1.pdf</vt:lpwstr>
      </vt:variant>
      <vt:variant>
        <vt:lpwstr/>
      </vt:variant>
      <vt:variant>
        <vt:i4>4587599</vt:i4>
      </vt:variant>
      <vt:variant>
        <vt:i4>1548</vt:i4>
      </vt:variant>
      <vt:variant>
        <vt:i4>0</vt:i4>
      </vt:variant>
      <vt:variant>
        <vt:i4>5</vt:i4>
      </vt:variant>
      <vt:variant>
        <vt:lpwstr>https://www.openlca.org/</vt:lpwstr>
      </vt:variant>
      <vt:variant>
        <vt:lpwstr/>
      </vt:variant>
      <vt:variant>
        <vt:i4>2818105</vt:i4>
      </vt:variant>
      <vt:variant>
        <vt:i4>1545</vt:i4>
      </vt:variant>
      <vt:variant>
        <vt:i4>0</vt:i4>
      </vt:variant>
      <vt:variant>
        <vt:i4>5</vt:i4>
      </vt:variant>
      <vt:variant>
        <vt:lpwstr>https://oneclicklca.com/en-us/?hsCtaAttrib=206339519696</vt:lpwstr>
      </vt:variant>
      <vt:variant>
        <vt:lpwstr/>
      </vt:variant>
      <vt:variant>
        <vt:i4>4521999</vt:i4>
      </vt:variant>
      <vt:variant>
        <vt:i4>1542</vt:i4>
      </vt:variant>
      <vt:variant>
        <vt:i4>0</vt:i4>
      </vt:variant>
      <vt:variant>
        <vt:i4>5</vt:i4>
      </vt:variant>
      <vt:variant>
        <vt:lpwstr>https://www.dot.state.mn.us/sustainability/ghg-analysis.html</vt:lpwstr>
      </vt:variant>
      <vt:variant>
        <vt:lpwstr/>
      </vt:variant>
      <vt:variant>
        <vt:i4>3997797</vt:i4>
      </vt:variant>
      <vt:variant>
        <vt:i4>1539</vt:i4>
      </vt:variant>
      <vt:variant>
        <vt:i4>0</vt:i4>
      </vt:variant>
      <vt:variant>
        <vt:i4>5</vt:i4>
      </vt:variant>
      <vt:variant>
        <vt:lpwstr>https://www.fhwa.dot.gov/pavement/lcatool/</vt:lpwstr>
      </vt:variant>
      <vt:variant>
        <vt:lpwstr/>
      </vt:variant>
      <vt:variant>
        <vt:i4>3735649</vt:i4>
      </vt:variant>
      <vt:variant>
        <vt:i4>1536</vt:i4>
      </vt:variant>
      <vt:variant>
        <vt:i4>0</vt:i4>
      </vt:variant>
      <vt:variant>
        <vt:i4>5</vt:i4>
      </vt:variant>
      <vt:variant>
        <vt:lpwstr>https://www.itreetools.org/</vt:lpwstr>
      </vt:variant>
      <vt:variant>
        <vt:lpwstr/>
      </vt:variant>
      <vt:variant>
        <vt:i4>4194425</vt:i4>
      </vt:variant>
      <vt:variant>
        <vt:i4>1533</vt:i4>
      </vt:variant>
      <vt:variant>
        <vt:i4>0</vt:i4>
      </vt:variant>
      <vt:variant>
        <vt:i4>5</vt:i4>
      </vt:variant>
      <vt:variant>
        <vt:lpwstr>http://www.fhwa.dot.gov/environment/climate_change/mitigation/publications_</vt:lpwstr>
      </vt:variant>
      <vt:variant>
        <vt:lpwstr/>
      </vt:variant>
      <vt:variant>
        <vt:i4>3473519</vt:i4>
      </vt:variant>
      <vt:variant>
        <vt:i4>1530</vt:i4>
      </vt:variant>
      <vt:variant>
        <vt:i4>0</vt:i4>
      </vt:variant>
      <vt:variant>
        <vt:i4>5</vt:i4>
      </vt:variant>
      <vt:variant>
        <vt:lpwstr>https://calculatelca.com/software/impact-estimator/</vt:lpwstr>
      </vt:variant>
      <vt:variant>
        <vt:lpwstr/>
      </vt:variant>
      <vt:variant>
        <vt:i4>6881315</vt:i4>
      </vt:variant>
      <vt:variant>
        <vt:i4>1527</vt:i4>
      </vt:variant>
      <vt:variant>
        <vt:i4>0</vt:i4>
      </vt:variant>
      <vt:variant>
        <vt:i4>5</vt:i4>
      </vt:variant>
      <vt:variant>
        <vt:lpwstr>https://www.ccacoalition.org/projects/hfcville-interactive-application</vt:lpwstr>
      </vt:variant>
      <vt:variant>
        <vt:lpwstr/>
      </vt:variant>
      <vt:variant>
        <vt:i4>4259917</vt:i4>
      </vt:variant>
      <vt:variant>
        <vt:i4>1524</vt:i4>
      </vt:variant>
      <vt:variant>
        <vt:i4>0</vt:i4>
      </vt:variant>
      <vt:variant>
        <vt:i4>5</vt:i4>
      </vt:variant>
      <vt:variant>
        <vt:lpwstr>https://rosap.ntl.bts.gov/view/dot/50823</vt:lpwstr>
      </vt:variant>
      <vt:variant>
        <vt:lpwstr/>
      </vt:variant>
      <vt:variant>
        <vt:i4>3342364</vt:i4>
      </vt:variant>
      <vt:variant>
        <vt:i4>1521</vt:i4>
      </vt:variant>
      <vt:variant>
        <vt:i4>0</vt:i4>
      </vt:variant>
      <vt:variant>
        <vt:i4>5</vt:i4>
      </vt:variant>
      <vt:variant>
        <vt:lpwstr>https://www.airquality.org/ClimateChange/Documents/2024 Handbook Update_AB434.pdf</vt:lpwstr>
      </vt:variant>
      <vt:variant>
        <vt:lpwstr/>
      </vt:variant>
      <vt:variant>
        <vt:i4>2621482</vt:i4>
      </vt:variant>
      <vt:variant>
        <vt:i4>1518</vt:i4>
      </vt:variant>
      <vt:variant>
        <vt:i4>0</vt:i4>
      </vt:variant>
      <vt:variant>
        <vt:i4>5</vt:i4>
      </vt:variant>
      <vt:variant>
        <vt:lpwstr>https://greet.anl.gov/</vt:lpwstr>
      </vt:variant>
      <vt:variant>
        <vt:lpwstr/>
      </vt:variant>
      <vt:variant>
        <vt:i4>3211314</vt:i4>
      </vt:variant>
      <vt:variant>
        <vt:i4>1515</vt:i4>
      </vt:variant>
      <vt:variant>
        <vt:i4>0</vt:i4>
      </vt:variant>
      <vt:variant>
        <vt:i4>5</vt:i4>
      </vt:variant>
      <vt:variant>
        <vt:lpwstr>https://www.epa.gov/climateleadership/ghg-emission-factors-hub</vt:lpwstr>
      </vt:variant>
      <vt:variant>
        <vt:lpwstr/>
      </vt:variant>
      <vt:variant>
        <vt:i4>5308481</vt:i4>
      </vt:variant>
      <vt:variant>
        <vt:i4>1512</vt:i4>
      </vt:variant>
      <vt:variant>
        <vt:i4>0</vt:i4>
      </vt:variant>
      <vt:variant>
        <vt:i4>5</vt:i4>
      </vt:variant>
      <vt:variant>
        <vt:lpwstr>https://depts.washington.edu/fft/</vt:lpwstr>
      </vt:variant>
      <vt:variant>
        <vt:lpwstr/>
      </vt:variant>
      <vt:variant>
        <vt:i4>3342448</vt:i4>
      </vt:variant>
      <vt:variant>
        <vt:i4>1509</vt:i4>
      </vt:variant>
      <vt:variant>
        <vt:i4>0</vt:i4>
      </vt:variant>
      <vt:variant>
        <vt:i4>5</vt:i4>
      </vt:variant>
      <vt:variant>
        <vt:lpwstr>https://carbonleadershipforum.org/ec3-tool/</vt:lpwstr>
      </vt:variant>
      <vt:variant>
        <vt:lpwstr/>
      </vt:variant>
      <vt:variant>
        <vt:i4>8192124</vt:i4>
      </vt:variant>
      <vt:variant>
        <vt:i4>1506</vt:i4>
      </vt:variant>
      <vt:variant>
        <vt:i4>0</vt:i4>
      </vt:variant>
      <vt:variant>
        <vt:i4>5</vt:i4>
      </vt:variant>
      <vt:variant>
        <vt:lpwstr>https://web.ornl.gov/sci/buildings/tools/cool-roof/</vt:lpwstr>
      </vt:variant>
      <vt:variant>
        <vt:lpwstr/>
      </vt:variant>
      <vt:variant>
        <vt:i4>1441796</vt:i4>
      </vt:variant>
      <vt:variant>
        <vt:i4>1503</vt:i4>
      </vt:variant>
      <vt:variant>
        <vt:i4>0</vt:i4>
      </vt:variant>
      <vt:variant>
        <vt:i4>5</vt:i4>
      </vt:variant>
      <vt:variant>
        <vt:lpwstr>https://coolfarm.org/</vt:lpwstr>
      </vt:variant>
      <vt:variant>
        <vt:lpwstr/>
      </vt:variant>
      <vt:variant>
        <vt:i4>5373960</vt:i4>
      </vt:variant>
      <vt:variant>
        <vt:i4>1500</vt:i4>
      </vt:variant>
      <vt:variant>
        <vt:i4>0</vt:i4>
      </vt:variant>
      <vt:variant>
        <vt:i4>5</vt:i4>
      </vt:variant>
      <vt:variant>
        <vt:lpwstr>http://comet-planner.com/</vt:lpwstr>
      </vt:variant>
      <vt:variant>
        <vt:lpwstr/>
      </vt:variant>
      <vt:variant>
        <vt:i4>6815791</vt:i4>
      </vt:variant>
      <vt:variant>
        <vt:i4>1497</vt:i4>
      </vt:variant>
      <vt:variant>
        <vt:i4>0</vt:i4>
      </vt:variant>
      <vt:variant>
        <vt:i4>5</vt:i4>
      </vt:variant>
      <vt:variant>
        <vt:lpwstr>https://www.comet-farm.com/home</vt:lpwstr>
      </vt:variant>
      <vt:variant>
        <vt:lpwstr/>
      </vt:variant>
      <vt:variant>
        <vt:i4>3932220</vt:i4>
      </vt:variant>
      <vt:variant>
        <vt:i4>1494</vt:i4>
      </vt:variant>
      <vt:variant>
        <vt:i4>0</vt:i4>
      </vt:variant>
      <vt:variant>
        <vt:i4>5</vt:i4>
      </vt:variant>
      <vt:variant>
        <vt:lpwstr>https://ndcpartnership.org/knowledge-portal/climate-toolbox/clean-energy-emission-reduction-cleer-tool</vt:lpwstr>
      </vt:variant>
      <vt:variant>
        <vt:lpwstr/>
      </vt:variant>
      <vt:variant>
        <vt:i4>3014716</vt:i4>
      </vt:variant>
      <vt:variant>
        <vt:i4>1491</vt:i4>
      </vt:variant>
      <vt:variant>
        <vt:i4>0</vt:i4>
      </vt:variant>
      <vt:variant>
        <vt:i4>5</vt:i4>
      </vt:variant>
      <vt:variant>
        <vt:lpwstr>https://ww2.arb.ca.gov/resources/documents/california-climate-investments-quantification-benefits-and-reporting-materials?keywords=2025</vt:lpwstr>
      </vt:variant>
      <vt:variant>
        <vt:lpwstr/>
      </vt:variant>
      <vt:variant>
        <vt:i4>4915204</vt:i4>
      </vt:variant>
      <vt:variant>
        <vt:i4>1488</vt:i4>
      </vt:variant>
      <vt:variant>
        <vt:i4>0</vt:i4>
      </vt:variant>
      <vt:variant>
        <vt:i4>5</vt:i4>
      </vt:variant>
      <vt:variant>
        <vt:lpwstr>https://www.caleemod.com/</vt:lpwstr>
      </vt:variant>
      <vt:variant>
        <vt:lpwstr/>
      </vt:variant>
      <vt:variant>
        <vt:i4>5374033</vt:i4>
      </vt:variant>
      <vt:variant>
        <vt:i4>1485</vt:i4>
      </vt:variant>
      <vt:variant>
        <vt:i4>0</vt:i4>
      </vt:variant>
      <vt:variant>
        <vt:i4>5</vt:i4>
      </vt:variant>
      <vt:variant>
        <vt:lpwstr>https://www.epa.gov/avert</vt:lpwstr>
      </vt:variant>
      <vt:variant>
        <vt:lpwstr/>
      </vt:variant>
      <vt:variant>
        <vt:i4>2424930</vt:i4>
      </vt:variant>
      <vt:variant>
        <vt:i4>939</vt:i4>
      </vt:variant>
      <vt:variant>
        <vt:i4>0</vt:i4>
      </vt:variant>
      <vt:variant>
        <vt:i4>5</vt:i4>
      </vt:variant>
      <vt:variant>
        <vt:lpwstr>https://www.eia.gov/consumption/manufacturing/data/2018/</vt:lpwstr>
      </vt:variant>
      <vt:variant>
        <vt:lpwstr>r11</vt:lpwstr>
      </vt:variant>
      <vt:variant>
        <vt:i4>4718623</vt:i4>
      </vt:variant>
      <vt:variant>
        <vt:i4>936</vt:i4>
      </vt:variant>
      <vt:variant>
        <vt:i4>0</vt:i4>
      </vt:variant>
      <vt:variant>
        <vt:i4>5</vt:i4>
      </vt:variant>
      <vt:variant>
        <vt:lpwstr>https://www.eia.gov/consumption/commercial/data/2018/</vt:lpwstr>
      </vt:variant>
      <vt:variant>
        <vt:lpwstr/>
      </vt:variant>
      <vt:variant>
        <vt:i4>7733355</vt:i4>
      </vt:variant>
      <vt:variant>
        <vt:i4>933</vt:i4>
      </vt:variant>
      <vt:variant>
        <vt:i4>0</vt:i4>
      </vt:variant>
      <vt:variant>
        <vt:i4>5</vt:i4>
      </vt:variant>
      <vt:variant>
        <vt:lpwstr>https://www.eia.gov/consumption/residential/data/2020/</vt:lpwstr>
      </vt:variant>
      <vt:variant>
        <vt:lpwstr/>
      </vt:variant>
      <vt:variant>
        <vt:i4>2556008</vt:i4>
      </vt:variant>
      <vt:variant>
        <vt:i4>465</vt:i4>
      </vt:variant>
      <vt:variant>
        <vt:i4>0</vt:i4>
      </vt:variant>
      <vt:variant>
        <vt:i4>5</vt:i4>
      </vt:variant>
      <vt:variant>
        <vt:lpwstr>https://www.travelmath.com/</vt:lpwstr>
      </vt:variant>
      <vt:variant>
        <vt:lpwstr/>
      </vt:variant>
      <vt:variant>
        <vt:i4>6291512</vt:i4>
      </vt:variant>
      <vt:variant>
        <vt:i4>429</vt:i4>
      </vt:variant>
      <vt:variant>
        <vt:i4>0</vt:i4>
      </vt:variant>
      <vt:variant>
        <vt:i4>5</vt:i4>
      </vt:variant>
      <vt:variant>
        <vt:lpwstr>https://www.glassmagazine.com/article/world-glass-2022-report</vt:lpwstr>
      </vt:variant>
      <vt:variant>
        <vt:lpwstr>:~:text=The%20strain%20on%20domestic%20supply,to%20China's%20continued%20COVID%20lockdowns.</vt:lpwstr>
      </vt:variant>
      <vt:variant>
        <vt:i4>7012406</vt:i4>
      </vt:variant>
      <vt:variant>
        <vt:i4>426</vt:i4>
      </vt:variant>
      <vt:variant>
        <vt:i4>0</vt:i4>
      </vt:variant>
      <vt:variant>
        <vt:i4>5</vt:i4>
      </vt:variant>
      <vt:variant>
        <vt:lpwstr>https://www.asphaltpavement.org/uploads/documents/Buy_America_Impacts_on_Asphalt.pdf</vt:lpwstr>
      </vt:variant>
      <vt:variant>
        <vt:lpwstr/>
      </vt:variant>
      <vt:variant>
        <vt:i4>4128889</vt:i4>
      </vt:variant>
      <vt:variant>
        <vt:i4>261</vt:i4>
      </vt:variant>
      <vt:variant>
        <vt:i4>0</vt:i4>
      </vt:variant>
      <vt:variant>
        <vt:i4>5</vt:i4>
      </vt:variant>
      <vt:variant>
        <vt:lpwstr>https://www.revisor.mn.gov/rules/4410.4300/</vt:lpwstr>
      </vt:variant>
      <vt:variant>
        <vt:lpwstr/>
      </vt:variant>
      <vt:variant>
        <vt:i4>4128889</vt:i4>
      </vt:variant>
      <vt:variant>
        <vt:i4>249</vt:i4>
      </vt:variant>
      <vt:variant>
        <vt:i4>0</vt:i4>
      </vt:variant>
      <vt:variant>
        <vt:i4>5</vt:i4>
      </vt:variant>
      <vt:variant>
        <vt:lpwstr>https://www.revisor.mn.gov/rules/4410.4300/</vt:lpwstr>
      </vt:variant>
      <vt:variant>
        <vt:lpwstr/>
      </vt:variant>
      <vt:variant>
        <vt:i4>1900606</vt:i4>
      </vt:variant>
      <vt:variant>
        <vt:i4>242</vt:i4>
      </vt:variant>
      <vt:variant>
        <vt:i4>0</vt:i4>
      </vt:variant>
      <vt:variant>
        <vt:i4>5</vt:i4>
      </vt:variant>
      <vt:variant>
        <vt:lpwstr/>
      </vt:variant>
      <vt:variant>
        <vt:lpwstr>_Toc199247262</vt:lpwstr>
      </vt:variant>
      <vt:variant>
        <vt:i4>1900606</vt:i4>
      </vt:variant>
      <vt:variant>
        <vt:i4>236</vt:i4>
      </vt:variant>
      <vt:variant>
        <vt:i4>0</vt:i4>
      </vt:variant>
      <vt:variant>
        <vt:i4>5</vt:i4>
      </vt:variant>
      <vt:variant>
        <vt:lpwstr/>
      </vt:variant>
      <vt:variant>
        <vt:lpwstr>_Toc199247261</vt:lpwstr>
      </vt:variant>
      <vt:variant>
        <vt:i4>1900606</vt:i4>
      </vt:variant>
      <vt:variant>
        <vt:i4>230</vt:i4>
      </vt:variant>
      <vt:variant>
        <vt:i4>0</vt:i4>
      </vt:variant>
      <vt:variant>
        <vt:i4>5</vt:i4>
      </vt:variant>
      <vt:variant>
        <vt:lpwstr/>
      </vt:variant>
      <vt:variant>
        <vt:lpwstr>_Toc199247260</vt:lpwstr>
      </vt:variant>
      <vt:variant>
        <vt:i4>1966142</vt:i4>
      </vt:variant>
      <vt:variant>
        <vt:i4>224</vt:i4>
      </vt:variant>
      <vt:variant>
        <vt:i4>0</vt:i4>
      </vt:variant>
      <vt:variant>
        <vt:i4>5</vt:i4>
      </vt:variant>
      <vt:variant>
        <vt:lpwstr/>
      </vt:variant>
      <vt:variant>
        <vt:lpwstr>_Toc199247259</vt:lpwstr>
      </vt:variant>
      <vt:variant>
        <vt:i4>1966142</vt:i4>
      </vt:variant>
      <vt:variant>
        <vt:i4>218</vt:i4>
      </vt:variant>
      <vt:variant>
        <vt:i4>0</vt:i4>
      </vt:variant>
      <vt:variant>
        <vt:i4>5</vt:i4>
      </vt:variant>
      <vt:variant>
        <vt:lpwstr/>
      </vt:variant>
      <vt:variant>
        <vt:lpwstr>_Toc199247258</vt:lpwstr>
      </vt:variant>
      <vt:variant>
        <vt:i4>1966142</vt:i4>
      </vt:variant>
      <vt:variant>
        <vt:i4>212</vt:i4>
      </vt:variant>
      <vt:variant>
        <vt:i4>0</vt:i4>
      </vt:variant>
      <vt:variant>
        <vt:i4>5</vt:i4>
      </vt:variant>
      <vt:variant>
        <vt:lpwstr/>
      </vt:variant>
      <vt:variant>
        <vt:lpwstr>_Toc199247257</vt:lpwstr>
      </vt:variant>
      <vt:variant>
        <vt:i4>1966142</vt:i4>
      </vt:variant>
      <vt:variant>
        <vt:i4>206</vt:i4>
      </vt:variant>
      <vt:variant>
        <vt:i4>0</vt:i4>
      </vt:variant>
      <vt:variant>
        <vt:i4>5</vt:i4>
      </vt:variant>
      <vt:variant>
        <vt:lpwstr/>
      </vt:variant>
      <vt:variant>
        <vt:lpwstr>_Toc199247256</vt:lpwstr>
      </vt:variant>
      <vt:variant>
        <vt:i4>1966142</vt:i4>
      </vt:variant>
      <vt:variant>
        <vt:i4>200</vt:i4>
      </vt:variant>
      <vt:variant>
        <vt:i4>0</vt:i4>
      </vt:variant>
      <vt:variant>
        <vt:i4>5</vt:i4>
      </vt:variant>
      <vt:variant>
        <vt:lpwstr/>
      </vt:variant>
      <vt:variant>
        <vt:lpwstr>_Toc199247255</vt:lpwstr>
      </vt:variant>
      <vt:variant>
        <vt:i4>1966142</vt:i4>
      </vt:variant>
      <vt:variant>
        <vt:i4>194</vt:i4>
      </vt:variant>
      <vt:variant>
        <vt:i4>0</vt:i4>
      </vt:variant>
      <vt:variant>
        <vt:i4>5</vt:i4>
      </vt:variant>
      <vt:variant>
        <vt:lpwstr/>
      </vt:variant>
      <vt:variant>
        <vt:lpwstr>_Toc199247254</vt:lpwstr>
      </vt:variant>
      <vt:variant>
        <vt:i4>1966142</vt:i4>
      </vt:variant>
      <vt:variant>
        <vt:i4>188</vt:i4>
      </vt:variant>
      <vt:variant>
        <vt:i4>0</vt:i4>
      </vt:variant>
      <vt:variant>
        <vt:i4>5</vt:i4>
      </vt:variant>
      <vt:variant>
        <vt:lpwstr/>
      </vt:variant>
      <vt:variant>
        <vt:lpwstr>_Toc199247253</vt:lpwstr>
      </vt:variant>
      <vt:variant>
        <vt:i4>1966142</vt:i4>
      </vt:variant>
      <vt:variant>
        <vt:i4>182</vt:i4>
      </vt:variant>
      <vt:variant>
        <vt:i4>0</vt:i4>
      </vt:variant>
      <vt:variant>
        <vt:i4>5</vt:i4>
      </vt:variant>
      <vt:variant>
        <vt:lpwstr/>
      </vt:variant>
      <vt:variant>
        <vt:lpwstr>_Toc199247252</vt:lpwstr>
      </vt:variant>
      <vt:variant>
        <vt:i4>1966142</vt:i4>
      </vt:variant>
      <vt:variant>
        <vt:i4>176</vt:i4>
      </vt:variant>
      <vt:variant>
        <vt:i4>0</vt:i4>
      </vt:variant>
      <vt:variant>
        <vt:i4>5</vt:i4>
      </vt:variant>
      <vt:variant>
        <vt:lpwstr/>
      </vt:variant>
      <vt:variant>
        <vt:lpwstr>_Toc199247251</vt:lpwstr>
      </vt:variant>
      <vt:variant>
        <vt:i4>1966142</vt:i4>
      </vt:variant>
      <vt:variant>
        <vt:i4>170</vt:i4>
      </vt:variant>
      <vt:variant>
        <vt:i4>0</vt:i4>
      </vt:variant>
      <vt:variant>
        <vt:i4>5</vt:i4>
      </vt:variant>
      <vt:variant>
        <vt:lpwstr/>
      </vt:variant>
      <vt:variant>
        <vt:lpwstr>_Toc199247250</vt:lpwstr>
      </vt:variant>
      <vt:variant>
        <vt:i4>2031678</vt:i4>
      </vt:variant>
      <vt:variant>
        <vt:i4>164</vt:i4>
      </vt:variant>
      <vt:variant>
        <vt:i4>0</vt:i4>
      </vt:variant>
      <vt:variant>
        <vt:i4>5</vt:i4>
      </vt:variant>
      <vt:variant>
        <vt:lpwstr/>
      </vt:variant>
      <vt:variant>
        <vt:lpwstr>_Toc199247249</vt:lpwstr>
      </vt:variant>
      <vt:variant>
        <vt:i4>2031678</vt:i4>
      </vt:variant>
      <vt:variant>
        <vt:i4>158</vt:i4>
      </vt:variant>
      <vt:variant>
        <vt:i4>0</vt:i4>
      </vt:variant>
      <vt:variant>
        <vt:i4>5</vt:i4>
      </vt:variant>
      <vt:variant>
        <vt:lpwstr/>
      </vt:variant>
      <vt:variant>
        <vt:lpwstr>_Toc199247248</vt:lpwstr>
      </vt:variant>
      <vt:variant>
        <vt:i4>2031678</vt:i4>
      </vt:variant>
      <vt:variant>
        <vt:i4>152</vt:i4>
      </vt:variant>
      <vt:variant>
        <vt:i4>0</vt:i4>
      </vt:variant>
      <vt:variant>
        <vt:i4>5</vt:i4>
      </vt:variant>
      <vt:variant>
        <vt:lpwstr/>
      </vt:variant>
      <vt:variant>
        <vt:lpwstr>_Toc199247247</vt:lpwstr>
      </vt:variant>
      <vt:variant>
        <vt:i4>2031678</vt:i4>
      </vt:variant>
      <vt:variant>
        <vt:i4>146</vt:i4>
      </vt:variant>
      <vt:variant>
        <vt:i4>0</vt:i4>
      </vt:variant>
      <vt:variant>
        <vt:i4>5</vt:i4>
      </vt:variant>
      <vt:variant>
        <vt:lpwstr/>
      </vt:variant>
      <vt:variant>
        <vt:lpwstr>_Toc199247246</vt:lpwstr>
      </vt:variant>
      <vt:variant>
        <vt:i4>2031678</vt:i4>
      </vt:variant>
      <vt:variant>
        <vt:i4>140</vt:i4>
      </vt:variant>
      <vt:variant>
        <vt:i4>0</vt:i4>
      </vt:variant>
      <vt:variant>
        <vt:i4>5</vt:i4>
      </vt:variant>
      <vt:variant>
        <vt:lpwstr/>
      </vt:variant>
      <vt:variant>
        <vt:lpwstr>_Toc199247245</vt:lpwstr>
      </vt:variant>
      <vt:variant>
        <vt:i4>2031678</vt:i4>
      </vt:variant>
      <vt:variant>
        <vt:i4>134</vt:i4>
      </vt:variant>
      <vt:variant>
        <vt:i4>0</vt:i4>
      </vt:variant>
      <vt:variant>
        <vt:i4>5</vt:i4>
      </vt:variant>
      <vt:variant>
        <vt:lpwstr/>
      </vt:variant>
      <vt:variant>
        <vt:lpwstr>_Toc199247244</vt:lpwstr>
      </vt:variant>
      <vt:variant>
        <vt:i4>2031678</vt:i4>
      </vt:variant>
      <vt:variant>
        <vt:i4>128</vt:i4>
      </vt:variant>
      <vt:variant>
        <vt:i4>0</vt:i4>
      </vt:variant>
      <vt:variant>
        <vt:i4>5</vt:i4>
      </vt:variant>
      <vt:variant>
        <vt:lpwstr/>
      </vt:variant>
      <vt:variant>
        <vt:lpwstr>_Toc199247243</vt:lpwstr>
      </vt:variant>
      <vt:variant>
        <vt:i4>2031678</vt:i4>
      </vt:variant>
      <vt:variant>
        <vt:i4>122</vt:i4>
      </vt:variant>
      <vt:variant>
        <vt:i4>0</vt:i4>
      </vt:variant>
      <vt:variant>
        <vt:i4>5</vt:i4>
      </vt:variant>
      <vt:variant>
        <vt:lpwstr/>
      </vt:variant>
      <vt:variant>
        <vt:lpwstr>_Toc199247242</vt:lpwstr>
      </vt:variant>
      <vt:variant>
        <vt:i4>2031678</vt:i4>
      </vt:variant>
      <vt:variant>
        <vt:i4>116</vt:i4>
      </vt:variant>
      <vt:variant>
        <vt:i4>0</vt:i4>
      </vt:variant>
      <vt:variant>
        <vt:i4>5</vt:i4>
      </vt:variant>
      <vt:variant>
        <vt:lpwstr/>
      </vt:variant>
      <vt:variant>
        <vt:lpwstr>_Toc199247241</vt:lpwstr>
      </vt:variant>
      <vt:variant>
        <vt:i4>2031678</vt:i4>
      </vt:variant>
      <vt:variant>
        <vt:i4>110</vt:i4>
      </vt:variant>
      <vt:variant>
        <vt:i4>0</vt:i4>
      </vt:variant>
      <vt:variant>
        <vt:i4>5</vt:i4>
      </vt:variant>
      <vt:variant>
        <vt:lpwstr/>
      </vt:variant>
      <vt:variant>
        <vt:lpwstr>_Toc199247240</vt:lpwstr>
      </vt:variant>
      <vt:variant>
        <vt:i4>1572926</vt:i4>
      </vt:variant>
      <vt:variant>
        <vt:i4>104</vt:i4>
      </vt:variant>
      <vt:variant>
        <vt:i4>0</vt:i4>
      </vt:variant>
      <vt:variant>
        <vt:i4>5</vt:i4>
      </vt:variant>
      <vt:variant>
        <vt:lpwstr/>
      </vt:variant>
      <vt:variant>
        <vt:lpwstr>_Toc199247239</vt:lpwstr>
      </vt:variant>
      <vt:variant>
        <vt:i4>1572926</vt:i4>
      </vt:variant>
      <vt:variant>
        <vt:i4>98</vt:i4>
      </vt:variant>
      <vt:variant>
        <vt:i4>0</vt:i4>
      </vt:variant>
      <vt:variant>
        <vt:i4>5</vt:i4>
      </vt:variant>
      <vt:variant>
        <vt:lpwstr/>
      </vt:variant>
      <vt:variant>
        <vt:lpwstr>_Toc199247238</vt:lpwstr>
      </vt:variant>
      <vt:variant>
        <vt:i4>1572926</vt:i4>
      </vt:variant>
      <vt:variant>
        <vt:i4>92</vt:i4>
      </vt:variant>
      <vt:variant>
        <vt:i4>0</vt:i4>
      </vt:variant>
      <vt:variant>
        <vt:i4>5</vt:i4>
      </vt:variant>
      <vt:variant>
        <vt:lpwstr/>
      </vt:variant>
      <vt:variant>
        <vt:lpwstr>_Toc199247237</vt:lpwstr>
      </vt:variant>
      <vt:variant>
        <vt:i4>1572926</vt:i4>
      </vt:variant>
      <vt:variant>
        <vt:i4>86</vt:i4>
      </vt:variant>
      <vt:variant>
        <vt:i4>0</vt:i4>
      </vt:variant>
      <vt:variant>
        <vt:i4>5</vt:i4>
      </vt:variant>
      <vt:variant>
        <vt:lpwstr/>
      </vt:variant>
      <vt:variant>
        <vt:lpwstr>_Toc199247236</vt:lpwstr>
      </vt:variant>
      <vt:variant>
        <vt:i4>1572926</vt:i4>
      </vt:variant>
      <vt:variant>
        <vt:i4>80</vt:i4>
      </vt:variant>
      <vt:variant>
        <vt:i4>0</vt:i4>
      </vt:variant>
      <vt:variant>
        <vt:i4>5</vt:i4>
      </vt:variant>
      <vt:variant>
        <vt:lpwstr/>
      </vt:variant>
      <vt:variant>
        <vt:lpwstr>_Toc199247235</vt:lpwstr>
      </vt:variant>
      <vt:variant>
        <vt:i4>1572926</vt:i4>
      </vt:variant>
      <vt:variant>
        <vt:i4>74</vt:i4>
      </vt:variant>
      <vt:variant>
        <vt:i4>0</vt:i4>
      </vt:variant>
      <vt:variant>
        <vt:i4>5</vt:i4>
      </vt:variant>
      <vt:variant>
        <vt:lpwstr/>
      </vt:variant>
      <vt:variant>
        <vt:lpwstr>_Toc199247234</vt:lpwstr>
      </vt:variant>
      <vt:variant>
        <vt:i4>1572926</vt:i4>
      </vt:variant>
      <vt:variant>
        <vt:i4>68</vt:i4>
      </vt:variant>
      <vt:variant>
        <vt:i4>0</vt:i4>
      </vt:variant>
      <vt:variant>
        <vt:i4>5</vt:i4>
      </vt:variant>
      <vt:variant>
        <vt:lpwstr/>
      </vt:variant>
      <vt:variant>
        <vt:lpwstr>_Toc199247233</vt:lpwstr>
      </vt:variant>
      <vt:variant>
        <vt:i4>1572926</vt:i4>
      </vt:variant>
      <vt:variant>
        <vt:i4>62</vt:i4>
      </vt:variant>
      <vt:variant>
        <vt:i4>0</vt:i4>
      </vt:variant>
      <vt:variant>
        <vt:i4>5</vt:i4>
      </vt:variant>
      <vt:variant>
        <vt:lpwstr/>
      </vt:variant>
      <vt:variant>
        <vt:lpwstr>_Toc199247232</vt:lpwstr>
      </vt:variant>
      <vt:variant>
        <vt:i4>1572926</vt:i4>
      </vt:variant>
      <vt:variant>
        <vt:i4>56</vt:i4>
      </vt:variant>
      <vt:variant>
        <vt:i4>0</vt:i4>
      </vt:variant>
      <vt:variant>
        <vt:i4>5</vt:i4>
      </vt:variant>
      <vt:variant>
        <vt:lpwstr/>
      </vt:variant>
      <vt:variant>
        <vt:lpwstr>_Toc199247231</vt:lpwstr>
      </vt:variant>
      <vt:variant>
        <vt:i4>1572926</vt:i4>
      </vt:variant>
      <vt:variant>
        <vt:i4>50</vt:i4>
      </vt:variant>
      <vt:variant>
        <vt:i4>0</vt:i4>
      </vt:variant>
      <vt:variant>
        <vt:i4>5</vt:i4>
      </vt:variant>
      <vt:variant>
        <vt:lpwstr/>
      </vt:variant>
      <vt:variant>
        <vt:lpwstr>_Toc199247230</vt:lpwstr>
      </vt:variant>
      <vt:variant>
        <vt:i4>1638462</vt:i4>
      </vt:variant>
      <vt:variant>
        <vt:i4>44</vt:i4>
      </vt:variant>
      <vt:variant>
        <vt:i4>0</vt:i4>
      </vt:variant>
      <vt:variant>
        <vt:i4>5</vt:i4>
      </vt:variant>
      <vt:variant>
        <vt:lpwstr/>
      </vt:variant>
      <vt:variant>
        <vt:lpwstr>_Toc199247229</vt:lpwstr>
      </vt:variant>
      <vt:variant>
        <vt:i4>1638462</vt:i4>
      </vt:variant>
      <vt:variant>
        <vt:i4>38</vt:i4>
      </vt:variant>
      <vt:variant>
        <vt:i4>0</vt:i4>
      </vt:variant>
      <vt:variant>
        <vt:i4>5</vt:i4>
      </vt:variant>
      <vt:variant>
        <vt:lpwstr/>
      </vt:variant>
      <vt:variant>
        <vt:lpwstr>_Toc199247228</vt:lpwstr>
      </vt:variant>
      <vt:variant>
        <vt:i4>1638462</vt:i4>
      </vt:variant>
      <vt:variant>
        <vt:i4>32</vt:i4>
      </vt:variant>
      <vt:variant>
        <vt:i4>0</vt:i4>
      </vt:variant>
      <vt:variant>
        <vt:i4>5</vt:i4>
      </vt:variant>
      <vt:variant>
        <vt:lpwstr/>
      </vt:variant>
      <vt:variant>
        <vt:lpwstr>_Toc199247227</vt:lpwstr>
      </vt:variant>
      <vt:variant>
        <vt:i4>1638462</vt:i4>
      </vt:variant>
      <vt:variant>
        <vt:i4>26</vt:i4>
      </vt:variant>
      <vt:variant>
        <vt:i4>0</vt:i4>
      </vt:variant>
      <vt:variant>
        <vt:i4>5</vt:i4>
      </vt:variant>
      <vt:variant>
        <vt:lpwstr/>
      </vt:variant>
      <vt:variant>
        <vt:lpwstr>_Toc199247226</vt:lpwstr>
      </vt:variant>
      <vt:variant>
        <vt:i4>1638462</vt:i4>
      </vt:variant>
      <vt:variant>
        <vt:i4>20</vt:i4>
      </vt:variant>
      <vt:variant>
        <vt:i4>0</vt:i4>
      </vt:variant>
      <vt:variant>
        <vt:i4>5</vt:i4>
      </vt:variant>
      <vt:variant>
        <vt:lpwstr/>
      </vt:variant>
      <vt:variant>
        <vt:lpwstr>_Toc199247225</vt:lpwstr>
      </vt:variant>
      <vt:variant>
        <vt:i4>1638462</vt:i4>
      </vt:variant>
      <vt:variant>
        <vt:i4>14</vt:i4>
      </vt:variant>
      <vt:variant>
        <vt:i4>0</vt:i4>
      </vt:variant>
      <vt:variant>
        <vt:i4>5</vt:i4>
      </vt:variant>
      <vt:variant>
        <vt:lpwstr/>
      </vt:variant>
      <vt:variant>
        <vt:lpwstr>_Toc199247224</vt:lpwstr>
      </vt:variant>
      <vt:variant>
        <vt:i4>1638462</vt:i4>
      </vt:variant>
      <vt:variant>
        <vt:i4>8</vt:i4>
      </vt:variant>
      <vt:variant>
        <vt:i4>0</vt:i4>
      </vt:variant>
      <vt:variant>
        <vt:i4>5</vt:i4>
      </vt:variant>
      <vt:variant>
        <vt:lpwstr/>
      </vt:variant>
      <vt:variant>
        <vt:lpwstr>_Toc199247223</vt:lpwstr>
      </vt:variant>
      <vt:variant>
        <vt:i4>1638462</vt:i4>
      </vt:variant>
      <vt:variant>
        <vt:i4>2</vt:i4>
      </vt:variant>
      <vt:variant>
        <vt:i4>0</vt:i4>
      </vt:variant>
      <vt:variant>
        <vt:i4>5</vt:i4>
      </vt:variant>
      <vt:variant>
        <vt:lpwstr/>
      </vt:variant>
      <vt:variant>
        <vt:lpwstr>_Toc199247222</vt:lpwstr>
      </vt:variant>
      <vt:variant>
        <vt:i4>7995439</vt:i4>
      </vt:variant>
      <vt:variant>
        <vt:i4>393</vt:i4>
      </vt:variant>
      <vt:variant>
        <vt:i4>0</vt:i4>
      </vt:variant>
      <vt:variant>
        <vt:i4>5</vt:i4>
      </vt:variant>
      <vt:variant>
        <vt:lpwstr>https://www.epa.gov/energy/greenhouse-gas-equivalencies-calculator-calculations-and-references</vt:lpwstr>
      </vt:variant>
      <vt:variant>
        <vt:lpwstr/>
      </vt:variant>
      <vt:variant>
        <vt:i4>8323126</vt:i4>
      </vt:variant>
      <vt:variant>
        <vt:i4>390</vt:i4>
      </vt:variant>
      <vt:variant>
        <vt:i4>0</vt:i4>
      </vt:variant>
      <vt:variant>
        <vt:i4>5</vt:i4>
      </vt:variant>
      <vt:variant>
        <vt:lpwstr>https://greet.anl.gov/greet_excel_model.models</vt:lpwstr>
      </vt:variant>
      <vt:variant>
        <vt:lpwstr/>
      </vt:variant>
      <vt:variant>
        <vt:i4>262239</vt:i4>
      </vt:variant>
      <vt:variant>
        <vt:i4>387</vt:i4>
      </vt:variant>
      <vt:variant>
        <vt:i4>0</vt:i4>
      </vt:variant>
      <vt:variant>
        <vt:i4>5</vt:i4>
      </vt:variant>
      <vt:variant>
        <vt:lpwstr>https://www.otpsustainability.com/media/edfeocny/2023-esg-report.pdf</vt:lpwstr>
      </vt:variant>
      <vt:variant>
        <vt:lpwstr/>
      </vt:variant>
      <vt:variant>
        <vt:i4>8323126</vt:i4>
      </vt:variant>
      <vt:variant>
        <vt:i4>384</vt:i4>
      </vt:variant>
      <vt:variant>
        <vt:i4>0</vt:i4>
      </vt:variant>
      <vt:variant>
        <vt:i4>5</vt:i4>
      </vt:variant>
      <vt:variant>
        <vt:lpwstr>https://greet.anl.gov/greet_excel_model.models</vt:lpwstr>
      </vt:variant>
      <vt:variant>
        <vt:lpwstr/>
      </vt:variant>
      <vt:variant>
        <vt:i4>3997751</vt:i4>
      </vt:variant>
      <vt:variant>
        <vt:i4>381</vt:i4>
      </vt:variant>
      <vt:variant>
        <vt:i4>0</vt:i4>
      </vt:variant>
      <vt:variant>
        <vt:i4>5</vt:i4>
      </vt:variant>
      <vt:variant>
        <vt:lpwstr>https://greatriverenergy.com/wp-content/uploads/2023/04/2023-37-IRP-One-pager-FINAL.pdf</vt:lpwstr>
      </vt:variant>
      <vt:variant>
        <vt:lpwstr/>
      </vt:variant>
      <vt:variant>
        <vt:i4>262156</vt:i4>
      </vt:variant>
      <vt:variant>
        <vt:i4>378</vt:i4>
      </vt:variant>
      <vt:variant>
        <vt:i4>0</vt:i4>
      </vt:variant>
      <vt:variant>
        <vt:i4>5</vt:i4>
      </vt:variant>
      <vt:variant>
        <vt:lpwstr>https://greatriverenergy.com/electricity-sources/</vt:lpwstr>
      </vt:variant>
      <vt:variant>
        <vt:lpwstr/>
      </vt:variant>
      <vt:variant>
        <vt:i4>8323126</vt:i4>
      </vt:variant>
      <vt:variant>
        <vt:i4>375</vt:i4>
      </vt:variant>
      <vt:variant>
        <vt:i4>0</vt:i4>
      </vt:variant>
      <vt:variant>
        <vt:i4>5</vt:i4>
      </vt:variant>
      <vt:variant>
        <vt:lpwstr>https://greet.anl.gov/greet_excel_model.models</vt:lpwstr>
      </vt:variant>
      <vt:variant>
        <vt:lpwstr/>
      </vt:variant>
      <vt:variant>
        <vt:i4>4063345</vt:i4>
      </vt:variant>
      <vt:variant>
        <vt:i4>372</vt:i4>
      </vt:variant>
      <vt:variant>
        <vt:i4>0</vt:i4>
      </vt:variant>
      <vt:variant>
        <vt:i4>5</vt:i4>
      </vt:variant>
      <vt:variant>
        <vt:lpwstr>https://www.edockets.state.mn.us/documents/%7BA0446195-0000-C339-B88F-8CE00FEBADAA%7D/download</vt:lpwstr>
      </vt:variant>
      <vt:variant>
        <vt:lpwstr/>
      </vt:variant>
      <vt:variant>
        <vt:i4>8323126</vt:i4>
      </vt:variant>
      <vt:variant>
        <vt:i4>369</vt:i4>
      </vt:variant>
      <vt:variant>
        <vt:i4>0</vt:i4>
      </vt:variant>
      <vt:variant>
        <vt:i4>5</vt:i4>
      </vt:variant>
      <vt:variant>
        <vt:lpwstr>https://greet.anl.gov/greet_excel_model.models</vt:lpwstr>
      </vt:variant>
      <vt:variant>
        <vt:lpwstr/>
      </vt:variant>
      <vt:variant>
        <vt:i4>6029386</vt:i4>
      </vt:variant>
      <vt:variant>
        <vt:i4>366</vt:i4>
      </vt:variant>
      <vt:variant>
        <vt:i4>0</vt:i4>
      </vt:variant>
      <vt:variant>
        <vt:i4>5</vt:i4>
      </vt:variant>
      <vt:variant>
        <vt:lpwstr>https://mn.gov/puc/activities/economic-analysis/planning/xcel-energy-irp/</vt:lpwstr>
      </vt:variant>
      <vt:variant>
        <vt:lpwstr/>
      </vt:variant>
      <vt:variant>
        <vt:i4>7733282</vt:i4>
      </vt:variant>
      <vt:variant>
        <vt:i4>363</vt:i4>
      </vt:variant>
      <vt:variant>
        <vt:i4>0</vt:i4>
      </vt:variant>
      <vt:variant>
        <vt:i4>5</vt:i4>
      </vt:variant>
      <vt:variant>
        <vt:lpwstr>https://www.revisor.mn.gov/statutes/cite/216b.1691</vt:lpwstr>
      </vt:variant>
      <vt:variant>
        <vt:lpwstr/>
      </vt:variant>
      <vt:variant>
        <vt:i4>8323126</vt:i4>
      </vt:variant>
      <vt:variant>
        <vt:i4>360</vt:i4>
      </vt:variant>
      <vt:variant>
        <vt:i4>0</vt:i4>
      </vt:variant>
      <vt:variant>
        <vt:i4>5</vt:i4>
      </vt:variant>
      <vt:variant>
        <vt:lpwstr>https://greet.anl.gov/greet_excel_model.models</vt:lpwstr>
      </vt:variant>
      <vt:variant>
        <vt:lpwstr/>
      </vt:variant>
      <vt:variant>
        <vt:i4>8323126</vt:i4>
      </vt:variant>
      <vt:variant>
        <vt:i4>357</vt:i4>
      </vt:variant>
      <vt:variant>
        <vt:i4>0</vt:i4>
      </vt:variant>
      <vt:variant>
        <vt:i4>5</vt:i4>
      </vt:variant>
      <vt:variant>
        <vt:lpwstr>https://greet.anl.gov/greet_excel_model.models</vt:lpwstr>
      </vt:variant>
      <vt:variant>
        <vt:lpwstr/>
      </vt:variant>
      <vt:variant>
        <vt:i4>5767234</vt:i4>
      </vt:variant>
      <vt:variant>
        <vt:i4>354</vt:i4>
      </vt:variant>
      <vt:variant>
        <vt:i4>0</vt:i4>
      </vt:variant>
      <vt:variant>
        <vt:i4>5</vt:i4>
      </vt:variant>
      <vt:variant>
        <vt:lpwstr>https://www.epa.gov/egrid</vt:lpwstr>
      </vt:variant>
      <vt:variant>
        <vt:lpwstr/>
      </vt:variant>
      <vt:variant>
        <vt:i4>5963847</vt:i4>
      </vt:variant>
      <vt:variant>
        <vt:i4>351</vt:i4>
      </vt:variant>
      <vt:variant>
        <vt:i4>0</vt:i4>
      </vt:variant>
      <vt:variant>
        <vt:i4>5</vt:i4>
      </vt:variant>
      <vt:variant>
        <vt:lpwstr>https://www.pca.state.mn.us/business-with-us/environmental-review</vt:lpwstr>
      </vt:variant>
      <vt:variant>
        <vt:lpwstr/>
      </vt:variant>
      <vt:variant>
        <vt:i4>5374041</vt:i4>
      </vt:variant>
      <vt:variant>
        <vt:i4>348</vt:i4>
      </vt:variant>
      <vt:variant>
        <vt:i4>0</vt:i4>
      </vt:variant>
      <vt:variant>
        <vt:i4>5</vt:i4>
      </vt:variant>
      <vt:variant>
        <vt:lpwstr>https://www.dot.state.mn.us/project-development/subject-guidance/greenhouse-gas-analysis/process.html</vt:lpwstr>
      </vt:variant>
      <vt:variant>
        <vt:lpwstr/>
      </vt:variant>
      <vt:variant>
        <vt:i4>5373977</vt:i4>
      </vt:variant>
      <vt:variant>
        <vt:i4>345</vt:i4>
      </vt:variant>
      <vt:variant>
        <vt:i4>0</vt:i4>
      </vt:variant>
      <vt:variant>
        <vt:i4>5</vt:i4>
      </vt:variant>
      <vt:variant>
        <vt:lpwstr>https://www.eqb.state.mn.us/sites/eqb/files/2024_eaw_climate_guidance_2.pdf</vt:lpwstr>
      </vt:variant>
      <vt:variant>
        <vt:lpwstr/>
      </vt:variant>
      <vt:variant>
        <vt:i4>1245195</vt:i4>
      </vt:variant>
      <vt:variant>
        <vt:i4>342</vt:i4>
      </vt:variant>
      <vt:variant>
        <vt:i4>0</vt:i4>
      </vt:variant>
      <vt:variant>
        <vt:i4>5</vt:i4>
      </vt:variant>
      <vt:variant>
        <vt:lpwstr>https://www.dnr.state.mn.us/climate/climate_change_info/climate-trends.html</vt:lpwstr>
      </vt:variant>
      <vt:variant>
        <vt:lpwstr/>
      </vt:variant>
      <vt:variant>
        <vt:i4>5963847</vt:i4>
      </vt:variant>
      <vt:variant>
        <vt:i4>339</vt:i4>
      </vt:variant>
      <vt:variant>
        <vt:i4>0</vt:i4>
      </vt:variant>
      <vt:variant>
        <vt:i4>5</vt:i4>
      </vt:variant>
      <vt:variant>
        <vt:lpwstr>https://www.pca.state.mn.us/business-with-us/environmental-review</vt:lpwstr>
      </vt:variant>
      <vt:variant>
        <vt:lpwstr/>
      </vt:variant>
      <vt:variant>
        <vt:i4>1835074</vt:i4>
      </vt:variant>
      <vt:variant>
        <vt:i4>336</vt:i4>
      </vt:variant>
      <vt:variant>
        <vt:i4>0</vt:i4>
      </vt:variant>
      <vt:variant>
        <vt:i4>5</vt:i4>
      </vt:variant>
      <vt:variant>
        <vt:lpwstr>https://www.ipcc-nggip.iges.or.jp/public/2019rf/pdf/4_Volume4/19R_V4_Ch11_Soils_N2O_CO2.pdf</vt:lpwstr>
      </vt:variant>
      <vt:variant>
        <vt:lpwstr/>
      </vt:variant>
      <vt:variant>
        <vt:i4>1114196</vt:i4>
      </vt:variant>
      <vt:variant>
        <vt:i4>333</vt:i4>
      </vt:variant>
      <vt:variant>
        <vt:i4>0</vt:i4>
      </vt:variant>
      <vt:variant>
        <vt:i4>5</vt:i4>
      </vt:variant>
      <vt:variant>
        <vt:lpwstr>https://www.epa.gov/ghgemissions/inventory-us-greenhouse-gas-emissions-and-sinks</vt:lpwstr>
      </vt:variant>
      <vt:variant>
        <vt:lpwstr/>
      </vt:variant>
      <vt:variant>
        <vt:i4>1835074</vt:i4>
      </vt:variant>
      <vt:variant>
        <vt:i4>330</vt:i4>
      </vt:variant>
      <vt:variant>
        <vt:i4>0</vt:i4>
      </vt:variant>
      <vt:variant>
        <vt:i4>5</vt:i4>
      </vt:variant>
      <vt:variant>
        <vt:lpwstr>https://www.ipcc-nggip.iges.or.jp/public/2019rf/pdf/4_Volume4/19R_V4_Ch11_Soils_N2O_CO2.pdf</vt:lpwstr>
      </vt:variant>
      <vt:variant>
        <vt:lpwstr/>
      </vt:variant>
      <vt:variant>
        <vt:i4>1114196</vt:i4>
      </vt:variant>
      <vt:variant>
        <vt:i4>327</vt:i4>
      </vt:variant>
      <vt:variant>
        <vt:i4>0</vt:i4>
      </vt:variant>
      <vt:variant>
        <vt:i4>5</vt:i4>
      </vt:variant>
      <vt:variant>
        <vt:lpwstr>https://www.epa.gov/ghgemissions/inventory-us-greenhouse-gas-emissions-and-sinks</vt:lpwstr>
      </vt:variant>
      <vt:variant>
        <vt:lpwstr/>
      </vt:variant>
      <vt:variant>
        <vt:i4>1835074</vt:i4>
      </vt:variant>
      <vt:variant>
        <vt:i4>324</vt:i4>
      </vt:variant>
      <vt:variant>
        <vt:i4>0</vt:i4>
      </vt:variant>
      <vt:variant>
        <vt:i4>5</vt:i4>
      </vt:variant>
      <vt:variant>
        <vt:lpwstr>https://www.ipcc-nggip.iges.or.jp/public/2019rf/pdf/4_Volume4/19R_V4_Ch11_Soils_N2O_CO2.pdf</vt:lpwstr>
      </vt:variant>
      <vt:variant>
        <vt:lpwstr/>
      </vt:variant>
      <vt:variant>
        <vt:i4>1114196</vt:i4>
      </vt:variant>
      <vt:variant>
        <vt:i4>321</vt:i4>
      </vt:variant>
      <vt:variant>
        <vt:i4>0</vt:i4>
      </vt:variant>
      <vt:variant>
        <vt:i4>5</vt:i4>
      </vt:variant>
      <vt:variant>
        <vt:lpwstr>https://www.epa.gov/ghgemissions/inventory-us-greenhouse-gas-emissions-and-sinks</vt:lpwstr>
      </vt:variant>
      <vt:variant>
        <vt:lpwstr/>
      </vt:variant>
      <vt:variant>
        <vt:i4>1114196</vt:i4>
      </vt:variant>
      <vt:variant>
        <vt:i4>318</vt:i4>
      </vt:variant>
      <vt:variant>
        <vt:i4>0</vt:i4>
      </vt:variant>
      <vt:variant>
        <vt:i4>5</vt:i4>
      </vt:variant>
      <vt:variant>
        <vt:lpwstr>https://www.epa.gov/ghgemissions/inventory-us-greenhouse-gas-emissions-and-sinks</vt:lpwstr>
      </vt:variant>
      <vt:variant>
        <vt:lpwstr/>
      </vt:variant>
      <vt:variant>
        <vt:i4>1114196</vt:i4>
      </vt:variant>
      <vt:variant>
        <vt:i4>315</vt:i4>
      </vt:variant>
      <vt:variant>
        <vt:i4>0</vt:i4>
      </vt:variant>
      <vt:variant>
        <vt:i4>5</vt:i4>
      </vt:variant>
      <vt:variant>
        <vt:lpwstr>https://www.epa.gov/ghgemissions/inventory-us-greenhouse-gas-emissions-and-sinks</vt:lpwstr>
      </vt:variant>
      <vt:variant>
        <vt:lpwstr/>
      </vt:variant>
      <vt:variant>
        <vt:i4>5832727</vt:i4>
      </vt:variant>
      <vt:variant>
        <vt:i4>312</vt:i4>
      </vt:variant>
      <vt:variant>
        <vt:i4>0</vt:i4>
      </vt:variant>
      <vt:variant>
        <vt:i4>5</vt:i4>
      </vt:variant>
      <vt:variant>
        <vt:lpwstr>https://www.ipcc-nggip.iges.or.jp/public/2019rf/pdf/4_Volume4/19R_V4_Ch10_Livestock.pdf</vt:lpwstr>
      </vt:variant>
      <vt:variant>
        <vt:lpwstr/>
      </vt:variant>
      <vt:variant>
        <vt:i4>1114196</vt:i4>
      </vt:variant>
      <vt:variant>
        <vt:i4>309</vt:i4>
      </vt:variant>
      <vt:variant>
        <vt:i4>0</vt:i4>
      </vt:variant>
      <vt:variant>
        <vt:i4>5</vt:i4>
      </vt:variant>
      <vt:variant>
        <vt:lpwstr>https://www.epa.gov/ghgemissions/inventory-us-greenhouse-gas-emissions-and-sinks</vt:lpwstr>
      </vt:variant>
      <vt:variant>
        <vt:lpwstr/>
      </vt:variant>
      <vt:variant>
        <vt:i4>1114196</vt:i4>
      </vt:variant>
      <vt:variant>
        <vt:i4>306</vt:i4>
      </vt:variant>
      <vt:variant>
        <vt:i4>0</vt:i4>
      </vt:variant>
      <vt:variant>
        <vt:i4>5</vt:i4>
      </vt:variant>
      <vt:variant>
        <vt:lpwstr>https://www.epa.gov/ghgemissions/inventory-us-greenhouse-gas-emissions-and-sinks</vt:lpwstr>
      </vt:variant>
      <vt:variant>
        <vt:lpwstr/>
      </vt:variant>
      <vt:variant>
        <vt:i4>1114196</vt:i4>
      </vt:variant>
      <vt:variant>
        <vt:i4>303</vt:i4>
      </vt:variant>
      <vt:variant>
        <vt:i4>0</vt:i4>
      </vt:variant>
      <vt:variant>
        <vt:i4>5</vt:i4>
      </vt:variant>
      <vt:variant>
        <vt:lpwstr>https://www.epa.gov/ghgemissions/inventory-us-greenhouse-gas-emissions-and-sinks</vt:lpwstr>
      </vt:variant>
      <vt:variant>
        <vt:lpwstr/>
      </vt:variant>
      <vt:variant>
        <vt:i4>1114196</vt:i4>
      </vt:variant>
      <vt:variant>
        <vt:i4>300</vt:i4>
      </vt:variant>
      <vt:variant>
        <vt:i4>0</vt:i4>
      </vt:variant>
      <vt:variant>
        <vt:i4>5</vt:i4>
      </vt:variant>
      <vt:variant>
        <vt:lpwstr>https://www.epa.gov/ghgemissions/inventory-us-greenhouse-gas-emissions-and-sinks</vt:lpwstr>
      </vt:variant>
      <vt:variant>
        <vt:lpwstr/>
      </vt:variant>
      <vt:variant>
        <vt:i4>4128889</vt:i4>
      </vt:variant>
      <vt:variant>
        <vt:i4>297</vt:i4>
      </vt:variant>
      <vt:variant>
        <vt:i4>0</vt:i4>
      </vt:variant>
      <vt:variant>
        <vt:i4>5</vt:i4>
      </vt:variant>
      <vt:variant>
        <vt:lpwstr>https://www.revisor.mn.gov/rules/7020.0300/</vt:lpwstr>
      </vt:variant>
      <vt:variant>
        <vt:lpwstr/>
      </vt:variant>
      <vt:variant>
        <vt:i4>1114196</vt:i4>
      </vt:variant>
      <vt:variant>
        <vt:i4>294</vt:i4>
      </vt:variant>
      <vt:variant>
        <vt:i4>0</vt:i4>
      </vt:variant>
      <vt:variant>
        <vt:i4>5</vt:i4>
      </vt:variant>
      <vt:variant>
        <vt:lpwstr>https://www.epa.gov/ghgemissions/inventory-us-greenhouse-gas-emissions-and-sinks</vt:lpwstr>
      </vt:variant>
      <vt:variant>
        <vt:lpwstr/>
      </vt:variant>
      <vt:variant>
        <vt:i4>4128889</vt:i4>
      </vt:variant>
      <vt:variant>
        <vt:i4>291</vt:i4>
      </vt:variant>
      <vt:variant>
        <vt:i4>0</vt:i4>
      </vt:variant>
      <vt:variant>
        <vt:i4>5</vt:i4>
      </vt:variant>
      <vt:variant>
        <vt:lpwstr>https://www.revisor.mn.gov/rules/7020.0300/</vt:lpwstr>
      </vt:variant>
      <vt:variant>
        <vt:lpwstr/>
      </vt:variant>
      <vt:variant>
        <vt:i4>3211314</vt:i4>
      </vt:variant>
      <vt:variant>
        <vt:i4>288</vt:i4>
      </vt:variant>
      <vt:variant>
        <vt:i4>0</vt:i4>
      </vt:variant>
      <vt:variant>
        <vt:i4>5</vt:i4>
      </vt:variant>
      <vt:variant>
        <vt:lpwstr>https://www.epa.gov/climateleadership/ghg-emission-factors-hub</vt:lpwstr>
      </vt:variant>
      <vt:variant>
        <vt:lpwstr/>
      </vt:variant>
      <vt:variant>
        <vt:i4>7012455</vt:i4>
      </vt:variant>
      <vt:variant>
        <vt:i4>285</vt:i4>
      </vt:variant>
      <vt:variant>
        <vt:i4>0</vt:i4>
      </vt:variant>
      <vt:variant>
        <vt:i4>5</vt:i4>
      </vt:variant>
      <vt:variant>
        <vt:lpwstr>https://data.pca.state.mn.us/views/SCOREreport2022/2022SCOREreport?%3Aembed=y&amp;%3AisGuestRedirectFromVizportal=y</vt:lpwstr>
      </vt:variant>
      <vt:variant>
        <vt:lpwstr/>
      </vt:variant>
      <vt:variant>
        <vt:i4>327684</vt:i4>
      </vt:variant>
      <vt:variant>
        <vt:i4>282</vt:i4>
      </vt:variant>
      <vt:variant>
        <vt:i4>0</vt:i4>
      </vt:variant>
      <vt:variant>
        <vt:i4>5</vt:i4>
      </vt:variant>
      <vt:variant>
        <vt:lpwstr>https://www2.calrecycle.ca.gov/Publications/Details/1184</vt:lpwstr>
      </vt:variant>
      <vt:variant>
        <vt:lpwstr/>
      </vt:variant>
      <vt:variant>
        <vt:i4>6619233</vt:i4>
      </vt:variant>
      <vt:variant>
        <vt:i4>279</vt:i4>
      </vt:variant>
      <vt:variant>
        <vt:i4>0</vt:i4>
      </vt:variant>
      <vt:variant>
        <vt:i4>5</vt:i4>
      </vt:variant>
      <vt:variant>
        <vt:lpwstr>https://www2.calrecycle.ca.gov/wastecharacterization/general/rates</vt:lpwstr>
      </vt:variant>
      <vt:variant>
        <vt:lpwstr/>
      </vt:variant>
      <vt:variant>
        <vt:i4>3145779</vt:i4>
      </vt:variant>
      <vt:variant>
        <vt:i4>276</vt:i4>
      </vt:variant>
      <vt:variant>
        <vt:i4>0</vt:i4>
      </vt:variant>
      <vt:variant>
        <vt:i4>5</vt:i4>
      </vt:variant>
      <vt:variant>
        <vt:lpwstr>https://lims.minneapolismn.gov/Download/RCAV2/30166/Minneapolis 2022 Final Sort Report.pdf</vt:lpwstr>
      </vt:variant>
      <vt:variant>
        <vt:lpwstr/>
      </vt:variant>
      <vt:variant>
        <vt:i4>655437</vt:i4>
      </vt:variant>
      <vt:variant>
        <vt:i4>273</vt:i4>
      </vt:variant>
      <vt:variant>
        <vt:i4>0</vt:i4>
      </vt:variant>
      <vt:variant>
        <vt:i4>5</vt:i4>
      </vt:variant>
      <vt:variant>
        <vt:lpwstr>https://www.epa.gov/statelocalenergy/state-inventory-and-projection-tool</vt:lpwstr>
      </vt:variant>
      <vt:variant>
        <vt:lpwstr/>
      </vt:variant>
      <vt:variant>
        <vt:i4>655437</vt:i4>
      </vt:variant>
      <vt:variant>
        <vt:i4>270</vt:i4>
      </vt:variant>
      <vt:variant>
        <vt:i4>0</vt:i4>
      </vt:variant>
      <vt:variant>
        <vt:i4>5</vt:i4>
      </vt:variant>
      <vt:variant>
        <vt:lpwstr>https://www.epa.gov/statelocalenergy/state-inventory-and-projection-tool</vt:lpwstr>
      </vt:variant>
      <vt:variant>
        <vt:lpwstr/>
      </vt:variant>
      <vt:variant>
        <vt:i4>3211314</vt:i4>
      </vt:variant>
      <vt:variant>
        <vt:i4>267</vt:i4>
      </vt:variant>
      <vt:variant>
        <vt:i4>0</vt:i4>
      </vt:variant>
      <vt:variant>
        <vt:i4>5</vt:i4>
      </vt:variant>
      <vt:variant>
        <vt:lpwstr>https://www.epa.gov/climateleadership/ghg-emission-factors-hub</vt:lpwstr>
      </vt:variant>
      <vt:variant>
        <vt:lpwstr/>
      </vt:variant>
      <vt:variant>
        <vt:i4>5374041</vt:i4>
      </vt:variant>
      <vt:variant>
        <vt:i4>264</vt:i4>
      </vt:variant>
      <vt:variant>
        <vt:i4>0</vt:i4>
      </vt:variant>
      <vt:variant>
        <vt:i4>5</vt:i4>
      </vt:variant>
      <vt:variant>
        <vt:lpwstr>https://www.dot.state.mn.us/project-development/subject-guidance/greenhouse-gas-analysis/process.html</vt:lpwstr>
      </vt:variant>
      <vt:variant>
        <vt:lpwstr/>
      </vt:variant>
      <vt:variant>
        <vt:i4>7667729</vt:i4>
      </vt:variant>
      <vt:variant>
        <vt:i4>261</vt:i4>
      </vt:variant>
      <vt:variant>
        <vt:i4>0</vt:i4>
      </vt:variant>
      <vt:variant>
        <vt:i4>5</vt:i4>
      </vt:variant>
      <vt:variant>
        <vt:lpwstr>https://www.epa.gov/sites/default/files/2015-09/documents/hfc_emissions_accounting_tool_supporting_documentation.pdf</vt:lpwstr>
      </vt:variant>
      <vt:variant>
        <vt:lpwstr/>
      </vt:variant>
      <vt:variant>
        <vt:i4>7667729</vt:i4>
      </vt:variant>
      <vt:variant>
        <vt:i4>258</vt:i4>
      </vt:variant>
      <vt:variant>
        <vt:i4>0</vt:i4>
      </vt:variant>
      <vt:variant>
        <vt:i4>5</vt:i4>
      </vt:variant>
      <vt:variant>
        <vt:lpwstr>https://www.epa.gov/sites/default/files/2015-09/documents/hfc_emissions_accounting_tool_supporting_documentation.pdf</vt:lpwstr>
      </vt:variant>
      <vt:variant>
        <vt:lpwstr/>
      </vt:variant>
      <vt:variant>
        <vt:i4>5308496</vt:i4>
      </vt:variant>
      <vt:variant>
        <vt:i4>255</vt:i4>
      </vt:variant>
      <vt:variant>
        <vt:i4>0</vt:i4>
      </vt:variant>
      <vt:variant>
        <vt:i4>5</vt:i4>
      </vt:variant>
      <vt:variant>
        <vt:lpwstr>https://buildingtransparency.org/ec3</vt:lpwstr>
      </vt:variant>
      <vt:variant>
        <vt:lpwstr/>
      </vt:variant>
      <vt:variant>
        <vt:i4>1310773</vt:i4>
      </vt:variant>
      <vt:variant>
        <vt:i4>252</vt:i4>
      </vt:variant>
      <vt:variant>
        <vt:i4>0</vt:i4>
      </vt:variant>
      <vt:variant>
        <vt:i4>5</vt:i4>
      </vt:variant>
      <vt:variant>
        <vt:lpwstr>https://www.aluminum.org/sites/default/files/2024-06/North-American-Decarbonization-Roadmap_6.11.24.pdf</vt:lpwstr>
      </vt:variant>
      <vt:variant>
        <vt:lpwstr/>
      </vt:variant>
      <vt:variant>
        <vt:i4>8323126</vt:i4>
      </vt:variant>
      <vt:variant>
        <vt:i4>249</vt:i4>
      </vt:variant>
      <vt:variant>
        <vt:i4>0</vt:i4>
      </vt:variant>
      <vt:variant>
        <vt:i4>5</vt:i4>
      </vt:variant>
      <vt:variant>
        <vt:lpwstr>https://greet.anl.gov/greet_excel_model.models</vt:lpwstr>
      </vt:variant>
      <vt:variant>
        <vt:lpwstr/>
      </vt:variant>
      <vt:variant>
        <vt:i4>8323126</vt:i4>
      </vt:variant>
      <vt:variant>
        <vt:i4>246</vt:i4>
      </vt:variant>
      <vt:variant>
        <vt:i4>0</vt:i4>
      </vt:variant>
      <vt:variant>
        <vt:i4>5</vt:i4>
      </vt:variant>
      <vt:variant>
        <vt:lpwstr>https://greet.anl.gov/greet_excel_model.models</vt:lpwstr>
      </vt:variant>
      <vt:variant>
        <vt:lpwstr/>
      </vt:variant>
      <vt:variant>
        <vt:i4>8323126</vt:i4>
      </vt:variant>
      <vt:variant>
        <vt:i4>243</vt:i4>
      </vt:variant>
      <vt:variant>
        <vt:i4>0</vt:i4>
      </vt:variant>
      <vt:variant>
        <vt:i4>5</vt:i4>
      </vt:variant>
      <vt:variant>
        <vt:lpwstr>https://greet.anl.gov/greet_excel_model.models</vt:lpwstr>
      </vt:variant>
      <vt:variant>
        <vt:lpwstr/>
      </vt:variant>
      <vt:variant>
        <vt:i4>3211314</vt:i4>
      </vt:variant>
      <vt:variant>
        <vt:i4>240</vt:i4>
      </vt:variant>
      <vt:variant>
        <vt:i4>0</vt:i4>
      </vt:variant>
      <vt:variant>
        <vt:i4>5</vt:i4>
      </vt:variant>
      <vt:variant>
        <vt:lpwstr>https://www.epa.gov/climateleadership/ghg-emission-factors-hub</vt:lpwstr>
      </vt:variant>
      <vt:variant>
        <vt:lpwstr/>
      </vt:variant>
      <vt:variant>
        <vt:i4>3211314</vt:i4>
      </vt:variant>
      <vt:variant>
        <vt:i4>237</vt:i4>
      </vt:variant>
      <vt:variant>
        <vt:i4>0</vt:i4>
      </vt:variant>
      <vt:variant>
        <vt:i4>5</vt:i4>
      </vt:variant>
      <vt:variant>
        <vt:lpwstr>https://www.epa.gov/climateleadership/ghg-emission-factors-hub</vt:lpwstr>
      </vt:variant>
      <vt:variant>
        <vt:lpwstr/>
      </vt:variant>
      <vt:variant>
        <vt:i4>8323126</vt:i4>
      </vt:variant>
      <vt:variant>
        <vt:i4>234</vt:i4>
      </vt:variant>
      <vt:variant>
        <vt:i4>0</vt:i4>
      </vt:variant>
      <vt:variant>
        <vt:i4>5</vt:i4>
      </vt:variant>
      <vt:variant>
        <vt:lpwstr>https://greet.anl.gov/greet_excel_model.models</vt:lpwstr>
      </vt:variant>
      <vt:variant>
        <vt:lpwstr/>
      </vt:variant>
      <vt:variant>
        <vt:i4>3211314</vt:i4>
      </vt:variant>
      <vt:variant>
        <vt:i4>231</vt:i4>
      </vt:variant>
      <vt:variant>
        <vt:i4>0</vt:i4>
      </vt:variant>
      <vt:variant>
        <vt:i4>5</vt:i4>
      </vt:variant>
      <vt:variant>
        <vt:lpwstr>https://www.epa.gov/climateleadership/ghg-emission-factors-hub</vt:lpwstr>
      </vt:variant>
      <vt:variant>
        <vt:lpwstr/>
      </vt:variant>
      <vt:variant>
        <vt:i4>3211314</vt:i4>
      </vt:variant>
      <vt:variant>
        <vt:i4>228</vt:i4>
      </vt:variant>
      <vt:variant>
        <vt:i4>0</vt:i4>
      </vt:variant>
      <vt:variant>
        <vt:i4>5</vt:i4>
      </vt:variant>
      <vt:variant>
        <vt:lpwstr>https://www.epa.gov/climateleadership/ghg-emission-factors-hub</vt:lpwstr>
      </vt:variant>
      <vt:variant>
        <vt:lpwstr/>
      </vt:variant>
      <vt:variant>
        <vt:i4>458845</vt:i4>
      </vt:variant>
      <vt:variant>
        <vt:i4>225</vt:i4>
      </vt:variant>
      <vt:variant>
        <vt:i4>0</vt:i4>
      </vt:variant>
      <vt:variant>
        <vt:i4>5</vt:i4>
      </vt:variant>
      <vt:variant>
        <vt:lpwstr>https://www.iea.org/reports/curtailing-methane-emissions-from-fossil-fuel-operations</vt:lpwstr>
      </vt:variant>
      <vt:variant>
        <vt:lpwstr/>
      </vt:variant>
      <vt:variant>
        <vt:i4>8323126</vt:i4>
      </vt:variant>
      <vt:variant>
        <vt:i4>222</vt:i4>
      </vt:variant>
      <vt:variant>
        <vt:i4>0</vt:i4>
      </vt:variant>
      <vt:variant>
        <vt:i4>5</vt:i4>
      </vt:variant>
      <vt:variant>
        <vt:lpwstr>https://greet.anl.gov/greet_excel_model.models</vt:lpwstr>
      </vt:variant>
      <vt:variant>
        <vt:lpwstr/>
      </vt:variant>
      <vt:variant>
        <vt:i4>3211314</vt:i4>
      </vt:variant>
      <vt:variant>
        <vt:i4>219</vt:i4>
      </vt:variant>
      <vt:variant>
        <vt:i4>0</vt:i4>
      </vt:variant>
      <vt:variant>
        <vt:i4>5</vt:i4>
      </vt:variant>
      <vt:variant>
        <vt:lpwstr>https://www.epa.gov/climateleadership/ghg-emission-factors-hub</vt:lpwstr>
      </vt:variant>
      <vt:variant>
        <vt:lpwstr/>
      </vt:variant>
      <vt:variant>
        <vt:i4>3211314</vt:i4>
      </vt:variant>
      <vt:variant>
        <vt:i4>216</vt:i4>
      </vt:variant>
      <vt:variant>
        <vt:i4>0</vt:i4>
      </vt:variant>
      <vt:variant>
        <vt:i4>5</vt:i4>
      </vt:variant>
      <vt:variant>
        <vt:lpwstr>https://www.epa.gov/climateleadership/ghg-emission-factors-hub</vt:lpwstr>
      </vt:variant>
      <vt:variant>
        <vt:lpwstr/>
      </vt:variant>
      <vt:variant>
        <vt:i4>8323126</vt:i4>
      </vt:variant>
      <vt:variant>
        <vt:i4>213</vt:i4>
      </vt:variant>
      <vt:variant>
        <vt:i4>0</vt:i4>
      </vt:variant>
      <vt:variant>
        <vt:i4>5</vt:i4>
      </vt:variant>
      <vt:variant>
        <vt:lpwstr>https://greet.anl.gov/greet_excel_model.models</vt:lpwstr>
      </vt:variant>
      <vt:variant>
        <vt:lpwstr/>
      </vt:variant>
      <vt:variant>
        <vt:i4>3211314</vt:i4>
      </vt:variant>
      <vt:variant>
        <vt:i4>210</vt:i4>
      </vt:variant>
      <vt:variant>
        <vt:i4>0</vt:i4>
      </vt:variant>
      <vt:variant>
        <vt:i4>5</vt:i4>
      </vt:variant>
      <vt:variant>
        <vt:lpwstr>https://www.epa.gov/climateleadership/ghg-emission-factors-hub</vt:lpwstr>
      </vt:variant>
      <vt:variant>
        <vt:lpwstr/>
      </vt:variant>
      <vt:variant>
        <vt:i4>3211314</vt:i4>
      </vt:variant>
      <vt:variant>
        <vt:i4>207</vt:i4>
      </vt:variant>
      <vt:variant>
        <vt:i4>0</vt:i4>
      </vt:variant>
      <vt:variant>
        <vt:i4>5</vt:i4>
      </vt:variant>
      <vt:variant>
        <vt:lpwstr>https://www.epa.gov/climateleadership/ghg-emission-factors-hub</vt:lpwstr>
      </vt:variant>
      <vt:variant>
        <vt:lpwstr/>
      </vt:variant>
      <vt:variant>
        <vt:i4>8323126</vt:i4>
      </vt:variant>
      <vt:variant>
        <vt:i4>204</vt:i4>
      </vt:variant>
      <vt:variant>
        <vt:i4>0</vt:i4>
      </vt:variant>
      <vt:variant>
        <vt:i4>5</vt:i4>
      </vt:variant>
      <vt:variant>
        <vt:lpwstr>https://greet.anl.gov/greet_excel_model.models</vt:lpwstr>
      </vt:variant>
      <vt:variant>
        <vt:lpwstr/>
      </vt:variant>
      <vt:variant>
        <vt:i4>3211314</vt:i4>
      </vt:variant>
      <vt:variant>
        <vt:i4>201</vt:i4>
      </vt:variant>
      <vt:variant>
        <vt:i4>0</vt:i4>
      </vt:variant>
      <vt:variant>
        <vt:i4>5</vt:i4>
      </vt:variant>
      <vt:variant>
        <vt:lpwstr>https://www.epa.gov/climateleadership/ghg-emission-factors-hub</vt:lpwstr>
      </vt:variant>
      <vt:variant>
        <vt:lpwstr/>
      </vt:variant>
      <vt:variant>
        <vt:i4>4718623</vt:i4>
      </vt:variant>
      <vt:variant>
        <vt:i4>198</vt:i4>
      </vt:variant>
      <vt:variant>
        <vt:i4>0</vt:i4>
      </vt:variant>
      <vt:variant>
        <vt:i4>5</vt:i4>
      </vt:variant>
      <vt:variant>
        <vt:lpwstr>https://www.eia.gov/consumption/commercial/data/2018/</vt:lpwstr>
      </vt:variant>
      <vt:variant>
        <vt:lpwstr/>
      </vt:variant>
      <vt:variant>
        <vt:i4>983045</vt:i4>
      </vt:variant>
      <vt:variant>
        <vt:i4>195</vt:i4>
      </vt:variant>
      <vt:variant>
        <vt:i4>0</vt:i4>
      </vt:variant>
      <vt:variant>
        <vt:i4>5</vt:i4>
      </vt:variant>
      <vt:variant>
        <vt:lpwstr>https://www.eia.gov/totalenergy/data/monthly/index.php</vt:lpwstr>
      </vt:variant>
      <vt:variant>
        <vt:lpwstr>appendices</vt:lpwstr>
      </vt:variant>
      <vt:variant>
        <vt:i4>1310736</vt:i4>
      </vt:variant>
      <vt:variant>
        <vt:i4>192</vt:i4>
      </vt:variant>
      <vt:variant>
        <vt:i4>0</vt:i4>
      </vt:variant>
      <vt:variant>
        <vt:i4>5</vt:i4>
      </vt:variant>
      <vt:variant>
        <vt:lpwstr>https://www.eia.gov/consumption/manufacturing/data/2018/</vt:lpwstr>
      </vt:variant>
      <vt:variant>
        <vt:lpwstr/>
      </vt:variant>
      <vt:variant>
        <vt:i4>1310736</vt:i4>
      </vt:variant>
      <vt:variant>
        <vt:i4>189</vt:i4>
      </vt:variant>
      <vt:variant>
        <vt:i4>0</vt:i4>
      </vt:variant>
      <vt:variant>
        <vt:i4>5</vt:i4>
      </vt:variant>
      <vt:variant>
        <vt:lpwstr>https://www.eia.gov/consumption/manufacturing/data/2018/</vt:lpwstr>
      </vt:variant>
      <vt:variant>
        <vt:lpwstr/>
      </vt:variant>
      <vt:variant>
        <vt:i4>4718623</vt:i4>
      </vt:variant>
      <vt:variant>
        <vt:i4>186</vt:i4>
      </vt:variant>
      <vt:variant>
        <vt:i4>0</vt:i4>
      </vt:variant>
      <vt:variant>
        <vt:i4>5</vt:i4>
      </vt:variant>
      <vt:variant>
        <vt:lpwstr>https://www.eia.gov/consumption/commercial/data/2018/</vt:lpwstr>
      </vt:variant>
      <vt:variant>
        <vt:lpwstr/>
      </vt:variant>
      <vt:variant>
        <vt:i4>983045</vt:i4>
      </vt:variant>
      <vt:variant>
        <vt:i4>183</vt:i4>
      </vt:variant>
      <vt:variant>
        <vt:i4>0</vt:i4>
      </vt:variant>
      <vt:variant>
        <vt:i4>5</vt:i4>
      </vt:variant>
      <vt:variant>
        <vt:lpwstr>https://www.eia.gov/totalenergy/data/monthly/index.php</vt:lpwstr>
      </vt:variant>
      <vt:variant>
        <vt:lpwstr>appendices</vt:lpwstr>
      </vt:variant>
      <vt:variant>
        <vt:i4>4718623</vt:i4>
      </vt:variant>
      <vt:variant>
        <vt:i4>180</vt:i4>
      </vt:variant>
      <vt:variant>
        <vt:i4>0</vt:i4>
      </vt:variant>
      <vt:variant>
        <vt:i4>5</vt:i4>
      </vt:variant>
      <vt:variant>
        <vt:lpwstr>https://www.eia.gov/consumption/commercial/data/2018/</vt:lpwstr>
      </vt:variant>
      <vt:variant>
        <vt:lpwstr/>
      </vt:variant>
      <vt:variant>
        <vt:i4>1310771</vt:i4>
      </vt:variant>
      <vt:variant>
        <vt:i4>177</vt:i4>
      </vt:variant>
      <vt:variant>
        <vt:i4>0</vt:i4>
      </vt:variant>
      <vt:variant>
        <vt:i4>5</vt:i4>
      </vt:variant>
      <vt:variant>
        <vt:lpwstr>https://www.eia.gov/dnav/ng/ng_cons_heat_a_EPG0_VGTH_btucf_a.htm</vt:lpwstr>
      </vt:variant>
      <vt:variant>
        <vt:lpwstr/>
      </vt:variant>
      <vt:variant>
        <vt:i4>4718623</vt:i4>
      </vt:variant>
      <vt:variant>
        <vt:i4>174</vt:i4>
      </vt:variant>
      <vt:variant>
        <vt:i4>0</vt:i4>
      </vt:variant>
      <vt:variant>
        <vt:i4>5</vt:i4>
      </vt:variant>
      <vt:variant>
        <vt:lpwstr>https://www.eia.gov/consumption/commercial/data/2018/</vt:lpwstr>
      </vt:variant>
      <vt:variant>
        <vt:lpwstr/>
      </vt:variant>
      <vt:variant>
        <vt:i4>7733355</vt:i4>
      </vt:variant>
      <vt:variant>
        <vt:i4>171</vt:i4>
      </vt:variant>
      <vt:variant>
        <vt:i4>0</vt:i4>
      </vt:variant>
      <vt:variant>
        <vt:i4>5</vt:i4>
      </vt:variant>
      <vt:variant>
        <vt:lpwstr>https://www.eia.gov/consumption/residential/data/2020/</vt:lpwstr>
      </vt:variant>
      <vt:variant>
        <vt:lpwstr/>
      </vt:variant>
      <vt:variant>
        <vt:i4>7733355</vt:i4>
      </vt:variant>
      <vt:variant>
        <vt:i4>168</vt:i4>
      </vt:variant>
      <vt:variant>
        <vt:i4>0</vt:i4>
      </vt:variant>
      <vt:variant>
        <vt:i4>5</vt:i4>
      </vt:variant>
      <vt:variant>
        <vt:lpwstr>https://www.eia.gov/consumption/residential/data/2020/</vt:lpwstr>
      </vt:variant>
      <vt:variant>
        <vt:lpwstr/>
      </vt:variant>
      <vt:variant>
        <vt:i4>3211314</vt:i4>
      </vt:variant>
      <vt:variant>
        <vt:i4>165</vt:i4>
      </vt:variant>
      <vt:variant>
        <vt:i4>0</vt:i4>
      </vt:variant>
      <vt:variant>
        <vt:i4>5</vt:i4>
      </vt:variant>
      <vt:variant>
        <vt:lpwstr>https://www.epa.gov/climateleadership/ghg-emission-factors-hub</vt:lpwstr>
      </vt:variant>
      <vt:variant>
        <vt:lpwstr/>
      </vt:variant>
      <vt:variant>
        <vt:i4>786518</vt:i4>
      </vt:variant>
      <vt:variant>
        <vt:i4>162</vt:i4>
      </vt:variant>
      <vt:variant>
        <vt:i4>0</vt:i4>
      </vt:variant>
      <vt:variant>
        <vt:i4>5</vt:i4>
      </vt:variant>
      <vt:variant>
        <vt:lpwstr>https://www.pca.state.mn.us/sites/default/files/w-sw5-55.pdf</vt:lpwstr>
      </vt:variant>
      <vt:variant>
        <vt:lpwstr/>
      </vt:variant>
      <vt:variant>
        <vt:i4>6488118</vt:i4>
      </vt:variant>
      <vt:variant>
        <vt:i4>159</vt:i4>
      </vt:variant>
      <vt:variant>
        <vt:i4>0</vt:i4>
      </vt:variant>
      <vt:variant>
        <vt:i4>5</vt:i4>
      </vt:variant>
      <vt:variant>
        <vt:lpwstr>https://www.epa.gov/sites/default/files/2018-09/documents/construction_and_demolition_debris_generation_in_the_united_states_2015_final.pdf</vt:lpwstr>
      </vt:variant>
      <vt:variant>
        <vt:lpwstr/>
      </vt:variant>
      <vt:variant>
        <vt:i4>7995439</vt:i4>
      </vt:variant>
      <vt:variant>
        <vt:i4>156</vt:i4>
      </vt:variant>
      <vt:variant>
        <vt:i4>0</vt:i4>
      </vt:variant>
      <vt:variant>
        <vt:i4>5</vt:i4>
      </vt:variant>
      <vt:variant>
        <vt:lpwstr>https://www.epa.gov/energy/greenhouse-gas-equivalencies-calculator-calculations-and-references</vt:lpwstr>
      </vt:variant>
      <vt:variant>
        <vt:lpwstr/>
      </vt:variant>
      <vt:variant>
        <vt:i4>7209039</vt:i4>
      </vt:variant>
      <vt:variant>
        <vt:i4>153</vt:i4>
      </vt:variant>
      <vt:variant>
        <vt:i4>0</vt:i4>
      </vt:variant>
      <vt:variant>
        <vt:i4>5</vt:i4>
      </vt:variant>
      <vt:variant>
        <vt:lpwstr>https://www.ipcc.ch/site/assets/uploads/2018/03/Wetlands_Supplement_Entire_Report.pdf</vt:lpwstr>
      </vt:variant>
      <vt:variant>
        <vt:lpwstr/>
      </vt:variant>
      <vt:variant>
        <vt:i4>3801151</vt:i4>
      </vt:variant>
      <vt:variant>
        <vt:i4>150</vt:i4>
      </vt:variant>
      <vt:variant>
        <vt:i4>0</vt:i4>
      </vt:variant>
      <vt:variant>
        <vt:i4>5</vt:i4>
      </vt:variant>
      <vt:variant>
        <vt:lpwstr>https://digitalcommons.unl.edu/usgsnpwrc/92</vt:lpwstr>
      </vt:variant>
      <vt:variant>
        <vt:lpwstr/>
      </vt:variant>
      <vt:variant>
        <vt:i4>4915319</vt:i4>
      </vt:variant>
      <vt:variant>
        <vt:i4>147</vt:i4>
      </vt:variant>
      <vt:variant>
        <vt:i4>0</vt:i4>
      </vt:variant>
      <vt:variant>
        <vt:i4>5</vt:i4>
      </vt:variant>
      <vt:variant>
        <vt:lpwstr>https://www.nawm.org/pdf_lib/north_american_prairie.pdf</vt:lpwstr>
      </vt:variant>
      <vt:variant>
        <vt:lpwstr/>
      </vt:variant>
      <vt:variant>
        <vt:i4>3276927</vt:i4>
      </vt:variant>
      <vt:variant>
        <vt:i4>144</vt:i4>
      </vt:variant>
      <vt:variant>
        <vt:i4>0</vt:i4>
      </vt:variant>
      <vt:variant>
        <vt:i4>5</vt:i4>
      </vt:variant>
      <vt:variant>
        <vt:lpwstr>https://doi.org/10.1016/j.scitotenv.2013.12.012</vt:lpwstr>
      </vt:variant>
      <vt:variant>
        <vt:lpwstr/>
      </vt:variant>
      <vt:variant>
        <vt:i4>393239</vt:i4>
      </vt:variant>
      <vt:variant>
        <vt:i4>141</vt:i4>
      </vt:variant>
      <vt:variant>
        <vt:i4>0</vt:i4>
      </vt:variant>
      <vt:variant>
        <vt:i4>5</vt:i4>
      </vt:variant>
      <vt:variant>
        <vt:lpwstr>https://doi.org/10.1007/s00267-012-9967-6</vt:lpwstr>
      </vt:variant>
      <vt:variant>
        <vt:lpwstr/>
      </vt:variant>
      <vt:variant>
        <vt:i4>4653151</vt:i4>
      </vt:variant>
      <vt:variant>
        <vt:i4>138</vt:i4>
      </vt:variant>
      <vt:variant>
        <vt:i4>0</vt:i4>
      </vt:variant>
      <vt:variant>
        <vt:i4>5</vt:i4>
      </vt:variant>
      <vt:variant>
        <vt:lpwstr>https://www.nrcs.usda.gov/resources/data-and-reports/gridded-soil-survey-geographic-gssurgo-database</vt:lpwstr>
      </vt:variant>
      <vt:variant>
        <vt:lpwstr/>
      </vt:variant>
      <vt:variant>
        <vt:i4>4128868</vt:i4>
      </vt:variant>
      <vt:variant>
        <vt:i4>135</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1572939</vt:i4>
      </vt:variant>
      <vt:variant>
        <vt:i4>132</vt:i4>
      </vt:variant>
      <vt:variant>
        <vt:i4>0</vt:i4>
      </vt:variant>
      <vt:variant>
        <vt:i4>5</vt:i4>
      </vt:variant>
      <vt:variant>
        <vt:lpwstr>https://www.ipcc-nggip.iges.or.jp/public/2019rf/pdf/4_Volume4/19R_V4_Ch05_Cropland.pdf</vt:lpwstr>
      </vt:variant>
      <vt:variant>
        <vt:lpwstr/>
      </vt:variant>
      <vt:variant>
        <vt:i4>4128868</vt:i4>
      </vt:variant>
      <vt:variant>
        <vt:i4>129</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4653151</vt:i4>
      </vt:variant>
      <vt:variant>
        <vt:i4>126</vt:i4>
      </vt:variant>
      <vt:variant>
        <vt:i4>0</vt:i4>
      </vt:variant>
      <vt:variant>
        <vt:i4>5</vt:i4>
      </vt:variant>
      <vt:variant>
        <vt:lpwstr>https://www.nrcs.usda.gov/resources/data-and-reports/gridded-soil-survey-geographic-gssurgo-database</vt:lpwstr>
      </vt:variant>
      <vt:variant>
        <vt:lpwstr/>
      </vt:variant>
      <vt:variant>
        <vt:i4>4128868</vt:i4>
      </vt:variant>
      <vt:variant>
        <vt:i4>123</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6684791</vt:i4>
      </vt:variant>
      <vt:variant>
        <vt:i4>120</vt:i4>
      </vt:variant>
      <vt:variant>
        <vt:i4>0</vt:i4>
      </vt:variant>
      <vt:variant>
        <vt:i4>5</vt:i4>
      </vt:variant>
      <vt:variant>
        <vt:lpwstr>https://www.ipcc-nggip.iges.or.jp/public/2006gl/pdf/4_Volume4/V4_06_Ch6_Grassland.pdf</vt:lpwstr>
      </vt:variant>
      <vt:variant>
        <vt:lpwstr/>
      </vt:variant>
      <vt:variant>
        <vt:i4>6094871</vt:i4>
      </vt:variant>
      <vt:variant>
        <vt:i4>117</vt:i4>
      </vt:variant>
      <vt:variant>
        <vt:i4>0</vt:i4>
      </vt:variant>
      <vt:variant>
        <vt:i4>5</vt:i4>
      </vt:variant>
      <vt:variant>
        <vt:lpwstr>https://files.dnr.state.mn.us/aboutdnr/reports/carbon2008.pdf</vt:lpwstr>
      </vt:variant>
      <vt:variant>
        <vt:lpwstr/>
      </vt:variant>
      <vt:variant>
        <vt:i4>7798838</vt:i4>
      </vt:variant>
      <vt:variant>
        <vt:i4>114</vt:i4>
      </vt:variant>
      <vt:variant>
        <vt:i4>0</vt:i4>
      </vt:variant>
      <vt:variant>
        <vt:i4>5</vt:i4>
      </vt:variant>
      <vt:variant>
        <vt:lpwstr>https://carbon2018.globalchange.gov/chapter/13/</vt:lpwstr>
      </vt:variant>
      <vt:variant>
        <vt:lpwstr/>
      </vt:variant>
      <vt:variant>
        <vt:i4>8323126</vt:i4>
      </vt:variant>
      <vt:variant>
        <vt:i4>111</vt:i4>
      </vt:variant>
      <vt:variant>
        <vt:i4>0</vt:i4>
      </vt:variant>
      <vt:variant>
        <vt:i4>5</vt:i4>
      </vt:variant>
      <vt:variant>
        <vt:lpwstr>https://greet.anl.gov/greet_excel_model.models</vt:lpwstr>
      </vt:variant>
      <vt:variant>
        <vt:lpwstr/>
      </vt:variant>
      <vt:variant>
        <vt:i4>8323126</vt:i4>
      </vt:variant>
      <vt:variant>
        <vt:i4>108</vt:i4>
      </vt:variant>
      <vt:variant>
        <vt:i4>0</vt:i4>
      </vt:variant>
      <vt:variant>
        <vt:i4>5</vt:i4>
      </vt:variant>
      <vt:variant>
        <vt:lpwstr>https://greet.anl.gov/greet_excel_model.models</vt:lpwstr>
      </vt:variant>
      <vt:variant>
        <vt:lpwstr/>
      </vt:variant>
      <vt:variant>
        <vt:i4>3211314</vt:i4>
      </vt:variant>
      <vt:variant>
        <vt:i4>105</vt:i4>
      </vt:variant>
      <vt:variant>
        <vt:i4>0</vt:i4>
      </vt:variant>
      <vt:variant>
        <vt:i4>5</vt:i4>
      </vt:variant>
      <vt:variant>
        <vt:lpwstr>https://www.epa.gov/climateleadership/ghg-emission-factors-hub</vt:lpwstr>
      </vt:variant>
      <vt:variant>
        <vt:lpwstr/>
      </vt:variant>
      <vt:variant>
        <vt:i4>6750244</vt:i4>
      </vt:variant>
      <vt:variant>
        <vt:i4>102</vt:i4>
      </vt:variant>
      <vt:variant>
        <vt:i4>0</vt:i4>
      </vt:variant>
      <vt:variant>
        <vt:i4>5</vt:i4>
      </vt:variant>
      <vt:variant>
        <vt:lpwstr>https://www.caleemod.com/user-guide</vt:lpwstr>
      </vt:variant>
      <vt:variant>
        <vt:lpwstr/>
      </vt:variant>
      <vt:variant>
        <vt:i4>6750244</vt:i4>
      </vt:variant>
      <vt:variant>
        <vt:i4>99</vt:i4>
      </vt:variant>
      <vt:variant>
        <vt:i4>0</vt:i4>
      </vt:variant>
      <vt:variant>
        <vt:i4>5</vt:i4>
      </vt:variant>
      <vt:variant>
        <vt:lpwstr>https://www.caleemod.com/user-guide</vt:lpwstr>
      </vt:variant>
      <vt:variant>
        <vt:lpwstr/>
      </vt:variant>
      <vt:variant>
        <vt:i4>6750244</vt:i4>
      </vt:variant>
      <vt:variant>
        <vt:i4>96</vt:i4>
      </vt:variant>
      <vt:variant>
        <vt:i4>0</vt:i4>
      </vt:variant>
      <vt:variant>
        <vt:i4>5</vt:i4>
      </vt:variant>
      <vt:variant>
        <vt:lpwstr>https://www.caleemod.com/user-guide</vt:lpwstr>
      </vt:variant>
      <vt:variant>
        <vt:lpwstr/>
      </vt:variant>
      <vt:variant>
        <vt:i4>4915204</vt:i4>
      </vt:variant>
      <vt:variant>
        <vt:i4>93</vt:i4>
      </vt:variant>
      <vt:variant>
        <vt:i4>0</vt:i4>
      </vt:variant>
      <vt:variant>
        <vt:i4>5</vt:i4>
      </vt:variant>
      <vt:variant>
        <vt:lpwstr>https://www.caleemod.com/</vt:lpwstr>
      </vt:variant>
      <vt:variant>
        <vt:lpwstr/>
      </vt:variant>
      <vt:variant>
        <vt:i4>3211314</vt:i4>
      </vt:variant>
      <vt:variant>
        <vt:i4>90</vt:i4>
      </vt:variant>
      <vt:variant>
        <vt:i4>0</vt:i4>
      </vt:variant>
      <vt:variant>
        <vt:i4>5</vt:i4>
      </vt:variant>
      <vt:variant>
        <vt:lpwstr>https://www.epa.gov/climateleadership/ghg-emission-factors-hub</vt:lpwstr>
      </vt:variant>
      <vt:variant>
        <vt:lpwstr/>
      </vt:variant>
      <vt:variant>
        <vt:i4>8323126</vt:i4>
      </vt:variant>
      <vt:variant>
        <vt:i4>87</vt:i4>
      </vt:variant>
      <vt:variant>
        <vt:i4>0</vt:i4>
      </vt:variant>
      <vt:variant>
        <vt:i4>5</vt:i4>
      </vt:variant>
      <vt:variant>
        <vt:lpwstr>https://greet.anl.gov/greet_excel_model.models</vt:lpwstr>
      </vt:variant>
      <vt:variant>
        <vt:lpwstr/>
      </vt:variant>
      <vt:variant>
        <vt:i4>65600</vt:i4>
      </vt:variant>
      <vt:variant>
        <vt:i4>84</vt:i4>
      </vt:variant>
      <vt:variant>
        <vt:i4>0</vt:i4>
      </vt:variant>
      <vt:variant>
        <vt:i4>5</vt:i4>
      </vt:variant>
      <vt:variant>
        <vt:lpwstr>https://www.epa.gov/statelocalenergy/local-greenhouse-gas-inventory-tool</vt:lpwstr>
      </vt:variant>
      <vt:variant>
        <vt:lpwstr/>
      </vt:variant>
      <vt:variant>
        <vt:i4>3211314</vt:i4>
      </vt:variant>
      <vt:variant>
        <vt:i4>81</vt:i4>
      </vt:variant>
      <vt:variant>
        <vt:i4>0</vt:i4>
      </vt:variant>
      <vt:variant>
        <vt:i4>5</vt:i4>
      </vt:variant>
      <vt:variant>
        <vt:lpwstr>https://www.epa.gov/climateleadership/ghg-emission-factors-hub</vt:lpwstr>
      </vt:variant>
      <vt:variant>
        <vt:lpwstr/>
      </vt:variant>
      <vt:variant>
        <vt:i4>65600</vt:i4>
      </vt:variant>
      <vt:variant>
        <vt:i4>78</vt:i4>
      </vt:variant>
      <vt:variant>
        <vt:i4>0</vt:i4>
      </vt:variant>
      <vt:variant>
        <vt:i4>5</vt:i4>
      </vt:variant>
      <vt:variant>
        <vt:lpwstr>https://www.epa.gov/statelocalenergy/local-greenhouse-gas-inventory-tool</vt:lpwstr>
      </vt:variant>
      <vt:variant>
        <vt:lpwstr/>
      </vt:variant>
      <vt:variant>
        <vt:i4>8323126</vt:i4>
      </vt:variant>
      <vt:variant>
        <vt:i4>75</vt:i4>
      </vt:variant>
      <vt:variant>
        <vt:i4>0</vt:i4>
      </vt:variant>
      <vt:variant>
        <vt:i4>5</vt:i4>
      </vt:variant>
      <vt:variant>
        <vt:lpwstr>https://greet.anl.gov/greet_excel_model.models</vt:lpwstr>
      </vt:variant>
      <vt:variant>
        <vt:lpwstr/>
      </vt:variant>
      <vt:variant>
        <vt:i4>65600</vt:i4>
      </vt:variant>
      <vt:variant>
        <vt:i4>72</vt:i4>
      </vt:variant>
      <vt:variant>
        <vt:i4>0</vt:i4>
      </vt:variant>
      <vt:variant>
        <vt:i4>5</vt:i4>
      </vt:variant>
      <vt:variant>
        <vt:lpwstr>https://www.epa.gov/statelocalenergy/local-greenhouse-gas-inventory-tool</vt:lpwstr>
      </vt:variant>
      <vt:variant>
        <vt:lpwstr/>
      </vt:variant>
      <vt:variant>
        <vt:i4>65600</vt:i4>
      </vt:variant>
      <vt:variant>
        <vt:i4>69</vt:i4>
      </vt:variant>
      <vt:variant>
        <vt:i4>0</vt:i4>
      </vt:variant>
      <vt:variant>
        <vt:i4>5</vt:i4>
      </vt:variant>
      <vt:variant>
        <vt:lpwstr>https://www.epa.gov/statelocalenergy/local-greenhouse-gas-inventory-tool</vt:lpwstr>
      </vt:variant>
      <vt:variant>
        <vt:lpwstr/>
      </vt:variant>
      <vt:variant>
        <vt:i4>6750244</vt:i4>
      </vt:variant>
      <vt:variant>
        <vt:i4>66</vt:i4>
      </vt:variant>
      <vt:variant>
        <vt:i4>0</vt:i4>
      </vt:variant>
      <vt:variant>
        <vt:i4>5</vt:i4>
      </vt:variant>
      <vt:variant>
        <vt:lpwstr>https://www.caleemod.com/user-guide</vt:lpwstr>
      </vt:variant>
      <vt:variant>
        <vt:lpwstr/>
      </vt:variant>
      <vt:variant>
        <vt:i4>4915204</vt:i4>
      </vt:variant>
      <vt:variant>
        <vt:i4>63</vt:i4>
      </vt:variant>
      <vt:variant>
        <vt:i4>0</vt:i4>
      </vt:variant>
      <vt:variant>
        <vt:i4>5</vt:i4>
      </vt:variant>
      <vt:variant>
        <vt:lpwstr>https://www.caleemod.com/</vt:lpwstr>
      </vt:variant>
      <vt:variant>
        <vt:lpwstr/>
      </vt:variant>
      <vt:variant>
        <vt:i4>8323126</vt:i4>
      </vt:variant>
      <vt:variant>
        <vt:i4>60</vt:i4>
      </vt:variant>
      <vt:variant>
        <vt:i4>0</vt:i4>
      </vt:variant>
      <vt:variant>
        <vt:i4>5</vt:i4>
      </vt:variant>
      <vt:variant>
        <vt:lpwstr>https://greet.anl.gov/greet_excel_model.models</vt:lpwstr>
      </vt:variant>
      <vt:variant>
        <vt:lpwstr/>
      </vt:variant>
      <vt:variant>
        <vt:i4>2556008</vt:i4>
      </vt:variant>
      <vt:variant>
        <vt:i4>57</vt:i4>
      </vt:variant>
      <vt:variant>
        <vt:i4>0</vt:i4>
      </vt:variant>
      <vt:variant>
        <vt:i4>5</vt:i4>
      </vt:variant>
      <vt:variant>
        <vt:lpwstr>https://www.travelmath.com/</vt:lpwstr>
      </vt:variant>
      <vt:variant>
        <vt:lpwstr/>
      </vt:variant>
      <vt:variant>
        <vt:i4>6750249</vt:i4>
      </vt:variant>
      <vt:variant>
        <vt:i4>54</vt:i4>
      </vt:variant>
      <vt:variant>
        <vt:i4>0</vt:i4>
      </vt:variant>
      <vt:variant>
        <vt:i4>5</vt:i4>
      </vt:variant>
      <vt:variant>
        <vt:lpwstr>https://lutonmachinery.com/how-far-can-asphalt-be-transported/</vt:lpwstr>
      </vt:variant>
      <vt:variant>
        <vt:lpwstr/>
      </vt:variant>
      <vt:variant>
        <vt:i4>6684712</vt:i4>
      </vt:variant>
      <vt:variant>
        <vt:i4>51</vt:i4>
      </vt:variant>
      <vt:variant>
        <vt:i4>0</vt:i4>
      </vt:variant>
      <vt:variant>
        <vt:i4>5</vt:i4>
      </vt:variant>
      <vt:variant>
        <vt:lpwstr>https://www.census.gov/data/datasets/2017/econ/cfs/historical-datasets.html</vt:lpwstr>
      </vt:variant>
      <vt:variant>
        <vt:lpwstr/>
      </vt:variant>
      <vt:variant>
        <vt:i4>6357037</vt:i4>
      </vt:variant>
      <vt:variant>
        <vt:i4>48</vt:i4>
      </vt:variant>
      <vt:variant>
        <vt:i4>0</vt:i4>
      </vt:variant>
      <vt:variant>
        <vt:i4>5</vt:i4>
      </vt:variant>
      <vt:variant>
        <vt:lpwstr>https://www.trade.gov/data-visualization/us-steel-executive-summary</vt:lpwstr>
      </vt:variant>
      <vt:variant>
        <vt:lpwstr/>
      </vt:variant>
      <vt:variant>
        <vt:i4>1114135</vt:i4>
      </vt:variant>
      <vt:variant>
        <vt:i4>45</vt:i4>
      </vt:variant>
      <vt:variant>
        <vt:i4>0</vt:i4>
      </vt:variant>
      <vt:variant>
        <vt:i4>5</vt:i4>
      </vt:variant>
      <vt:variant>
        <vt:lpwstr>https://www.glassmagazine.com/article/world-glass-2022-report</vt:lpwstr>
      </vt:variant>
      <vt:variant>
        <vt:lpwstr/>
      </vt:variant>
      <vt:variant>
        <vt:i4>7012406</vt:i4>
      </vt:variant>
      <vt:variant>
        <vt:i4>42</vt:i4>
      </vt:variant>
      <vt:variant>
        <vt:i4>0</vt:i4>
      </vt:variant>
      <vt:variant>
        <vt:i4>5</vt:i4>
      </vt:variant>
      <vt:variant>
        <vt:lpwstr>https://www.asphaltpavement.org/uploads/documents/Buy_America_Impacts_on_Asphalt.pdf</vt:lpwstr>
      </vt:variant>
      <vt:variant>
        <vt:lpwstr/>
      </vt:variant>
      <vt:variant>
        <vt:i4>2687026</vt:i4>
      </vt:variant>
      <vt:variant>
        <vt:i4>39</vt:i4>
      </vt:variant>
      <vt:variant>
        <vt:i4>0</vt:i4>
      </vt:variant>
      <vt:variant>
        <vt:i4>5</vt:i4>
      </vt:variant>
      <vt:variant>
        <vt:lpwstr>https://www.aluminum.org/sites/default/files/2021-11/FactSheet2018.pdf</vt:lpwstr>
      </vt:variant>
      <vt:variant>
        <vt:lpwstr/>
      </vt:variant>
      <vt:variant>
        <vt:i4>1900565</vt:i4>
      </vt:variant>
      <vt:variant>
        <vt:i4>36</vt:i4>
      </vt:variant>
      <vt:variant>
        <vt:i4>0</vt:i4>
      </vt:variant>
      <vt:variant>
        <vt:i4>5</vt:i4>
      </vt:variant>
      <vt:variant>
        <vt:lpwstr>https://www.statista.com/statistics/259096/us-imports-as-a-percentage-of-gdp/</vt:lpwstr>
      </vt:variant>
      <vt:variant>
        <vt:lpwstr/>
      </vt:variant>
      <vt:variant>
        <vt:i4>1048645</vt:i4>
      </vt:variant>
      <vt:variant>
        <vt:i4>33</vt:i4>
      </vt:variant>
      <vt:variant>
        <vt:i4>0</vt:i4>
      </vt:variant>
      <vt:variant>
        <vt:i4>5</vt:i4>
      </vt:variant>
      <vt:variant>
        <vt:lpwstr>https://smartepd.com/epd-library/64133a6cceeabedac05df74d</vt:lpwstr>
      </vt:variant>
      <vt:variant>
        <vt:lpwstr/>
      </vt:variant>
      <vt:variant>
        <vt:i4>6160478</vt:i4>
      </vt:variant>
      <vt:variant>
        <vt:i4>30</vt:i4>
      </vt:variant>
      <vt:variant>
        <vt:i4>0</vt:i4>
      </vt:variant>
      <vt:variant>
        <vt:i4>5</vt:i4>
      </vt:variant>
      <vt:variant>
        <vt:lpwstr>https://www.betterhomesbc.ca/products/what-is-r-or-rsi-value/</vt:lpwstr>
      </vt:variant>
      <vt:variant>
        <vt:lpwstr/>
      </vt:variant>
      <vt:variant>
        <vt:i4>2883696</vt:i4>
      </vt:variant>
      <vt:variant>
        <vt:i4>27</vt:i4>
      </vt:variant>
      <vt:variant>
        <vt:i4>0</vt:i4>
      </vt:variant>
      <vt:variant>
        <vt:i4>5</vt:i4>
      </vt:variant>
      <vt:variant>
        <vt:lpwstr>https://codes.iccsafe.org/content/IECC2024P1/index</vt:lpwstr>
      </vt:variant>
      <vt:variant>
        <vt:lpwstr/>
      </vt:variant>
      <vt:variant>
        <vt:i4>524366</vt:i4>
      </vt:variant>
      <vt:variant>
        <vt:i4>24</vt:i4>
      </vt:variant>
      <vt:variant>
        <vt:i4>0</vt:i4>
      </vt:variant>
      <vt:variant>
        <vt:i4>5</vt:i4>
      </vt:variant>
      <vt:variant>
        <vt:lpwstr>https://www.nrmca.org/wp-content/uploads/2022/02/NRMCA_LCAReportV3-2_20220224.pdf</vt:lpwstr>
      </vt:variant>
      <vt:variant>
        <vt:lpwstr/>
      </vt:variant>
      <vt:variant>
        <vt:i4>6684777</vt:i4>
      </vt:variant>
      <vt:variant>
        <vt:i4>21</vt:i4>
      </vt:variant>
      <vt:variant>
        <vt:i4>0</vt:i4>
      </vt:variant>
      <vt:variant>
        <vt:i4>5</vt:i4>
      </vt:variant>
      <vt:variant>
        <vt:lpwstr>https://mtcopeland.com/blog/wood-density-explained-plus-wood-density-chart/</vt:lpwstr>
      </vt:variant>
      <vt:variant>
        <vt:lpwstr/>
      </vt:variant>
      <vt:variant>
        <vt:i4>1769544</vt:i4>
      </vt:variant>
      <vt:variant>
        <vt:i4>18</vt:i4>
      </vt:variant>
      <vt:variant>
        <vt:i4>0</vt:i4>
      </vt:variant>
      <vt:variant>
        <vt:i4>5</vt:i4>
      </vt:variant>
      <vt:variant>
        <vt:lpwstr>https://www.usitc.gov/research_and_analysis/trade_shifts_2017/forestry.htm</vt:lpwstr>
      </vt:variant>
      <vt:variant>
        <vt:lpwstr/>
      </vt:variant>
      <vt:variant>
        <vt:i4>6357037</vt:i4>
      </vt:variant>
      <vt:variant>
        <vt:i4>15</vt:i4>
      </vt:variant>
      <vt:variant>
        <vt:i4>0</vt:i4>
      </vt:variant>
      <vt:variant>
        <vt:i4>5</vt:i4>
      </vt:variant>
      <vt:variant>
        <vt:lpwstr>https://www.trade.gov/data-visualization/us-steel-executive-summary</vt:lpwstr>
      </vt:variant>
      <vt:variant>
        <vt:lpwstr/>
      </vt:variant>
      <vt:variant>
        <vt:i4>1179655</vt:i4>
      </vt:variant>
      <vt:variant>
        <vt:i4>12</vt:i4>
      </vt:variant>
      <vt:variant>
        <vt:i4>0</vt:i4>
      </vt:variant>
      <vt:variant>
        <vt:i4>5</vt:i4>
      </vt:variant>
      <vt:variant>
        <vt:lpwstr>https://www.freedoniagroup.com/industry-study/insulation-4304.htm</vt:lpwstr>
      </vt:variant>
      <vt:variant>
        <vt:lpwstr/>
      </vt:variant>
      <vt:variant>
        <vt:i4>3145762</vt:i4>
      </vt:variant>
      <vt:variant>
        <vt:i4>9</vt:i4>
      </vt:variant>
      <vt:variant>
        <vt:i4>0</vt:i4>
      </vt:variant>
      <vt:variant>
        <vt:i4>5</vt:i4>
      </vt:variant>
      <vt:variant>
        <vt:lpwstr>https://oec.world/en/profile/bilateral-product/float-glass/reporter/usa</vt:lpwstr>
      </vt:variant>
      <vt:variant>
        <vt:lpwstr/>
      </vt:variant>
      <vt:variant>
        <vt:i4>2883676</vt:i4>
      </vt:variant>
      <vt:variant>
        <vt:i4>6</vt:i4>
      </vt:variant>
      <vt:variant>
        <vt:i4>0</vt:i4>
      </vt:variant>
      <vt:variant>
        <vt:i4>5</vt:i4>
      </vt:variant>
      <vt:variant>
        <vt:lpwstr>https://oec.world/en/visualize/tree_map/hs92/import/usa/show/136901/2022</vt:lpwstr>
      </vt:variant>
      <vt:variant>
        <vt:lpwstr/>
      </vt:variant>
      <vt:variant>
        <vt:i4>4390924</vt:i4>
      </vt:variant>
      <vt:variant>
        <vt:i4>3</vt:i4>
      </vt:variant>
      <vt:variant>
        <vt:i4>0</vt:i4>
      </vt:variant>
      <vt:variant>
        <vt:i4>5</vt:i4>
      </vt:variant>
      <vt:variant>
        <vt:lpwstr>https://www.carbonvoyagetool.com/</vt:lpwstr>
      </vt:variant>
      <vt:variant>
        <vt:lpwstr/>
      </vt:variant>
      <vt:variant>
        <vt:i4>6160412</vt:i4>
      </vt:variant>
      <vt:variant>
        <vt:i4>0</vt:i4>
      </vt:variant>
      <vt:variant>
        <vt:i4>0</vt:i4>
      </vt:variant>
      <vt:variant>
        <vt:i4>5</vt:i4>
      </vt:variant>
      <vt:variant>
        <vt:lpwstr>https://www.buildingtransparency.org/</vt:lpwstr>
      </vt:variant>
      <vt:variant>
        <vt:lpwstr/>
      </vt:variant>
      <vt:variant>
        <vt:i4>5439522</vt:i4>
      </vt:variant>
      <vt:variant>
        <vt:i4>3</vt:i4>
      </vt:variant>
      <vt:variant>
        <vt:i4>0</vt:i4>
      </vt:variant>
      <vt:variant>
        <vt:i4>5</vt:i4>
      </vt:variant>
      <vt:variant>
        <vt:lpwstr>mailto:59035@icf.com</vt:lpwstr>
      </vt:variant>
      <vt:variant>
        <vt:lpwstr/>
      </vt:variant>
      <vt:variant>
        <vt:i4>5505056</vt:i4>
      </vt:variant>
      <vt:variant>
        <vt:i4>0</vt:i4>
      </vt:variant>
      <vt:variant>
        <vt:i4>0</vt:i4>
      </vt:variant>
      <vt:variant>
        <vt:i4>5</vt:i4>
      </vt:variant>
      <vt:variant>
        <vt:lpwstr>mailto:61392@icf.com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Calculator, Version 1.2</dc:title>
  <dc:subject/>
  <dc:creator>Faith Krogstad</dc:creator>
  <cp:keywords/>
  <dc:description/>
  <cp:lastModifiedBy>Golla, Emily</cp:lastModifiedBy>
  <cp:revision>3</cp:revision>
  <dcterms:created xsi:type="dcterms:W3CDTF">2026-01-22T02:46:00Z</dcterms:created>
  <dcterms:modified xsi:type="dcterms:W3CDTF">2026-02-23T16:50:00Z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2.01</vt:lpwstr>
  </property>
  <property fmtid="{D5CDD505-2E9C-101B-9397-08002B2CF9AE}" pid="3" name="ContentTypeId">
    <vt:lpwstr>0x010100A2B17B8890CBF3468E001E673C91A8C9</vt:lpwstr>
  </property>
  <property fmtid="{D5CDD505-2E9C-101B-9397-08002B2CF9AE}" pid="4" name="MediaServiceImageTags">
    <vt:lpwstr/>
  </property>
  <property fmtid="{D5CDD505-2E9C-101B-9397-08002B2CF9AE}" pid="5" name="docLang">
    <vt:lpwstr>en</vt:lpwstr>
  </property>
</Properties>
</file>